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3"/>
          <w:szCs w:val="13"/>
        </w:rPr>
      </w:pPr>
    </w:p>
    <w:p>
      <w:pPr>
        <w:spacing w:line="1020" w:lineRule="exact"/>
        <w:ind w:left="3817"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9"/>
          <w:sz w:val="20"/>
          <w:szCs w:val="20"/>
        </w:rPr>
        <w:drawing>
          <wp:inline distT="0" distB="0" distL="0" distR="0">
            <wp:extent cx="1409700" cy="64770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409700" cy="647700"/>
                    </a:xfrm>
                    <a:prstGeom prst="rect">
                      <a:avLst/>
                    </a:prstGeom>
                  </pic:spPr>
                </pic:pic>
              </a:graphicData>
            </a:graphic>
          </wp:inline>
        </w:drawing>
      </w:r>
      <w:r>
        <w:rPr>
          <w:rFonts w:ascii="Times New Roman" w:hAnsi="Times New Roman" w:cs="Times New Roman" w:eastAsia="Times New Roman" w:hint="default"/>
          <w:position w:val="-19"/>
          <w:sz w:val="20"/>
          <w:szCs w:val="20"/>
        </w:rPr>
      </w:r>
    </w:p>
    <w:p>
      <w:pPr>
        <w:spacing w:line="240" w:lineRule="auto" w:before="4"/>
        <w:rPr>
          <w:rFonts w:ascii="Times New Roman" w:hAnsi="Times New Roman" w:cs="Times New Roman" w:eastAsia="Times New Roman" w:hint="default"/>
          <w:sz w:val="14"/>
          <w:szCs w:val="14"/>
        </w:rPr>
      </w:pPr>
    </w:p>
    <w:p>
      <w:pPr>
        <w:spacing w:line="460" w:lineRule="exact" w:before="0"/>
        <w:ind w:left="2744" w:right="3764" w:firstLine="0"/>
        <w:jc w:val="center"/>
        <w:rPr>
          <w:rFonts w:ascii="宋体" w:hAnsi="宋体" w:cs="宋体" w:eastAsia="宋体" w:hint="default"/>
          <w:sz w:val="36"/>
          <w:szCs w:val="36"/>
        </w:rPr>
      </w:pPr>
      <w:r>
        <w:rPr>
          <w:rFonts w:ascii="宋体" w:hAnsi="宋体" w:cs="宋体" w:eastAsia="宋体" w:hint="default"/>
          <w:b/>
          <w:bCs/>
          <w:sz w:val="36"/>
          <w:szCs w:val="36"/>
        </w:rPr>
        <w:t>深圳大通实业股份有限公司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43" w:right="3764"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3"/>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6"/>
        <w:rPr>
          <w:rFonts w:ascii="宋体" w:hAnsi="宋体" w:cs="宋体" w:eastAsia="宋体" w:hint="default"/>
          <w:b/>
          <w:bCs/>
          <w:sz w:val="32"/>
          <w:szCs w:val="32"/>
        </w:rPr>
      </w:pPr>
    </w:p>
    <w:p>
      <w:pPr>
        <w:spacing w:before="0"/>
        <w:ind w:left="2744" w:right="3762" w:firstLine="0"/>
        <w:jc w:val="center"/>
        <w:rPr>
          <w:rFonts w:ascii="Times New Roman" w:hAnsi="Times New Roman" w:cs="Times New Roman" w:eastAsia="Times New Roman" w:hint="default"/>
          <w:sz w:val="22"/>
          <w:szCs w:val="22"/>
        </w:rPr>
      </w:pPr>
      <w:r>
        <w:rPr>
          <w:rFonts w:ascii="Times New Roman"/>
          <w:b/>
          <w:sz w:val="22"/>
        </w:rPr>
        <w:t>2020-032</w:t>
      </w:r>
      <w:r>
        <w:rPr>
          <w:rFonts w:ascii="Times New Roman"/>
          <w:sz w:val="22"/>
        </w:rPr>
      </w: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line="240" w:lineRule="auto" w:before="0"/>
        <w:rPr>
          <w:rFonts w:ascii="Times New Roman" w:hAnsi="Times New Roman" w:cs="Times New Roman" w:eastAsia="Times New Roman" w:hint="default"/>
          <w:b/>
          <w:bCs/>
          <w:sz w:val="22"/>
          <w:szCs w:val="22"/>
        </w:rPr>
      </w:pPr>
    </w:p>
    <w:p>
      <w:pPr>
        <w:spacing w:before="130"/>
        <w:ind w:left="2744" w:right="376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2020</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84" w:footer="1021"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0"/>
          <w:szCs w:val="20"/>
        </w:rPr>
      </w:pPr>
    </w:p>
    <w:p>
      <w:pPr>
        <w:pStyle w:val="Heading1"/>
        <w:spacing w:line="240" w:lineRule="auto"/>
        <w:ind w:left="2845" w:right="986"/>
        <w:jc w:val="left"/>
        <w:rPr>
          <w:b w:val="0"/>
          <w:bCs w:val="0"/>
        </w:rPr>
      </w:pPr>
      <w:bookmarkStart w:name="第一节重要提示、目录和释义" w:id="1"/>
      <w:bookmarkEnd w:id="1"/>
      <w:r>
        <w:rPr>
          <w:b w:val="0"/>
          <w:bCs w:val="0"/>
        </w:rPr>
      </w:r>
      <w:bookmarkStart w:name="_bookmark0" w:id="2"/>
      <w:bookmarkEnd w:id="2"/>
      <w:r>
        <w:rPr>
          <w:b w:val="0"/>
          <w:bCs w:val="0"/>
        </w:rPr>
      </w:r>
      <w:r>
        <w:rPr/>
        <w:t>第一节重要提示、目录和释义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5"/>
        <w:ind w:left="11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2"/>
          <w:sz w:val="28"/>
          <w:szCs w:val="28"/>
        </w:rPr>
        <w:t>实、准确、完整，不存在虚假记载、误导性陈述或重大遗漏，并承担个别和连</w:t>
      </w:r>
      <w:r>
        <w:rPr>
          <w:rFonts w:ascii="宋体" w:hAnsi="宋体" w:cs="宋体" w:eastAsia="宋体" w:hint="default"/>
          <w:b/>
          <w:bCs/>
          <w:w w:val="99"/>
          <w:sz w:val="28"/>
          <w:szCs w:val="28"/>
        </w:rPr>
        <w:t> </w:t>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2"/>
        <w:ind w:left="112" w:right="113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公司负责人史利军、主管会计工作负责人郑正东及会计机构负责人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杨海廷声明：保证年度报告中财务报告的真实、准确、完整。</w:t>
      </w:r>
      <w:r>
        <w:rPr>
          <w:rFonts w:ascii="宋体" w:hAnsi="宋体" w:cs="宋体" w:eastAsia="宋体" w:hint="default"/>
          <w:sz w:val="28"/>
          <w:szCs w:val="28"/>
        </w:rPr>
      </w:r>
    </w:p>
    <w:p>
      <w:pPr>
        <w:spacing w:before="148"/>
        <w:ind w:left="674" w:right="986"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sz w:val="28"/>
          <w:szCs w:val="28"/>
        </w:rPr>
      </w:r>
    </w:p>
    <w:p>
      <w:pPr>
        <w:spacing w:line="240" w:lineRule="auto" w:before="3"/>
        <w:rPr>
          <w:rFonts w:ascii="宋体" w:hAnsi="宋体" w:cs="宋体" w:eastAsia="宋体" w:hint="default"/>
          <w:b/>
          <w:bCs/>
          <w:sz w:val="27"/>
          <w:szCs w:val="27"/>
        </w:rPr>
      </w:pPr>
    </w:p>
    <w:p>
      <w:pPr>
        <w:spacing w:line="408" w:lineRule="auto" w:before="0"/>
        <w:ind w:left="112" w:right="986" w:firstLine="562"/>
        <w:jc w:val="left"/>
        <w:rPr>
          <w:rFonts w:ascii="宋体" w:hAnsi="宋体" w:cs="宋体" w:eastAsia="宋体" w:hint="default"/>
          <w:sz w:val="28"/>
          <w:szCs w:val="28"/>
        </w:rPr>
      </w:pPr>
      <w:r>
        <w:rPr>
          <w:rFonts w:ascii="宋体" w:hAnsi="宋体" w:cs="宋体" w:eastAsia="宋体" w:hint="default"/>
          <w:b/>
          <w:bCs/>
          <w:spacing w:val="-15"/>
          <w:w w:val="99"/>
          <w:sz w:val="28"/>
          <w:szCs w:val="28"/>
        </w:rPr>
        <w:t>《中国证券报》、《证券时报》、《上海证券报》和巨潮资讯网为本公司选定</w:t>
      </w:r>
      <w:r>
        <w:rPr>
          <w:rFonts w:ascii="宋体" w:hAnsi="宋体" w:cs="宋体" w:eastAsia="宋体" w:hint="default"/>
          <w:b/>
          <w:bCs/>
          <w:w w:val="99"/>
          <w:sz w:val="28"/>
          <w:szCs w:val="28"/>
        </w:rPr>
        <w:t> </w:t>
      </w:r>
      <w:r>
        <w:rPr>
          <w:rFonts w:ascii="宋体" w:hAnsi="宋体" w:cs="宋体" w:eastAsia="宋体" w:hint="default"/>
          <w:b/>
          <w:bCs/>
          <w:spacing w:val="2"/>
          <w:sz w:val="28"/>
          <w:szCs w:val="28"/>
        </w:rPr>
        <w:t>的信息披露媒体，本公司所有信息均以在上述选定媒体刊登的信息为准。本报</w:t>
      </w:r>
      <w:r>
        <w:rPr>
          <w:rFonts w:ascii="宋体" w:hAnsi="宋体" w:cs="宋体" w:eastAsia="宋体" w:hint="default"/>
          <w:b/>
          <w:bCs/>
          <w:w w:val="99"/>
          <w:sz w:val="28"/>
          <w:szCs w:val="28"/>
        </w:rPr>
        <w:t> </w:t>
      </w:r>
      <w:r>
        <w:rPr>
          <w:rFonts w:ascii="宋体" w:hAnsi="宋体" w:cs="宋体" w:eastAsia="宋体" w:hint="default"/>
          <w:b/>
          <w:bCs/>
          <w:spacing w:val="-2"/>
          <w:sz w:val="28"/>
          <w:szCs w:val="28"/>
        </w:rPr>
        <w:t>告内涉及的未来计划、发展战略等前瞻性陈述不构成公司对投资者的实质承诺，</w:t>
      </w:r>
      <w:r>
        <w:rPr>
          <w:rFonts w:ascii="宋体" w:hAnsi="宋体" w:cs="宋体" w:eastAsia="宋体" w:hint="default"/>
          <w:b/>
          <w:bCs/>
          <w:spacing w:val="-132"/>
          <w:sz w:val="28"/>
          <w:szCs w:val="28"/>
        </w:rPr>
        <w:t> </w:t>
      </w:r>
      <w:r>
        <w:rPr>
          <w:rFonts w:ascii="宋体" w:hAnsi="宋体" w:cs="宋体" w:eastAsia="宋体" w:hint="default"/>
          <w:b/>
          <w:bCs/>
          <w:spacing w:val="-132"/>
          <w:sz w:val="28"/>
          <w:szCs w:val="28"/>
        </w:rPr>
      </w:r>
      <w:r>
        <w:rPr>
          <w:rFonts w:ascii="宋体" w:hAnsi="宋体" w:cs="宋体" w:eastAsia="宋体" w:hint="default"/>
          <w:b/>
          <w:bCs/>
          <w:sz w:val="28"/>
          <w:szCs w:val="28"/>
        </w:rPr>
        <w:t>敬请投资者注意投资风险。</w:t>
      </w:r>
      <w:r>
        <w:rPr>
          <w:rFonts w:ascii="宋体" w:hAnsi="宋体" w:cs="宋体" w:eastAsia="宋体" w:hint="default"/>
          <w:sz w:val="28"/>
          <w:szCs w:val="28"/>
        </w:rPr>
      </w:r>
    </w:p>
    <w:p>
      <w:pPr>
        <w:spacing w:line="408" w:lineRule="auto" w:before="162"/>
        <w:ind w:left="11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公司在本报告第四节“经营情况讨论与分析”中“公司未来发展的展望”</w:t>
      </w:r>
      <w:r>
        <w:rPr>
          <w:rFonts w:ascii="宋体" w:hAnsi="宋体" w:cs="宋体" w:eastAsia="宋体" w:hint="default"/>
          <w:b/>
          <w:bCs/>
          <w:w w:val="99"/>
          <w:sz w:val="28"/>
          <w:szCs w:val="28"/>
        </w:rPr>
        <w:t> </w:t>
      </w:r>
      <w:r>
        <w:rPr>
          <w:rFonts w:ascii="宋体" w:hAnsi="宋体" w:cs="宋体" w:eastAsia="宋体" w:hint="default"/>
          <w:b/>
          <w:bCs/>
          <w:spacing w:val="2"/>
          <w:sz w:val="28"/>
          <w:szCs w:val="28"/>
        </w:rPr>
        <w:t>部分，详细描述了公司经营中可能存在的风险及应对措施，敬请投资者关注相</w:t>
      </w:r>
      <w:r>
        <w:rPr>
          <w:rFonts w:ascii="宋体" w:hAnsi="宋体" w:cs="宋体" w:eastAsia="宋体" w:hint="default"/>
          <w:b/>
          <w:bCs/>
          <w:w w:val="99"/>
          <w:sz w:val="28"/>
          <w:szCs w:val="28"/>
        </w:rPr>
        <w:t> </w:t>
      </w:r>
      <w:r>
        <w:rPr>
          <w:rFonts w:ascii="宋体" w:hAnsi="宋体" w:cs="宋体" w:eastAsia="宋体" w:hint="default"/>
          <w:b/>
          <w:bCs/>
          <w:sz w:val="28"/>
          <w:szCs w:val="28"/>
        </w:rPr>
        <w:t>关内容。</w:t>
      </w:r>
      <w:r>
        <w:rPr>
          <w:rFonts w:ascii="宋体" w:hAnsi="宋体" w:cs="宋体" w:eastAsia="宋体" w:hint="default"/>
          <w:sz w:val="28"/>
          <w:szCs w:val="28"/>
        </w:rPr>
      </w:r>
    </w:p>
    <w:p>
      <w:pPr>
        <w:spacing w:before="162"/>
        <w:ind w:left="674" w:right="986"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1021" w:header="784" w:top="1100" w:bottom="1220" w:left="1020" w:right="0"/>
          <w:pgNumType w:start="2"/>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6"/>
        <w:rPr>
          <w:rFonts w:ascii="宋体" w:hAnsi="宋体" w:cs="宋体" w:eastAsia="宋体" w:hint="default"/>
          <w:b/>
          <w:bCs/>
          <w:sz w:val="27"/>
          <w:szCs w:val="27"/>
        </w:rPr>
      </w:pPr>
    </w:p>
    <w:p>
      <w:pPr>
        <w:spacing w:line="460" w:lineRule="exact" w:before="0"/>
        <w:ind w:left="2744" w:right="376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44"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第一节重要提示、目录和释义</w:t>
            </w:r>
            <w:r>
              <w:rPr>
                <w:rFonts w:ascii="Times New Roman" w:hAnsi="Times New Roman" w:cs="Times New Roman" w:eastAsia="Times New Roman" w:hint="default"/>
              </w:rPr>
              <w:tab/>
              <w:t>2</w:t>
            </w:r>
          </w:hyperlink>
        </w:p>
        <w:p>
          <w:pPr>
            <w:pStyle w:val="TOC1"/>
            <w:tabs>
              <w:tab w:pos="9744" w:val="right" w:leader="dot"/>
            </w:tabs>
            <w:spacing w:line="240" w:lineRule="auto" w:before="278"/>
            <w:ind w:right="0"/>
            <w:jc w:val="left"/>
            <w:rPr>
              <w:rFonts w:ascii="Times New Roman" w:hAnsi="Times New Roman" w:cs="Times New Roman" w:eastAsia="Times New Roman" w:hint="default"/>
            </w:rPr>
          </w:pPr>
          <w:hyperlink w:history="true" w:anchor="_bookmark1">
            <w:r>
              <w:rPr/>
              <w:t>第二节公司简介和主要财务指标</w:t>
            </w:r>
            <w:r>
              <w:rPr>
                <w:rFonts w:ascii="Times New Roman" w:hAnsi="Times New Roman" w:cs="Times New Roman" w:eastAsia="Times New Roman" w:hint="default"/>
              </w:rPr>
              <w:tab/>
              <w:t>5</w:t>
            </w:r>
          </w:hyperlink>
        </w:p>
        <w:p>
          <w:pPr>
            <w:pStyle w:val="TOC1"/>
            <w:tabs>
              <w:tab w:pos="9744" w:val="right" w:leader="dot"/>
            </w:tabs>
            <w:spacing w:line="240" w:lineRule="auto" w:before="275"/>
            <w:ind w:right="0"/>
            <w:jc w:val="left"/>
            <w:rPr>
              <w:rFonts w:ascii="Times New Roman" w:hAnsi="Times New Roman" w:cs="Times New Roman" w:eastAsia="Times New Roman" w:hint="default"/>
            </w:rPr>
          </w:pPr>
          <w:hyperlink w:history="true" w:anchor="_bookmark2">
            <w:r>
              <w:rPr/>
              <w:t>第三节公司业务概要</w:t>
            </w:r>
            <w:r>
              <w:rPr>
                <w:rFonts w:ascii="Times New Roman" w:hAnsi="Times New Roman" w:cs="Times New Roman" w:eastAsia="Times New Roman" w:hint="default"/>
              </w:rPr>
              <w:tab/>
              <w:t>9</w:t>
            </w:r>
          </w:hyperlink>
        </w:p>
        <w:p>
          <w:pPr>
            <w:pStyle w:val="TOC1"/>
            <w:tabs>
              <w:tab w:pos="9733" w:val="right" w:leader="dot"/>
            </w:tabs>
            <w:spacing w:line="240" w:lineRule="auto"/>
            <w:ind w:right="0"/>
            <w:jc w:val="left"/>
            <w:rPr>
              <w:rFonts w:ascii="Times New Roman" w:hAnsi="Times New Roman" w:cs="Times New Roman" w:eastAsia="Times New Roman" w:hint="default"/>
            </w:rPr>
          </w:pPr>
          <w:hyperlink w:history="true" w:anchor="_bookmark3">
            <w:r>
              <w:rPr/>
              <w:t>第四节经营情况讨论与分析</w:t>
            </w:r>
            <w:r>
              <w:rPr>
                <w:rFonts w:ascii="Times New Roman" w:hAnsi="Times New Roman" w:cs="Times New Roman" w:eastAsia="Times New Roman" w:hint="default"/>
              </w:rPr>
              <w:tab/>
            </w:r>
            <w:r>
              <w:rPr>
                <w:rFonts w:ascii="Times New Roman" w:hAnsi="Times New Roman" w:cs="Times New Roman" w:eastAsia="Times New Roman" w:hint="default"/>
                <w:spacing w:val="-11"/>
              </w:rPr>
              <w:t>11</w:t>
            </w:r>
            <w:r>
              <w:rPr>
                <w:rFonts w:ascii="Times New Roman" w:hAnsi="Times New Roman" w:cs="Times New Roman" w:eastAsia="Times New Roman" w:hint="default"/>
              </w:rPr>
            </w:r>
          </w:hyperlink>
        </w:p>
        <w:p>
          <w:pPr>
            <w:pStyle w:val="TOC1"/>
            <w:tabs>
              <w:tab w:pos="9745" w:val="right" w:leader="dot"/>
            </w:tabs>
            <w:spacing w:line="240" w:lineRule="auto"/>
            <w:ind w:right="0"/>
            <w:jc w:val="left"/>
            <w:rPr>
              <w:rFonts w:ascii="Times New Roman" w:hAnsi="Times New Roman" w:cs="Times New Roman" w:eastAsia="Times New Roman" w:hint="default"/>
            </w:rPr>
          </w:pPr>
          <w:hyperlink w:history="true" w:anchor="_bookmark4">
            <w:r>
              <w:rPr/>
              <w:t>第五节重要事项</w:t>
            </w:r>
            <w:r>
              <w:rPr>
                <w:rFonts w:ascii="Times New Roman" w:hAnsi="Times New Roman" w:cs="Times New Roman" w:eastAsia="Times New Roman" w:hint="default"/>
              </w:rPr>
              <w:tab/>
              <w:t>28</w:t>
            </w:r>
          </w:hyperlink>
        </w:p>
        <w:p>
          <w:pPr>
            <w:pStyle w:val="TOC1"/>
            <w:tabs>
              <w:tab w:pos="9745" w:val="right" w:leader="dot"/>
            </w:tabs>
            <w:spacing w:line="240" w:lineRule="auto" w:before="275"/>
            <w:ind w:right="0"/>
            <w:jc w:val="left"/>
            <w:rPr>
              <w:rFonts w:ascii="Times New Roman" w:hAnsi="Times New Roman" w:cs="Times New Roman" w:eastAsia="Times New Roman" w:hint="default"/>
            </w:rPr>
          </w:pPr>
          <w:hyperlink w:history="true" w:anchor="_bookmark5">
            <w:r>
              <w:rPr/>
              <w:t>第六节股份变动及股东情况</w:t>
            </w:r>
            <w:r>
              <w:rPr>
                <w:rFonts w:ascii="Times New Roman" w:hAnsi="Times New Roman" w:cs="Times New Roman" w:eastAsia="Times New Roman" w:hint="default"/>
              </w:rPr>
              <w:tab/>
              <w:t>43</w:t>
            </w:r>
          </w:hyperlink>
        </w:p>
        <w:p>
          <w:pPr>
            <w:pStyle w:val="TOC1"/>
            <w:tabs>
              <w:tab w:pos="9745" w:val="right" w:leader="dot"/>
            </w:tabs>
            <w:spacing w:line="240" w:lineRule="auto"/>
            <w:ind w:right="0"/>
            <w:jc w:val="left"/>
            <w:rPr>
              <w:rFonts w:ascii="Times New Roman" w:hAnsi="Times New Roman" w:cs="Times New Roman" w:eastAsia="Times New Roman" w:hint="default"/>
            </w:rPr>
          </w:pPr>
          <w:hyperlink w:history="true" w:anchor="_bookmark6">
            <w:r>
              <w:rPr/>
              <w:t>第七节优先股相关情况</w:t>
            </w:r>
            <w:r>
              <w:rPr>
                <w:rFonts w:ascii="Times New Roman" w:hAnsi="Times New Roman" w:cs="Times New Roman" w:eastAsia="Times New Roman" w:hint="default"/>
              </w:rPr>
              <w:tab/>
              <w:t>50</w:t>
            </w:r>
          </w:hyperlink>
        </w:p>
        <w:p>
          <w:pPr>
            <w:pStyle w:val="TOC1"/>
            <w:tabs>
              <w:tab w:pos="9745" w:val="right" w:leader="dot"/>
            </w:tabs>
            <w:spacing w:line="240" w:lineRule="auto"/>
            <w:ind w:right="0"/>
            <w:jc w:val="left"/>
            <w:rPr>
              <w:rFonts w:ascii="Times New Roman" w:hAnsi="Times New Roman" w:cs="Times New Roman" w:eastAsia="Times New Roman" w:hint="default"/>
            </w:rPr>
          </w:pPr>
          <w:hyperlink w:history="true" w:anchor="_bookmark7">
            <w:r>
              <w:rPr/>
              <w:t>第八节可转换公司债券相关情况</w:t>
            </w:r>
            <w:r>
              <w:rPr>
                <w:rFonts w:ascii="Times New Roman" w:hAnsi="Times New Roman" w:cs="Times New Roman" w:eastAsia="Times New Roman" w:hint="default"/>
              </w:rPr>
              <w:tab/>
              <w:t>51</w:t>
            </w:r>
          </w:hyperlink>
        </w:p>
        <w:p>
          <w:pPr>
            <w:pStyle w:val="TOC1"/>
            <w:tabs>
              <w:tab w:pos="9745" w:val="right" w:leader="dot"/>
            </w:tabs>
            <w:spacing w:line="240" w:lineRule="auto" w:before="275"/>
            <w:ind w:right="0"/>
            <w:jc w:val="left"/>
            <w:rPr>
              <w:rFonts w:ascii="Times New Roman" w:hAnsi="Times New Roman" w:cs="Times New Roman" w:eastAsia="Times New Roman" w:hint="default"/>
            </w:rPr>
          </w:pPr>
          <w:hyperlink w:history="true" w:anchor="_bookmark8">
            <w:r>
              <w:rPr/>
              <w:t>第九节董事、监事、高级管理人员和员工情况</w:t>
            </w:r>
            <w:r>
              <w:rPr>
                <w:rFonts w:ascii="Times New Roman" w:hAnsi="Times New Roman" w:cs="Times New Roman" w:eastAsia="Times New Roman" w:hint="default"/>
              </w:rPr>
              <w:tab/>
              <w:t>52</w:t>
            </w:r>
          </w:hyperlink>
        </w:p>
        <w:p>
          <w:pPr>
            <w:pStyle w:val="TOC1"/>
            <w:tabs>
              <w:tab w:pos="9745" w:val="right" w:leader="dot"/>
            </w:tabs>
            <w:spacing w:line="240" w:lineRule="auto"/>
            <w:ind w:right="0"/>
            <w:jc w:val="left"/>
            <w:rPr>
              <w:rFonts w:ascii="Times New Roman" w:hAnsi="Times New Roman" w:cs="Times New Roman" w:eastAsia="Times New Roman" w:hint="default"/>
            </w:rPr>
          </w:pPr>
          <w:hyperlink w:history="true" w:anchor="_bookmark9">
            <w:r>
              <w:rPr/>
              <w:t>第十节公司治理</w:t>
            </w:r>
            <w:r>
              <w:rPr>
                <w:rFonts w:ascii="Times New Roman" w:hAnsi="Times New Roman" w:cs="Times New Roman" w:eastAsia="Times New Roman" w:hint="default"/>
              </w:rPr>
              <w:tab/>
              <w:t>58</w:t>
            </w:r>
          </w:hyperlink>
        </w:p>
        <w:p>
          <w:pPr>
            <w:pStyle w:val="TOC1"/>
            <w:tabs>
              <w:tab w:pos="9745" w:val="right" w:leader="dot"/>
            </w:tabs>
            <w:spacing w:line="240" w:lineRule="auto"/>
            <w:ind w:right="0"/>
            <w:jc w:val="left"/>
            <w:rPr>
              <w:rFonts w:ascii="Times New Roman" w:hAnsi="Times New Roman" w:cs="Times New Roman" w:eastAsia="Times New Roman" w:hint="default"/>
            </w:rPr>
          </w:pPr>
          <w:hyperlink w:history="true" w:anchor="_bookmark10">
            <w:r>
              <w:rPr/>
              <w:t>第十一节公司债券相关情况</w:t>
            </w:r>
            <w:r>
              <w:rPr>
                <w:rFonts w:ascii="Times New Roman" w:hAnsi="Times New Roman" w:cs="Times New Roman" w:eastAsia="Times New Roman" w:hint="default"/>
              </w:rPr>
              <w:tab/>
              <w:t>62</w:t>
            </w:r>
          </w:hyperlink>
        </w:p>
        <w:p>
          <w:pPr>
            <w:pStyle w:val="TOC1"/>
            <w:tabs>
              <w:tab w:pos="9745" w:val="right" w:leader="dot"/>
            </w:tabs>
            <w:spacing w:line="240" w:lineRule="auto" w:before="275"/>
            <w:ind w:right="0"/>
            <w:jc w:val="left"/>
            <w:rPr>
              <w:rFonts w:ascii="Times New Roman" w:hAnsi="Times New Roman" w:cs="Times New Roman" w:eastAsia="Times New Roman" w:hint="default"/>
            </w:rPr>
          </w:pPr>
          <w:hyperlink w:history="true" w:anchor="_bookmark11">
            <w:r>
              <w:rPr/>
              <w:t>第十二节</w:t>
            </w:r>
            <w:r>
              <w:rPr>
                <w:spacing w:val="-1"/>
              </w:rPr>
              <w:t> </w:t>
            </w:r>
            <w:r>
              <w:rPr/>
              <w:t>财务报告</w:t>
            </w:r>
            <w:r>
              <w:rPr>
                <w:rFonts w:ascii="Times New Roman" w:hAnsi="Times New Roman" w:cs="Times New Roman" w:eastAsia="Times New Roman" w:hint="default"/>
              </w:rPr>
              <w:tab/>
              <w:t>63</w:t>
            </w:r>
          </w:hyperlink>
        </w:p>
        <w:p>
          <w:pPr>
            <w:pStyle w:val="TOC1"/>
            <w:tabs>
              <w:tab w:pos="9744" w:val="right" w:leader="dot"/>
            </w:tabs>
            <w:spacing w:line="240" w:lineRule="auto"/>
            <w:ind w:right="0"/>
            <w:jc w:val="left"/>
            <w:rPr>
              <w:rFonts w:ascii="Times New Roman" w:hAnsi="Times New Roman" w:cs="Times New Roman" w:eastAsia="Times New Roman" w:hint="default"/>
            </w:rPr>
          </w:pPr>
          <w:hyperlink w:history="true" w:anchor="_bookmark12">
            <w:r>
              <w:rPr/>
              <w:t>第十三节</w:t>
            </w:r>
            <w:r>
              <w:rPr>
                <w:spacing w:val="-1"/>
              </w:rPr>
              <w:t> </w:t>
            </w:r>
            <w:r>
              <w:rPr/>
              <w:t>备查文件目录</w:t>
            </w:r>
            <w:r>
              <w:rPr>
                <w:rFonts w:ascii="Times New Roman" w:hAnsi="Times New Roman" w:cs="Times New Roman" w:eastAsia="Times New Roman" w:hint="default"/>
              </w:rPr>
              <w:tab/>
              <w:t>196</w:t>
            </w:r>
          </w:hyperlink>
        </w:p>
        <w:p>
          <w:pPr/>
          <w:r>
            <w:fldChar w:fldCharType="end"/>
          </w:r>
        </w:p>
      </w:sdtContent>
    </w:sdt>
    <w:p>
      <w:pPr>
        <w:spacing w:after="0"/>
        <w:sectPr>
          <w:pgSz w:w="11910" w:h="16840"/>
          <w:pgMar w:header="784" w:footer="1021" w:top="1100" w:bottom="1220" w:left="1020" w:right="0"/>
        </w:sectPr>
      </w:pPr>
    </w:p>
    <w:p>
      <w:pPr>
        <w:spacing w:before="906"/>
        <w:ind w:left="2744" w:right="376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524"/>
        <w:gridCol w:w="622"/>
        <w:gridCol w:w="5425"/>
      </w:tblGrid>
      <w:tr>
        <w:trPr>
          <w:trHeight w:val="398" w:hRule="exact"/>
        </w:trPr>
        <w:tc>
          <w:tcPr>
            <w:tcW w:w="3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6"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深大通、上市公司、本公司、公司</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5"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视科传媒</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浙江视科文化传播有限公司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冉十科技</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冉十科技（北京）有限公司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大通致远</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深圳大通致远供应链管理有限公司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诚邦富吉</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云南诚邦富吉生物科技有限公司</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华云金鑫</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云南华云金鑫生物科技有限公司</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股东大会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深圳大通实业股份有限公司股东大会</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董事会</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深圳大通实业股份有限公司董事会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《深圳证券交易所股票上市规则》</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元人民币</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ADX</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Ad</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Exchange</w:t>
            </w:r>
            <w:r>
              <w:rPr>
                <w:rFonts w:ascii="宋体" w:hAnsi="宋体" w:cs="宋体" w:eastAsia="宋体" w:hint="default"/>
                <w:sz w:val="18"/>
                <w:szCs w:val="18"/>
              </w:rPr>
              <w:t>，广告实时竞价交易平台</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DSP</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需求方平台</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SSP</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一般指供应方平台，属于新兴的网络展示广告领域</w:t>
            </w:r>
          </w:p>
        </w:tc>
      </w:tr>
      <w:tr>
        <w:trPr>
          <w:trHeight w:val="715"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显示屏</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5" w:right="188"/>
              <w:jc w:val="left"/>
              <w:rPr>
                <w:rFonts w:ascii="宋体" w:hAnsi="宋体" w:cs="宋体" w:eastAsia="宋体" w:hint="default"/>
                <w:sz w:val="18"/>
                <w:szCs w:val="18"/>
              </w:rPr>
            </w:pPr>
            <w:r>
              <w:rPr>
                <w:rFonts w:ascii="宋体" w:hAnsi="宋体" w:cs="宋体" w:eastAsia="宋体" w:hint="default"/>
                <w:sz w:val="18"/>
                <w:szCs w:val="18"/>
              </w:rPr>
              <w:t>一种通过控制</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的显示方式，用来显示文字、图形、图像、动 画、视频、录像信号等各种信息的显示屏幕。</w:t>
            </w:r>
          </w:p>
        </w:tc>
      </w:tr>
      <w:tr>
        <w:trPr>
          <w:trHeight w:val="71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MCN</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5" w:right="152"/>
              <w:jc w:val="left"/>
              <w:rPr>
                <w:rFonts w:ascii="宋体" w:hAnsi="宋体" w:cs="宋体" w:eastAsia="宋体" w:hint="default"/>
                <w:sz w:val="18"/>
                <w:szCs w:val="18"/>
              </w:rPr>
            </w:pPr>
            <w:r>
              <w:rPr>
                <w:rFonts w:ascii="Times New Roman" w:hAnsi="Times New Roman" w:cs="Times New Roman" w:eastAsia="Times New Roman" w:hint="default"/>
                <w:sz w:val="18"/>
                <w:szCs w:val="18"/>
              </w:rPr>
              <w:t>Multi-Channel</w:t>
            </w:r>
            <w:r>
              <w:rPr>
                <w:rFonts w:ascii="Times New Roman" w:hAnsi="Times New Roman" w:cs="Times New Roman" w:eastAsia="Times New Roman" w:hint="default"/>
                <w:spacing w:val="-5"/>
                <w:sz w:val="18"/>
                <w:szCs w:val="18"/>
              </w:rPr>
              <w:t> </w:t>
            </w:r>
            <w:r>
              <w:rPr>
                <w:rFonts w:ascii="Times New Roman" w:hAnsi="Times New Roman" w:cs="Times New Roman" w:eastAsia="Times New Roman" w:hint="default"/>
                <w:sz w:val="18"/>
                <w:szCs w:val="18"/>
              </w:rPr>
              <w:t>Network</w:t>
            </w:r>
            <w:r>
              <w:rPr>
                <w:rFonts w:ascii="宋体" w:hAnsi="宋体" w:cs="宋体" w:eastAsia="宋体" w:hint="default"/>
                <w:sz w:val="18"/>
                <w:szCs w:val="18"/>
              </w:rPr>
              <w:t>，以网红经济运作为商业模式的一种多频道 网络的产品形态</w:t>
            </w:r>
          </w:p>
        </w:tc>
      </w:tr>
      <w:tr>
        <w:trPr>
          <w:trHeight w:val="403"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CBD</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大麻二酚</w:t>
            </w:r>
          </w:p>
        </w:tc>
      </w:tr>
      <w:tr>
        <w:trPr>
          <w:trHeight w:val="401"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headerReference w:type="default" r:id="rId9"/>
          <w:pgSz w:w="11910" w:h="16840"/>
          <w:pgMar w:header="906" w:footer="1021" w:top="1100" w:bottom="1220" w:left="102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1"/>
        <w:spacing w:line="240" w:lineRule="auto"/>
        <w:ind w:left="2683" w:right="986"/>
        <w:jc w:val="left"/>
        <w:rPr>
          <w:b w:val="0"/>
          <w:bCs w:val="0"/>
        </w:rPr>
      </w:pPr>
      <w:bookmarkStart w:name="第二节公司简介和主要财务指标" w:id="3"/>
      <w:bookmarkEnd w:id="3"/>
      <w:r>
        <w:rPr>
          <w:b w:val="0"/>
          <w:bCs w:val="0"/>
        </w:rPr>
      </w:r>
      <w:bookmarkStart w:name="_bookmark1" w:id="4"/>
      <w:bookmarkEnd w:id="4"/>
      <w:r>
        <w:rPr>
          <w:b w:val="0"/>
          <w:bCs w:val="0"/>
        </w:rPr>
      </w:r>
      <w:r>
        <w:rPr/>
        <w:t>第二节公司简介和主要财务指标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6"/>
        <w:jc w:val="left"/>
        <w:rPr>
          <w:b w:val="0"/>
          <w:bCs w:val="0"/>
        </w:rPr>
      </w:pP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2284"/>
        <w:gridCol w:w="2954"/>
        <w:gridCol w:w="2154"/>
        <w:gridCol w:w="2177"/>
      </w:tblGrid>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深大通</w:t>
            </w:r>
          </w:p>
        </w:tc>
        <w:tc>
          <w:tcPr>
            <w:tcW w:w="21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000038</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变更后的股票简称（如有）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深圳大通实业股份有限公司</w:t>
            </w:r>
          </w:p>
        </w:tc>
      </w:tr>
      <w:tr>
        <w:trPr>
          <w:trHeight w:val="40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深大通</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Shenzhen Capstone Industrial</w:t>
            </w:r>
            <w:r>
              <w:rPr>
                <w:rFonts w:ascii="Times New Roman"/>
                <w:spacing w:val="-9"/>
                <w:sz w:val="18"/>
              </w:rPr>
              <w:t> </w:t>
            </w:r>
            <w:r>
              <w:rPr>
                <w:rFonts w:ascii="Times New Roman"/>
                <w:sz w:val="18"/>
              </w:rPr>
              <w:t>Co.,Ltd.</w:t>
            </w:r>
          </w:p>
        </w:tc>
      </w:tr>
      <w:tr>
        <w:trPr>
          <w:trHeight w:val="715"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90"/>
              <w:jc w:val="left"/>
              <w:rPr>
                <w:rFonts w:ascii="宋体" w:hAnsi="宋体" w:cs="宋体" w:eastAsia="宋体" w:hint="default"/>
                <w:sz w:val="18"/>
                <w:szCs w:val="18"/>
              </w:rPr>
            </w:pPr>
            <w:r>
              <w:rPr>
                <w:rFonts w:ascii="宋体" w:hAnsi="宋体" w:cs="宋体" w:eastAsia="宋体" w:hint="default"/>
                <w:sz w:val="18"/>
                <w:szCs w:val="18"/>
              </w:rPr>
              <w:t>公司的外文名称缩写（如 有）</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CIC</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史利军</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深圳市南山区科苑中路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号科兴科学园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B2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302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518057</w:t>
            </w:r>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深圳市南山区科苑中路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号科兴科学园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B2 </w:t>
            </w:r>
            <w:r>
              <w:rPr>
                <w:rFonts w:ascii="宋体" w:hAnsi="宋体" w:cs="宋体" w:eastAsia="宋体" w:hint="default"/>
                <w:sz w:val="18"/>
                <w:szCs w:val="18"/>
              </w:rPr>
              <w:t>栋</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302 </w:t>
            </w:r>
            <w:r>
              <w:rPr>
                <w:rFonts w:ascii="宋体" w:hAnsi="宋体" w:cs="宋体" w:eastAsia="宋体" w:hint="default"/>
                <w:sz w:val="18"/>
                <w:szCs w:val="18"/>
              </w:rPr>
              <w:t>室</w:t>
            </w:r>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518057</w:t>
            </w:r>
          </w:p>
        </w:tc>
      </w:tr>
      <w:tr>
        <w:trPr>
          <w:trHeight w:val="404"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0">
              <w:r>
                <w:rPr>
                  <w:rFonts w:ascii="Times New Roman"/>
                  <w:sz w:val="18"/>
                </w:rPr>
                <w:t>http://www.chinadatong.com/</w:t>
              </w:r>
            </w:hyperlink>
          </w:p>
        </w:tc>
      </w:tr>
      <w:tr>
        <w:trPr>
          <w:trHeight w:val="401" w:hRule="exact"/>
        </w:trPr>
        <w:tc>
          <w:tcPr>
            <w:tcW w:w="2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1">
              <w:r>
                <w:rPr>
                  <w:rFonts w:ascii="Times New Roman"/>
                  <w:sz w:val="18"/>
                </w:rPr>
                <w:t>datongstock@163.com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986"/>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965"/>
        <w:gridCol w:w="4302"/>
        <w:gridCol w:w="4304"/>
      </w:tblGrid>
      <w:tr>
        <w:trPr>
          <w:trHeight w:val="401"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4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邢美敏</w:t>
            </w:r>
          </w:p>
        </w:tc>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吴文涛</w:t>
            </w:r>
          </w:p>
        </w:tc>
      </w:tr>
      <w:tr>
        <w:trPr>
          <w:trHeight w:val="401"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深圳市南山区科苑中路</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号科兴科学园</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B2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栋</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室</w:t>
            </w:r>
          </w:p>
        </w:tc>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深圳市南山区科苑中路</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号科兴科学园</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B2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栋</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302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室</w:t>
            </w:r>
          </w:p>
        </w:tc>
      </w:tr>
      <w:tr>
        <w:trPr>
          <w:trHeight w:val="403"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0755-26926508</w:t>
            </w:r>
          </w:p>
        </w:tc>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0755-26926508</w:t>
            </w:r>
          </w:p>
        </w:tc>
      </w:tr>
      <w:tr>
        <w:trPr>
          <w:trHeight w:val="401"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0755-26910599</w:t>
            </w:r>
          </w:p>
        </w:tc>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0755-26910599</w:t>
            </w:r>
          </w:p>
        </w:tc>
      </w:tr>
      <w:tr>
        <w:trPr>
          <w:trHeight w:val="404"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4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hyperlink r:id="rId11">
              <w:r>
                <w:rPr>
                  <w:rFonts w:ascii="Times New Roman"/>
                  <w:sz w:val="18"/>
                </w:rPr>
                <w:t>datongstock@163.com</w:t>
              </w:r>
            </w:hyperlink>
          </w:p>
        </w:tc>
        <w:tc>
          <w:tcPr>
            <w:tcW w:w="4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hyperlink r:id="rId11">
              <w:r>
                <w:rPr>
                  <w:rFonts w:ascii="Times New Roman"/>
                  <w:sz w:val="18"/>
                </w:rPr>
                <w:t>datongstock@163.com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986"/>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991"/>
        <w:gridCol w:w="5579"/>
      </w:tblGrid>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《上海证券报》和巨潮资讯网</w:t>
            </w:r>
          </w:p>
        </w:tc>
      </w:tr>
      <w:tr>
        <w:trPr>
          <w:trHeight w:val="403"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hyperlink r:id="rId12">
              <w:r>
                <w:rPr>
                  <w:rFonts w:ascii="Times New Roman"/>
                  <w:sz w:val="18"/>
                </w:rPr>
                <w:t>http://www.cninfo.com.cn</w:t>
              </w:r>
            </w:hyperlink>
          </w:p>
        </w:tc>
      </w:tr>
      <w:tr>
        <w:trPr>
          <w:trHeight w:val="401" w:hRule="exact"/>
        </w:trPr>
        <w:tc>
          <w:tcPr>
            <w:tcW w:w="3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公司证券事务部</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9"/>
        <w:rPr>
          <w:rFonts w:ascii="宋体" w:hAnsi="宋体" w:cs="宋体" w:eastAsia="宋体" w:hint="default"/>
          <w:b/>
          <w:bCs/>
          <w:sz w:val="20"/>
          <w:szCs w:val="20"/>
        </w:rPr>
      </w:pPr>
    </w:p>
    <w:p>
      <w:pPr>
        <w:pStyle w:val="Heading2"/>
        <w:spacing w:line="240" w:lineRule="auto" w:before="26"/>
        <w:ind w:right="986"/>
        <w:jc w:val="left"/>
        <w:rPr>
          <w:b w:val="0"/>
          <w:bCs w:val="0"/>
        </w:rPr>
      </w:pPr>
      <w:bookmarkStart w:name="四、注册变更情况" w:id="8"/>
      <w:bookmarkEnd w:id="8"/>
      <w:r>
        <w:rPr>
          <w:b w:val="0"/>
          <w:bCs w:val="0"/>
        </w:rPr>
      </w: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267"/>
        <w:gridCol w:w="5303"/>
      </w:tblGrid>
      <w:tr>
        <w:trPr>
          <w:trHeight w:val="401" w:hRule="exact"/>
        </w:trPr>
        <w:tc>
          <w:tcPr>
            <w:tcW w:w="4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5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91440300618850293F</w:t>
            </w:r>
          </w:p>
        </w:tc>
      </w:tr>
      <w:tr>
        <w:trPr>
          <w:trHeight w:val="403" w:hRule="exact"/>
        </w:trPr>
        <w:tc>
          <w:tcPr>
            <w:tcW w:w="4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公司上市以来主营业务的变化情况（如有）</w:t>
            </w:r>
          </w:p>
        </w:tc>
        <w:tc>
          <w:tcPr>
            <w:tcW w:w="5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1" w:hRule="exact"/>
        </w:trPr>
        <w:tc>
          <w:tcPr>
            <w:tcW w:w="4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5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b/>
          <w:bCs/>
          <w:sz w:val="18"/>
          <w:szCs w:val="18"/>
        </w:rPr>
      </w:pPr>
    </w:p>
    <w:p>
      <w:pPr>
        <w:pStyle w:val="Heading2"/>
        <w:spacing w:line="240" w:lineRule="auto" w:before="26"/>
        <w:ind w:right="986"/>
        <w:jc w:val="left"/>
        <w:rPr>
          <w:b w:val="0"/>
          <w:bCs w:val="0"/>
        </w:rPr>
      </w:pPr>
      <w:bookmarkStart w:name="五、其他有关资料" w:id="9"/>
      <w:bookmarkEnd w:id="9"/>
      <w:r>
        <w:rPr>
          <w:b w:val="0"/>
          <w:bCs w:val="0"/>
        </w:rPr>
      </w: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6"/>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1"/>
        <w:gridCol w:w="6908"/>
      </w:tblGrid>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中兴财光华会计师事务所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北京市西城区阜成门外大街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号万通大厦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齐正华、王雅栋</w:t>
            </w:r>
          </w:p>
        </w:tc>
      </w:tr>
    </w:tbl>
    <w:p>
      <w:pPr>
        <w:pStyle w:val="BodyText"/>
        <w:spacing w:line="240" w:lineRule="auto" w:before="49"/>
        <w:ind w:right="986"/>
        <w:jc w:val="left"/>
      </w:pPr>
      <w:r>
        <w:rPr/>
        <w:t>公司聘请的报告期内履行持续督导职责的保荐机构</w:t>
      </w:r>
    </w:p>
    <w:p>
      <w:pPr>
        <w:pStyle w:val="BodyText"/>
        <w:spacing w:line="360" w:lineRule="auto" w:before="115"/>
        <w:ind w:right="6794"/>
        <w:jc w:val="left"/>
      </w:pPr>
      <w:r>
        <w:rPr/>
        <w:t>□ 适用 √</w:t>
      </w:r>
      <w:r>
        <w:rPr>
          <w:spacing w:val="3"/>
        </w:rPr>
        <w:t> </w:t>
      </w:r>
      <w:r>
        <w:rPr/>
        <w:t>不适用</w:t>
      </w:r>
      <w:r>
        <w:rPr/>
        <w:t> 公司聘请的报告期内履行持续督导职责的财务顾问</w:t>
      </w:r>
    </w:p>
    <w:p>
      <w:pPr>
        <w:pStyle w:val="BodyText"/>
        <w:spacing w:line="240" w:lineRule="auto" w:before="27"/>
        <w:ind w:right="986"/>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986"/>
        <w:jc w:val="left"/>
        <w:rPr>
          <w:b w:val="0"/>
          <w:bCs w:val="0"/>
        </w:rPr>
      </w:pPr>
      <w:bookmarkStart w:name="六、主要会计数据和财务指标" w:id="10"/>
      <w:bookmarkEnd w:id="10"/>
      <w:r>
        <w:rPr>
          <w:b w:val="0"/>
          <w:bCs w:val="0"/>
        </w:rPr>
      </w:r>
      <w:r>
        <w:rPr/>
        <w:t>六、主要会计数据和财务指标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6"/>
        <w:jc w:val="left"/>
      </w:pPr>
      <w:r>
        <w:rPr/>
        <w:t>公司是否需追溯调整或重述以前年度会计数据</w:t>
      </w:r>
    </w:p>
    <w:p>
      <w:pPr>
        <w:pStyle w:val="BodyText"/>
        <w:spacing w:line="357" w:lineRule="auto" w:before="117"/>
        <w:ind w:right="9134"/>
        <w:jc w:val="left"/>
      </w:pPr>
      <w:r>
        <w:rPr/>
        <w:t>√ 是 □</w:t>
      </w:r>
      <w:r>
        <w:rPr>
          <w:spacing w:val="3"/>
        </w:rPr>
        <w:t> </w:t>
      </w:r>
      <w:r>
        <w:rPr/>
        <w:t>否</w:t>
      </w:r>
      <w:r>
        <w:rPr/>
        <w:t> 追溯调整或重述原因 会计差错更正</w:t>
      </w:r>
    </w:p>
    <w:tbl>
      <w:tblPr>
        <w:tblW w:w="0" w:type="auto"/>
        <w:jc w:val="left"/>
        <w:tblInd w:w="108" w:type="dxa"/>
        <w:tblLayout w:type="fixed"/>
        <w:tblCellMar>
          <w:top w:w="0" w:type="dxa"/>
          <w:left w:w="0" w:type="dxa"/>
          <w:bottom w:w="0" w:type="dxa"/>
          <w:right w:w="0" w:type="dxa"/>
        </w:tblCellMar>
        <w:tblLook w:val="01E0"/>
      </w:tblPr>
      <w:tblGrid>
        <w:gridCol w:w="2460"/>
        <w:gridCol w:w="1184"/>
        <w:gridCol w:w="1183"/>
        <w:gridCol w:w="1186"/>
        <w:gridCol w:w="1183"/>
        <w:gridCol w:w="1184"/>
        <w:gridCol w:w="1188"/>
      </w:tblGrid>
      <w:tr>
        <w:trPr>
          <w:trHeight w:val="714" w:hRule="exact"/>
        </w:trPr>
        <w:tc>
          <w:tcPr>
            <w:tcW w:w="2460"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5" w:right="134" w:hanging="269"/>
              <w:jc w:val="left"/>
              <w:rPr>
                <w:rFonts w:ascii="宋体" w:hAnsi="宋体" w:cs="宋体" w:eastAsia="宋体" w:hint="default"/>
                <w:sz w:val="18"/>
                <w:szCs w:val="18"/>
              </w:rPr>
            </w:pPr>
            <w:r>
              <w:rPr>
                <w:rFonts w:ascii="宋体" w:hAnsi="宋体" w:cs="宋体" w:eastAsia="宋体" w:hint="default"/>
                <w:sz w:val="18"/>
                <w:szCs w:val="18"/>
              </w:rPr>
              <w:t>本年比上年 增减</w:t>
            </w:r>
          </w:p>
        </w:tc>
        <w:tc>
          <w:tcPr>
            <w:tcW w:w="23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2" w:hRule="exact"/>
        </w:trPr>
        <w:tc>
          <w:tcPr>
            <w:tcW w:w="2460"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0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4"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3" w:hRule="exact"/>
        </w:trPr>
        <w:tc>
          <w:tcPr>
            <w:tcW w:w="2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1,834,846,12</w:t>
            </w:r>
          </w:p>
          <w:p>
            <w:pPr>
              <w:pStyle w:val="TableParagraph"/>
              <w:spacing w:line="240" w:lineRule="auto" w:before="105"/>
              <w:ind w:left="756" w:right="0"/>
              <w:jc w:val="left"/>
              <w:rPr>
                <w:rFonts w:ascii="Times New Roman" w:hAnsi="Times New Roman" w:cs="Times New Roman" w:eastAsia="Times New Roman" w:hint="default"/>
                <w:sz w:val="18"/>
                <w:szCs w:val="18"/>
              </w:rPr>
            </w:pPr>
            <w:r>
              <w:rPr>
                <w:rFonts w:ascii="Times New Roman"/>
                <w:sz w:val="18"/>
              </w:rPr>
              <w:t>0.35</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2,591,464,62</w:t>
            </w:r>
          </w:p>
          <w:p>
            <w:pPr>
              <w:pStyle w:val="TableParagraph"/>
              <w:spacing w:line="240" w:lineRule="auto" w:before="105"/>
              <w:ind w:left="755" w:right="0"/>
              <w:jc w:val="left"/>
              <w:rPr>
                <w:rFonts w:ascii="Times New Roman" w:hAnsi="Times New Roman" w:cs="Times New Roman" w:eastAsia="Times New Roman" w:hint="default"/>
                <w:sz w:val="18"/>
                <w:szCs w:val="18"/>
              </w:rPr>
            </w:pPr>
            <w:r>
              <w:rPr>
                <w:rFonts w:ascii="Times New Roman"/>
                <w:sz w:val="18"/>
              </w:rPr>
              <w:t>8.91</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2,591,464,62</w:t>
            </w:r>
          </w:p>
          <w:p>
            <w:pPr>
              <w:pStyle w:val="TableParagraph"/>
              <w:spacing w:line="240" w:lineRule="auto" w:before="105"/>
              <w:ind w:left="758" w:right="0"/>
              <w:jc w:val="left"/>
              <w:rPr>
                <w:rFonts w:ascii="Times New Roman" w:hAnsi="Times New Roman" w:cs="Times New Roman" w:eastAsia="Times New Roman" w:hint="default"/>
                <w:sz w:val="18"/>
                <w:szCs w:val="18"/>
              </w:rPr>
            </w:pPr>
            <w:r>
              <w:rPr>
                <w:rFonts w:ascii="Times New Roman"/>
                <w:sz w:val="18"/>
              </w:rPr>
              <w:t>8.91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-29.20%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1,510,366,50</w:t>
            </w:r>
          </w:p>
          <w:p>
            <w:pPr>
              <w:pStyle w:val="TableParagraph"/>
              <w:spacing w:line="240" w:lineRule="auto" w:before="105"/>
              <w:ind w:left="756" w:right="0"/>
              <w:jc w:val="left"/>
              <w:rPr>
                <w:rFonts w:ascii="Times New Roman" w:hAnsi="Times New Roman" w:cs="Times New Roman" w:eastAsia="Times New Roman" w:hint="default"/>
                <w:sz w:val="18"/>
                <w:szCs w:val="18"/>
              </w:rPr>
            </w:pPr>
            <w:r>
              <w:rPr>
                <w:rFonts w:ascii="Times New Roman"/>
                <w:sz w:val="18"/>
              </w:rPr>
              <w:t>5.51</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1,510,366,50</w:t>
            </w:r>
          </w:p>
          <w:p>
            <w:pPr>
              <w:pStyle w:val="TableParagraph"/>
              <w:spacing w:line="240" w:lineRule="auto" w:before="105"/>
              <w:ind w:left="763" w:right="0"/>
              <w:jc w:val="left"/>
              <w:rPr>
                <w:rFonts w:ascii="Times New Roman" w:hAnsi="Times New Roman" w:cs="Times New Roman" w:eastAsia="Times New Roman" w:hint="default"/>
                <w:sz w:val="18"/>
                <w:szCs w:val="18"/>
              </w:rPr>
            </w:pPr>
            <w:r>
              <w:rPr>
                <w:rFonts w:ascii="Times New Roman"/>
                <w:sz w:val="18"/>
              </w:rPr>
              <w:t>5.51</w:t>
            </w:r>
          </w:p>
        </w:tc>
      </w:tr>
      <w:tr>
        <w:trPr>
          <w:trHeight w:val="715" w:hRule="exact"/>
        </w:trPr>
        <w:tc>
          <w:tcPr>
            <w:tcW w:w="2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85"/>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122,379,851.</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84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5" w:right="0"/>
              <w:jc w:val="left"/>
              <w:rPr>
                <w:rFonts w:ascii="Times New Roman" w:hAnsi="Times New Roman" w:cs="Times New Roman" w:eastAsia="Times New Roman" w:hint="default"/>
                <w:sz w:val="18"/>
                <w:szCs w:val="18"/>
              </w:rPr>
            </w:pPr>
            <w:r>
              <w:rPr>
                <w:rFonts w:ascii="Times New Roman"/>
                <w:sz w:val="18"/>
              </w:rPr>
              <w:t>-2,349,662,2</w:t>
            </w:r>
          </w:p>
          <w:p>
            <w:pPr>
              <w:pStyle w:val="TableParagraph"/>
              <w:spacing w:line="240" w:lineRule="auto" w:before="102"/>
              <w:ind w:left="664" w:right="0"/>
              <w:jc w:val="left"/>
              <w:rPr>
                <w:rFonts w:ascii="Times New Roman" w:hAnsi="Times New Roman" w:cs="Times New Roman" w:eastAsia="Times New Roman" w:hint="default"/>
                <w:sz w:val="18"/>
                <w:szCs w:val="18"/>
              </w:rPr>
            </w:pPr>
            <w:r>
              <w:rPr>
                <w:rFonts w:ascii="Times New Roman"/>
                <w:sz w:val="18"/>
              </w:rPr>
              <w:t>61.13</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 w:right="0"/>
              <w:jc w:val="left"/>
              <w:rPr>
                <w:rFonts w:ascii="Times New Roman" w:hAnsi="Times New Roman" w:cs="Times New Roman" w:eastAsia="Times New Roman" w:hint="default"/>
                <w:sz w:val="18"/>
                <w:szCs w:val="18"/>
              </w:rPr>
            </w:pPr>
            <w:r>
              <w:rPr>
                <w:rFonts w:ascii="Times New Roman"/>
                <w:sz w:val="18"/>
              </w:rPr>
              <w:t>-2,549,568,5</w:t>
            </w:r>
          </w:p>
          <w:p>
            <w:pPr>
              <w:pStyle w:val="TableParagraph"/>
              <w:spacing w:line="240" w:lineRule="auto" w:before="102"/>
              <w:ind w:left="667" w:right="0"/>
              <w:jc w:val="left"/>
              <w:rPr>
                <w:rFonts w:ascii="Times New Roman" w:hAnsi="Times New Roman" w:cs="Times New Roman" w:eastAsia="Times New Roman" w:hint="default"/>
                <w:sz w:val="18"/>
                <w:szCs w:val="18"/>
              </w:rPr>
            </w:pPr>
            <w:r>
              <w:rPr>
                <w:rFonts w:ascii="Times New Roman"/>
                <w:sz w:val="18"/>
              </w:rPr>
              <w:t>58.92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104.80%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357,930,132.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37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357,930,132.</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37</w:t>
            </w:r>
          </w:p>
        </w:tc>
      </w:tr>
      <w:tr>
        <w:trPr>
          <w:trHeight w:val="713" w:hRule="exact"/>
        </w:trPr>
        <w:tc>
          <w:tcPr>
            <w:tcW w:w="2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2"/>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33,232,311.6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5" w:right="0"/>
              <w:jc w:val="left"/>
              <w:rPr>
                <w:rFonts w:ascii="Times New Roman" w:hAnsi="Times New Roman" w:cs="Times New Roman" w:eastAsia="Times New Roman" w:hint="default"/>
                <w:sz w:val="18"/>
                <w:szCs w:val="18"/>
              </w:rPr>
            </w:pPr>
            <w:r>
              <w:rPr>
                <w:rFonts w:ascii="Times New Roman"/>
                <w:sz w:val="18"/>
              </w:rPr>
              <w:t>-2,357,938,6</w:t>
            </w:r>
          </w:p>
          <w:p>
            <w:pPr>
              <w:pStyle w:val="TableParagraph"/>
              <w:spacing w:line="240" w:lineRule="auto" w:before="105"/>
              <w:ind w:left="664" w:right="0"/>
              <w:jc w:val="left"/>
              <w:rPr>
                <w:rFonts w:ascii="Times New Roman" w:hAnsi="Times New Roman" w:cs="Times New Roman" w:eastAsia="Times New Roman" w:hint="default"/>
                <w:sz w:val="18"/>
                <w:szCs w:val="18"/>
              </w:rPr>
            </w:pPr>
            <w:r>
              <w:rPr>
                <w:rFonts w:ascii="Times New Roman"/>
                <w:sz w:val="18"/>
              </w:rPr>
              <w:t>54.14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-2,557,844,9</w:t>
            </w:r>
          </w:p>
          <w:p>
            <w:pPr>
              <w:pStyle w:val="TableParagraph"/>
              <w:spacing w:line="240" w:lineRule="auto" w:before="105"/>
              <w:ind w:left="667" w:right="0"/>
              <w:jc w:val="left"/>
              <w:rPr>
                <w:rFonts w:ascii="Times New Roman" w:hAnsi="Times New Roman" w:cs="Times New Roman" w:eastAsia="Times New Roman" w:hint="default"/>
                <w:sz w:val="18"/>
                <w:szCs w:val="18"/>
              </w:rPr>
            </w:pPr>
            <w:r>
              <w:rPr>
                <w:rFonts w:ascii="Times New Roman"/>
                <w:sz w:val="18"/>
              </w:rPr>
              <w:t>51.93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101.30%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303,057,655.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64</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303,057,655.</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64</w:t>
            </w:r>
          </w:p>
        </w:tc>
      </w:tr>
      <w:tr>
        <w:trPr>
          <w:trHeight w:val="715" w:hRule="exact"/>
        </w:trPr>
        <w:tc>
          <w:tcPr>
            <w:tcW w:w="2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-577,482,744</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.03</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-649,886,684</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.20</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-649,886,684</w:t>
            </w:r>
          </w:p>
          <w:p>
            <w:pPr>
              <w:pStyle w:val="TableParagraph"/>
              <w:spacing w:line="240" w:lineRule="auto" w:before="102"/>
              <w:ind w:right="100"/>
              <w:jc w:val="right"/>
              <w:rPr>
                <w:rFonts w:ascii="Times New Roman" w:hAnsi="Times New Roman" w:cs="Times New Roman" w:eastAsia="Times New Roman" w:hint="default"/>
                <w:sz w:val="18"/>
                <w:szCs w:val="18"/>
              </w:rPr>
            </w:pPr>
            <w:r>
              <w:rPr>
                <w:rFonts w:ascii="Times New Roman"/>
                <w:sz w:val="18"/>
              </w:rPr>
              <w:t>.20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11.14%</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-73,913,262.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35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pacing w:val="-1"/>
                <w:sz w:val="18"/>
              </w:rPr>
              <w:t>-73,913,262.</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35</w:t>
            </w:r>
          </w:p>
        </w:tc>
      </w:tr>
      <w:tr>
        <w:trPr>
          <w:trHeight w:val="401" w:hRule="exact"/>
        </w:trPr>
        <w:tc>
          <w:tcPr>
            <w:tcW w:w="2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0.2341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-4.4946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-4.8770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104.80%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0.6847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0.6847</w:t>
            </w:r>
          </w:p>
        </w:tc>
      </w:tr>
      <w:tr>
        <w:trPr>
          <w:trHeight w:val="403" w:hRule="exact"/>
        </w:trPr>
        <w:tc>
          <w:tcPr>
            <w:tcW w:w="2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0.2341</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-4.4946</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-4.8770</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104.80%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0.6847</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0.6847</w:t>
            </w:r>
          </w:p>
        </w:tc>
      </w:tr>
      <w:tr>
        <w:trPr>
          <w:trHeight w:val="402" w:hRule="exact"/>
        </w:trPr>
        <w:tc>
          <w:tcPr>
            <w:tcW w:w="2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-59.34%</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-63.82%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68.36%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6.85%</w:t>
            </w:r>
          </w:p>
        </w:tc>
        <w:tc>
          <w:tcPr>
            <w:tcW w:w="1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6.85%</w:t>
            </w:r>
          </w:p>
        </w:tc>
      </w:tr>
      <w:tr>
        <w:trPr>
          <w:trHeight w:val="714" w:hRule="exact"/>
        </w:trPr>
        <w:tc>
          <w:tcPr>
            <w:tcW w:w="24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3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5" w:right="134" w:hanging="89"/>
              <w:jc w:val="left"/>
              <w:rPr>
                <w:rFonts w:ascii="宋体" w:hAnsi="宋体" w:cs="宋体" w:eastAsia="宋体" w:hint="default"/>
                <w:sz w:val="18"/>
                <w:szCs w:val="18"/>
              </w:rPr>
            </w:pPr>
            <w:r>
              <w:rPr>
                <w:rFonts w:ascii="宋体" w:hAnsi="宋体" w:cs="宋体" w:eastAsia="宋体" w:hint="default"/>
                <w:sz w:val="18"/>
                <w:szCs w:val="18"/>
              </w:rPr>
              <w:t>本年末比上 年末增减</w:t>
            </w:r>
          </w:p>
        </w:tc>
        <w:tc>
          <w:tcPr>
            <w:tcW w:w="23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460"/>
        <w:gridCol w:w="1184"/>
        <w:gridCol w:w="1183"/>
        <w:gridCol w:w="1186"/>
        <w:gridCol w:w="1183"/>
        <w:gridCol w:w="1169"/>
        <w:gridCol w:w="1202"/>
      </w:tblGrid>
      <w:tr>
        <w:trPr>
          <w:trHeight w:val="401" w:hRule="exact"/>
        </w:trPr>
        <w:tc>
          <w:tcPr>
            <w:tcW w:w="24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5" w:hRule="exact"/>
        </w:trPr>
        <w:tc>
          <w:tcPr>
            <w:tcW w:w="2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z w:val="18"/>
              </w:rPr>
              <w:t>2,917,164,23</w:t>
            </w:r>
          </w:p>
          <w:p>
            <w:pPr>
              <w:pStyle w:val="TableParagraph"/>
              <w:spacing w:line="240" w:lineRule="auto" w:before="102"/>
              <w:ind w:left="756" w:right="0"/>
              <w:jc w:val="left"/>
              <w:rPr>
                <w:rFonts w:ascii="Times New Roman" w:hAnsi="Times New Roman" w:cs="Times New Roman" w:eastAsia="Times New Roman" w:hint="default"/>
                <w:sz w:val="18"/>
                <w:szCs w:val="18"/>
              </w:rPr>
            </w:pPr>
            <w:r>
              <w:rPr>
                <w:rFonts w:ascii="Times New Roman"/>
                <w:sz w:val="18"/>
              </w:rPr>
              <w:t>7.96</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4" w:right="0"/>
              <w:jc w:val="left"/>
              <w:rPr>
                <w:rFonts w:ascii="Times New Roman" w:hAnsi="Times New Roman" w:cs="Times New Roman" w:eastAsia="Times New Roman" w:hint="default"/>
                <w:sz w:val="18"/>
                <w:szCs w:val="18"/>
              </w:rPr>
            </w:pPr>
            <w:r>
              <w:rPr>
                <w:rFonts w:ascii="Times New Roman"/>
                <w:sz w:val="18"/>
              </w:rPr>
              <w:t>3,246,477,44</w:t>
            </w:r>
          </w:p>
          <w:p>
            <w:pPr>
              <w:pStyle w:val="TableParagraph"/>
              <w:spacing w:line="240" w:lineRule="auto" w:before="102"/>
              <w:ind w:left="755" w:right="0"/>
              <w:jc w:val="left"/>
              <w:rPr>
                <w:rFonts w:ascii="Times New Roman" w:hAnsi="Times New Roman" w:cs="Times New Roman" w:eastAsia="Times New Roman" w:hint="default"/>
                <w:sz w:val="18"/>
                <w:szCs w:val="18"/>
              </w:rPr>
            </w:pPr>
            <w:r>
              <w:rPr>
                <w:rFonts w:ascii="Times New Roman"/>
                <w:sz w:val="18"/>
              </w:rPr>
              <w:t>0.35</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3,033,786,53</w:t>
            </w:r>
          </w:p>
          <w:p>
            <w:pPr>
              <w:pStyle w:val="TableParagraph"/>
              <w:spacing w:line="240" w:lineRule="auto" w:before="102"/>
              <w:ind w:left="758" w:right="0"/>
              <w:jc w:val="left"/>
              <w:rPr>
                <w:rFonts w:ascii="Times New Roman" w:hAnsi="Times New Roman" w:cs="Times New Roman" w:eastAsia="Times New Roman" w:hint="default"/>
                <w:sz w:val="18"/>
                <w:szCs w:val="18"/>
              </w:rPr>
            </w:pPr>
            <w:r>
              <w:rPr>
                <w:rFonts w:ascii="Times New Roman"/>
                <w:sz w:val="18"/>
              </w:rPr>
              <w:t>8.94</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-3.84%</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5,771,928,31</w:t>
            </w:r>
          </w:p>
          <w:p>
            <w:pPr>
              <w:pStyle w:val="TableParagraph"/>
              <w:spacing w:line="240" w:lineRule="auto" w:before="102"/>
              <w:ind w:left="742" w:right="0"/>
              <w:jc w:val="left"/>
              <w:rPr>
                <w:rFonts w:ascii="Times New Roman" w:hAnsi="Times New Roman" w:cs="Times New Roman" w:eastAsia="Times New Roman" w:hint="default"/>
                <w:sz w:val="18"/>
                <w:szCs w:val="18"/>
              </w:rPr>
            </w:pPr>
            <w:r>
              <w:rPr>
                <w:rFonts w:ascii="Times New Roman"/>
                <w:sz w:val="18"/>
              </w:rPr>
              <w:t>4.43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 w:right="0"/>
              <w:jc w:val="left"/>
              <w:rPr>
                <w:rFonts w:ascii="Times New Roman" w:hAnsi="Times New Roman" w:cs="Times New Roman" w:eastAsia="Times New Roman" w:hint="default"/>
                <w:sz w:val="18"/>
                <w:szCs w:val="18"/>
              </w:rPr>
            </w:pPr>
            <w:r>
              <w:rPr>
                <w:rFonts w:ascii="Times New Roman"/>
                <w:sz w:val="18"/>
              </w:rPr>
              <w:t>5,771,928,31</w:t>
            </w:r>
          </w:p>
          <w:p>
            <w:pPr>
              <w:pStyle w:val="TableParagraph"/>
              <w:spacing w:line="240" w:lineRule="auto" w:before="102"/>
              <w:ind w:left="777" w:right="0"/>
              <w:jc w:val="left"/>
              <w:rPr>
                <w:rFonts w:ascii="Times New Roman" w:hAnsi="Times New Roman" w:cs="Times New Roman" w:eastAsia="Times New Roman" w:hint="default"/>
                <w:sz w:val="18"/>
                <w:szCs w:val="18"/>
              </w:rPr>
            </w:pPr>
            <w:r>
              <w:rPr>
                <w:rFonts w:ascii="Times New Roman"/>
                <w:sz w:val="18"/>
              </w:rPr>
              <w:t>4.43</w:t>
            </w:r>
          </w:p>
        </w:tc>
      </w:tr>
      <w:tr>
        <w:trPr>
          <w:trHeight w:val="715" w:hRule="exact"/>
        </w:trPr>
        <w:tc>
          <w:tcPr>
            <w:tcW w:w="2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85"/>
              <w:jc w:val="left"/>
              <w:rPr>
                <w:rFonts w:ascii="宋体" w:hAnsi="宋体" w:cs="宋体" w:eastAsia="宋体" w:hint="default"/>
                <w:sz w:val="18"/>
                <w:szCs w:val="18"/>
              </w:rPr>
            </w:pPr>
            <w:r>
              <w:rPr>
                <w:rFonts w:ascii="宋体" w:hAnsi="宋体" w:cs="宋体" w:eastAsia="宋体" w:hint="default"/>
                <w:sz w:val="18"/>
                <w:szCs w:val="18"/>
              </w:rPr>
              <w:t>归属于上市公司股东的净资 产（元）</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2,755,493,63</w:t>
            </w:r>
          </w:p>
          <w:p>
            <w:pPr>
              <w:pStyle w:val="TableParagraph"/>
              <w:spacing w:line="240" w:lineRule="auto" w:before="105"/>
              <w:ind w:left="756" w:right="0"/>
              <w:jc w:val="left"/>
              <w:rPr>
                <w:rFonts w:ascii="Times New Roman" w:hAnsi="Times New Roman" w:cs="Times New Roman" w:eastAsia="Times New Roman" w:hint="default"/>
                <w:sz w:val="18"/>
                <w:szCs w:val="18"/>
              </w:rPr>
            </w:pPr>
            <w:r>
              <w:rPr>
                <w:rFonts w:ascii="Times New Roman"/>
                <w:sz w:val="18"/>
              </w:rPr>
              <w:t>2.22</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2,833,020,07</w:t>
            </w:r>
          </w:p>
          <w:p>
            <w:pPr>
              <w:pStyle w:val="TableParagraph"/>
              <w:spacing w:line="240" w:lineRule="auto" w:before="105"/>
              <w:ind w:left="755" w:right="0"/>
              <w:jc w:val="left"/>
              <w:rPr>
                <w:rFonts w:ascii="Times New Roman" w:hAnsi="Times New Roman" w:cs="Times New Roman" w:eastAsia="Times New Roman" w:hint="default"/>
                <w:sz w:val="18"/>
                <w:szCs w:val="18"/>
              </w:rPr>
            </w:pPr>
            <w:r>
              <w:rPr>
                <w:rFonts w:ascii="Times New Roman"/>
                <w:sz w:val="18"/>
              </w:rPr>
              <w:t>9.17</w:t>
            </w:r>
          </w:p>
        </w:tc>
        <w:tc>
          <w:tcPr>
            <w:tcW w:w="1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2,633,113,78</w:t>
            </w:r>
          </w:p>
          <w:p>
            <w:pPr>
              <w:pStyle w:val="TableParagraph"/>
              <w:spacing w:line="240" w:lineRule="auto" w:before="105"/>
              <w:ind w:left="758" w:right="0"/>
              <w:jc w:val="left"/>
              <w:rPr>
                <w:rFonts w:ascii="Times New Roman" w:hAnsi="Times New Roman" w:cs="Times New Roman" w:eastAsia="Times New Roman" w:hint="default"/>
                <w:sz w:val="18"/>
                <w:szCs w:val="18"/>
              </w:rPr>
            </w:pPr>
            <w:r>
              <w:rPr>
                <w:rFonts w:ascii="Times New Roman"/>
                <w:sz w:val="18"/>
              </w:rPr>
              <w:t>1.38</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4.65%</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5,391,845,91</w:t>
            </w:r>
          </w:p>
          <w:p>
            <w:pPr>
              <w:pStyle w:val="TableParagraph"/>
              <w:spacing w:line="240" w:lineRule="auto" w:before="105"/>
              <w:ind w:left="742" w:right="0"/>
              <w:jc w:val="left"/>
              <w:rPr>
                <w:rFonts w:ascii="Times New Roman" w:hAnsi="Times New Roman" w:cs="Times New Roman" w:eastAsia="Times New Roman" w:hint="default"/>
                <w:sz w:val="18"/>
                <w:szCs w:val="18"/>
              </w:rPr>
            </w:pPr>
            <w:r>
              <w:rPr>
                <w:rFonts w:ascii="Times New Roman"/>
                <w:sz w:val="18"/>
              </w:rPr>
              <w:t>8.01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5,391,845,91</w:t>
            </w:r>
          </w:p>
          <w:p>
            <w:pPr>
              <w:pStyle w:val="TableParagraph"/>
              <w:spacing w:line="240" w:lineRule="auto" w:before="105"/>
              <w:ind w:left="777" w:right="0"/>
              <w:jc w:val="left"/>
              <w:rPr>
                <w:rFonts w:ascii="Times New Roman" w:hAnsi="Times New Roman" w:cs="Times New Roman" w:eastAsia="Times New Roman" w:hint="default"/>
                <w:sz w:val="18"/>
                <w:szCs w:val="18"/>
              </w:rPr>
            </w:pPr>
            <w:r>
              <w:rPr>
                <w:rFonts w:ascii="Times New Roman"/>
                <w:sz w:val="18"/>
              </w:rPr>
              <w:t>8.01</w:t>
            </w:r>
          </w:p>
        </w:tc>
      </w:tr>
    </w:tbl>
    <w:p>
      <w:pPr>
        <w:pStyle w:val="BodyText"/>
        <w:spacing w:line="240" w:lineRule="auto" w:before="49"/>
        <w:ind w:right="0"/>
        <w:jc w:val="both"/>
      </w:pPr>
      <w:r>
        <w:rPr/>
        <w:t>会计政策变更的原因及会计差错更正的情况</w:t>
      </w:r>
    </w:p>
    <w:p>
      <w:pPr>
        <w:pStyle w:val="BodyText"/>
        <w:spacing w:line="309" w:lineRule="auto" w:before="115"/>
        <w:ind w:right="1132"/>
        <w:jc w:val="both"/>
      </w:pPr>
      <w:r>
        <w:rPr>
          <w:rFonts w:ascii="Times New Roman" w:hAnsi="Times New Roman" w:cs="Times New Roman" w:eastAsia="Times New Roman" w:hint="default"/>
        </w:rPr>
        <w:t>1.</w:t>
      </w:r>
      <w:r>
        <w:rPr/>
        <w:t>因消除</w:t>
      </w:r>
      <w:r>
        <w:rPr>
          <w:spacing w:val="-5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年审计报告中保留意见事项需要，公司对</w:t>
      </w:r>
      <w:r>
        <w:rPr>
          <w:spacing w:val="-5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1"/>
        </w:rPr>
        <w:t> </w:t>
      </w:r>
      <w:r>
        <w:rPr/>
        <w:t>年末商誉重新进行了减值测试，同时对在商誉减值测试过程中 </w:t>
      </w:r>
      <w:r>
        <w:rPr>
          <w:spacing w:val="-2"/>
        </w:rPr>
        <w:t>发现的与商誉相关的冉十科技资产组中可能存在减值迹象的无形资产、母公司对视科传媒和冉十科技的长期股权投资也重新</w:t>
      </w:r>
      <w:r>
        <w:rPr>
          <w:spacing w:val="-64"/>
        </w:rPr>
        <w:t> </w:t>
      </w:r>
      <w:r>
        <w:rPr>
          <w:spacing w:val="-64"/>
        </w:rPr>
      </w:r>
      <w:r>
        <w:rPr/>
        <w:t>进行了减值测试，对重新测试发现的前期会计差错予以更正。上述调整减少</w:t>
      </w:r>
      <w:r>
        <w:rPr>
          <w:spacing w:val="-45"/>
        </w:rPr>
        <w:t> </w:t>
      </w:r>
      <w:r>
        <w:rPr>
          <w:rFonts w:ascii="Times New Roman" w:hAnsi="Times New Roman" w:cs="Times New Roman" w:eastAsia="Times New Roman" w:hint="default"/>
        </w:rPr>
        <w:t>2018 </w:t>
      </w:r>
      <w:r>
        <w:rPr/>
        <w:t>年归属于上市公司股东净利润</w:t>
      </w:r>
    </w:p>
    <w:p>
      <w:pPr>
        <w:pStyle w:val="BodyText"/>
        <w:spacing w:line="240" w:lineRule="auto" w:before="5"/>
        <w:ind w:right="0"/>
        <w:jc w:val="both"/>
      </w:pPr>
      <w:r>
        <w:rPr>
          <w:rFonts w:ascii="Times New Roman" w:hAnsi="Times New Roman" w:cs="Times New Roman" w:eastAsia="Times New Roman" w:hint="default"/>
        </w:rPr>
        <w:t>199,906,297.79</w:t>
      </w:r>
      <w:r>
        <w:rPr>
          <w:rFonts w:ascii="Times New Roman" w:hAnsi="Times New Roman" w:cs="Times New Roman" w:eastAsia="Times New Roman" w:hint="default"/>
          <w:spacing w:val="-2"/>
        </w:rPr>
        <w:t> </w:t>
      </w:r>
      <w:r>
        <w:rPr/>
        <w:t>元。详细情况见第十二节第十六、</w:t>
      </w:r>
      <w:r>
        <w:rPr>
          <w:rFonts w:ascii="Times New Roman" w:hAnsi="Times New Roman" w:cs="Times New Roman" w:eastAsia="Times New Roman" w:hint="default"/>
        </w:rPr>
        <w:t>1</w:t>
      </w:r>
      <w:r>
        <w:rPr/>
        <w:t>“前期会计差错更正”有关内容。</w:t>
      </w:r>
    </w:p>
    <w:p>
      <w:pPr>
        <w:pStyle w:val="BodyText"/>
        <w:spacing w:line="240" w:lineRule="auto" w:before="103"/>
        <w:ind w:right="0"/>
        <w:jc w:val="both"/>
      </w:pPr>
      <w:r>
        <w:rPr>
          <w:rFonts w:ascii="Times New Roman" w:hAnsi="Times New Roman" w:cs="Times New Roman" w:eastAsia="Times New Roman" w:hint="default"/>
        </w:rPr>
        <w:t>2.</w:t>
      </w:r>
      <w:r>
        <w:rPr/>
        <w:t>营业收入项目为公司营业总收入金额，其中上期金额包含</w:t>
      </w:r>
      <w:r>
        <w:rPr>
          <w:spacing w:val="-46"/>
        </w:rPr>
        <w:t> </w:t>
      </w:r>
      <w:r>
        <w:rPr>
          <w:rFonts w:ascii="Times New Roman" w:hAnsi="Times New Roman" w:cs="Times New Roman" w:eastAsia="Times New Roman" w:hint="default"/>
        </w:rPr>
        <w:t>2018 </w:t>
      </w:r>
      <w:r>
        <w:rPr/>
        <w:t>年年报中利润表营业收入</w:t>
      </w:r>
      <w:r>
        <w:rPr>
          <w:spacing w:val="-49"/>
        </w:rPr>
        <w:t> </w:t>
      </w:r>
      <w:r>
        <w:rPr>
          <w:rFonts w:ascii="Times New Roman" w:hAnsi="Times New Roman" w:cs="Times New Roman" w:eastAsia="Times New Roman" w:hint="default"/>
        </w:rPr>
        <w:t>2,569,332,956.83</w:t>
      </w:r>
      <w:r>
        <w:rPr>
          <w:rFonts w:ascii="Times New Roman" w:hAnsi="Times New Roman" w:cs="Times New Roman" w:eastAsia="Times New Roman" w:hint="default"/>
          <w:spacing w:val="1"/>
        </w:rPr>
        <w:t> </w:t>
      </w:r>
      <w:r>
        <w:rPr/>
        <w:t>元和利息收入</w:t>
      </w:r>
    </w:p>
    <w:p>
      <w:pPr>
        <w:pStyle w:val="BodyText"/>
        <w:spacing w:line="240" w:lineRule="auto" w:before="63"/>
        <w:ind w:right="0"/>
        <w:jc w:val="both"/>
      </w:pPr>
      <w:r>
        <w:rPr>
          <w:rFonts w:ascii="Times New Roman" w:hAnsi="Times New Roman" w:cs="Times New Roman" w:eastAsia="Times New Roman" w:hint="default"/>
        </w:rPr>
        <w:t>22,131,672.08</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1214"/>
        <w:jc w:val="left"/>
      </w:pPr>
      <w:r>
        <w:rPr/>
        <w:t>□ 适用 √</w:t>
      </w:r>
      <w:r>
        <w:rPr>
          <w:spacing w:val="3"/>
        </w:rPr>
        <w:t> </w:t>
      </w:r>
      <w:r>
        <w:rPr/>
        <w:t>不适用</w:t>
      </w:r>
      <w:r>
        <w:rPr/>
        <w:t> 公司报告期不存在按照国际会计准则与按照中国会计准则披露的财务报告中净利润和净资产差异情况。</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2654"/>
        <w:jc w:val="left"/>
      </w:pPr>
      <w:r>
        <w:rPr/>
        <w:t>□ 适用 √</w:t>
      </w:r>
      <w:r>
        <w:rPr>
          <w:spacing w:val="3"/>
        </w:rPr>
        <w:t> </w:t>
      </w:r>
      <w:r>
        <w:rPr/>
        <w:t>不适用</w:t>
      </w:r>
      <w:r>
        <w:rPr/>
        <w:t> 公司报告期不存在按照境外会计准则与按照中国会计准则披露的财务报告中净利润和净资产差异情况。</w:t>
      </w:r>
    </w:p>
    <w:p>
      <w:pPr>
        <w:spacing w:line="240" w:lineRule="auto" w:before="2"/>
        <w:rPr>
          <w:rFonts w:ascii="宋体" w:hAnsi="宋体" w:cs="宋体" w:eastAsia="宋体" w:hint="default"/>
          <w:sz w:val="18"/>
          <w:szCs w:val="18"/>
        </w:rPr>
      </w:pPr>
    </w:p>
    <w:p>
      <w:pPr>
        <w:pStyle w:val="Heading2"/>
        <w:spacing w:line="240" w:lineRule="auto"/>
        <w:ind w:right="0"/>
        <w:jc w:val="both"/>
        <w:rPr>
          <w:b w:val="0"/>
          <w:bCs w:val="0"/>
        </w:rPr>
      </w:pPr>
      <w:bookmarkStart w:name="八、分季度主要财务指标" w:id="14"/>
      <w:bookmarkEnd w:id="14"/>
      <w:r>
        <w:rPr>
          <w:b w:val="0"/>
          <w:bCs w:val="0"/>
        </w:rPr>
      </w:r>
      <w:r>
        <w:rPr/>
        <w:t>八、分季度主要财务指标</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621"/>
        <w:gridCol w:w="1741"/>
        <w:gridCol w:w="1740"/>
        <w:gridCol w:w="1738"/>
        <w:gridCol w:w="1730"/>
      </w:tblGrid>
      <w:tr>
        <w:trPr>
          <w:trHeight w:val="401"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624"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0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587,247,032.18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495,934,902.31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390,415,491.21</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361,248,694.65</w:t>
            </w:r>
          </w:p>
        </w:tc>
      </w:tr>
      <w:tr>
        <w:trPr>
          <w:trHeight w:val="562"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8"/>
              <w:ind w:left="103"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4,780,039.03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6,124,363.41</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-7,997,321.49</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119,472,770.89</w:t>
            </w:r>
          </w:p>
        </w:tc>
      </w:tr>
      <w:tr>
        <w:trPr>
          <w:trHeight w:val="713"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166"/>
              <w:jc w:val="left"/>
              <w:rPr>
                <w:rFonts w:ascii="宋体" w:hAnsi="宋体" w:cs="宋体" w:eastAsia="宋体" w:hint="default"/>
                <w:sz w:val="18"/>
                <w:szCs w:val="18"/>
              </w:rPr>
            </w:pPr>
            <w:r>
              <w:rPr>
                <w:rFonts w:ascii="宋体" w:hAnsi="宋体" w:cs="宋体" w:eastAsia="宋体" w:hint="default"/>
                <w:sz w:val="18"/>
                <w:szCs w:val="18"/>
              </w:rPr>
              <w:t>归属于上市公司股东的扣除非 经常性损益的净利润</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5,477,207.63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6,311,888.43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-9,514,688.37</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30,957,903.97</w:t>
            </w:r>
          </w:p>
        </w:tc>
      </w:tr>
      <w:tr>
        <w:trPr>
          <w:trHeight w:val="538" w:hRule="exact"/>
        </w:trPr>
        <w:tc>
          <w:tcPr>
            <w:tcW w:w="2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6"/>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-60,177,198.78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spacing w:val="-1"/>
                <w:sz w:val="18"/>
              </w:rPr>
              <w:t>-36,801,610.84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spacing w:val="-1"/>
                <w:sz w:val="18"/>
              </w:rPr>
              <w:t>27,430,371.02</w:t>
            </w:r>
          </w:p>
        </w:tc>
        <w:tc>
          <w:tcPr>
            <w:tcW w:w="17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8"/>
              <w:ind w:right="99"/>
              <w:jc w:val="right"/>
              <w:rPr>
                <w:rFonts w:ascii="Times New Roman" w:hAnsi="Times New Roman" w:cs="Times New Roman" w:eastAsia="Times New Roman" w:hint="default"/>
                <w:sz w:val="18"/>
                <w:szCs w:val="18"/>
              </w:rPr>
            </w:pPr>
            <w:r>
              <w:rPr>
                <w:rFonts w:ascii="Times New Roman"/>
                <w:spacing w:val="-1"/>
                <w:sz w:val="18"/>
              </w:rPr>
              <w:t>-507,934,305.43</w:t>
            </w:r>
          </w:p>
        </w:tc>
      </w:tr>
    </w:tbl>
    <w:p>
      <w:pPr>
        <w:pStyle w:val="BodyText"/>
        <w:spacing w:line="240" w:lineRule="auto" w:before="49"/>
        <w:ind w:right="986"/>
        <w:jc w:val="left"/>
      </w:pPr>
      <w:r>
        <w:rPr/>
        <w:t>上述财务指标或其加总数是否与公司已披露季度报告、半年度报告相关财务指标存在重大差异</w:t>
      </w:r>
    </w:p>
    <w:p>
      <w:pPr>
        <w:pStyle w:val="BodyText"/>
        <w:spacing w:line="240" w:lineRule="auto" w:before="115"/>
        <w:ind w:right="986"/>
        <w:jc w:val="left"/>
      </w:pPr>
      <w:r>
        <w:rPr/>
        <w:t>□ 是 √</w:t>
      </w:r>
      <w:r>
        <w:rPr>
          <w:spacing w:val="3"/>
        </w:rPr>
        <w:t> </w:t>
      </w:r>
      <w:r>
        <w:rPr/>
        <w:t>否</w:t>
      </w: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bookmarkStart w:name="九、非经常性损益项目及金额" w:id="15"/>
      <w:bookmarkEnd w:id="15"/>
      <w:r>
        <w:rPr>
          <w:b w:val="0"/>
          <w:bCs w:val="0"/>
        </w:rPr>
      </w:r>
      <w:r>
        <w:rPr/>
        <w:t>九、非经常性损益项目及金额</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543"/>
        <w:gridCol w:w="1466"/>
        <w:gridCol w:w="1464"/>
        <w:gridCol w:w="1467"/>
        <w:gridCol w:w="1728"/>
      </w:tblGrid>
      <w:tr>
        <w:trPr>
          <w:trHeight w:val="401"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5"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88"/>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69,351.46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2,987,821.95</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24,579,759.85</w:t>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8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1,584,098.64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458,089.37</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1,694,083.90</w:t>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88"/>
              <w:jc w:val="both"/>
              <w:rPr>
                <w:rFonts w:ascii="宋体" w:hAnsi="宋体" w:cs="宋体" w:eastAsia="宋体" w:hint="default"/>
                <w:sz w:val="18"/>
                <w:szCs w:val="18"/>
              </w:rPr>
            </w:pPr>
            <w:r>
              <w:rPr>
                <w:rFonts w:ascii="宋体" w:hAnsi="宋体" w:cs="宋体" w:eastAsia="宋体" w:hint="default"/>
                <w:sz w:val="18"/>
                <w:szCs w:val="18"/>
              </w:rPr>
              <w:t>企业取得子公司、联营企业及合营企业的 投资成本小于取得投资时应享有被投资单 位可辨认净资产公允价值产生的收益</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130,100.12</w:t>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10,786,592.13</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29,128,946.09</w:t>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49,084,956.62</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-2,996,847.02</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-14,937.36</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70"/>
              <w:jc w:val="left"/>
              <w:rPr>
                <w:rFonts w:ascii="宋体" w:hAnsi="宋体" w:cs="宋体" w:eastAsia="宋体" w:hint="default"/>
                <w:sz w:val="18"/>
                <w:szCs w:val="18"/>
              </w:rPr>
            </w:pPr>
            <w:r>
              <w:rPr>
                <w:rFonts w:ascii="宋体" w:hAnsi="宋体" w:cs="宋体" w:eastAsia="宋体" w:hint="default"/>
                <w:sz w:val="18"/>
                <w:szCs w:val="18"/>
              </w:rPr>
              <w:t>主要是子公司视科 传媒原股东补偿款</w:t>
            </w:r>
          </w:p>
        </w:tc>
      </w:tr>
      <w:tr>
        <w:trPr>
          <w:trHeight w:val="713"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38,420,437.14</w:t>
            </w:r>
          </w:p>
        </w:tc>
        <w:tc>
          <w:tcPr>
            <w:tcW w:w="1464"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70"/>
              <w:jc w:val="left"/>
              <w:rPr>
                <w:rFonts w:ascii="宋体" w:hAnsi="宋体" w:cs="宋体" w:eastAsia="宋体" w:hint="default"/>
                <w:sz w:val="18"/>
                <w:szCs w:val="18"/>
              </w:rPr>
            </w:pPr>
            <w:r>
              <w:rPr>
                <w:rFonts w:ascii="宋体" w:hAnsi="宋体" w:cs="宋体" w:eastAsia="宋体" w:hint="default"/>
                <w:sz w:val="18"/>
                <w:szCs w:val="18"/>
              </w:rPr>
              <w:t>主要是处置子公司 投资收益</w:t>
            </w:r>
          </w:p>
        </w:tc>
      </w:tr>
      <w:tr>
        <w:trPr>
          <w:trHeight w:val="403"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6,384.88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3,043,944.52</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461,572.29</w:t>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4,918.80</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-84,681.10</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183,903.58</w:t>
            </w:r>
          </w:p>
        </w:tc>
        <w:tc>
          <w:tcPr>
            <w:tcW w:w="17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89,147,540.18</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8,276,393.01</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54,872,476.73</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号——非经常性损益》中列举的非经常性损益项目界定为经常性损益的项目，应</w:t>
      </w:r>
      <w:r>
        <w:rPr/>
        <w:t> 说明原因</w:t>
      </w:r>
    </w:p>
    <w:p>
      <w:pPr>
        <w:pStyle w:val="BodyText"/>
        <w:spacing w:line="240" w:lineRule="auto" w:before="72"/>
        <w:ind w:right="986"/>
        <w:jc w:val="left"/>
      </w:pPr>
      <w:r>
        <w:rPr/>
        <w:t>□ 适用 √</w:t>
      </w:r>
      <w:r>
        <w:rPr>
          <w:spacing w:val="3"/>
        </w:rPr>
        <w:t> </w:t>
      </w:r>
      <w:r>
        <w:rPr/>
        <w:t>不适用</w:t>
      </w:r>
    </w:p>
    <w:p>
      <w:pPr>
        <w:pStyle w:val="BodyText"/>
        <w:spacing w:line="300" w:lineRule="auto" w:before="117"/>
        <w:ind w:right="1117"/>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号——非经常性损益》定义、列举的非经常性损益</w:t>
      </w:r>
      <w:r>
        <w:rPr/>
        <w:t> 项目界定为经常性损益的项目的情形。</w:t>
      </w:r>
    </w:p>
    <w:p>
      <w:pPr>
        <w:spacing w:after="0" w:line="30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485" w:right="986"/>
        <w:jc w:val="left"/>
        <w:rPr>
          <w:b w:val="0"/>
          <w:bCs w:val="0"/>
        </w:rPr>
      </w:pPr>
      <w:bookmarkStart w:name="第三节公司业务概要" w:id="16"/>
      <w:bookmarkEnd w:id="16"/>
      <w:r>
        <w:rPr>
          <w:b w:val="0"/>
          <w:bCs w:val="0"/>
        </w:rPr>
      </w:r>
      <w:bookmarkStart w:name="_bookmark2" w:id="17"/>
      <w:bookmarkEnd w:id="17"/>
      <w:r>
        <w:rPr>
          <w:b w:val="0"/>
          <w:bCs w:val="0"/>
        </w:rPr>
      </w:r>
      <w:r>
        <w:rPr/>
        <w:t>第三节公司业务概要</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1"/>
        <w:jc w:val="both"/>
      </w:pPr>
      <w:r>
        <w:rPr>
          <w:spacing w:val="-2"/>
        </w:rPr>
        <w:t>报告期内，公司管理层采取多重措施，有效夯实上市公司资产、排除风险并进一步提升公司产业布局，公司主要业务为移动</w:t>
      </w:r>
      <w:r>
        <w:rPr>
          <w:spacing w:val="-65"/>
        </w:rPr>
        <w:t> </w:t>
      </w:r>
      <w:r>
        <w:rPr>
          <w:spacing w:val="-65"/>
        </w:rPr>
      </w:r>
      <w:r>
        <w:rPr>
          <w:spacing w:val="-2"/>
        </w:rPr>
        <w:t>数字整合营销服务与线上线下新媒体运营业务；供应链服务和民间资本管理业务；同时开始布局工业大麻提取与加工业务及</w:t>
      </w:r>
      <w:r>
        <w:rPr>
          <w:spacing w:val="-64"/>
        </w:rPr>
        <w:t> </w:t>
      </w:r>
      <w:r>
        <w:rPr>
          <w:spacing w:val="-64"/>
        </w:rPr>
      </w:r>
      <w:r>
        <w:rPr/>
        <w:t>以区块链技术为基础的工业大麻溯源和传媒生态链业务。具体业务板块如下：</w:t>
      </w:r>
    </w:p>
    <w:p>
      <w:pPr>
        <w:pStyle w:val="BodyText"/>
        <w:spacing w:line="316" w:lineRule="auto" w:before="19"/>
        <w:ind w:right="1034"/>
        <w:jc w:val="left"/>
      </w:pPr>
      <w:r>
        <w:rPr>
          <w:rFonts w:ascii="宋体" w:hAnsi="宋体" w:cs="宋体" w:eastAsia="宋体" w:hint="default"/>
          <w:spacing w:val="-2"/>
        </w:rPr>
        <w:t>1</w:t>
      </w:r>
      <w:r>
        <w:rPr>
          <w:spacing w:val="-2"/>
        </w:rPr>
        <w:t>、供应链服务和民间资本管理业务。《</w:t>
      </w:r>
      <w:r>
        <w:rPr>
          <w:rFonts w:ascii="宋体" w:hAnsi="宋体" w:cs="宋体" w:eastAsia="宋体" w:hint="default"/>
          <w:spacing w:val="-2"/>
        </w:rPr>
        <w:t>2016-2021</w:t>
      </w:r>
      <w:r>
        <w:rPr>
          <w:spacing w:val="-2"/>
        </w:rPr>
        <w:t>年中国供应链行业现状研究分析及市场前景预测报告》分析指出，我国供</w:t>
      </w:r>
      <w:r>
        <w:rPr>
          <w:spacing w:val="-65"/>
        </w:rPr>
        <w:t> </w:t>
      </w:r>
      <w:r>
        <w:rPr>
          <w:spacing w:val="-65"/>
        </w:rPr>
      </w:r>
      <w:r>
        <w:rPr/>
        <w:t>应链管理市场规模预计到</w:t>
      </w:r>
      <w:r>
        <w:rPr>
          <w:rFonts w:ascii="宋体" w:hAnsi="宋体" w:cs="宋体" w:eastAsia="宋体" w:hint="default"/>
        </w:rPr>
        <w:t>2020</w:t>
      </w:r>
      <w:r>
        <w:rPr/>
        <w:t>年可达</w:t>
      </w:r>
      <w:r>
        <w:rPr>
          <w:rFonts w:ascii="宋体" w:hAnsi="宋体" w:cs="宋体" w:eastAsia="宋体" w:hint="default"/>
        </w:rPr>
        <w:t>15</w:t>
      </w:r>
      <w:r>
        <w:rPr/>
        <w:t>万亿，其中，基于大宗工业品产业链的供应链管理及服务具有巨大的存量市场空间。 </w:t>
      </w:r>
      <w:r>
        <w:rPr>
          <w:spacing w:val="-2"/>
        </w:rPr>
        <w:t>子公司大通致远目前主要提供煤炭、有色金属、铁矿石、能源、化工、农产品、电子元器件等商品供应链服务，已在业界树</w:t>
      </w:r>
      <w:r>
        <w:rPr>
          <w:spacing w:val="-73"/>
        </w:rPr>
        <w:t> </w:t>
      </w:r>
      <w:r>
        <w:rPr>
          <w:spacing w:val="-73"/>
        </w:rPr>
      </w:r>
      <w:r>
        <w:rPr>
          <w:spacing w:val="-2"/>
        </w:rPr>
        <w:t>立优秀的信誉和口碑，目前业务范围已遍布全国多数省份，为区域内具有强信用的核心企业提供供应链服务。子公司大通汇</w:t>
      </w:r>
      <w:r>
        <w:rPr>
          <w:spacing w:val="-63"/>
        </w:rPr>
        <w:t> </w:t>
      </w:r>
      <w:r>
        <w:rPr>
          <w:spacing w:val="-63"/>
        </w:rPr>
      </w:r>
      <w:r>
        <w:rPr/>
        <w:t>鑫主要在山东省区域内针对实体经济项目开展股权、债权、短期财务性投资、投资咨询等业务。 </w:t>
      </w:r>
      <w:r>
        <w:rPr>
          <w:rFonts w:ascii="宋体" w:hAnsi="宋体" w:cs="宋体" w:eastAsia="宋体" w:hint="default"/>
          <w:spacing w:val="-3"/>
        </w:rPr>
        <w:t>2</w:t>
      </w:r>
      <w:r>
        <w:rPr>
          <w:spacing w:val="-3"/>
        </w:rPr>
        <w:t>、布局工业大麻种植与提取加工业务。据</w:t>
      </w:r>
      <w:r>
        <w:rPr>
          <w:rFonts w:ascii="宋体" w:hAnsi="宋体" w:cs="宋体" w:eastAsia="宋体" w:hint="default"/>
          <w:spacing w:val="-3"/>
        </w:rPr>
        <w:t>Zion</w:t>
      </w:r>
      <w:r>
        <w:rPr>
          <w:spacing w:val="-3"/>
        </w:rPr>
        <w:t>（锡安）市场研究，全球工业大麻行业正处于高速增长阶段，截止</w:t>
      </w:r>
      <w:r>
        <w:rPr>
          <w:rFonts w:ascii="宋体" w:hAnsi="宋体" w:cs="宋体" w:eastAsia="宋体" w:hint="default"/>
          <w:spacing w:val="-3"/>
        </w:rPr>
        <w:t>2019</w:t>
      </w:r>
      <w:r>
        <w:rPr>
          <w:spacing w:val="-3"/>
        </w:rPr>
        <w:t>年底，</w:t>
      </w:r>
      <w:r>
        <w:rPr/>
        <w:t> </w:t>
      </w:r>
      <w:r>
        <w:rPr>
          <w:spacing w:val="-2"/>
        </w:rPr>
        <w:t>全球已有超过</w:t>
      </w:r>
      <w:r>
        <w:rPr>
          <w:rFonts w:ascii="宋体" w:hAnsi="宋体" w:cs="宋体" w:eastAsia="宋体" w:hint="default"/>
          <w:spacing w:val="-2"/>
        </w:rPr>
        <w:t>50</w:t>
      </w:r>
      <w:r>
        <w:rPr>
          <w:spacing w:val="-2"/>
        </w:rPr>
        <w:t>个国家宣布了</w:t>
      </w:r>
      <w:r>
        <w:rPr>
          <w:rFonts w:ascii="宋体" w:hAnsi="宋体" w:cs="宋体" w:eastAsia="宋体" w:hint="default"/>
          <w:spacing w:val="-2"/>
        </w:rPr>
        <w:t>CBD</w:t>
      </w:r>
      <w:r>
        <w:rPr>
          <w:spacing w:val="-2"/>
        </w:rPr>
        <w:t>合法，在美国</w:t>
      </w:r>
      <w:r>
        <w:rPr>
          <w:rFonts w:ascii="宋体" w:hAnsi="宋体" w:cs="宋体" w:eastAsia="宋体" w:hint="default"/>
          <w:spacing w:val="-2"/>
        </w:rPr>
        <w:t>CBD</w:t>
      </w:r>
      <w:r>
        <w:rPr>
          <w:spacing w:val="-2"/>
        </w:rPr>
        <w:t>已经被广泛应用添加在保健品、食品饮料、护肤用品、雾化产品、宠物用</w:t>
      </w:r>
      <w:r>
        <w:rPr>
          <w:spacing w:val="-58"/>
        </w:rPr>
        <w:t> </w:t>
      </w:r>
      <w:r>
        <w:rPr>
          <w:spacing w:val="-58"/>
        </w:rPr>
      </w:r>
      <w:r>
        <w:rPr/>
        <w:t>品等若干产品中。在我国，大麻仁果、大麻籽油、大麻叶提取物（含</w:t>
      </w:r>
      <w:r>
        <w:rPr>
          <w:rFonts w:ascii="宋体" w:hAnsi="宋体" w:cs="宋体" w:eastAsia="宋体" w:hint="default"/>
        </w:rPr>
        <w:t>CBD</w:t>
      </w:r>
      <w:r>
        <w:rPr/>
        <w:t>）都已列入《已使用化妆品原料名称目录》里，作 </w:t>
      </w:r>
      <w:r>
        <w:rPr>
          <w:spacing w:val="-2"/>
        </w:rPr>
        <w:t>为全球最大的护肤品市场之一及全球工业大麻的主要种植与生产基地，工业大麻在中国化妆品市场的应用将爆发出巨大的增</w:t>
      </w:r>
      <w:r>
        <w:rPr>
          <w:spacing w:val="-64"/>
        </w:rPr>
        <w:t> </w:t>
      </w:r>
      <w:r>
        <w:rPr>
          <w:spacing w:val="-64"/>
        </w:rPr>
      </w:r>
      <w:r>
        <w:rPr/>
        <w:t>长潜力。控股公司云南华云金鑫目前主要从事工业大麻的种植、加工；工业大麻花叶提取物大麻二酚</w:t>
      </w:r>
      <w:r>
        <w:rPr>
          <w:rFonts w:ascii="宋体" w:hAnsi="宋体" w:cs="宋体" w:eastAsia="宋体" w:hint="default"/>
        </w:rPr>
        <w:t>(CBD)</w:t>
      </w:r>
      <w:r>
        <w:rPr/>
        <w:t>在生物制药、保 </w:t>
      </w:r>
      <w:r>
        <w:rPr>
          <w:spacing w:val="-5"/>
        </w:rPr>
        <w:t>健品、化妆品等领域的应用研发；化妆品生产销售等业务。公司取得了《云南省工业大麻加工许可证》、《云南省工业大麻种</w:t>
      </w:r>
      <w:r>
        <w:rPr>
          <w:spacing w:val="-81"/>
        </w:rPr>
        <w:t> </w:t>
      </w:r>
      <w:r>
        <w:rPr>
          <w:spacing w:val="-81"/>
        </w:rPr>
      </w:r>
      <w:r>
        <w:rPr>
          <w:spacing w:val="-3"/>
        </w:rPr>
        <w:t>植许可证》，是国内两家获得工业大麻花叶加工牌照的</w:t>
      </w:r>
      <w:r>
        <w:rPr>
          <w:rFonts w:ascii="宋体" w:hAnsi="宋体" w:cs="宋体" w:eastAsia="宋体" w:hint="default"/>
          <w:spacing w:val="-3"/>
        </w:rPr>
        <w:t>A</w:t>
      </w:r>
      <w:r>
        <w:rPr>
          <w:spacing w:val="-3"/>
        </w:rPr>
        <w:t>股上市公司之一。</w:t>
      </w:r>
    </w:p>
    <w:p>
      <w:pPr>
        <w:pStyle w:val="BodyText"/>
        <w:spacing w:line="319" w:lineRule="auto" w:before="19"/>
        <w:ind w:right="1133"/>
        <w:jc w:val="both"/>
      </w:pPr>
      <w:r>
        <w:rPr>
          <w:rFonts w:ascii="宋体" w:hAnsi="宋体" w:cs="宋体" w:eastAsia="宋体" w:hint="default"/>
          <w:spacing w:val="-12"/>
        </w:rPr>
        <w:t>3</w:t>
      </w:r>
      <w:r>
        <w:rPr>
          <w:spacing w:val="-12"/>
        </w:rPr>
        <w:t>、互联网传媒及区块链业务。《传媒蓝皮书</w:t>
      </w:r>
      <w:r>
        <w:rPr>
          <w:rFonts w:ascii="宋体" w:hAnsi="宋体" w:cs="宋体" w:eastAsia="宋体" w:hint="default"/>
          <w:spacing w:val="-12"/>
        </w:rPr>
        <w:t>-</w:t>
      </w:r>
      <w:r>
        <w:rPr>
          <w:spacing w:val="-12"/>
        </w:rPr>
        <w:t>中国传媒产业发展报告》指出，</w:t>
      </w:r>
      <w:r>
        <w:rPr>
          <w:rFonts w:ascii="宋体" w:hAnsi="宋体" w:cs="宋体" w:eastAsia="宋体" w:hint="default"/>
          <w:spacing w:val="-12"/>
        </w:rPr>
        <w:t>2019</w:t>
      </w:r>
      <w:r>
        <w:rPr>
          <w:spacing w:val="-12"/>
        </w:rPr>
        <w:t>年传媒产业规模突破</w:t>
      </w:r>
      <w:r>
        <w:rPr>
          <w:rFonts w:ascii="宋体" w:hAnsi="宋体" w:cs="宋体" w:eastAsia="宋体" w:hint="default"/>
          <w:spacing w:val="-12"/>
        </w:rPr>
        <w:t>2</w:t>
      </w:r>
      <w:r>
        <w:rPr>
          <w:spacing w:val="-12"/>
        </w:rPr>
        <w:t>万亿元（同比增长</w:t>
      </w:r>
      <w:r>
        <w:rPr>
          <w:rFonts w:ascii="宋体" w:hAnsi="宋体" w:cs="宋体" w:eastAsia="宋体" w:hint="default"/>
          <w:spacing w:val="-12"/>
        </w:rPr>
        <w:t>9.2%</w:t>
      </w:r>
      <w:r>
        <w:rPr>
          <w:spacing w:val="-12"/>
        </w:rPr>
        <w:t>），</w:t>
      </w:r>
      <w:r>
        <w:rPr>
          <w:spacing w:val="-58"/>
        </w:rPr>
        <w:t> </w:t>
      </w:r>
      <w:r>
        <w:rPr>
          <w:spacing w:val="-2"/>
        </w:rPr>
        <w:t>区块链技术将对传媒产业产生重大的影响并提供更多的产业改革驱动力。在原有互联网传媒业务基础上，公司加大区块链研</w:t>
      </w:r>
      <w:r>
        <w:rPr>
          <w:spacing w:val="-64"/>
        </w:rPr>
        <w:t> </w:t>
      </w:r>
      <w:r>
        <w:rPr>
          <w:spacing w:val="-64"/>
        </w:rPr>
      </w:r>
      <w:r>
        <w:rPr/>
        <w:t>发投入力度，积极探索区块链技术与公司现有业务结合的应用场景。相关业务情况如下：</w:t>
      </w:r>
    </w:p>
    <w:p>
      <w:pPr>
        <w:pStyle w:val="BodyText"/>
        <w:spacing w:line="316" w:lineRule="auto" w:before="17"/>
        <w:ind w:right="1128"/>
        <w:jc w:val="both"/>
      </w:pPr>
      <w:r>
        <w:rPr>
          <w:spacing w:val="-2"/>
        </w:rPr>
        <w:t>①互联网传媒业务方面：</w:t>
      </w:r>
      <w:r>
        <w:rPr>
          <w:rFonts w:ascii="宋体" w:hAnsi="宋体" w:cs="宋体" w:eastAsia="宋体" w:hint="default"/>
          <w:spacing w:val="-2"/>
        </w:rPr>
        <w:t>2019</w:t>
      </w:r>
      <w:r>
        <w:rPr>
          <w:spacing w:val="-2"/>
        </w:rPr>
        <w:t>年中国互联网传媒行业外部媒体环境发生巨大变化，因利润率下滑、主要客户广告投放需求放</w:t>
      </w:r>
      <w:r>
        <w:rPr>
          <w:spacing w:val="-59"/>
        </w:rPr>
        <w:t> </w:t>
      </w:r>
      <w:r>
        <w:rPr>
          <w:spacing w:val="-59"/>
        </w:rPr>
      </w:r>
      <w:r>
        <w:rPr/>
        <w:t>缓等因素影响，冉十科技业务受到冲击</w:t>
      </w:r>
      <w:r>
        <w:rPr>
          <w:rFonts w:ascii="宋体" w:hAnsi="宋体" w:cs="宋体" w:eastAsia="宋体" w:hint="default"/>
        </w:rPr>
        <w:t>,</w:t>
      </w:r>
      <w:r>
        <w:rPr/>
        <w:t>公司迅速调整其业务方向，在保留其互联网企业核心竞争力的前提下，积极开拓电 子商务、</w:t>
      </w:r>
      <w:r>
        <w:rPr>
          <w:rFonts w:ascii="宋体" w:hAnsi="宋体" w:cs="宋体" w:eastAsia="宋体" w:hint="default"/>
        </w:rPr>
        <w:t>MCN</w:t>
      </w:r>
      <w:r>
        <w:rPr/>
        <w:t>等新业务，快速尝试业务转型，以应对复杂多变的经济环境。视科传媒受传媒行业整体环境改变等多重因素影 </w:t>
      </w:r>
      <w:r>
        <w:rPr>
          <w:spacing w:val="-2"/>
        </w:rPr>
        <w:t>响，</w:t>
      </w:r>
      <w:r>
        <w:rPr>
          <w:rFonts w:ascii="宋体" w:hAnsi="宋体" w:cs="宋体" w:eastAsia="宋体" w:hint="default"/>
          <w:spacing w:val="-2"/>
        </w:rPr>
        <w:t>2019</w:t>
      </w:r>
      <w:r>
        <w:rPr>
          <w:spacing w:val="-2"/>
        </w:rPr>
        <w:t>年整体业绩对比</w:t>
      </w:r>
      <w:r>
        <w:rPr>
          <w:rFonts w:ascii="宋体" w:hAnsi="宋体" w:cs="宋体" w:eastAsia="宋体" w:hint="default"/>
          <w:spacing w:val="-2"/>
        </w:rPr>
        <w:t>2018</w:t>
      </w:r>
      <w:r>
        <w:rPr>
          <w:spacing w:val="-2"/>
        </w:rPr>
        <w:t>年同期出现大幅下滑，公司为了优化资源配置，以公开拍卖的方式将视科传媒的</w:t>
      </w:r>
      <w:r>
        <w:rPr>
          <w:rFonts w:ascii="宋体" w:hAnsi="宋体" w:cs="宋体" w:eastAsia="宋体" w:hint="default"/>
          <w:spacing w:val="-2"/>
        </w:rPr>
        <w:t>100%</w:t>
      </w:r>
      <w:r>
        <w:rPr>
          <w:spacing w:val="-2"/>
        </w:rPr>
        <w:t>股权对外</w:t>
      </w:r>
      <w:r>
        <w:rPr>
          <w:spacing w:val="-54"/>
        </w:rPr>
        <w:t> </w:t>
      </w:r>
      <w:r>
        <w:rPr>
          <w:spacing w:val="-54"/>
        </w:rPr>
      </w:r>
      <w:r>
        <w:rPr/>
        <w:t>转让，实现剥离。</w:t>
      </w:r>
    </w:p>
    <w:p>
      <w:pPr>
        <w:pStyle w:val="BodyText"/>
        <w:spacing w:line="316" w:lineRule="auto" w:before="19"/>
        <w:ind w:right="1130"/>
        <w:jc w:val="both"/>
      </w:pPr>
      <w:r>
        <w:rPr>
          <w:spacing w:val="-2"/>
        </w:rPr>
        <w:t>②区块链研发领域方面：针对公司与北京邮电大学联合研发的“大通可信联盟链”进行进一步的迭代升级及调试。大通链将</w:t>
      </w:r>
      <w:r>
        <w:rPr>
          <w:spacing w:val="-64"/>
        </w:rPr>
        <w:t> </w:t>
      </w:r>
      <w:r>
        <w:rPr>
          <w:spacing w:val="-64"/>
        </w:rPr>
      </w:r>
      <w:r>
        <w:rPr>
          <w:spacing w:val="-2"/>
        </w:rPr>
        <w:t>公司传统的广告业务与区块链技术进行整合，使广告点击数据变得更加透明，不再依赖第三方监测，实现更安全便捷的广告</w:t>
      </w:r>
      <w:r>
        <w:rPr>
          <w:spacing w:val="-63"/>
        </w:rPr>
        <w:t> </w:t>
      </w:r>
      <w:r>
        <w:rPr>
          <w:spacing w:val="-63"/>
        </w:rPr>
      </w:r>
      <w:r>
        <w:rPr>
          <w:spacing w:val="-2"/>
        </w:rPr>
        <w:t>投放，是区块链技术在数字传媒领域的创新应用。同时，公司基于现有的区块链研发技术基础，积极拓展区块链技术应用于</w:t>
      </w:r>
      <w:r>
        <w:rPr>
          <w:spacing w:val="-64"/>
        </w:rPr>
        <w:t> </w:t>
      </w:r>
      <w:r>
        <w:rPr>
          <w:spacing w:val="-64"/>
        </w:rPr>
      </w:r>
      <w:r>
        <w:rPr/>
        <w:t>供应链服务和工业大麻</w:t>
      </w:r>
      <w:r>
        <w:rPr>
          <w:rFonts w:ascii="宋体" w:hAnsi="宋体" w:cs="宋体" w:eastAsia="宋体" w:hint="default"/>
        </w:rPr>
        <w:t>CBD</w:t>
      </w:r>
      <w:r>
        <w:rPr/>
        <w:t>产品及后端应用产品溯源的应用。</w:t>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051"/>
        <w:gridCol w:w="6519"/>
      </w:tblGrid>
      <w:tr>
        <w:trPr>
          <w:trHeight w:val="766"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1160"/>
              <w:jc w:val="right"/>
              <w:rPr>
                <w:rFonts w:ascii="宋体" w:hAnsi="宋体" w:cs="宋体" w:eastAsia="宋体" w:hint="default"/>
                <w:sz w:val="18"/>
                <w:szCs w:val="18"/>
              </w:rPr>
            </w:pPr>
            <w:r>
              <w:rPr>
                <w:rFonts w:ascii="宋体" w:hAnsi="宋体" w:cs="宋体" w:eastAsia="宋体" w:hint="default"/>
                <w:sz w:val="18"/>
                <w:szCs w:val="18"/>
              </w:rPr>
              <w:t>主要资产</w:t>
            </w:r>
          </w:p>
        </w:tc>
        <w:tc>
          <w:tcPr>
            <w:tcW w:w="6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713" w:hRule="exact"/>
        </w:trPr>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60"/>
              <w:jc w:val="right"/>
              <w:rPr>
                <w:rFonts w:ascii="宋体" w:hAnsi="宋体" w:cs="宋体" w:eastAsia="宋体" w:hint="default"/>
                <w:sz w:val="18"/>
                <w:szCs w:val="18"/>
              </w:rPr>
            </w:pPr>
            <w:r>
              <w:rPr>
                <w:rFonts w:ascii="宋体" w:hAnsi="宋体" w:cs="宋体" w:eastAsia="宋体" w:hint="default"/>
                <w:sz w:val="18"/>
                <w:szCs w:val="18"/>
              </w:rPr>
              <w:t>固定资产</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02"/>
              <w:jc w:val="left"/>
              <w:rPr>
                <w:rFonts w:ascii="宋体" w:hAnsi="宋体" w:cs="宋体" w:eastAsia="宋体" w:hint="default"/>
                <w:sz w:val="18"/>
                <w:szCs w:val="18"/>
              </w:rPr>
            </w:pPr>
            <w:r>
              <w:rPr>
                <w:rFonts w:ascii="宋体" w:hAnsi="宋体" w:cs="宋体" w:eastAsia="宋体" w:hint="default"/>
                <w:sz w:val="18"/>
                <w:szCs w:val="18"/>
              </w:rPr>
              <w:t>本报告期末固定资产净额减少，主要原因系公司于报告期内转让拥有运营设备等 较多固定资产的子公司视科传媒所致。</w:t>
            </w:r>
          </w:p>
        </w:tc>
      </w:tr>
      <w:tr>
        <w:trPr>
          <w:trHeight w:val="403" w:hRule="exact"/>
        </w:trPr>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160"/>
              <w:jc w:val="right"/>
              <w:rPr>
                <w:rFonts w:ascii="宋体" w:hAnsi="宋体" w:cs="宋体" w:eastAsia="宋体" w:hint="default"/>
                <w:sz w:val="18"/>
                <w:szCs w:val="18"/>
              </w:rPr>
            </w:pPr>
            <w:r>
              <w:rPr>
                <w:rFonts w:ascii="宋体" w:hAnsi="宋体" w:cs="宋体" w:eastAsia="宋体" w:hint="default"/>
                <w:sz w:val="18"/>
                <w:szCs w:val="18"/>
              </w:rPr>
              <w:t>应收账款</w:t>
            </w:r>
          </w:p>
        </w:tc>
        <w:tc>
          <w:tcPr>
            <w:tcW w:w="6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 w:right="0"/>
              <w:jc w:val="center"/>
              <w:rPr>
                <w:rFonts w:ascii="宋体" w:hAnsi="宋体" w:cs="宋体" w:eastAsia="宋体" w:hint="default"/>
                <w:sz w:val="18"/>
                <w:szCs w:val="18"/>
              </w:rPr>
            </w:pPr>
            <w:r>
              <w:rPr>
                <w:rFonts w:ascii="宋体" w:hAnsi="宋体" w:cs="宋体" w:eastAsia="宋体" w:hint="default"/>
                <w:sz w:val="18"/>
                <w:szCs w:val="18"/>
              </w:rPr>
              <w:t>本报告期末应收账款减少主要原因系公司加强了应收账款回收管理以及转让子公</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2"/>
        <w:rPr>
          <w:rFonts w:ascii="宋体" w:hAnsi="宋体" w:cs="宋体" w:eastAsia="宋体" w:hint="default"/>
          <w:b/>
          <w:bCs/>
          <w:sz w:val="25"/>
          <w:szCs w:val="25"/>
        </w:rPr>
      </w:pPr>
    </w:p>
    <w:p>
      <w:pPr>
        <w:spacing w:line="382"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19.1pt;mso-position-horizontal-relative:char;mso-position-vertical-relative:line" coordorigin="0,0" coordsize="9581,382">
            <v:group style="position:absolute;left:10;top:10;width:3042;height:2" coordorigin="10,10" coordsize="3042,2">
              <v:shape style="position:absolute;left:10;top:10;width:3042;height:2" coordorigin="10,10" coordsize="3042,0" path="m10,10l3051,10e" filled="false" stroked="true" strokeweight=".48pt" strokecolor="#000000">
                <v:path arrowok="t"/>
              </v:shape>
            </v:group>
            <v:group style="position:absolute;left:3061;top:10;width:6510;height:2" coordorigin="3061,10" coordsize="6510,2">
              <v:shape style="position:absolute;left:3061;top:10;width:6510;height:2" coordorigin="3061,10" coordsize="6510,0" path="m3061,10l9571,10e" filled="false" stroked="true" strokeweight=".48pt" strokecolor="#000000">
                <v:path arrowok="t"/>
              </v:shape>
            </v:group>
            <v:group style="position:absolute;left:5;top:5;width:2;height:373" coordorigin="5,5" coordsize="2,373">
              <v:shape style="position:absolute;left:5;top:5;width:2;height:373" coordorigin="5,5" coordsize="0,373" path="m5,5l5,377e" filled="false" stroked="true" strokeweight=".48pt" strokecolor="#000000">
                <v:path arrowok="t"/>
              </v:shape>
            </v:group>
            <v:group style="position:absolute;left:10;top:372;width:3042;height:2" coordorigin="10,372" coordsize="3042,2">
              <v:shape style="position:absolute;left:10;top:372;width:3042;height:2" coordorigin="10,372" coordsize="3042,0" path="m10,372l3051,372e" filled="false" stroked="true" strokeweight=".48pt" strokecolor="#000000">
                <v:path arrowok="t"/>
              </v:shape>
            </v:group>
            <v:group style="position:absolute;left:3056;top:5;width:2;height:373" coordorigin="3056,5" coordsize="2,373">
              <v:shape style="position:absolute;left:3056;top:5;width:2;height:373" coordorigin="3056,5" coordsize="0,373" path="m3056,5l3056,377e" filled="false" stroked="true" strokeweight=".48pt" strokecolor="#000000">
                <v:path arrowok="t"/>
              </v:shape>
            </v:group>
            <v:group style="position:absolute;left:3061;top:372;width:6510;height:2" coordorigin="3061,372" coordsize="6510,2">
              <v:shape style="position:absolute;left:3061;top:372;width:6510;height:2" coordorigin="3061,372" coordsize="6510,0" path="m3061,372l9571,372e" filled="false" stroked="true" strokeweight=".48pt" strokecolor="#000000">
                <v:path arrowok="t"/>
              </v:shape>
            </v:group>
            <v:group style="position:absolute;left:9576;top:5;width:2;height:373" coordorigin="9576,5" coordsize="2,373">
              <v:shape style="position:absolute;left:9576;top:5;width:2;height:373" coordorigin="9576,5" coordsize="0,373" path="m9576,5l9576,377e" filled="false" stroked="true" strokeweight=".47998pt" strokecolor="#000000">
                <v:path arrowok="t"/>
              </v:shape>
              <v:shape style="position:absolute;left:3056;top:10;width:6520;height:363" type="#_x0000_t202" filled="false" stroked="false">
                <v:textbox inset="0,0,0,0">
                  <w:txbxContent>
                    <w:p>
                      <w:pPr>
                        <w:spacing w:before="13"/>
                        <w:ind w:left="110" w:right="0" w:firstLine="0"/>
                        <w:jc w:val="left"/>
                        <w:rPr>
                          <w:rFonts w:ascii="宋体" w:hAnsi="宋体" w:cs="宋体" w:eastAsia="宋体" w:hint="default"/>
                          <w:sz w:val="18"/>
                          <w:szCs w:val="18"/>
                        </w:rPr>
                      </w:pPr>
                      <w:r>
                        <w:rPr>
                          <w:rFonts w:ascii="宋体" w:hAnsi="宋体" w:cs="宋体" w:eastAsia="宋体" w:hint="default"/>
                          <w:sz w:val="18"/>
                          <w:szCs w:val="18"/>
                        </w:rPr>
                        <w:t>司视科传媒所致。</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b/>
          <w:bCs/>
          <w:sz w:val="18"/>
          <w:szCs w:val="18"/>
        </w:rPr>
      </w:pPr>
    </w:p>
    <w:p>
      <w:pPr>
        <w:pStyle w:val="Heading4"/>
        <w:spacing w:line="240" w:lineRule="auto" w:before="36"/>
        <w:ind w:right="986"/>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986"/>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6"/>
        <w:jc w:val="left"/>
      </w:pPr>
      <w:r>
        <w:rPr>
          <w:rFonts w:ascii="宋体" w:hAnsi="宋体" w:cs="宋体" w:eastAsia="宋体" w:hint="default"/>
        </w:rPr>
        <w:t>1</w:t>
      </w:r>
      <w:r>
        <w:rPr/>
        <w:t>、出色的技术研发与迭代升级能力。</w:t>
      </w:r>
    </w:p>
    <w:p>
      <w:pPr>
        <w:pStyle w:val="BodyText"/>
        <w:spacing w:line="319" w:lineRule="auto" w:before="76"/>
        <w:ind w:right="1034"/>
        <w:jc w:val="left"/>
      </w:pPr>
      <w:r>
        <w:rPr/>
        <w:t>①在工业大麻产业研发方面：公司已聘请植物提取、精细化工等领域有丰富生产经验的技术专家，组建起高水平、跨行业、</w:t>
      </w:r>
      <w:r>
        <w:rPr>
          <w:spacing w:val="-86"/>
        </w:rPr>
        <w:t> </w:t>
      </w:r>
      <w:r>
        <w:rPr>
          <w:spacing w:val="-86"/>
        </w:rPr>
      </w:r>
      <w:r>
        <w:rPr/>
        <w:t>多梯度的研发团队，拓宽</w:t>
      </w:r>
      <w:r>
        <w:rPr>
          <w:rFonts w:ascii="宋体" w:hAnsi="宋体" w:cs="宋体" w:eastAsia="宋体" w:hint="default"/>
        </w:rPr>
        <w:t>CBD</w:t>
      </w:r>
      <w:r>
        <w:rPr/>
        <w:t>下游产品的应用研发，公司也正积极开展工业大麻加工提取和应用相关技术专利、商标的申报 </w:t>
      </w:r>
      <w:r>
        <w:rPr>
          <w:spacing w:val="-2"/>
        </w:rPr>
        <w:t>工作，申报成功后将为公司在工业大麻领域的深度布局和发展奠定重要基础。同时，公司有多年的精准营销、推广经验，也</w:t>
      </w:r>
      <w:r>
        <w:rPr>
          <w:spacing w:val="-67"/>
        </w:rPr>
        <w:t> </w:t>
      </w:r>
      <w:r>
        <w:rPr>
          <w:spacing w:val="-67"/>
        </w:rPr>
      </w:r>
      <w:r>
        <w:rPr/>
        <w:t>为这类化妆品和快消品等后端产品的推广提供了较好的基础和平台。</w:t>
      </w:r>
    </w:p>
    <w:p>
      <w:pPr>
        <w:pStyle w:val="BodyText"/>
        <w:spacing w:line="316" w:lineRule="auto" w:before="17"/>
        <w:ind w:right="1129"/>
        <w:jc w:val="left"/>
      </w:pPr>
      <w:r>
        <w:rPr>
          <w:spacing w:val="-5"/>
        </w:rPr>
        <w:t>②在区块链技术研发方面：公司继发布《大通可信联盟链技术白皮书》后，与北京邮电大学合作开发了“大通可信联盟链”，</w:t>
      </w:r>
      <w:r>
        <w:rPr>
          <w:spacing w:val="-80"/>
        </w:rPr>
        <w:t> </w:t>
      </w:r>
      <w:r>
        <w:rPr>
          <w:spacing w:val="-80"/>
        </w:rPr>
      </w:r>
      <w:r>
        <w:rPr>
          <w:spacing w:val="-2"/>
        </w:rPr>
        <w:t>以此来布局传媒生态链领域，旨在利用区块链技术来有效减少网络虚假流量以及广告欺诈，也让通过技术手段解决媒体信任</w:t>
      </w:r>
      <w:r>
        <w:rPr>
          <w:spacing w:val="-64"/>
        </w:rPr>
        <w:t> </w:t>
      </w:r>
      <w:r>
        <w:rPr>
          <w:spacing w:val="-64"/>
        </w:rPr>
      </w:r>
      <w:r>
        <w:rPr>
          <w:spacing w:val="-5"/>
        </w:rPr>
        <w:t>问题成为可能。在此基础上，公司与区块链相关的三项发明专利申请已接到国家知识产权局发放的《专利申请受理通知书》，</w:t>
      </w:r>
      <w:r>
        <w:rPr>
          <w:spacing w:val="-78"/>
        </w:rPr>
        <w:t> </w:t>
      </w:r>
      <w:r>
        <w:rPr>
          <w:spacing w:val="-78"/>
        </w:rPr>
      </w:r>
      <w:r>
        <w:rPr>
          <w:spacing w:val="-2"/>
        </w:rPr>
        <w:t>也顺利取得了和区块链相关的商标注册受理回执以及两项区块链相关的计算机软件著作权登记证书，公司的“大通链广告投</w:t>
      </w:r>
      <w:r>
        <w:rPr>
          <w:spacing w:val="-64"/>
        </w:rPr>
        <w:t> </w:t>
      </w:r>
      <w:r>
        <w:rPr>
          <w:spacing w:val="-64"/>
        </w:rPr>
      </w:r>
      <w:r>
        <w:rPr>
          <w:spacing w:val="-2"/>
        </w:rPr>
        <w:t>放平台”获得了由中国区块链生态联盟颁发的“</w:t>
      </w:r>
      <w:r>
        <w:rPr>
          <w:rFonts w:ascii="宋体" w:hAnsi="宋体" w:cs="宋体" w:eastAsia="宋体" w:hint="default"/>
          <w:spacing w:val="-2"/>
        </w:rPr>
        <w:t>2019</w:t>
      </w:r>
      <w:r>
        <w:rPr>
          <w:spacing w:val="-2"/>
        </w:rPr>
        <w:t>年中国优秀区块链应用案例奖”，获评由</w:t>
      </w:r>
      <w:r>
        <w:rPr>
          <w:rFonts w:ascii="宋体" w:hAnsi="宋体" w:cs="宋体" w:eastAsia="宋体" w:hint="default"/>
          <w:spacing w:val="-2"/>
        </w:rPr>
        <w:t>2019</w:t>
      </w:r>
      <w:r>
        <w:rPr>
          <w:spacing w:val="-2"/>
        </w:rPr>
        <w:t>区块链技术和产业创新发</w:t>
      </w:r>
      <w:r>
        <w:rPr>
          <w:spacing w:val="-67"/>
        </w:rPr>
        <w:t> </w:t>
      </w:r>
      <w:r>
        <w:rPr>
          <w:spacing w:val="-67"/>
        </w:rPr>
      </w:r>
      <w:r>
        <w:rPr>
          <w:spacing w:val="-2"/>
        </w:rPr>
        <w:t>展大会组委会认定的“</w:t>
      </w:r>
      <w:r>
        <w:rPr>
          <w:rFonts w:ascii="宋体" w:hAnsi="宋体" w:cs="宋体" w:eastAsia="宋体" w:hint="default"/>
          <w:spacing w:val="-2"/>
        </w:rPr>
        <w:t>2019</w:t>
      </w:r>
      <w:r>
        <w:rPr>
          <w:spacing w:val="-2"/>
        </w:rPr>
        <w:t>中国区块链技术创新典型企业”，于</w:t>
      </w:r>
      <w:r>
        <w:rPr>
          <w:rFonts w:ascii="宋体" w:hAnsi="宋体" w:cs="宋体" w:eastAsia="宋体" w:hint="default"/>
          <w:spacing w:val="-2"/>
        </w:rPr>
        <w:t>2019</w:t>
      </w:r>
      <w:r>
        <w:rPr>
          <w:spacing w:val="-2"/>
        </w:rPr>
        <w:t>年</w:t>
      </w:r>
      <w:r>
        <w:rPr>
          <w:rFonts w:ascii="宋体" w:hAnsi="宋体" w:cs="宋体" w:eastAsia="宋体" w:hint="default"/>
          <w:spacing w:val="-2"/>
        </w:rPr>
        <w:t>11</w:t>
      </w:r>
      <w:r>
        <w:rPr>
          <w:spacing w:val="-2"/>
        </w:rPr>
        <w:t>月联合青岛西海岸新区管委会及北京邮电大学等单</w:t>
      </w:r>
      <w:r>
        <w:rPr>
          <w:spacing w:val="-67"/>
        </w:rPr>
        <w:t> </w:t>
      </w:r>
      <w:r>
        <w:rPr>
          <w:spacing w:val="-67"/>
        </w:rPr>
      </w:r>
      <w:r>
        <w:rPr>
          <w:spacing w:val="-2"/>
        </w:rPr>
        <w:t>位共同主办了“区块链技术和产业创新发展论坛”，就区块链产业创新应用进行了进一步研讨，为公司未来在区块链技术方</w:t>
      </w:r>
      <w:r>
        <w:rPr>
          <w:spacing w:val="-72"/>
        </w:rPr>
        <w:t> </w:t>
      </w:r>
      <w:r>
        <w:rPr>
          <w:spacing w:val="-72"/>
        </w:rPr>
      </w:r>
      <w:r>
        <w:rPr>
          <w:spacing w:val="-2"/>
        </w:rPr>
        <w:t>面的布局与发展奠定了重要的基础。大通无限借助深大通在区块链领域的深厚技术积累，成功开发了业界第一个基于区块链</w:t>
      </w:r>
      <w:r>
        <w:rPr>
          <w:spacing w:val="-64"/>
        </w:rPr>
        <w:t> </w:t>
      </w:r>
      <w:r>
        <w:rPr>
          <w:spacing w:val="-64"/>
        </w:rPr>
      </w:r>
      <w:r>
        <w:rPr>
          <w:spacing w:val="-2"/>
        </w:rPr>
        <w:t>的“户外广告程序化购买</w:t>
      </w:r>
      <w:r>
        <w:rPr>
          <w:rFonts w:ascii="宋体" w:hAnsi="宋体" w:cs="宋体" w:eastAsia="宋体" w:hint="default"/>
          <w:spacing w:val="-2"/>
        </w:rPr>
        <w:t>/</w:t>
      </w:r>
      <w:r>
        <w:rPr>
          <w:spacing w:val="-2"/>
        </w:rPr>
        <w:t>投放平台”，该平台实现了广告主在线定向选择包括户外</w:t>
      </w:r>
      <w:r>
        <w:rPr>
          <w:rFonts w:ascii="宋体" w:hAnsi="宋体" w:cs="宋体" w:eastAsia="宋体" w:hint="default"/>
          <w:spacing w:val="-2"/>
        </w:rPr>
        <w:t>LED</w:t>
      </w:r>
      <w:r>
        <w:rPr>
          <w:spacing w:val="-2"/>
        </w:rPr>
        <w:t>大屏、候车亭、楼宇等多种电子广告</w:t>
      </w:r>
      <w:r>
        <w:rPr>
          <w:spacing w:val="-66"/>
        </w:rPr>
        <w:t> </w:t>
      </w:r>
      <w:r>
        <w:rPr>
          <w:spacing w:val="-66"/>
        </w:rPr>
      </w:r>
      <w:r>
        <w:rPr>
          <w:spacing w:val="-2"/>
        </w:rPr>
        <w:t>投放形式，实现品牌广告的一键投放，基于区块链技术确保广告投放及媒介播出过程的全透明。供应链服务和工业大麻溯源</w:t>
      </w:r>
      <w:r>
        <w:rPr>
          <w:spacing w:val="-63"/>
        </w:rPr>
        <w:t> </w:t>
      </w:r>
      <w:r>
        <w:rPr>
          <w:spacing w:val="-63"/>
        </w:rPr>
      </w:r>
      <w:r>
        <w:rPr/>
        <w:t>方面的应用也已有了较大进展。 </w:t>
      </w:r>
      <w:r>
        <w:rPr>
          <w:rFonts w:ascii="宋体" w:hAnsi="宋体" w:cs="宋体" w:eastAsia="宋体" w:hint="default"/>
          <w:spacing w:val="-2"/>
        </w:rPr>
        <w:t>2.</w:t>
      </w:r>
      <w:r>
        <w:rPr>
          <w:spacing w:val="-2"/>
        </w:rPr>
        <w:t>优质客户资源和品牌口碑。通过三年时间的运营，公司在供应链业界已经积累了一定的优质客户资源和品牌口碑，结合新</w:t>
      </w:r>
      <w:r>
        <w:rPr>
          <w:spacing w:val="-62"/>
        </w:rPr>
        <w:t> </w:t>
      </w:r>
      <w:r>
        <w:rPr>
          <w:spacing w:val="-62"/>
        </w:rPr>
      </w:r>
      <w:r>
        <w:rPr>
          <w:spacing w:val="-2"/>
        </w:rPr>
        <w:t>形势下的经济建设状况，在继续优化深耕传统大宗商品供应链服务的基础上，借助近些年积累的优质核心企业的良好合作关</w:t>
      </w:r>
      <w:r>
        <w:rPr>
          <w:spacing w:val="-64"/>
        </w:rPr>
        <w:t> </w:t>
      </w:r>
      <w:r>
        <w:rPr>
          <w:spacing w:val="-64"/>
        </w:rPr>
      </w:r>
      <w:r>
        <w:rPr>
          <w:spacing w:val="-2"/>
        </w:rPr>
        <w:t>系，维持公司相对稳定的盈利能力，保障了公司业务得以快速、安全发展。公司通过多年的媒体资源整合布局，打通了创意</w:t>
      </w:r>
      <w:r>
        <w:rPr>
          <w:spacing w:val="-67"/>
        </w:rPr>
        <w:t> </w:t>
      </w:r>
      <w:r>
        <w:rPr>
          <w:spacing w:val="-67"/>
        </w:rPr>
      </w:r>
      <w:r>
        <w:rPr>
          <w:spacing w:val="-2"/>
        </w:rPr>
        <w:t>策划、品牌推广、精准营销、互动营销、媒体投放、媒介运营、数据分析、效果评估这一完整的产业生态链，为客户提供一</w:t>
      </w:r>
      <w:r>
        <w:rPr>
          <w:spacing w:val="-65"/>
        </w:rPr>
        <w:t> </w:t>
      </w:r>
      <w:r>
        <w:rPr>
          <w:spacing w:val="-65"/>
        </w:rPr>
      </w:r>
      <w:r>
        <w:rPr/>
        <w:t>站式传播服务，具有良好的品牌口碑。</w:t>
      </w:r>
    </w:p>
    <w:p>
      <w:pPr>
        <w:pStyle w:val="BodyText"/>
        <w:spacing w:line="316" w:lineRule="auto" w:before="19"/>
        <w:ind w:right="986"/>
        <w:jc w:val="left"/>
      </w:pPr>
      <w:r>
        <w:rPr>
          <w:rFonts w:ascii="宋体" w:hAnsi="宋体" w:cs="宋体" w:eastAsia="宋体" w:hint="default"/>
        </w:rPr>
        <w:t>3.</w:t>
      </w:r>
      <w:r>
        <w:rPr/>
        <w:t>有效依托行业准入规则，推进工业大麻相关领域布局。 </w:t>
      </w:r>
      <w:r>
        <w:rPr>
          <w:spacing w:val="-4"/>
        </w:rPr>
        <w:t>公司拥有的《云南省工业大麻加工许可证》，是针对在工业大麻花叶中提取</w:t>
      </w:r>
      <w:r>
        <w:rPr>
          <w:rFonts w:ascii="宋体" w:hAnsi="宋体" w:cs="宋体" w:eastAsia="宋体" w:hint="default"/>
          <w:spacing w:val="-4"/>
        </w:rPr>
        <w:t>CBD</w:t>
      </w:r>
      <w:r>
        <w:rPr>
          <w:spacing w:val="-4"/>
        </w:rPr>
        <w:t>而发放的加工证书，鉴于目前我国对工业大麻</w:t>
      </w:r>
      <w:r>
        <w:rPr>
          <w:spacing w:val="-38"/>
        </w:rPr>
        <w:t> </w:t>
      </w:r>
      <w:r>
        <w:rPr>
          <w:spacing w:val="-38"/>
        </w:rPr>
      </w:r>
      <w:r>
        <w:rPr>
          <w:spacing w:val="-2"/>
        </w:rPr>
        <w:t>行业实施严格管控的政策，公司将致力于不断提高专业技术水平，确保处于行业领先地位。公司工业大麻花叶加工提取采用</w:t>
      </w:r>
      <w:r>
        <w:rPr>
          <w:spacing w:val="-63"/>
        </w:rPr>
        <w:t> </w:t>
      </w:r>
      <w:r>
        <w:rPr>
          <w:spacing w:val="-63"/>
        </w:rPr>
      </w:r>
      <w:r>
        <w:rPr>
          <w:spacing w:val="-2"/>
        </w:rPr>
        <w:t>国际国内主流的先进工艺技术和生产装备，同时从国外引进高端实验、检测设备，使公司具备较高的研发生产和实验、检测</w:t>
      </w:r>
      <w:r>
        <w:rPr>
          <w:spacing w:val="-64"/>
        </w:rPr>
        <w:t> </w:t>
      </w:r>
      <w:r>
        <w:rPr>
          <w:spacing w:val="-64"/>
        </w:rPr>
      </w:r>
      <w:r>
        <w:rPr/>
        <w:t>能力。 </w:t>
      </w:r>
      <w:r>
        <w:rPr>
          <w:spacing w:val="-2"/>
        </w:rPr>
        <w:t>公司同时拥有《云南省工业大麻种植许可证》，获得了工业大麻合法种植资质，云南省是工业大麻传统种植区域，具有最适</w:t>
      </w:r>
      <w:r>
        <w:rPr>
          <w:spacing w:val="-72"/>
        </w:rPr>
        <w:t> </w:t>
      </w:r>
      <w:r>
        <w:rPr>
          <w:spacing w:val="-72"/>
        </w:rPr>
      </w:r>
      <w:r>
        <w:rPr>
          <w:spacing w:val="-2"/>
        </w:rPr>
        <w:t>宜工业大麻生长的自然资源环境。未来公司计划在大理州宾川县及周边市、县，采用“公司＋基地＋农户”的形式，建设规</w:t>
      </w:r>
      <w:r>
        <w:rPr>
          <w:spacing w:val="-67"/>
        </w:rPr>
        <w:t> </w:t>
      </w:r>
      <w:r>
        <w:rPr>
          <w:spacing w:val="-67"/>
        </w:rPr>
      </w:r>
      <w:r>
        <w:rPr/>
        <w:t>模化种植基地，以极低的运输成本获得充足的原料保障。</w:t>
      </w:r>
    </w:p>
    <w:p>
      <w:pPr>
        <w:spacing w:after="0" w:line="316"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05" w:right="986"/>
        <w:jc w:val="left"/>
        <w:rPr>
          <w:b w:val="0"/>
          <w:bCs w:val="0"/>
        </w:rPr>
      </w:pPr>
      <w:bookmarkStart w:name="第四节经营情况讨论与分析" w:id="23"/>
      <w:bookmarkEnd w:id="23"/>
      <w:r>
        <w:rPr>
          <w:b w:val="0"/>
          <w:bCs w:val="0"/>
        </w:rPr>
      </w:r>
      <w:bookmarkStart w:name="_bookmark3" w:id="24"/>
      <w:bookmarkEnd w:id="24"/>
      <w:r>
        <w:rPr>
          <w:b w:val="0"/>
          <w:bCs w:val="0"/>
        </w:rPr>
      </w:r>
      <w:r>
        <w:rPr/>
        <w:t>第四节经营情况讨论与分析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before="26"/>
        <w:ind w:right="986"/>
        <w:jc w:val="left"/>
        <w:rPr>
          <w:b w:val="0"/>
          <w:bCs w:val="0"/>
        </w:rPr>
      </w:pPr>
      <w:bookmarkStart w:name="一、概述" w:id="25"/>
      <w:bookmarkEnd w:id="25"/>
      <w:r>
        <w:rPr>
          <w:b w:val="0"/>
          <w:bCs w:val="0"/>
        </w:rPr>
      </w:r>
      <w:r>
        <w:rPr/>
        <w:t>一、概述</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124"/>
        <w:jc w:val="left"/>
      </w:pPr>
      <w:r>
        <w:rPr>
          <w:spacing w:val="-2"/>
        </w:rPr>
        <w:t>报告期内，公司管理层采取多重措施，有效夯实上市公司资产、排除风险并进一步提升公司产业布局，公司主要业务为移动</w:t>
      </w:r>
      <w:r>
        <w:rPr>
          <w:spacing w:val="-65"/>
        </w:rPr>
        <w:t> </w:t>
      </w:r>
      <w:r>
        <w:rPr>
          <w:spacing w:val="-65"/>
        </w:rPr>
      </w:r>
      <w:r>
        <w:rPr>
          <w:spacing w:val="-2"/>
        </w:rPr>
        <w:t>数字整合营销服务与线上线下新媒体运营业务；供应链服务和民间资本管理业务；同时开始布局工业大麻提取与加工业务及</w:t>
      </w:r>
      <w:r>
        <w:rPr>
          <w:spacing w:val="-64"/>
        </w:rPr>
        <w:t> </w:t>
      </w:r>
      <w:r>
        <w:rPr>
          <w:spacing w:val="-64"/>
        </w:rPr>
      </w:r>
      <w:r>
        <w:rPr/>
        <w:t>以区块链技术为基础的工业大麻溯源和传媒生态链业务。 </w:t>
      </w:r>
      <w:r>
        <w:rPr>
          <w:rFonts w:ascii="宋体" w:hAnsi="宋体" w:cs="宋体" w:eastAsia="宋体" w:hint="default"/>
          <w:spacing w:val="-5"/>
        </w:rPr>
        <w:t>1</w:t>
      </w:r>
      <w:r>
        <w:rPr>
          <w:spacing w:val="-5"/>
        </w:rPr>
        <w:t>、报告期内，公司实现营业收入</w:t>
      </w:r>
      <w:r>
        <w:rPr>
          <w:rFonts w:ascii="宋体" w:hAnsi="宋体" w:cs="宋体" w:eastAsia="宋体" w:hint="default"/>
          <w:spacing w:val="-5"/>
        </w:rPr>
        <w:t>1,834,846,120.35</w:t>
      </w:r>
      <w:r>
        <w:rPr>
          <w:spacing w:val="-5"/>
        </w:rPr>
        <w:t>元，营业成本</w:t>
      </w:r>
      <w:r>
        <w:rPr>
          <w:rFonts w:ascii="宋体" w:hAnsi="宋体" w:cs="宋体" w:eastAsia="宋体" w:hint="default"/>
          <w:spacing w:val="-5"/>
        </w:rPr>
        <w:t>1,684,718,156.62</w:t>
      </w:r>
      <w:r>
        <w:rPr>
          <w:spacing w:val="-5"/>
        </w:rPr>
        <w:t>元，分别较去年同期减少</w:t>
      </w:r>
      <w:r>
        <w:rPr>
          <w:rFonts w:ascii="宋体" w:hAnsi="宋体" w:cs="宋体" w:eastAsia="宋体" w:hint="default"/>
          <w:spacing w:val="-5"/>
        </w:rPr>
        <w:t>29.20%</w:t>
      </w:r>
      <w:r>
        <w:rPr>
          <w:spacing w:val="-5"/>
        </w:rPr>
        <w:t>和</w:t>
      </w:r>
      <w:r>
        <w:rPr>
          <w:rFonts w:ascii="宋体" w:hAnsi="宋体" w:cs="宋体" w:eastAsia="宋体" w:hint="default"/>
          <w:spacing w:val="-5"/>
        </w:rPr>
        <w:t>29.14%</w:t>
      </w:r>
      <w:r>
        <w:rPr>
          <w:spacing w:val="-5"/>
        </w:rPr>
        <w:t>，</w:t>
      </w:r>
      <w:r>
        <w:rPr>
          <w:spacing w:val="-71"/>
        </w:rPr>
        <w:t> </w:t>
      </w:r>
      <w:r>
        <w:rPr/>
        <w:t>主要原因系：</w:t>
      </w:r>
      <w:r>
        <w:rPr>
          <w:rFonts w:ascii="宋体" w:hAnsi="宋体" w:cs="宋体" w:eastAsia="宋体" w:hint="default"/>
        </w:rPr>
        <w:t>1</w:t>
      </w:r>
      <w:r>
        <w:rPr/>
        <w:t>）受国内外宏观经济形势影响，企业经营压力上升，广告业主广告投放预算趋紧、广告意愿也更趋谨慎，又 加之广告传媒行业竞争日趋激烈；</w:t>
      </w:r>
      <w:r>
        <w:rPr>
          <w:rFonts w:ascii="宋体" w:hAnsi="宋体" w:cs="宋体" w:eastAsia="宋体" w:hint="default"/>
        </w:rPr>
        <w:t>2</w:t>
      </w:r>
      <w:r>
        <w:rPr/>
        <w:t>）业绩承诺期结束后公司传媒业务尚处于内部整合阶段期以及公司报告期内处置线下传 媒业务子公司视科传媒等多因素叠加影响，公司报告期内营业收入下降，营业成本相应减少。 </w:t>
      </w:r>
      <w:r>
        <w:rPr>
          <w:rFonts w:ascii="宋体" w:hAnsi="宋体" w:cs="宋体" w:eastAsia="宋体" w:hint="default"/>
          <w:spacing w:val="-2"/>
        </w:rPr>
        <w:t>2</w:t>
      </w:r>
      <w:r>
        <w:rPr>
          <w:spacing w:val="-2"/>
        </w:rPr>
        <w:t>、报告期内，公司实现归属于上市公司股东净利润</w:t>
      </w:r>
      <w:r>
        <w:rPr>
          <w:rFonts w:ascii="宋体" w:hAnsi="宋体" w:cs="宋体" w:eastAsia="宋体" w:hint="default"/>
          <w:spacing w:val="-2"/>
        </w:rPr>
        <w:t>122,379,851.84</w:t>
      </w:r>
      <w:r>
        <w:rPr>
          <w:spacing w:val="-2"/>
        </w:rPr>
        <w:t>元，同比增加</w:t>
      </w:r>
      <w:r>
        <w:rPr>
          <w:rFonts w:ascii="宋体" w:hAnsi="宋体" w:cs="宋体" w:eastAsia="宋体" w:hint="default"/>
          <w:spacing w:val="-2"/>
        </w:rPr>
        <w:t>104.80%</w:t>
      </w:r>
      <w:r>
        <w:rPr>
          <w:spacing w:val="-2"/>
        </w:rPr>
        <w:t>，与去年同期相比变动主要原因系</w:t>
      </w:r>
    </w:p>
    <w:p>
      <w:pPr>
        <w:pStyle w:val="BodyText"/>
        <w:spacing w:line="316" w:lineRule="auto" w:before="19"/>
        <w:ind w:right="1124"/>
        <w:jc w:val="left"/>
      </w:pPr>
      <w:r>
        <w:rPr>
          <w:rFonts w:ascii="宋体" w:hAnsi="宋体" w:cs="宋体" w:eastAsia="宋体" w:hint="default"/>
        </w:rPr>
        <w:t>1</w:t>
      </w:r>
      <w:r>
        <w:rPr/>
        <w:t>）本报告期未发生商誉减值及其他资产重大减值；</w:t>
      </w:r>
      <w:r>
        <w:rPr>
          <w:rFonts w:ascii="宋体" w:hAnsi="宋体" w:cs="宋体" w:eastAsia="宋体" w:hint="default"/>
        </w:rPr>
        <w:t>2</w:t>
      </w:r>
      <w:r>
        <w:rPr/>
        <w:t>）供应链管理业务净利润与上年同期相比有所增加；</w:t>
      </w:r>
      <w:r>
        <w:rPr>
          <w:rFonts w:ascii="宋体" w:hAnsi="宋体" w:cs="宋体" w:eastAsia="宋体" w:hint="default"/>
        </w:rPr>
        <w:t>3</w:t>
      </w:r>
      <w:r>
        <w:rPr/>
        <w:t>）根据与视科传</w:t>
      </w:r>
      <w:r>
        <w:rPr>
          <w:spacing w:val="-85"/>
        </w:rPr>
        <w:t> </w:t>
      </w:r>
      <w:r>
        <w:rPr>
          <w:spacing w:val="-4"/>
        </w:rPr>
        <w:t>媒原股东签订的和解协议，报告期内发生视科传媒原股东补偿款，净利润增加；</w:t>
      </w:r>
      <w:r>
        <w:rPr>
          <w:rFonts w:ascii="宋体" w:hAnsi="宋体" w:cs="宋体" w:eastAsia="宋体" w:hint="default"/>
          <w:spacing w:val="-4"/>
        </w:rPr>
        <w:t>4</w:t>
      </w:r>
      <w:r>
        <w:rPr>
          <w:spacing w:val="-4"/>
        </w:rPr>
        <w:t>）报告期内处置子公司视科传媒</w:t>
      </w:r>
      <w:r>
        <w:rPr>
          <w:rFonts w:ascii="宋体" w:hAnsi="宋体" w:cs="宋体" w:eastAsia="宋体" w:hint="default"/>
          <w:spacing w:val="-4"/>
        </w:rPr>
        <w:t>100%</w:t>
      </w:r>
      <w:r>
        <w:rPr>
          <w:spacing w:val="-4"/>
        </w:rPr>
        <w:t>股权，</w:t>
      </w:r>
      <w:r>
        <w:rPr>
          <w:spacing w:val="-37"/>
        </w:rPr>
        <w:t> </w:t>
      </w:r>
      <w:r>
        <w:rPr>
          <w:spacing w:val="-37"/>
        </w:rPr>
      </w:r>
      <w:r>
        <w:rPr/>
        <w:t>投资收益增加，净利润增加。 </w:t>
      </w:r>
      <w:r>
        <w:rPr>
          <w:rFonts w:ascii="宋体" w:hAnsi="宋体" w:cs="宋体" w:eastAsia="宋体" w:hint="default"/>
        </w:rPr>
        <w:t>3</w:t>
      </w:r>
      <w:r>
        <w:rPr/>
        <w:t>、本报告期公司销售费用和管理费用支出分别为</w:t>
      </w:r>
      <w:r>
        <w:rPr>
          <w:rFonts w:ascii="宋体" w:hAnsi="宋体" w:cs="宋体" w:eastAsia="宋体" w:hint="default"/>
        </w:rPr>
        <w:t>17,749,668.04</w:t>
      </w:r>
      <w:r>
        <w:rPr/>
        <w:t>元、</w:t>
      </w:r>
      <w:r>
        <w:rPr>
          <w:rFonts w:ascii="宋体" w:hAnsi="宋体" w:cs="宋体" w:eastAsia="宋体" w:hint="default"/>
        </w:rPr>
        <w:t>54,571,604.50</w:t>
      </w:r>
      <w:r>
        <w:rPr/>
        <w:t>元，分别较去年同期减少，主要原因系 本报告期公司传媒业务规模下降，营业收入减少，相应的销售费用、管理费用减少。 </w:t>
      </w:r>
      <w:r>
        <w:rPr>
          <w:rFonts w:ascii="宋体" w:hAnsi="宋体" w:cs="宋体" w:eastAsia="宋体" w:hint="default"/>
          <w:spacing w:val="-2"/>
        </w:rPr>
        <w:t>4</w:t>
      </w:r>
      <w:r>
        <w:rPr>
          <w:spacing w:val="-2"/>
        </w:rPr>
        <w:t>、报告期内，公司实现净财务收益</w:t>
      </w:r>
      <w:r>
        <w:rPr>
          <w:rFonts w:ascii="宋体" w:hAnsi="宋体" w:cs="宋体" w:eastAsia="宋体" w:hint="default"/>
          <w:spacing w:val="-2"/>
        </w:rPr>
        <w:t>26,482,640.06</w:t>
      </w:r>
      <w:r>
        <w:rPr>
          <w:spacing w:val="-2"/>
        </w:rPr>
        <w:t>元，较去年同期减少，主要原因系本报告期公司基于发展需要公司将更多</w:t>
      </w:r>
      <w:r>
        <w:rPr>
          <w:spacing w:val="-56"/>
        </w:rPr>
        <w:t> </w:t>
      </w:r>
      <w:r>
        <w:rPr>
          <w:spacing w:val="-56"/>
        </w:rPr>
      </w:r>
      <w:r>
        <w:rPr/>
        <w:t>资金用于业务经营，资金平均余额减少，存款利息收入减少。 </w:t>
      </w:r>
      <w:r>
        <w:rPr>
          <w:rFonts w:ascii="宋体" w:hAnsi="宋体" w:cs="宋体" w:eastAsia="宋体" w:hint="default"/>
          <w:spacing w:val="-2"/>
        </w:rPr>
        <w:t>5</w:t>
      </w:r>
      <w:r>
        <w:rPr>
          <w:spacing w:val="-2"/>
        </w:rPr>
        <w:t>、本报告期信用减值损失及资产减值损失合计为</w:t>
      </w:r>
      <w:r>
        <w:rPr>
          <w:rFonts w:ascii="宋体" w:hAnsi="宋体" w:cs="宋体" w:eastAsia="宋体" w:hint="default"/>
          <w:spacing w:val="-2"/>
        </w:rPr>
        <w:t>40,096,132.05</w:t>
      </w:r>
      <w:r>
        <w:rPr>
          <w:spacing w:val="-2"/>
        </w:rPr>
        <w:t>元，较去年同期减少</w:t>
      </w:r>
      <w:r>
        <w:rPr>
          <w:rFonts w:ascii="宋体" w:hAnsi="宋体" w:cs="宋体" w:eastAsia="宋体" w:hint="default"/>
          <w:spacing w:val="-2"/>
        </w:rPr>
        <w:t>98.51%</w:t>
      </w:r>
      <w:r>
        <w:rPr>
          <w:spacing w:val="-2"/>
        </w:rPr>
        <w:t>，主要原因系本报告期未发生商</w:t>
      </w:r>
      <w:r>
        <w:rPr>
          <w:spacing w:val="-49"/>
        </w:rPr>
        <w:t> </w:t>
      </w:r>
      <w:r>
        <w:rPr>
          <w:spacing w:val="-49"/>
        </w:rPr>
      </w:r>
      <w:r>
        <w:rPr/>
        <w:t>誉减值及其他资产重大减值。 </w:t>
      </w:r>
      <w:r>
        <w:rPr>
          <w:rFonts w:ascii="宋体" w:hAnsi="宋体" w:cs="宋体" w:eastAsia="宋体" w:hint="default"/>
          <w:spacing w:val="-2"/>
        </w:rPr>
        <w:t>6</w:t>
      </w:r>
      <w:r>
        <w:rPr>
          <w:spacing w:val="-2"/>
        </w:rPr>
        <w:t>、本报告期投资活动产生的现金流量净额为</w:t>
      </w:r>
      <w:r>
        <w:rPr>
          <w:rFonts w:ascii="宋体" w:hAnsi="宋体" w:cs="宋体" w:eastAsia="宋体" w:hint="default"/>
          <w:spacing w:val="-2"/>
        </w:rPr>
        <w:t>78,586,787.49</w:t>
      </w:r>
      <w:r>
        <w:rPr>
          <w:spacing w:val="-2"/>
        </w:rPr>
        <w:t>元，较上年减少</w:t>
      </w:r>
      <w:r>
        <w:rPr>
          <w:rFonts w:ascii="宋体" w:hAnsi="宋体" w:cs="宋体" w:eastAsia="宋体" w:hint="default"/>
          <w:spacing w:val="-2"/>
        </w:rPr>
        <w:t>76.57%</w:t>
      </w:r>
      <w:r>
        <w:rPr>
          <w:spacing w:val="-2"/>
        </w:rPr>
        <w:t>，主要原因为：上年度收回前期银行理财</w:t>
      </w:r>
      <w:r>
        <w:rPr>
          <w:spacing w:val="-50"/>
        </w:rPr>
        <w:t> </w:t>
      </w:r>
      <w:r>
        <w:rPr>
          <w:spacing w:val="-50"/>
        </w:rPr>
      </w:r>
      <w:r>
        <w:rPr/>
        <w:t>产品投资款，导致上年度投资活动现金净流入金额较大。</w:t>
      </w:r>
    </w:p>
    <w:p>
      <w:pPr>
        <w:pStyle w:val="BodyText"/>
        <w:spacing w:line="240" w:lineRule="auto" w:before="19"/>
        <w:ind w:right="986"/>
        <w:jc w:val="left"/>
      </w:pPr>
      <w:r>
        <w:rPr>
          <w:rFonts w:ascii="宋体" w:hAnsi="宋体" w:cs="宋体" w:eastAsia="宋体" w:hint="default"/>
        </w:rPr>
        <w:t>7</w:t>
      </w:r>
      <w:r>
        <w:rPr/>
        <w:t>、本报告期筹资活动产生的现金流量净额为</w:t>
      </w:r>
      <w:r>
        <w:rPr>
          <w:rFonts w:ascii="宋体" w:hAnsi="宋体" w:cs="宋体" w:eastAsia="宋体" w:hint="default"/>
        </w:rPr>
        <w:t>-22,579,585.98</w:t>
      </w:r>
      <w:r>
        <w:rPr/>
        <w:t>元，较上年增加</w:t>
      </w:r>
      <w:r>
        <w:rPr>
          <w:rFonts w:ascii="宋体" w:hAnsi="宋体" w:cs="宋体" w:eastAsia="宋体" w:hint="default"/>
        </w:rPr>
        <w:t>88.69%</w:t>
      </w:r>
      <w:r>
        <w:rPr/>
        <w:t>，主要原因为：上年度发放普通股股利</w:t>
      </w:r>
    </w:p>
    <w:p>
      <w:pPr>
        <w:pStyle w:val="BodyText"/>
        <w:spacing w:line="240" w:lineRule="auto" w:before="76"/>
        <w:ind w:right="986"/>
        <w:jc w:val="left"/>
      </w:pPr>
      <w:r>
        <w:rPr>
          <w:rFonts w:ascii="宋体" w:hAnsi="宋体" w:cs="宋体" w:eastAsia="宋体" w:hint="default"/>
        </w:rPr>
        <w:t>2.09</w:t>
      </w:r>
      <w:r>
        <w:rPr/>
        <w:t>亿元，本报告期未发生。</w:t>
      </w: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参见“经营情况讨论与分析”中的“一、概述”相关内容。</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6"/>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3"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占营业收入比重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6"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1,834,846,120.35</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100%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2,591,464,628.91</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-29.20%</w:t>
            </w:r>
          </w:p>
        </w:tc>
      </w:tr>
      <w:tr>
        <w:trPr>
          <w:trHeight w:val="398"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1,433,561,829.08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78.13%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1,451,491,977.58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广告传媒</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293,340,795.25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15.99%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2"/>
                <w:sz w:val="18"/>
              </w:rPr>
              <w:t>1,114,146,265.11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42.99%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-73.67%</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民间资本管理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104,610,162.71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22,131,672.08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372.67%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保理业务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3,333,333.31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0.18%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3,694,714.14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-9.78%</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pacing w:val="-8"/>
                <w:sz w:val="18"/>
                <w:szCs w:val="18"/>
              </w:rPr>
              <w:t>煤炭、铁精粉贸易</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1,433,561,829.08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78.13%</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1,451,491,977.58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56.01%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-1.24%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广告发布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293,340,795.25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15.99%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1,114,146,265.11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42.99%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-73.67%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民间资本管理</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104,610,162.71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22,131,672.08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z w:val="18"/>
              </w:rPr>
              <w:t>0.85%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372.67%</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保理业务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3,333,333.31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0.18%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3,694,714.14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-9.78%</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1,436,895,162.39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78.31%</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1,455,186,691.72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188,982,534.03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10.30%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841,595,408.38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32.00%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-77.54%</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104,610,162.71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5.70%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22,287,976.23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369.36%</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104,358,261.22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5.69%</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272,394,552.58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-61.69%</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3"/>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 适用 □</w:t>
      </w:r>
      <w:r>
        <w:rPr>
          <w:spacing w:val="3"/>
        </w:rPr>
        <w:t> </w:t>
      </w:r>
      <w:r>
        <w:rPr/>
        <w:t>不适用</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657"/>
        <w:gridCol w:w="1656"/>
        <w:gridCol w:w="788"/>
        <w:gridCol w:w="1366"/>
        <w:gridCol w:w="1369"/>
        <w:gridCol w:w="1370"/>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6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18"/>
              <w:jc w:val="right"/>
              <w:rPr>
                <w:rFonts w:ascii="宋体" w:hAnsi="宋体" w:cs="宋体" w:eastAsia="宋体" w:hint="default"/>
                <w:sz w:val="18"/>
                <w:szCs w:val="18"/>
              </w:rPr>
            </w:pPr>
            <w:r>
              <w:rPr>
                <w:rFonts w:ascii="宋体" w:hAnsi="宋体" w:cs="宋体" w:eastAsia="宋体" w:hint="default"/>
                <w:sz w:val="18"/>
                <w:szCs w:val="18"/>
              </w:rPr>
              <w:t>毛利率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7" w:right="134" w:hanging="89"/>
              <w:jc w:val="left"/>
              <w:rPr>
                <w:rFonts w:ascii="宋体" w:hAnsi="宋体" w:cs="宋体" w:eastAsia="宋体" w:hint="default"/>
                <w:sz w:val="18"/>
                <w:szCs w:val="18"/>
              </w:rPr>
            </w:pPr>
            <w:r>
              <w:rPr>
                <w:rFonts w:ascii="宋体" w:hAnsi="宋体" w:cs="宋体" w:eastAsia="宋体" w:hint="default"/>
                <w:sz w:val="18"/>
                <w:szCs w:val="18"/>
              </w:rPr>
              <w:t>营业收入比上 年同期增减</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135" w:hanging="89"/>
              <w:jc w:val="left"/>
              <w:rPr>
                <w:rFonts w:ascii="宋体" w:hAnsi="宋体" w:cs="宋体" w:eastAsia="宋体" w:hint="default"/>
                <w:sz w:val="18"/>
                <w:szCs w:val="18"/>
              </w:rPr>
            </w:pPr>
            <w:r>
              <w:rPr>
                <w:rFonts w:ascii="宋体" w:hAnsi="宋体" w:cs="宋体" w:eastAsia="宋体" w:hint="default"/>
                <w:sz w:val="18"/>
                <w:szCs w:val="18"/>
              </w:rPr>
              <w:t>营业成本比上 年同期增减</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9" w:right="139"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1,433,561,829.08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1,402,663,411.44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广告传媒</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293,340,795.25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280,140,073.92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-73.67%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-70.65%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民间资本管理</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104,610,162.71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1,179,481.13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372.67%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542.80%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煤炭、铁精粉</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1,433,561,829.08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1,402,663,411.44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0.19%</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广告传媒</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293,340,795.25</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280,140,073.92</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4.50%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-73.67%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-70.65%</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-9.82%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民间资本管理</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104,610,162.71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1,179,481.13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372.67%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542.80%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-0.30%</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广东</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1,433,561,829.08</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1,402,663,411.44</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2.16%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-1.43%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188,982,534.03</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188,154,006.53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-77.54%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-72.69%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-17.70%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山东</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104,610,162.71</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1,179,481.13</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98.87%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372.67%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542.80%</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-0.30%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104,358,261.22</w:t>
            </w:r>
          </w:p>
        </w:tc>
        <w:tc>
          <w:tcPr>
            <w:tcW w:w="16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91,986,067.39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-61.69%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-65.19%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8.87%</w:t>
            </w:r>
          </w:p>
        </w:tc>
      </w:tr>
    </w:tbl>
    <w:p>
      <w:pPr>
        <w:pStyle w:val="BodyText"/>
        <w:spacing w:line="240" w:lineRule="auto" w:before="49"/>
        <w:ind w:right="986"/>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3"/>
        <w:ind w:right="986"/>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 是 □</w:t>
      </w:r>
      <w:r>
        <w:rPr>
          <w:spacing w:val="3"/>
        </w:rPr>
        <w:t> </w:t>
      </w:r>
      <w:r>
        <w:rPr/>
        <w:t>否</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销售量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3,282,922.25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3,000,549.97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9.41%</w:t>
            </w:r>
          </w:p>
        </w:tc>
      </w:tr>
      <w:tr>
        <w:trPr>
          <w:trHeight w:val="403" w:hRule="exact"/>
        </w:trPr>
        <w:tc>
          <w:tcPr>
            <w:tcW w:w="1596" w:type="dxa"/>
            <w:vMerge/>
            <w:tcBorders>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库存量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吨</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63,491.56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221,935.47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-71.39%</w:t>
            </w:r>
          </w:p>
        </w:tc>
      </w:tr>
    </w:tbl>
    <w:p>
      <w:pPr>
        <w:pStyle w:val="BodyText"/>
        <w:spacing w:line="240" w:lineRule="auto" w:before="49"/>
        <w:ind w:right="986"/>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360" w:lineRule="auto" w:before="101"/>
        <w:ind w:right="3914"/>
        <w:jc w:val="left"/>
      </w:pPr>
      <w:r>
        <w:rPr/>
        <w:t>√ 适用 □</w:t>
      </w:r>
      <w:r>
        <w:rPr>
          <w:spacing w:val="3"/>
        </w:rPr>
        <w:t> </w:t>
      </w:r>
      <w:r>
        <w:rPr/>
        <w:t>不适用</w:t>
      </w:r>
      <w:r>
        <w:rPr/>
        <w:t> 本报告期末公司存货减少主要原因系本报告期内加强存货管理及周转，期末存货减少。</w:t>
      </w:r>
    </w:p>
    <w:p>
      <w:pPr>
        <w:spacing w:line="240" w:lineRule="auto" w:before="4"/>
        <w:rPr>
          <w:rFonts w:ascii="宋体" w:hAnsi="宋体" w:cs="宋体" w:eastAsia="宋体" w:hint="default"/>
          <w:sz w:val="20"/>
          <w:szCs w:val="20"/>
        </w:rPr>
      </w:pPr>
    </w:p>
    <w:p>
      <w:pPr>
        <w:pStyle w:val="Heading4"/>
        <w:spacing w:line="240" w:lineRule="auto"/>
        <w:ind w:right="986"/>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2122"/>
        <w:gridCol w:w="1514"/>
        <w:gridCol w:w="958"/>
        <w:gridCol w:w="1538"/>
        <w:gridCol w:w="1105"/>
        <w:gridCol w:w="96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21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4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9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715"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2122" w:type="dxa"/>
            <w:vMerge/>
            <w:tcBorders>
              <w:left w:val="single" w:sz="4" w:space="0" w:color="000000"/>
              <w:bottom w:val="single" w:sz="4" w:space="0" w:color="000000"/>
              <w:right w:val="single" w:sz="4" w:space="0" w:color="000000"/>
            </w:tcBorders>
            <w:shd w:val="clear" w:color="auto" w:fill="D2D2D2"/>
          </w:tcPr>
          <w:p>
            <w:pPr/>
          </w:p>
        </w:tc>
        <w:tc>
          <w:tcPr>
            <w:tcW w:w="15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4" w:right="113" w:hanging="92"/>
              <w:jc w:val="left"/>
              <w:rPr>
                <w:rFonts w:ascii="宋体" w:hAnsi="宋体" w:cs="宋体" w:eastAsia="宋体" w:hint="default"/>
                <w:sz w:val="18"/>
                <w:szCs w:val="18"/>
              </w:rPr>
            </w:pPr>
            <w:r>
              <w:rPr>
                <w:rFonts w:ascii="宋体" w:hAnsi="宋体" w:cs="宋体" w:eastAsia="宋体" w:hint="default"/>
                <w:sz w:val="18"/>
                <w:szCs w:val="18"/>
              </w:rPr>
              <w:t>占营业成 本比重</w:t>
            </w:r>
          </w:p>
        </w:tc>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9" w:right="185" w:hanging="92"/>
              <w:jc w:val="left"/>
              <w:rPr>
                <w:rFonts w:ascii="宋体" w:hAnsi="宋体" w:cs="宋体" w:eastAsia="宋体" w:hint="default"/>
                <w:sz w:val="18"/>
                <w:szCs w:val="18"/>
              </w:rPr>
            </w:pPr>
            <w:r>
              <w:rPr>
                <w:rFonts w:ascii="宋体" w:hAnsi="宋体" w:cs="宋体" w:eastAsia="宋体" w:hint="default"/>
                <w:sz w:val="18"/>
                <w:szCs w:val="18"/>
              </w:rPr>
              <w:t>占营业成 本比重</w:t>
            </w:r>
          </w:p>
        </w:tc>
        <w:tc>
          <w:tcPr>
            <w:tcW w:w="96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1,402,663,411.44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83.29%</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1,422,918,142.57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59.84%</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-1.42%</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广告传媒</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280,140,073.92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16.63%</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954,544,337.47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40.15%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-70.65%</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广告传媒</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阵地租金</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38,901,473.49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2.31%</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56,730,825.56</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2.39%</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-31.43%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广告传媒</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媒体采买成本</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211,918,392.62</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12.58%</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833,245,600.81</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35.04%</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-74.57%</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广告传媒</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折旧及摊销</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17,232,857.31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1.02%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32,043,895.29</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1.35%</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-46.22%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广告传媒</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电费、制作费及其他</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12,087,350.50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0.72%</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31,791,318.92</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1.34%</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-61.98%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广告传媒</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商品销售</w:t>
            </w:r>
          </w:p>
        </w:tc>
        <w:tc>
          <w:tcPr>
            <w:tcW w:w="151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732,696.89</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0.03%</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民间资本管理</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民间资本管理</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1,179,481.13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0.07%</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183,490.57</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0.01%</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542.80%</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71,816.04</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41,037.74</w:t>
            </w:r>
          </w:p>
        </w:tc>
        <w:tc>
          <w:tcPr>
            <w:tcW w:w="11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75.00%</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5"/>
        <w:rPr>
          <w:rFonts w:ascii="宋体" w:hAnsi="宋体" w:cs="宋体" w:eastAsia="宋体" w:hint="default"/>
          <w:b/>
          <w:bCs/>
          <w:sz w:val="26"/>
          <w:szCs w:val="26"/>
        </w:rPr>
      </w:pPr>
    </w:p>
    <w:p>
      <w:pPr>
        <w:pStyle w:val="BodyText"/>
        <w:spacing w:line="357" w:lineRule="auto" w:before="0"/>
        <w:ind w:right="3914"/>
        <w:jc w:val="left"/>
      </w:pPr>
      <w:r>
        <w:rPr/>
        <w:t>√ 是 □</w:t>
      </w:r>
      <w:r>
        <w:rPr>
          <w:spacing w:val="3"/>
        </w:rPr>
        <w:t> </w:t>
      </w:r>
      <w:r>
        <w:rPr/>
        <w:t>否</w:t>
      </w:r>
      <w:r>
        <w:rPr/>
        <w:t> </w:t>
      </w:r>
      <w:r>
        <w:rPr>
          <w:spacing w:val="-6"/>
        </w:rPr>
        <w:t>详见附注十二（八）“合并范围的变更”及十二（九）“在其他主体中的权益。</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6"/>
          <w:szCs w:val="26"/>
        </w:rPr>
      </w:pPr>
    </w:p>
    <w:p>
      <w:pPr>
        <w:pStyle w:val="Heading4"/>
        <w:spacing w:line="240" w:lineRule="auto"/>
        <w:ind w:right="986"/>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after="0" w:line="240" w:lineRule="auto"/>
        <w:jc w:val="left"/>
        <w:sectPr>
          <w:footerReference w:type="default" r:id="rId13"/>
          <w:pgSz w:w="11910" w:h="16840"/>
          <w:pgMar w:footer="1021" w:header="906" w:top="1100" w:bottom="1220" w:left="1020" w:right="0"/>
          <w:pgNumType w:start="13"/>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公司主要销售客户情况</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391"/>
        <w:gridCol w:w="4179"/>
      </w:tblGrid>
      <w:tr>
        <w:trPr>
          <w:trHeight w:val="403" w:hRule="exact"/>
        </w:trPr>
        <w:tc>
          <w:tcPr>
            <w:tcW w:w="5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737,247,849.45</w:t>
            </w:r>
          </w:p>
        </w:tc>
      </w:tr>
      <w:tr>
        <w:trPr>
          <w:trHeight w:val="401" w:hRule="exact"/>
        </w:trPr>
        <w:tc>
          <w:tcPr>
            <w:tcW w:w="5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40.18%</w:t>
            </w:r>
          </w:p>
        </w:tc>
      </w:tr>
      <w:tr>
        <w:trPr>
          <w:trHeight w:val="403" w:hRule="exact"/>
        </w:trPr>
        <w:tc>
          <w:tcPr>
            <w:tcW w:w="5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1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49"/>
        <w:ind w:right="986"/>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1"/>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802"/>
        <w:gridCol w:w="3303"/>
        <w:gridCol w:w="2650"/>
        <w:gridCol w:w="2816"/>
      </w:tblGrid>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销售额（元）</w:t>
            </w:r>
          </w:p>
        </w:tc>
        <w:tc>
          <w:tcPr>
            <w:tcW w:w="2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216,388,509.65</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11.79%</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190,545,143.90</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10.38%</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114,969,760.94</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6.27%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114,891,274.00</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6.26%</w:t>
            </w:r>
          </w:p>
        </w:tc>
      </w:tr>
      <w:tr>
        <w:trPr>
          <w:trHeight w:val="401"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100,453,160.96</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5.47%</w:t>
            </w:r>
          </w:p>
        </w:tc>
      </w:tr>
      <w:tr>
        <w:trPr>
          <w:trHeight w:val="403" w:hRule="exact"/>
        </w:trPr>
        <w:tc>
          <w:tcPr>
            <w:tcW w:w="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737,247,849.45</w:t>
            </w:r>
          </w:p>
        </w:tc>
        <w:tc>
          <w:tcPr>
            <w:tcW w:w="28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40.18%</w:t>
            </w:r>
          </w:p>
        </w:tc>
      </w:tr>
    </w:tbl>
    <w:p>
      <w:pPr>
        <w:pStyle w:val="BodyText"/>
        <w:spacing w:line="240" w:lineRule="auto" w:before="49"/>
        <w:ind w:right="986"/>
        <w:jc w:val="left"/>
      </w:pPr>
      <w:r>
        <w:rPr/>
        <w:t>主要客户其他情况说明</w:t>
      </w:r>
    </w:p>
    <w:p>
      <w:pPr>
        <w:pStyle w:val="BodyText"/>
        <w:spacing w:line="360" w:lineRule="auto" w:before="115"/>
        <w:ind w:right="9134"/>
        <w:jc w:val="left"/>
      </w:pPr>
      <w:r>
        <w:rPr/>
        <w:t>□ 适用 √</w:t>
      </w:r>
      <w:r>
        <w:rPr>
          <w:spacing w:val="3"/>
        </w:rPr>
        <w:t> </w:t>
      </w:r>
      <w:r>
        <w:rPr/>
        <w:t>不适用</w:t>
      </w:r>
      <w:r>
        <w:rPr/>
        <w:t> 公司主要供应商情况</w:t>
      </w:r>
    </w:p>
    <w:tbl>
      <w:tblPr>
        <w:tblW w:w="0" w:type="auto"/>
        <w:jc w:val="left"/>
        <w:tblInd w:w="109" w:type="dxa"/>
        <w:tblLayout w:type="fixed"/>
        <w:tblCellMar>
          <w:top w:w="0" w:type="dxa"/>
          <w:left w:w="0" w:type="dxa"/>
          <w:bottom w:w="0" w:type="dxa"/>
          <w:right w:w="0" w:type="dxa"/>
        </w:tblCellMar>
        <w:tblLook w:val="01E0"/>
      </w:tblPr>
      <w:tblGrid>
        <w:gridCol w:w="5304"/>
        <w:gridCol w:w="4265"/>
      </w:tblGrid>
      <w:tr>
        <w:trPr>
          <w:trHeight w:val="401" w:hRule="exact"/>
        </w:trPr>
        <w:tc>
          <w:tcPr>
            <w:tcW w:w="5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4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621,221,443.28</w:t>
            </w:r>
          </w:p>
        </w:tc>
      </w:tr>
      <w:tr>
        <w:trPr>
          <w:trHeight w:val="403" w:hRule="exact"/>
        </w:trPr>
        <w:tc>
          <w:tcPr>
            <w:tcW w:w="5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4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36.87%</w:t>
            </w:r>
          </w:p>
        </w:tc>
      </w:tr>
      <w:tr>
        <w:trPr>
          <w:trHeight w:val="401" w:hRule="exact"/>
        </w:trPr>
        <w:tc>
          <w:tcPr>
            <w:tcW w:w="5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前五名供应商采购额中关联方采购额占年度采购总额比例</w:t>
            </w:r>
          </w:p>
        </w:tc>
        <w:tc>
          <w:tcPr>
            <w:tcW w:w="4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68"/>
        <w:ind w:right="986"/>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4"/>
        <w:rPr>
          <w:rFonts w:ascii="宋体" w:hAnsi="宋体" w:cs="宋体" w:eastAsia="宋体" w:hint="default"/>
          <w:sz w:val="7"/>
          <w:szCs w:val="7"/>
        </w:rPr>
      </w:pPr>
    </w:p>
    <w:tbl>
      <w:tblPr>
        <w:tblW w:w="0" w:type="auto"/>
        <w:jc w:val="left"/>
        <w:tblInd w:w="108" w:type="dxa"/>
        <w:tblLayout w:type="fixed"/>
        <w:tblCellMar>
          <w:top w:w="0" w:type="dxa"/>
          <w:left w:w="0" w:type="dxa"/>
          <w:bottom w:w="0" w:type="dxa"/>
          <w:right w:w="0" w:type="dxa"/>
        </w:tblCellMar>
        <w:tblLook w:val="01E0"/>
      </w:tblPr>
      <w:tblGrid>
        <w:gridCol w:w="936"/>
        <w:gridCol w:w="3169"/>
        <w:gridCol w:w="2321"/>
        <w:gridCol w:w="3145"/>
      </w:tblGrid>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第一名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2" w:right="0"/>
              <w:jc w:val="left"/>
              <w:rPr>
                <w:rFonts w:ascii="Times New Roman" w:hAnsi="Times New Roman" w:cs="Times New Roman" w:eastAsia="Times New Roman" w:hint="default"/>
                <w:sz w:val="18"/>
                <w:szCs w:val="18"/>
              </w:rPr>
            </w:pPr>
            <w:r>
              <w:rPr>
                <w:rFonts w:ascii="Times New Roman"/>
                <w:sz w:val="18"/>
              </w:rPr>
              <w:t>163,673,198.96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9.72%</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第二名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2" w:right="0"/>
              <w:jc w:val="left"/>
              <w:rPr>
                <w:rFonts w:ascii="Times New Roman" w:hAnsi="Times New Roman" w:cs="Times New Roman" w:eastAsia="Times New Roman" w:hint="default"/>
                <w:sz w:val="18"/>
                <w:szCs w:val="18"/>
              </w:rPr>
            </w:pPr>
            <w:r>
              <w:rPr>
                <w:rFonts w:ascii="Times New Roman"/>
                <w:sz w:val="18"/>
              </w:rPr>
              <w:t>151,998,873.93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9.02%</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第三名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2" w:right="0"/>
              <w:jc w:val="left"/>
              <w:rPr>
                <w:rFonts w:ascii="Times New Roman" w:hAnsi="Times New Roman" w:cs="Times New Roman" w:eastAsia="Times New Roman" w:hint="default"/>
                <w:sz w:val="18"/>
                <w:szCs w:val="18"/>
              </w:rPr>
            </w:pPr>
            <w:r>
              <w:rPr>
                <w:rFonts w:ascii="Times New Roman"/>
                <w:sz w:val="18"/>
              </w:rPr>
              <w:t>120,960,563.91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7.18%</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第四名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96,813,517.55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5.75%</w:t>
            </w:r>
          </w:p>
        </w:tc>
      </w:tr>
      <w:tr>
        <w:trPr>
          <w:trHeight w:val="403"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第五名</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8" w:right="0"/>
              <w:jc w:val="left"/>
              <w:rPr>
                <w:rFonts w:ascii="Times New Roman" w:hAnsi="Times New Roman" w:cs="Times New Roman" w:eastAsia="Times New Roman" w:hint="default"/>
                <w:sz w:val="18"/>
                <w:szCs w:val="18"/>
              </w:rPr>
            </w:pPr>
            <w:r>
              <w:rPr>
                <w:rFonts w:ascii="Times New Roman"/>
                <w:sz w:val="18"/>
              </w:rPr>
              <w:t>87,775,288.93</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5.21%</w:t>
            </w:r>
          </w:p>
        </w:tc>
      </w:tr>
      <w:tr>
        <w:trPr>
          <w:trHeight w:val="401" w:hRule="exact"/>
        </w:trPr>
        <w:tc>
          <w:tcPr>
            <w:tcW w:w="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2" w:right="0"/>
              <w:jc w:val="left"/>
              <w:rPr>
                <w:rFonts w:ascii="Times New Roman" w:hAnsi="Times New Roman" w:cs="Times New Roman" w:eastAsia="Times New Roman" w:hint="default"/>
                <w:sz w:val="18"/>
                <w:szCs w:val="18"/>
              </w:rPr>
            </w:pPr>
            <w:r>
              <w:rPr>
                <w:rFonts w:ascii="Times New Roman"/>
                <w:sz w:val="18"/>
              </w:rPr>
              <w:t>621,221,443.28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36.87%</w:t>
            </w:r>
          </w:p>
        </w:tc>
      </w:tr>
    </w:tbl>
    <w:p>
      <w:pPr>
        <w:pStyle w:val="BodyText"/>
        <w:spacing w:line="240" w:lineRule="auto" w:before="49"/>
        <w:ind w:right="986"/>
        <w:jc w:val="left"/>
      </w:pPr>
      <w:r>
        <w:rPr/>
        <w:t>主要供应商其他情况说明</w:t>
      </w:r>
    </w:p>
    <w:p>
      <w:pPr>
        <w:pStyle w:val="BodyText"/>
        <w:spacing w:line="240" w:lineRule="auto" w:before="117"/>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107"/>
        <w:gridCol w:w="1462"/>
        <w:gridCol w:w="1477"/>
        <w:gridCol w:w="1181"/>
        <w:gridCol w:w="4345"/>
      </w:tblGrid>
      <w:tr>
        <w:trPr>
          <w:trHeight w:val="401" w:hRule="exact"/>
        </w:trPr>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5"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4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3" w:hRule="exact"/>
        </w:trPr>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17,749,668.04</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25,697,002.92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8" w:right="0"/>
              <w:jc w:val="left"/>
              <w:rPr>
                <w:rFonts w:ascii="Times New Roman" w:hAnsi="Times New Roman" w:cs="Times New Roman" w:eastAsia="Times New Roman" w:hint="default"/>
                <w:sz w:val="18"/>
                <w:szCs w:val="18"/>
              </w:rPr>
            </w:pPr>
            <w:r>
              <w:rPr>
                <w:rFonts w:ascii="Times New Roman"/>
                <w:sz w:val="18"/>
              </w:rPr>
              <w:t>-30.93%</w:t>
            </w:r>
          </w:p>
        </w:tc>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6" w:right="0"/>
              <w:jc w:val="center"/>
              <w:rPr>
                <w:rFonts w:ascii="宋体" w:hAnsi="宋体" w:cs="宋体" w:eastAsia="宋体" w:hint="default"/>
                <w:sz w:val="18"/>
                <w:szCs w:val="18"/>
              </w:rPr>
            </w:pPr>
            <w:r>
              <w:rPr>
                <w:rFonts w:ascii="宋体" w:hAnsi="宋体" w:cs="宋体" w:eastAsia="宋体" w:hint="default"/>
                <w:sz w:val="18"/>
                <w:szCs w:val="18"/>
              </w:rPr>
              <w:t>本报告期广告传媒等业务规模下降，营业收入减少，</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106"/>
        <w:gridCol w:w="1462"/>
        <w:gridCol w:w="1477"/>
        <w:gridCol w:w="1181"/>
        <w:gridCol w:w="4345"/>
      </w:tblGrid>
      <w:tr>
        <w:trPr>
          <w:trHeight w:val="363" w:hRule="exact"/>
        </w:trPr>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77" w:type="dxa"/>
            <w:tcBorders>
              <w:top w:val="single" w:sz="4" w:space="0" w:color="000000"/>
              <w:left w:val="single" w:sz="4" w:space="0" w:color="000000"/>
              <w:bottom w:val="single" w:sz="4" w:space="0" w:color="000000"/>
              <w:right w:val="single" w:sz="4" w:space="0" w:color="000000"/>
            </w:tcBorders>
          </w:tcPr>
          <w:p>
            <w:pPr/>
          </w:p>
        </w:tc>
        <w:tc>
          <w:tcPr>
            <w:tcW w:w="1181" w:type="dxa"/>
            <w:tcBorders>
              <w:top w:val="single" w:sz="4" w:space="0" w:color="000000"/>
              <w:left w:val="single" w:sz="4" w:space="0" w:color="000000"/>
              <w:bottom w:val="single" w:sz="4" w:space="0" w:color="000000"/>
              <w:right w:val="single" w:sz="4" w:space="0" w:color="000000"/>
            </w:tcBorders>
          </w:tcPr>
          <w:p>
            <w:pPr/>
          </w:p>
        </w:tc>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4" w:right="0"/>
              <w:jc w:val="center"/>
              <w:rPr>
                <w:rFonts w:ascii="宋体" w:hAnsi="宋体" w:cs="宋体" w:eastAsia="宋体" w:hint="default"/>
                <w:sz w:val="18"/>
                <w:szCs w:val="18"/>
              </w:rPr>
            </w:pPr>
            <w:r>
              <w:rPr>
                <w:rFonts w:ascii="宋体" w:hAnsi="宋体" w:cs="宋体" w:eastAsia="宋体" w:hint="default"/>
                <w:sz w:val="18"/>
                <w:szCs w:val="18"/>
              </w:rPr>
              <w:t>相应的销售费用减少。</w:t>
            </w:r>
          </w:p>
        </w:tc>
      </w:tr>
      <w:tr>
        <w:trPr>
          <w:trHeight w:val="401" w:hRule="exact"/>
        </w:trPr>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7"/>
              <w:jc w:val="right"/>
              <w:rPr>
                <w:rFonts w:ascii="宋体" w:hAnsi="宋体" w:cs="宋体" w:eastAsia="宋体" w:hint="default"/>
                <w:sz w:val="18"/>
                <w:szCs w:val="18"/>
              </w:rPr>
            </w:pPr>
            <w:r>
              <w:rPr>
                <w:rFonts w:ascii="宋体" w:hAnsi="宋体" w:cs="宋体" w:eastAsia="宋体" w:hint="default"/>
                <w:sz w:val="18"/>
                <w:szCs w:val="18"/>
              </w:rPr>
              <w:t>管理费用</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6"/>
              <w:jc w:val="right"/>
              <w:rPr>
                <w:rFonts w:ascii="Times New Roman" w:hAnsi="Times New Roman" w:cs="Times New Roman" w:eastAsia="Times New Roman" w:hint="default"/>
                <w:sz w:val="18"/>
                <w:szCs w:val="18"/>
              </w:rPr>
            </w:pPr>
            <w:r>
              <w:rPr>
                <w:rFonts w:ascii="Times New Roman"/>
                <w:spacing w:val="-1"/>
                <w:sz w:val="18"/>
              </w:rPr>
              <w:t>54,571,604.50</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63,457,174.52</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-14.00%</w:t>
            </w:r>
          </w:p>
        </w:tc>
        <w:tc>
          <w:tcPr>
            <w:tcW w:w="434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87"/>
              <w:jc w:val="right"/>
              <w:rPr>
                <w:rFonts w:ascii="宋体" w:hAnsi="宋体" w:cs="宋体" w:eastAsia="宋体" w:hint="default"/>
                <w:sz w:val="18"/>
                <w:szCs w:val="18"/>
              </w:rPr>
            </w:pPr>
            <w:r>
              <w:rPr>
                <w:rFonts w:ascii="宋体" w:hAnsi="宋体" w:cs="宋体" w:eastAsia="宋体" w:hint="default"/>
                <w:sz w:val="18"/>
                <w:szCs w:val="18"/>
              </w:rPr>
              <w:t>财务费用</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5"/>
              <w:jc w:val="right"/>
              <w:rPr>
                <w:rFonts w:ascii="Times New Roman" w:hAnsi="Times New Roman" w:cs="Times New Roman" w:eastAsia="Times New Roman" w:hint="default"/>
                <w:sz w:val="18"/>
                <w:szCs w:val="18"/>
              </w:rPr>
            </w:pPr>
            <w:r>
              <w:rPr>
                <w:rFonts w:ascii="Times New Roman"/>
                <w:spacing w:val="-1"/>
                <w:sz w:val="18"/>
              </w:rPr>
              <w:t>-26,482,640.06</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-50,715,132.63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-47.78%</w:t>
            </w:r>
          </w:p>
        </w:tc>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89" w:right="183"/>
              <w:jc w:val="left"/>
              <w:rPr>
                <w:rFonts w:ascii="宋体" w:hAnsi="宋体" w:cs="宋体" w:eastAsia="宋体" w:hint="default"/>
                <w:sz w:val="18"/>
                <w:szCs w:val="18"/>
              </w:rPr>
            </w:pPr>
            <w:r>
              <w:rPr>
                <w:rFonts w:ascii="宋体" w:hAnsi="宋体" w:cs="宋体" w:eastAsia="宋体" w:hint="default"/>
                <w:sz w:val="18"/>
                <w:szCs w:val="18"/>
              </w:rPr>
              <w:t>本报告期公司基于发展需要公司将更多资金用于业 务经营，资金平均余额减少，存款利息收入减少。</w:t>
            </w:r>
          </w:p>
        </w:tc>
      </w:tr>
      <w:tr>
        <w:trPr>
          <w:trHeight w:val="401" w:hRule="exact"/>
        </w:trPr>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87"/>
              <w:jc w:val="right"/>
              <w:rPr>
                <w:rFonts w:ascii="宋体" w:hAnsi="宋体" w:cs="宋体" w:eastAsia="宋体" w:hint="default"/>
                <w:sz w:val="18"/>
                <w:szCs w:val="18"/>
              </w:rPr>
            </w:pPr>
            <w:r>
              <w:rPr>
                <w:rFonts w:ascii="宋体" w:hAnsi="宋体" w:cs="宋体" w:eastAsia="宋体" w:hint="default"/>
                <w:sz w:val="18"/>
                <w:szCs w:val="18"/>
              </w:rPr>
              <w:t>研发费用</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9"/>
              <w:jc w:val="right"/>
              <w:rPr>
                <w:rFonts w:ascii="Times New Roman" w:hAnsi="Times New Roman" w:cs="Times New Roman" w:eastAsia="Times New Roman" w:hint="default"/>
                <w:sz w:val="18"/>
                <w:szCs w:val="18"/>
              </w:rPr>
            </w:pPr>
            <w:r>
              <w:rPr>
                <w:rFonts w:ascii="Times New Roman"/>
                <w:spacing w:val="-1"/>
                <w:sz w:val="18"/>
              </w:rPr>
              <w:t>1,994,900.25</w:t>
            </w:r>
          </w:p>
        </w:tc>
        <w:tc>
          <w:tcPr>
            <w:tcW w:w="14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7,720,025.93</w:t>
            </w:r>
          </w:p>
        </w:tc>
        <w:tc>
          <w:tcPr>
            <w:tcW w:w="11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-74.16%</w:t>
            </w:r>
          </w:p>
        </w:tc>
        <w:tc>
          <w:tcPr>
            <w:tcW w:w="4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 w:right="0"/>
              <w:jc w:val="center"/>
              <w:rPr>
                <w:rFonts w:ascii="宋体" w:hAnsi="宋体" w:cs="宋体" w:eastAsia="宋体" w:hint="default"/>
                <w:sz w:val="18"/>
                <w:szCs w:val="18"/>
              </w:rPr>
            </w:pPr>
            <w:r>
              <w:rPr>
                <w:rFonts w:ascii="宋体" w:hAnsi="宋体" w:cs="宋体" w:eastAsia="宋体" w:hint="default"/>
                <w:sz w:val="18"/>
                <w:szCs w:val="18"/>
              </w:rPr>
              <w:t>部分研发项目上期已完成，本报告期研发开支减少。</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807"/>
        <w:gridCol w:w="2525"/>
        <w:gridCol w:w="2528"/>
        <w:gridCol w:w="1711"/>
      </w:tblGrid>
      <w:tr>
        <w:trPr>
          <w:trHeight w:val="403" w:hRule="exact"/>
        </w:trPr>
        <w:tc>
          <w:tcPr>
            <w:tcW w:w="2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2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2,116,719,779.40</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2,755,790,559.73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-23.19%</w:t>
            </w:r>
          </w:p>
        </w:tc>
      </w:tr>
      <w:tr>
        <w:trPr>
          <w:trHeight w:val="403" w:hRule="exact"/>
        </w:trPr>
        <w:tc>
          <w:tcPr>
            <w:tcW w:w="2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2,694,202,523.43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3,405,677,243.93</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-20.89%</w:t>
            </w:r>
          </w:p>
        </w:tc>
      </w:tr>
      <w:tr>
        <w:trPr>
          <w:trHeight w:val="401" w:hRule="exact"/>
        </w:trPr>
        <w:tc>
          <w:tcPr>
            <w:tcW w:w="2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-577,482,744.03</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-649,886,684.20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11.14%</w:t>
            </w:r>
          </w:p>
        </w:tc>
      </w:tr>
      <w:tr>
        <w:trPr>
          <w:trHeight w:val="403" w:hRule="exact"/>
        </w:trPr>
        <w:tc>
          <w:tcPr>
            <w:tcW w:w="2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2,012,803,149.78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3,146,714,669.07</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-36.03%</w:t>
            </w:r>
          </w:p>
        </w:tc>
      </w:tr>
      <w:tr>
        <w:trPr>
          <w:trHeight w:val="401" w:hRule="exact"/>
        </w:trPr>
        <w:tc>
          <w:tcPr>
            <w:tcW w:w="2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1,934,216,362.29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2,811,288,382.19</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-31.20%</w:t>
            </w:r>
          </w:p>
        </w:tc>
      </w:tr>
      <w:tr>
        <w:trPr>
          <w:trHeight w:val="403" w:hRule="exact"/>
        </w:trPr>
        <w:tc>
          <w:tcPr>
            <w:tcW w:w="2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78,586,787.49</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335,426,286.88</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-76.57%</w:t>
            </w:r>
          </w:p>
        </w:tc>
      </w:tr>
      <w:tr>
        <w:trPr>
          <w:trHeight w:val="401" w:hRule="exact"/>
        </w:trPr>
        <w:tc>
          <w:tcPr>
            <w:tcW w:w="2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525" w:type="dxa"/>
            <w:tcBorders>
              <w:top w:val="single" w:sz="4" w:space="0" w:color="000000"/>
              <w:left w:val="single" w:sz="4" w:space="0" w:color="000000"/>
              <w:bottom w:val="single" w:sz="4" w:space="0" w:color="000000"/>
              <w:right w:val="single" w:sz="4" w:space="0" w:color="000000"/>
            </w:tcBorders>
          </w:tcPr>
          <w:p>
            <w:pP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22,022,955.56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3" w:hRule="exact"/>
        </w:trPr>
        <w:tc>
          <w:tcPr>
            <w:tcW w:w="2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22,579,585.98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221,706,294.06</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-89.82%</w:t>
            </w:r>
          </w:p>
        </w:tc>
      </w:tr>
      <w:tr>
        <w:trPr>
          <w:trHeight w:val="401" w:hRule="exact"/>
        </w:trPr>
        <w:tc>
          <w:tcPr>
            <w:tcW w:w="2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-22,579,585.98</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-199,683,338.50</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88.69%</w:t>
            </w:r>
          </w:p>
        </w:tc>
      </w:tr>
      <w:tr>
        <w:trPr>
          <w:trHeight w:val="403" w:hRule="exact"/>
        </w:trPr>
        <w:tc>
          <w:tcPr>
            <w:tcW w:w="28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-521,475,542.52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-514,143,735.82</w:t>
            </w:r>
          </w:p>
        </w:tc>
        <w:tc>
          <w:tcPr>
            <w:tcW w:w="17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1.43%</w:t>
            </w:r>
          </w:p>
        </w:tc>
      </w:tr>
    </w:tbl>
    <w:p>
      <w:pPr>
        <w:pStyle w:val="BodyText"/>
        <w:spacing w:line="240" w:lineRule="auto" w:before="49"/>
        <w:ind w:right="986"/>
        <w:jc w:val="left"/>
      </w:pPr>
      <w:r>
        <w:rPr/>
        <w:t>相关数据同比发生重大变动的主要影响因素说明</w:t>
      </w:r>
    </w:p>
    <w:p>
      <w:pPr>
        <w:pStyle w:val="BodyText"/>
        <w:spacing w:line="338" w:lineRule="auto" w:before="115"/>
        <w:ind w:right="1124"/>
        <w:jc w:val="left"/>
      </w:pPr>
      <w:r>
        <w:rPr/>
        <w:t>√ 适用 □</w:t>
      </w:r>
      <w:r>
        <w:rPr>
          <w:spacing w:val="3"/>
        </w:rPr>
        <w:t> </w:t>
      </w:r>
      <w:r>
        <w:rPr/>
        <w:t>不适用</w:t>
      </w:r>
      <w:r>
        <w:rPr/>
        <w:t> 本报告期投资活动产生的现金流量净额为</w:t>
      </w:r>
      <w:r>
        <w:rPr>
          <w:rFonts w:ascii="宋体" w:hAnsi="宋体" w:cs="宋体" w:eastAsia="宋体" w:hint="default"/>
        </w:rPr>
        <w:t>78,586,787.49</w:t>
      </w:r>
      <w:r>
        <w:rPr/>
        <w:t>元，较上年减少</w:t>
      </w:r>
      <w:r>
        <w:rPr>
          <w:rFonts w:ascii="宋体" w:hAnsi="宋体" w:cs="宋体" w:eastAsia="宋体" w:hint="default"/>
        </w:rPr>
        <w:t>76.57%</w:t>
      </w:r>
      <w:r>
        <w:rPr/>
        <w:t>，主要原因为：上年度收回前期银行理财产 品投资款，导致上年度投资活动现金净流入金额较大。</w:t>
      </w:r>
    </w:p>
    <w:p>
      <w:pPr>
        <w:pStyle w:val="BodyText"/>
        <w:spacing w:line="316" w:lineRule="auto" w:before="2"/>
        <w:ind w:right="1214"/>
        <w:jc w:val="left"/>
      </w:pPr>
      <w:r>
        <w:rPr/>
        <w:t>本报告期筹资活动产生的现金流量净额为</w:t>
      </w:r>
      <w:r>
        <w:rPr>
          <w:rFonts w:ascii="宋体" w:hAnsi="宋体" w:cs="宋体" w:eastAsia="宋体" w:hint="default"/>
        </w:rPr>
        <w:t>-22,579,585.98</w:t>
      </w:r>
      <w:r>
        <w:rPr/>
        <w:t>元，较上年增加</w:t>
      </w:r>
      <w:r>
        <w:rPr>
          <w:rFonts w:ascii="宋体" w:hAnsi="宋体" w:cs="宋体" w:eastAsia="宋体" w:hint="default"/>
        </w:rPr>
        <w:t>88.69%</w:t>
      </w:r>
      <w:r>
        <w:rPr/>
        <w:t>，主要原因为：上期发放普通股股利</w:t>
      </w:r>
      <w:r>
        <w:rPr>
          <w:rFonts w:ascii="宋体" w:hAnsi="宋体" w:cs="宋体" w:eastAsia="宋体" w:hint="default"/>
        </w:rPr>
        <w:t>2.09 </w:t>
      </w:r>
      <w:r>
        <w:rPr/>
        <w:t>亿元，本期未发生。</w:t>
      </w:r>
    </w:p>
    <w:p>
      <w:pPr>
        <w:pStyle w:val="BodyText"/>
        <w:spacing w:line="240" w:lineRule="auto" w:before="60"/>
        <w:ind w:right="986"/>
        <w:jc w:val="left"/>
      </w:pPr>
      <w:r>
        <w:rPr/>
        <w:t>报告期内公司经营活动产生的现金净流量与本年度净利润存在重大差异的原因说明</w:t>
      </w:r>
    </w:p>
    <w:p>
      <w:pPr>
        <w:pStyle w:val="BodyText"/>
        <w:spacing w:line="338" w:lineRule="auto" w:before="115"/>
        <w:ind w:right="986"/>
        <w:jc w:val="left"/>
      </w:pPr>
      <w:r>
        <w:rPr/>
        <w:t>√ 适用 □</w:t>
      </w:r>
      <w:r>
        <w:rPr>
          <w:spacing w:val="3"/>
        </w:rPr>
        <w:t> </w:t>
      </w:r>
      <w:r>
        <w:rPr/>
        <w:t>不适用</w:t>
      </w:r>
      <w:r>
        <w:rPr/>
        <w:t> </w:t>
      </w:r>
      <w:r>
        <w:rPr>
          <w:spacing w:val="-4"/>
        </w:rPr>
        <w:t>报告期内公司经营活动产生的现金净流量与本年度净利润存在差异主要原因为：报告期内相关经营业务规模增加，投入增加，</w:t>
      </w:r>
      <w:r>
        <w:rPr>
          <w:spacing w:val="-44"/>
        </w:rPr>
        <w:t> </w:t>
      </w:r>
      <w:r>
        <w:rPr>
          <w:spacing w:val="-44"/>
        </w:rPr>
      </w:r>
      <w:r>
        <w:rPr/>
        <w:t>经营现金流出增加，现金流及利润确认时间差异导致经营活动产生的净流量与本年度净利润存在差异。</w:t>
      </w:r>
    </w:p>
    <w:p>
      <w:pPr>
        <w:spacing w:line="240" w:lineRule="auto" w:before="8"/>
        <w:rPr>
          <w:rFonts w:ascii="宋体" w:hAnsi="宋体" w:cs="宋体" w:eastAsia="宋体" w:hint="default"/>
          <w:sz w:val="19"/>
          <w:szCs w:val="19"/>
        </w:rPr>
      </w:pPr>
    </w:p>
    <w:p>
      <w:pPr>
        <w:pStyle w:val="Heading2"/>
        <w:spacing w:line="240" w:lineRule="auto"/>
        <w:ind w:right="986"/>
        <w:jc w:val="left"/>
        <w:rPr>
          <w:b w:val="0"/>
          <w:bCs w:val="0"/>
        </w:rPr>
      </w:pPr>
      <w:bookmarkStart w:name="三、非主营业务分析" w:id="40"/>
      <w:bookmarkEnd w:id="40"/>
      <w:r>
        <w:rPr>
          <w:b w:val="0"/>
          <w:bCs w:val="0"/>
        </w:rPr>
      </w:r>
      <w:r>
        <w:rPr/>
        <w:t>三、非主营业务分析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 适用 □</w:t>
      </w:r>
      <w:r>
        <w:rPr>
          <w:spacing w:val="3"/>
        </w:rPr>
        <w:t> </w:t>
      </w:r>
      <w:r>
        <w:rPr/>
        <w:t>不适用</w:t>
      </w:r>
    </w:p>
    <w:p>
      <w:pPr>
        <w:pStyle w:val="BodyText"/>
        <w:spacing w:line="240" w:lineRule="auto" w:before="117"/>
        <w:ind w:left="0" w:right="1131"/>
        <w:jc w:val="right"/>
      </w:pPr>
      <w:r>
        <w:rPr/>
        <w:t>单位：元</w:t>
      </w:r>
    </w:p>
    <w:p>
      <w:pPr>
        <w:spacing w:after="0" w:line="240" w:lineRule="auto"/>
        <w:jc w:val="righ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24"/>
        <w:gridCol w:w="1681"/>
        <w:gridCol w:w="1507"/>
        <w:gridCol w:w="3157"/>
        <w:gridCol w:w="1702"/>
      </w:tblGrid>
      <w:tr>
        <w:trPr>
          <w:trHeight w:val="401"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占利润总额比例</w:t>
            </w:r>
          </w:p>
        </w:tc>
        <w:tc>
          <w:tcPr>
            <w:tcW w:w="3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4"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投资收益</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39,648,752.93</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26.95%</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314" w:right="132" w:hanging="180"/>
              <w:jc w:val="left"/>
              <w:rPr>
                <w:rFonts w:ascii="宋体" w:hAnsi="宋体" w:cs="宋体" w:eastAsia="宋体" w:hint="default"/>
                <w:sz w:val="18"/>
                <w:szCs w:val="18"/>
              </w:rPr>
            </w:pPr>
            <w:r>
              <w:rPr>
                <w:rFonts w:ascii="宋体" w:hAnsi="宋体" w:cs="宋体" w:eastAsia="宋体" w:hint="default"/>
                <w:sz w:val="18"/>
                <w:szCs w:val="18"/>
              </w:rPr>
              <w:t>主要系报告期内处置子公司视科传媒 产生约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3,772.10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万元投资收益。</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资产减值</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-40,096,132.05</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-27.25%</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14" w:right="132" w:hanging="1081"/>
              <w:jc w:val="left"/>
              <w:rPr>
                <w:rFonts w:ascii="宋体" w:hAnsi="宋体" w:cs="宋体" w:eastAsia="宋体" w:hint="default"/>
                <w:sz w:val="18"/>
                <w:szCs w:val="18"/>
              </w:rPr>
            </w:pPr>
            <w:r>
              <w:rPr>
                <w:rFonts w:ascii="宋体" w:hAnsi="宋体" w:cs="宋体" w:eastAsia="宋体" w:hint="default"/>
                <w:sz w:val="18"/>
                <w:szCs w:val="18"/>
              </w:rPr>
              <w:t>本报告期未发生商誉减值及其他资产 重大减值</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50,845,494.94</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34.56%</w:t>
            </w:r>
          </w:p>
        </w:tc>
        <w:tc>
          <w:tcPr>
            <w:tcW w:w="315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4" w:right="132" w:hanging="901"/>
              <w:jc w:val="left"/>
              <w:rPr>
                <w:rFonts w:ascii="宋体" w:hAnsi="宋体" w:cs="宋体" w:eastAsia="宋体" w:hint="default"/>
                <w:sz w:val="18"/>
                <w:szCs w:val="18"/>
              </w:rPr>
            </w:pPr>
            <w:r>
              <w:rPr>
                <w:rFonts w:ascii="宋体" w:hAnsi="宋体" w:cs="宋体" w:eastAsia="宋体" w:hint="default"/>
                <w:sz w:val="18"/>
                <w:szCs w:val="18"/>
              </w:rPr>
              <w:t>主要系报告期内发生子公司视科传媒 原股东补偿款</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1"/>
        <w:rPr>
          <w:rFonts w:ascii="宋体" w:hAnsi="宋体" w:cs="宋体" w:eastAsia="宋体" w:hint="default"/>
          <w:sz w:val="18"/>
          <w:szCs w:val="18"/>
        </w:rPr>
      </w:pPr>
    </w:p>
    <w:p>
      <w:pPr>
        <w:pStyle w:val="Heading2"/>
        <w:spacing w:line="240" w:lineRule="auto" w:before="26"/>
        <w:ind w:right="986"/>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240" w:lineRule="auto"/>
        <w:ind w:right="-17"/>
        <w:jc w:val="left"/>
      </w:pPr>
      <w:r>
        <w:rPr/>
        <w:t>公司</w:t>
      </w:r>
      <w:r>
        <w:rPr>
          <w:spacing w:val="-46"/>
        </w:rPr>
        <w:t> </w:t>
      </w:r>
      <w:r>
        <w:rPr>
          <w:rFonts w:ascii="Times New Roman" w:hAnsi="Times New Roman" w:cs="Times New Roman" w:eastAsia="Times New Roman" w:hint="default"/>
        </w:rPr>
        <w:t>2019 </w:t>
      </w:r>
      <w:r>
        <w:rPr/>
        <w:t>年起首次执行新金融工具准则、新收入准则或新租赁准则且调整执行当年年初财务报表相关项目</w:t>
      </w:r>
    </w:p>
    <w:p>
      <w:pPr>
        <w:pStyle w:val="BodyText"/>
        <w:spacing w:line="240" w:lineRule="auto" w:before="103"/>
        <w:ind w:right="-17"/>
        <w:jc w:val="left"/>
      </w:pPr>
      <w:r>
        <w:rPr/>
        <w:t>√ 适用 □</w:t>
      </w:r>
      <w:r>
        <w:rPr>
          <w:spacing w:val="3"/>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100" w:bottom="1220" w:left="1020" w:right="0"/>
          <w:cols w:num="2" w:equalWidth="0">
            <w:col w:w="8485" w:space="435"/>
            <w:col w:w="1970"/>
          </w:cols>
        </w:sectPr>
      </w:pP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16"/>
        <w:gridCol w:w="960"/>
        <w:gridCol w:w="1345"/>
        <w:gridCol w:w="1073"/>
        <w:gridCol w:w="1308"/>
        <w:gridCol w:w="1006"/>
        <w:gridCol w:w="2864"/>
      </w:tblGrid>
      <w:tr>
        <w:trPr>
          <w:trHeight w:val="403" w:hRule="exact"/>
        </w:trPr>
        <w:tc>
          <w:tcPr>
            <w:tcW w:w="1016" w:type="dxa"/>
            <w:vMerge w:val="restart"/>
            <w:tcBorders>
              <w:top w:val="single" w:sz="4" w:space="0" w:color="000000"/>
              <w:left w:val="single" w:sz="4" w:space="0" w:color="000000"/>
              <w:right w:val="single" w:sz="4" w:space="0" w:color="000000"/>
            </w:tcBorders>
            <w:shd w:val="clear" w:color="auto" w:fill="D2D2D2"/>
          </w:tcPr>
          <w:p>
            <w:pPr/>
          </w:p>
        </w:tc>
        <w:tc>
          <w:tcPr>
            <w:tcW w:w="230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3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年初</w:t>
            </w:r>
          </w:p>
        </w:tc>
        <w:tc>
          <w:tcPr>
            <w:tcW w:w="10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8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88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1" w:hRule="exact"/>
        </w:trPr>
        <w:tc>
          <w:tcPr>
            <w:tcW w:w="1016" w:type="dxa"/>
            <w:vMerge/>
            <w:tcBorders>
              <w:left w:val="single" w:sz="4" w:space="0" w:color="000000"/>
              <w:bottom w:val="single" w:sz="4" w:space="0" w:color="000000"/>
              <w:right w:val="single" w:sz="4" w:space="0" w:color="000000"/>
            </w:tcBorders>
            <w:shd w:val="clear" w:color="auto" w:fill="D2D2D2"/>
          </w:tcPr>
          <w:p>
            <w:pP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6"/>
              <w:jc w:val="right"/>
              <w:rPr>
                <w:rFonts w:ascii="宋体" w:hAnsi="宋体" w:cs="宋体" w:eastAsia="宋体" w:hint="default"/>
                <w:sz w:val="18"/>
                <w:szCs w:val="18"/>
              </w:rPr>
            </w:pPr>
            <w:r>
              <w:rPr>
                <w:rFonts w:ascii="宋体" w:hAnsi="宋体" w:cs="宋体" w:eastAsia="宋体" w:hint="default"/>
                <w:sz w:val="18"/>
                <w:szCs w:val="18"/>
              </w:rPr>
              <w:t>占总资产比例</w:t>
            </w:r>
          </w:p>
        </w:tc>
        <w:tc>
          <w:tcPr>
            <w:tcW w:w="1006" w:type="dxa"/>
            <w:vMerge/>
            <w:tcBorders>
              <w:left w:val="single" w:sz="4" w:space="0" w:color="000000"/>
              <w:bottom w:val="single" w:sz="4" w:space="0" w:color="000000"/>
              <w:right w:val="single" w:sz="4" w:space="0" w:color="000000"/>
            </w:tcBorders>
            <w:shd w:val="clear" w:color="auto" w:fill="D2D2D2"/>
          </w:tcPr>
          <w:p>
            <w:pPr/>
          </w:p>
        </w:tc>
        <w:tc>
          <w:tcPr>
            <w:tcW w:w="2864" w:type="dxa"/>
            <w:vMerge/>
            <w:tcBorders>
              <w:left w:val="single" w:sz="4" w:space="0" w:color="000000"/>
              <w:bottom w:val="single" w:sz="4" w:space="0" w:color="000000"/>
              <w:right w:val="single" w:sz="4" w:space="0" w:color="000000"/>
            </w:tcBorders>
            <w:shd w:val="clear" w:color="auto" w:fill="D2D2D2"/>
          </w:tcPr>
          <w:p>
            <w:pPr/>
          </w:p>
        </w:tc>
      </w:tr>
      <w:tr>
        <w:trPr>
          <w:trHeight w:val="888" w:hRule="exact"/>
        </w:trPr>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4" w:right="0"/>
              <w:jc w:val="center"/>
              <w:rPr>
                <w:rFonts w:ascii="Times New Roman" w:hAnsi="Times New Roman" w:cs="Times New Roman" w:eastAsia="Times New Roman" w:hint="default"/>
                <w:sz w:val="18"/>
                <w:szCs w:val="18"/>
              </w:rPr>
            </w:pPr>
            <w:r>
              <w:rPr>
                <w:rFonts w:ascii="Times New Roman"/>
                <w:sz w:val="18"/>
              </w:rPr>
              <w:t>1,195,490</w:t>
            </w:r>
          </w:p>
          <w:p>
            <w:pPr>
              <w:pStyle w:val="TableParagraph"/>
              <w:spacing w:line="240" w:lineRule="auto" w:before="102"/>
              <w:ind w:left="204" w:right="0"/>
              <w:jc w:val="center"/>
              <w:rPr>
                <w:rFonts w:ascii="Times New Roman" w:hAnsi="Times New Roman" w:cs="Times New Roman" w:eastAsia="Times New Roman" w:hint="default"/>
                <w:sz w:val="18"/>
                <w:szCs w:val="18"/>
              </w:rPr>
            </w:pPr>
            <w:r>
              <w:rPr>
                <w:rFonts w:ascii="Times New Roman"/>
                <w:sz w:val="18"/>
              </w:rPr>
              <w:t>,346.92</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40.98%</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1,386,748,4</w:t>
            </w:r>
          </w:p>
          <w:p>
            <w:pPr>
              <w:pStyle w:val="TableParagraph"/>
              <w:spacing w:line="240" w:lineRule="auto" w:before="102"/>
              <w:ind w:left="554" w:right="0"/>
              <w:jc w:val="left"/>
              <w:rPr>
                <w:rFonts w:ascii="Times New Roman" w:hAnsi="Times New Roman" w:cs="Times New Roman" w:eastAsia="Times New Roman" w:hint="default"/>
                <w:sz w:val="18"/>
                <w:szCs w:val="18"/>
              </w:rPr>
            </w:pPr>
            <w:r>
              <w:rPr>
                <w:rFonts w:ascii="Times New Roman"/>
                <w:sz w:val="18"/>
              </w:rPr>
              <w:t>63.69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45.71%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-4.73%</w:t>
            </w: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300,434,1</w:t>
            </w:r>
          </w:p>
          <w:p>
            <w:pPr>
              <w:pStyle w:val="TableParagraph"/>
              <w:spacing w:line="240" w:lineRule="auto" w:before="105"/>
              <w:ind w:left="441" w:right="0"/>
              <w:jc w:val="left"/>
              <w:rPr>
                <w:rFonts w:ascii="Times New Roman" w:hAnsi="Times New Roman" w:cs="Times New Roman" w:eastAsia="Times New Roman" w:hint="default"/>
                <w:sz w:val="18"/>
                <w:szCs w:val="18"/>
              </w:rPr>
            </w:pPr>
            <w:r>
              <w:rPr>
                <w:rFonts w:ascii="Times New Roman"/>
                <w:sz w:val="18"/>
              </w:rPr>
              <w:t>38.05</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10.30%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555,647,88</w:t>
            </w:r>
          </w:p>
          <w:p>
            <w:pPr>
              <w:pStyle w:val="TableParagraph"/>
              <w:spacing w:line="240" w:lineRule="auto" w:before="105"/>
              <w:ind w:left="645" w:right="0"/>
              <w:jc w:val="left"/>
              <w:rPr>
                <w:rFonts w:ascii="Times New Roman" w:hAnsi="Times New Roman" w:cs="Times New Roman" w:eastAsia="Times New Roman" w:hint="default"/>
                <w:sz w:val="18"/>
                <w:szCs w:val="18"/>
              </w:rPr>
            </w:pPr>
            <w:r>
              <w:rPr>
                <w:rFonts w:ascii="Times New Roman"/>
                <w:sz w:val="18"/>
              </w:rPr>
              <w:t>2.09</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18.32%</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-8.02%</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46"/>
              <w:jc w:val="left"/>
              <w:rPr>
                <w:rFonts w:ascii="宋体" w:hAnsi="宋体" w:cs="宋体" w:eastAsia="宋体" w:hint="default"/>
                <w:sz w:val="18"/>
                <w:szCs w:val="18"/>
              </w:rPr>
            </w:pPr>
            <w:r>
              <w:rPr>
                <w:rFonts w:ascii="宋体" w:hAnsi="宋体" w:cs="宋体" w:eastAsia="宋体" w:hint="default"/>
                <w:sz w:val="18"/>
                <w:szCs w:val="18"/>
              </w:rPr>
              <w:t>本报告期末应收账款减少主要原 因系公司加强了应收账款回收管 理以及转让子公司视科传媒所致。</w:t>
            </w:r>
          </w:p>
        </w:tc>
      </w:tr>
      <w:tr>
        <w:trPr>
          <w:trHeight w:val="1025" w:hRule="exact"/>
        </w:trPr>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64,055,06</w:t>
            </w:r>
          </w:p>
          <w:p>
            <w:pPr>
              <w:pStyle w:val="TableParagraph"/>
              <w:spacing w:line="240" w:lineRule="auto" w:before="105"/>
              <w:ind w:left="532" w:right="0"/>
              <w:jc w:val="left"/>
              <w:rPr>
                <w:rFonts w:ascii="Times New Roman" w:hAnsi="Times New Roman" w:cs="Times New Roman" w:eastAsia="Times New Roman" w:hint="default"/>
                <w:sz w:val="18"/>
                <w:szCs w:val="18"/>
              </w:rPr>
            </w:pPr>
            <w:r>
              <w:rPr>
                <w:rFonts w:ascii="Times New Roman"/>
                <w:sz w:val="18"/>
              </w:rPr>
              <w:t>7.63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2.20%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112,261,86</w:t>
            </w:r>
          </w:p>
          <w:p>
            <w:pPr>
              <w:pStyle w:val="TableParagraph"/>
              <w:spacing w:line="240" w:lineRule="auto" w:before="105"/>
              <w:ind w:left="645" w:right="0"/>
              <w:jc w:val="left"/>
              <w:rPr>
                <w:rFonts w:ascii="Times New Roman" w:hAnsi="Times New Roman" w:cs="Times New Roman" w:eastAsia="Times New Roman" w:hint="default"/>
                <w:sz w:val="18"/>
                <w:szCs w:val="18"/>
              </w:rPr>
            </w:pPr>
            <w:r>
              <w:rPr>
                <w:rFonts w:ascii="Times New Roman"/>
                <w:sz w:val="18"/>
              </w:rPr>
              <w:t>5.17</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3.70%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-1.50%</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26"/>
              <w:jc w:val="both"/>
              <w:rPr>
                <w:rFonts w:ascii="宋体" w:hAnsi="宋体" w:cs="宋体" w:eastAsia="宋体" w:hint="default"/>
                <w:sz w:val="18"/>
                <w:szCs w:val="18"/>
              </w:rPr>
            </w:pPr>
            <w:r>
              <w:rPr>
                <w:rFonts w:ascii="宋体" w:hAnsi="宋体" w:cs="宋体" w:eastAsia="宋体" w:hint="default"/>
                <w:sz w:val="18"/>
                <w:szCs w:val="18"/>
              </w:rPr>
              <w:t>本报告期末公司存货减少主要原 因系本报告期内加强存货管理及 周转，期末存货减少。</w:t>
            </w:r>
          </w:p>
        </w:tc>
      </w:tr>
      <w:tr>
        <w:trPr>
          <w:trHeight w:val="1015" w:hRule="exact"/>
        </w:trPr>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316" w:lineRule="auto"/>
              <w:ind w:left="103" w:right="180"/>
              <w:jc w:val="left"/>
              <w:rPr>
                <w:rFonts w:ascii="宋体" w:hAnsi="宋体" w:cs="宋体" w:eastAsia="宋体" w:hint="default"/>
                <w:sz w:val="18"/>
                <w:szCs w:val="18"/>
              </w:rPr>
            </w:pPr>
            <w:r>
              <w:rPr>
                <w:rFonts w:ascii="宋体" w:hAnsi="宋体" w:cs="宋体" w:eastAsia="宋体" w:hint="default"/>
                <w:sz w:val="18"/>
                <w:szCs w:val="18"/>
              </w:rPr>
              <w:t>投资性房 地产</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8,611,907</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.96</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0.30%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9,088,952.4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0.30%</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2864"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7" w:right="0"/>
              <w:jc w:val="left"/>
              <w:rPr>
                <w:rFonts w:ascii="Times New Roman" w:hAnsi="Times New Roman" w:cs="Times New Roman" w:eastAsia="Times New Roman" w:hint="default"/>
                <w:sz w:val="18"/>
                <w:szCs w:val="18"/>
              </w:rPr>
            </w:pPr>
            <w:r>
              <w:rPr>
                <w:rFonts w:ascii="Times New Roman"/>
                <w:sz w:val="18"/>
              </w:rPr>
              <w:t>1,474,186</w:t>
            </w:r>
          </w:p>
          <w:p>
            <w:pPr>
              <w:pStyle w:val="TableParagraph"/>
              <w:spacing w:line="240" w:lineRule="auto" w:before="105"/>
              <w:ind w:left="621" w:right="0"/>
              <w:jc w:val="left"/>
              <w:rPr>
                <w:rFonts w:ascii="Times New Roman" w:hAnsi="Times New Roman" w:cs="Times New Roman" w:eastAsia="Times New Roman" w:hint="default"/>
                <w:sz w:val="18"/>
                <w:szCs w:val="18"/>
              </w:rPr>
            </w:pPr>
            <w:r>
              <w:rPr>
                <w:rFonts w:ascii="Times New Roman"/>
                <w:sz w:val="18"/>
              </w:rPr>
              <w:t>.43</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57,977,267.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78</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1.91%</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-1.86%</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226"/>
              <w:jc w:val="both"/>
              <w:rPr>
                <w:rFonts w:ascii="宋体" w:hAnsi="宋体" w:cs="宋体" w:eastAsia="宋体" w:hint="default"/>
                <w:sz w:val="18"/>
                <w:szCs w:val="18"/>
              </w:rPr>
            </w:pPr>
            <w:r>
              <w:rPr>
                <w:rFonts w:ascii="宋体" w:hAnsi="宋体" w:cs="宋体" w:eastAsia="宋体" w:hint="default"/>
                <w:sz w:val="18"/>
                <w:szCs w:val="18"/>
              </w:rPr>
              <w:t>本报告期末固定资产减少主要原 因系公司于报告期内转让拥有运 营设备等较多固定资产的子公司 视科传媒所致。</w:t>
            </w:r>
          </w:p>
        </w:tc>
      </w:tr>
      <w:tr>
        <w:trPr>
          <w:trHeight w:val="878" w:hRule="exact"/>
        </w:trPr>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960" w:type="dxa"/>
            <w:tcBorders>
              <w:top w:val="single" w:sz="4" w:space="0" w:color="000000"/>
              <w:left w:val="single" w:sz="4" w:space="0" w:color="000000"/>
              <w:bottom w:val="single" w:sz="4" w:space="0" w:color="000000"/>
              <w:right w:val="single" w:sz="4" w:space="0" w:color="000000"/>
            </w:tcBorders>
          </w:tcPr>
          <w:p>
            <w:pPr/>
          </w:p>
        </w:tc>
        <w:tc>
          <w:tcPr>
            <w:tcW w:w="1345" w:type="dxa"/>
            <w:tcBorders>
              <w:top w:val="single" w:sz="4" w:space="0" w:color="000000"/>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3"/>
                <w:szCs w:val="13"/>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22,016,000.</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00</w:t>
            </w:r>
          </w:p>
        </w:tc>
        <w:tc>
          <w:tcPr>
            <w:tcW w:w="1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0.73%</w:t>
            </w:r>
          </w:p>
        </w:tc>
        <w:tc>
          <w:tcPr>
            <w:tcW w:w="10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5"/>
                <w:szCs w:val="25"/>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-0.73%</w:t>
            </w:r>
          </w:p>
        </w:tc>
        <w:tc>
          <w:tcPr>
            <w:tcW w:w="28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133"/>
              <w:ind w:left="105" w:right="226"/>
              <w:jc w:val="left"/>
              <w:rPr>
                <w:rFonts w:ascii="宋体" w:hAnsi="宋体" w:cs="宋体" w:eastAsia="宋体" w:hint="default"/>
                <w:sz w:val="18"/>
                <w:szCs w:val="18"/>
              </w:rPr>
            </w:pPr>
            <w:r>
              <w:rPr>
                <w:rFonts w:ascii="宋体" w:hAnsi="宋体" w:cs="宋体" w:eastAsia="宋体" w:hint="default"/>
                <w:sz w:val="18"/>
                <w:szCs w:val="18"/>
              </w:rPr>
              <w:t>本报告期偿还上年度短期借款且 未新增借款。</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 适用 □</w:t>
      </w:r>
      <w:r>
        <w:rPr>
          <w:spacing w:val="3"/>
        </w:rPr>
        <w:t> </w:t>
      </w:r>
      <w:r>
        <w:rPr/>
        <w:t>不适用</w:t>
      </w:r>
    </w:p>
    <w:p>
      <w:pPr>
        <w:pStyle w:val="BodyText"/>
        <w:spacing w:line="240" w:lineRule="auto" w:before="114"/>
        <w:ind w:left="0" w:right="1131"/>
        <w:jc w:val="right"/>
      </w:pPr>
      <w:r>
        <w:rPr/>
        <w:t>单位：元</w:t>
      </w:r>
    </w:p>
    <w:p>
      <w:pPr>
        <w:spacing w:after="0" w:line="240" w:lineRule="auto"/>
        <w:jc w:val="right"/>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191"/>
        <w:gridCol w:w="998"/>
        <w:gridCol w:w="1304"/>
        <w:gridCol w:w="1471"/>
        <w:gridCol w:w="1220"/>
        <w:gridCol w:w="900"/>
        <w:gridCol w:w="872"/>
        <w:gridCol w:w="650"/>
        <w:gridCol w:w="965"/>
      </w:tblGrid>
      <w:tr>
        <w:trPr>
          <w:trHeight w:val="714"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87" w:right="104"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15" w:right="74" w:hanging="92"/>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27" w:right="153" w:hanging="272"/>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77" w:right="170"/>
              <w:jc w:val="left"/>
              <w:rPr>
                <w:rFonts w:ascii="宋体" w:hAnsi="宋体" w:cs="宋体" w:eastAsia="宋体" w:hint="default"/>
                <w:sz w:val="18"/>
                <w:szCs w:val="18"/>
              </w:rPr>
            </w:pPr>
            <w:r>
              <w:rPr>
                <w:rFonts w:ascii="宋体" w:hAnsi="宋体" w:cs="宋体" w:eastAsia="宋体" w:hint="default"/>
                <w:sz w:val="18"/>
                <w:szCs w:val="18"/>
              </w:rPr>
              <w:t>本期购 买金额</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63" w:right="158"/>
              <w:jc w:val="left"/>
              <w:rPr>
                <w:rFonts w:ascii="宋体" w:hAnsi="宋体" w:cs="宋体" w:eastAsia="宋体" w:hint="default"/>
                <w:sz w:val="18"/>
                <w:szCs w:val="18"/>
              </w:rPr>
            </w:pPr>
            <w:r>
              <w:rPr>
                <w:rFonts w:ascii="宋体" w:hAnsi="宋体" w:cs="宋体" w:eastAsia="宋体" w:hint="default"/>
                <w:sz w:val="18"/>
                <w:szCs w:val="18"/>
              </w:rPr>
              <w:t>本期出 售金额</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41" w:right="137"/>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2"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8380" w:type="dxa"/>
            <w:gridSpan w:val="8"/>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3" w:hRule="exact"/>
        </w:trPr>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7"/>
              <w:jc w:val="left"/>
              <w:rPr>
                <w:rFonts w:ascii="宋体" w:hAnsi="宋体" w:cs="宋体" w:eastAsia="宋体" w:hint="default"/>
                <w:sz w:val="18"/>
                <w:szCs w:val="18"/>
              </w:rPr>
            </w:pPr>
            <w:r>
              <w:rPr>
                <w:rFonts w:ascii="宋体" w:hAnsi="宋体" w:cs="宋体" w:eastAsia="宋体" w:hint="default"/>
                <w:sz w:val="18"/>
                <w:szCs w:val="18"/>
              </w:rPr>
              <w:t>其他非流动 金融资产</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5"/>
              <w:ind w:left="571" w:right="0"/>
              <w:jc w:val="left"/>
              <w:rPr>
                <w:rFonts w:ascii="Times New Roman" w:hAnsi="Times New Roman" w:cs="Times New Roman" w:eastAsia="Times New Roman" w:hint="default"/>
                <w:sz w:val="18"/>
                <w:szCs w:val="18"/>
              </w:rPr>
            </w:pPr>
            <w:r>
              <w:rPr>
                <w:rFonts w:ascii="Times New Roman"/>
                <w:sz w:val="18"/>
              </w:rPr>
              <w:t>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5" w:right="0"/>
              <w:jc w:val="left"/>
              <w:rPr>
                <w:rFonts w:ascii="Times New Roman" w:hAnsi="Times New Roman" w:cs="Times New Roman" w:eastAsia="Times New Roman" w:hint="default"/>
                <w:sz w:val="18"/>
                <w:szCs w:val="18"/>
              </w:rPr>
            </w:pPr>
            <w:r>
              <w:rPr>
                <w:rFonts w:ascii="Times New Roman"/>
                <w:sz w:val="18"/>
              </w:rPr>
              <w:t>13,000,00</w:t>
            </w:r>
          </w:p>
          <w:p>
            <w:pPr>
              <w:pStyle w:val="TableParagraph"/>
              <w:spacing w:line="240" w:lineRule="auto" w:before="102"/>
              <w:ind w:left="571" w:right="0"/>
              <w:jc w:val="left"/>
              <w:rPr>
                <w:rFonts w:ascii="Times New Roman" w:hAnsi="Times New Roman" w:cs="Times New Roman" w:eastAsia="Times New Roman" w:hint="default"/>
                <w:sz w:val="18"/>
                <w:szCs w:val="18"/>
              </w:rPr>
            </w:pPr>
            <w:r>
              <w:rPr>
                <w:rFonts w:ascii="Times New Roman"/>
                <w:sz w:val="18"/>
              </w:rPr>
              <w:t>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2"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9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1" w:right="0"/>
              <w:jc w:val="left"/>
              <w:rPr>
                <w:rFonts w:ascii="Times New Roman" w:hAnsi="Times New Roman" w:cs="Times New Roman" w:eastAsia="Times New Roman" w:hint="default"/>
                <w:sz w:val="18"/>
                <w:szCs w:val="18"/>
              </w:rPr>
            </w:pPr>
            <w:r>
              <w:rPr>
                <w:rFonts w:ascii="Times New Roman"/>
                <w:sz w:val="18"/>
              </w:rPr>
              <w:t>0.00</w:t>
            </w:r>
          </w:p>
        </w:tc>
        <w:tc>
          <w:tcPr>
            <w:tcW w:w="130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872"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7"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57" w:lineRule="auto" w:before="49"/>
        <w:ind w:right="6794"/>
        <w:jc w:val="left"/>
      </w:pPr>
      <w:r>
        <w:rPr/>
        <w:t>其他变动的内容 报告期内公司主要资产计量属性是否发生重大变化</w:t>
      </w:r>
    </w:p>
    <w:p>
      <w:pPr>
        <w:pStyle w:val="BodyText"/>
        <w:spacing w:line="240" w:lineRule="auto" w:before="29"/>
        <w:ind w:right="0"/>
        <w:jc w:val="both"/>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31"/>
        <w:jc w:val="both"/>
      </w:pPr>
      <w:r>
        <w:rPr>
          <w:rFonts w:ascii="宋体" w:hAnsi="宋体" w:cs="宋体" w:eastAsia="宋体" w:hint="default"/>
        </w:rPr>
        <w:t>2017</w:t>
      </w:r>
      <w:r>
        <w:rPr/>
        <w:t>年</w:t>
      </w:r>
      <w:r>
        <w:rPr>
          <w:rFonts w:ascii="宋体" w:hAnsi="宋体" w:cs="宋体" w:eastAsia="宋体" w:hint="default"/>
        </w:rPr>
        <w:t>7</w:t>
      </w:r>
      <w:r>
        <w:rPr/>
        <w:t>月山东省金融资产管理股份有限公司与苏州大通智远投资有限公司、青岛亚星实业有限公司就共同设立并购基金并 </w:t>
      </w:r>
      <w:r>
        <w:rPr>
          <w:spacing w:val="-2"/>
        </w:rPr>
        <w:t>通过该基金投资南京大通企业孵化器管理有限公司等事宜签署《苏州大通箐鹰投资合伙企业（有限合伙）之合伙协议》。深</w:t>
      </w:r>
      <w:r>
        <w:rPr>
          <w:spacing w:val="-72"/>
        </w:rPr>
        <w:t> </w:t>
      </w:r>
      <w:r>
        <w:rPr>
          <w:spacing w:val="-72"/>
        </w:rPr>
      </w:r>
      <w:r>
        <w:rPr>
          <w:spacing w:val="-2"/>
        </w:rPr>
        <w:t>圳大通实业股份有限公司与山东省金融资产管理股份有限公司签署《差额补足协议》。现山东省金融资产管理股份有限公司</w:t>
      </w:r>
      <w:r>
        <w:rPr>
          <w:spacing w:val="-72"/>
        </w:rPr>
        <w:t> </w:t>
      </w:r>
      <w:r>
        <w:rPr>
          <w:spacing w:val="-72"/>
        </w:rPr>
      </w:r>
      <w:r>
        <w:rPr>
          <w:spacing w:val="-2"/>
        </w:rPr>
        <w:t>在协议未到期的情况下，就相关合同履行事宜向青岛市中级人民法院提起诉讼，公司</w:t>
      </w:r>
      <w:r>
        <w:rPr>
          <w:rFonts w:ascii="宋体" w:hAnsi="宋体" w:cs="宋体" w:eastAsia="宋体" w:hint="default"/>
          <w:spacing w:val="-2"/>
        </w:rPr>
        <w:t>32,971</w:t>
      </w:r>
      <w:r>
        <w:rPr>
          <w:spacing w:val="-2"/>
        </w:rPr>
        <w:t>万元资金被冻结，具体详见公司</w:t>
      </w:r>
      <w:r>
        <w:rPr>
          <w:spacing w:val="-62"/>
        </w:rPr>
        <w:t> </w:t>
      </w:r>
      <w:r>
        <w:rPr>
          <w:spacing w:val="-62"/>
        </w:rPr>
      </w:r>
      <w:r>
        <w:rPr>
          <w:spacing w:val="-7"/>
        </w:rPr>
        <w:t>公告的《关于重大诉讼的公告》（</w:t>
      </w:r>
      <w:r>
        <w:rPr>
          <w:rFonts w:ascii="宋体" w:hAnsi="宋体" w:cs="宋体" w:eastAsia="宋体" w:hint="default"/>
          <w:spacing w:val="-7"/>
        </w:rPr>
        <w:t>2019-067</w:t>
      </w:r>
      <w:r>
        <w:rPr>
          <w:spacing w:val="-7"/>
        </w:rPr>
        <w:t>）及《关于深圳证券交易所关注函回复的公告》（</w:t>
      </w:r>
      <w:r>
        <w:rPr>
          <w:rFonts w:ascii="宋体" w:hAnsi="宋体" w:cs="宋体" w:eastAsia="宋体" w:hint="default"/>
          <w:spacing w:val="-7"/>
        </w:rPr>
        <w:t>2019-069</w:t>
      </w:r>
      <w:r>
        <w:rPr>
          <w:spacing w:val="-7"/>
        </w:rPr>
        <w:t>）。</w:t>
      </w:r>
      <w:r>
        <w:rPr/>
      </w:r>
    </w:p>
    <w:p>
      <w:pPr>
        <w:spacing w:line="240" w:lineRule="auto" w:before="11"/>
        <w:rPr>
          <w:rFonts w:ascii="宋体" w:hAnsi="宋体" w:cs="宋体" w:eastAsia="宋体" w:hint="default"/>
          <w:sz w:val="20"/>
          <w:szCs w:val="20"/>
        </w:rPr>
      </w:pPr>
    </w:p>
    <w:p>
      <w:pPr>
        <w:pStyle w:val="Heading2"/>
        <w:spacing w:line="240" w:lineRule="auto"/>
        <w:ind w:right="0"/>
        <w:jc w:val="both"/>
        <w:rPr>
          <w:b w:val="0"/>
          <w:bCs w:val="0"/>
        </w:rPr>
      </w:pPr>
      <w:bookmarkStart w:name="五、投资状况" w:id="45"/>
      <w:bookmarkEnd w:id="45"/>
      <w:r>
        <w:rPr>
          <w:b w:val="0"/>
          <w:bCs w:val="0"/>
        </w:rPr>
      </w:r>
      <w:r>
        <w:rPr/>
        <w:t>五、投资状况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0"/>
        <w:jc w:val="both"/>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both"/>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0"/>
        <w:jc w:val="both"/>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1"/>
        <w:ind w:right="0"/>
        <w:jc w:val="both"/>
        <w:rPr>
          <w:b w:val="0"/>
          <w:bCs w:val="0"/>
        </w:rPr>
      </w:pPr>
      <w:bookmarkStart w:name="4、金融资产投资" w:id="49"/>
      <w:bookmarkEnd w:id="49"/>
      <w:r>
        <w:rPr>
          <w:b w:val="0"/>
          <w:bCs w:val="0"/>
        </w:rPr>
      </w:r>
      <w:r>
        <w:rPr>
          <w:rFonts w:ascii="Times New Roman" w:hAnsi="Times New Roman" w:cs="Times New Roman" w:eastAsia="Times New Roman" w:hint="default"/>
        </w:rPr>
        <w:t>4</w:t>
      </w:r>
      <w:r>
        <w:rPr/>
        <w:t>、金融资产投资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证券投资情况" w:id="50"/>
      <w:bookmarkEnd w:id="50"/>
      <w:r>
        <w:rPr>
          <w:b w:val="0"/>
          <w:bCs w:val="0"/>
        </w:rPr>
      </w:r>
      <w:r>
        <w:rPr/>
        <w:t>（</w:t>
      </w:r>
      <w:r>
        <w:rPr>
          <w:rFonts w:ascii="Times New Roman" w:hAnsi="Times New Roman" w:cs="Times New Roman" w:eastAsia="Times New Roman" w:hint="default"/>
        </w:rPr>
        <w:t>1</w:t>
      </w:r>
      <w:r>
        <w:rPr/>
        <w:t>）证券投资情况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8414"/>
        <w:jc w:val="left"/>
      </w:pPr>
      <w:r>
        <w:rPr/>
        <w:t>□ 适用 √</w:t>
      </w:r>
      <w:r>
        <w:rPr>
          <w:spacing w:val="3"/>
        </w:rPr>
        <w:t> </w:t>
      </w:r>
      <w:r>
        <w:rPr/>
        <w:t>不适用</w:t>
      </w:r>
      <w:r>
        <w:rPr/>
        <w:t> 公司报告期不存在证券投资。</w:t>
      </w:r>
    </w:p>
    <w:p>
      <w:pPr>
        <w:spacing w:after="0" w:line="36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2）衍生品投资情况" w:id="51"/>
      <w:bookmarkEnd w:id="51"/>
      <w:r>
        <w:rPr>
          <w:b w:val="0"/>
          <w:bCs w:val="0"/>
        </w:rPr>
      </w:r>
      <w:r>
        <w:rPr/>
        <w:t>（</w:t>
      </w:r>
      <w:r>
        <w:rPr>
          <w:rFonts w:ascii="Times New Roman" w:hAnsi="Times New Roman" w:cs="Times New Roman" w:eastAsia="Times New Roman" w:hint="default"/>
        </w:rPr>
        <w:t>2</w:t>
      </w:r>
      <w:r>
        <w:rPr/>
        <w:t>）衍生品投资情况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before="0"/>
        <w:ind w:right="8234"/>
        <w:jc w:val="left"/>
      </w:pPr>
      <w:r>
        <w:rPr/>
        <w:t>□ 适用 √</w:t>
      </w:r>
      <w:r>
        <w:rPr>
          <w:spacing w:val="3"/>
        </w:rPr>
        <w:t> </w:t>
      </w:r>
      <w:r>
        <w:rPr/>
        <w:t>不适用</w:t>
      </w:r>
      <w:r>
        <w:rPr/>
        <w:t> 公司报告期不存在衍生品投资。</w:t>
      </w:r>
    </w:p>
    <w:p>
      <w:pPr>
        <w:spacing w:line="240" w:lineRule="auto" w:before="6"/>
        <w:rPr>
          <w:rFonts w:ascii="宋体" w:hAnsi="宋体" w:cs="宋体" w:eastAsia="宋体" w:hint="default"/>
          <w:sz w:val="20"/>
          <w:szCs w:val="20"/>
        </w:rPr>
      </w:pPr>
    </w:p>
    <w:p>
      <w:pPr>
        <w:pStyle w:val="Heading4"/>
        <w:spacing w:line="240" w:lineRule="auto"/>
        <w:ind w:right="986"/>
        <w:jc w:val="left"/>
        <w:rPr>
          <w:b w:val="0"/>
          <w:bCs w:val="0"/>
        </w:rPr>
      </w:pPr>
      <w:bookmarkStart w:name="5、募集资金使用情况" w:id="52"/>
      <w:bookmarkEnd w:id="52"/>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1）募集资金总体使用情况" w:id="53"/>
      <w:bookmarkEnd w:id="53"/>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 适用 □</w:t>
      </w:r>
      <w:r>
        <w:rPr>
          <w:spacing w:val="3"/>
        </w:rPr>
        <w:t> </w:t>
      </w:r>
      <w:r>
        <w:rPr/>
        <w:t>不适用</w:t>
      </w:r>
    </w:p>
    <w:p>
      <w:pPr>
        <w:pStyle w:val="BodyText"/>
        <w:spacing w:line="240" w:lineRule="auto" w:before="118"/>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610"/>
        <w:gridCol w:w="977"/>
        <w:gridCol w:w="746"/>
        <w:gridCol w:w="939"/>
        <w:gridCol w:w="958"/>
        <w:gridCol w:w="987"/>
        <w:gridCol w:w="869"/>
        <w:gridCol w:w="871"/>
        <w:gridCol w:w="869"/>
        <w:gridCol w:w="871"/>
        <w:gridCol w:w="869"/>
      </w:tblGrid>
      <w:tr>
        <w:trPr>
          <w:trHeight w:val="1649" w:hRule="exact"/>
        </w:trPr>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120" w:right="118"/>
              <w:jc w:val="left"/>
              <w:rPr>
                <w:rFonts w:ascii="宋体" w:hAnsi="宋体" w:cs="宋体" w:eastAsia="宋体" w:hint="default"/>
                <w:sz w:val="18"/>
                <w:szCs w:val="18"/>
              </w:rPr>
            </w:pPr>
            <w:r>
              <w:rPr>
                <w:rFonts w:ascii="宋体" w:hAnsi="宋体" w:cs="宋体" w:eastAsia="宋体" w:hint="default"/>
                <w:sz w:val="18"/>
                <w:szCs w:val="18"/>
              </w:rPr>
              <w:t>募集 年份</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7" w:right="187"/>
              <w:jc w:val="both"/>
              <w:rPr>
                <w:rFonts w:ascii="宋体" w:hAnsi="宋体" w:cs="宋体" w:eastAsia="宋体" w:hint="default"/>
                <w:sz w:val="18"/>
                <w:szCs w:val="18"/>
              </w:rPr>
            </w:pPr>
            <w:r>
              <w:rPr>
                <w:rFonts w:ascii="宋体" w:hAnsi="宋体" w:cs="宋体" w:eastAsia="宋体" w:hint="default"/>
                <w:sz w:val="18"/>
                <w:szCs w:val="18"/>
              </w:rPr>
              <w:t>募集 资金 总额</w:t>
            </w: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04"/>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13"/>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7" w:right="129"/>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158"/>
              <w:jc w:val="center"/>
              <w:rPr>
                <w:rFonts w:ascii="宋体" w:hAnsi="宋体" w:cs="宋体" w:eastAsia="宋体" w:hint="default"/>
                <w:sz w:val="18"/>
                <w:szCs w:val="18"/>
              </w:rPr>
            </w:pPr>
            <w:r>
              <w:rPr>
                <w:rFonts w:ascii="宋体" w:hAnsi="宋体" w:cs="宋体" w:eastAsia="宋体" w:hint="default"/>
                <w:sz w:val="18"/>
                <w:szCs w:val="18"/>
              </w:rPr>
              <w:t>累计变 更用途 的募集 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0" w:right="158"/>
              <w:jc w:val="both"/>
              <w:rPr>
                <w:rFonts w:ascii="宋体" w:hAnsi="宋体" w:cs="宋体" w:eastAsia="宋体" w:hint="default"/>
                <w:sz w:val="18"/>
                <w:szCs w:val="18"/>
              </w:rPr>
            </w:pPr>
            <w:r>
              <w:rPr>
                <w:rFonts w:ascii="宋体" w:hAnsi="宋体" w:cs="宋体" w:eastAsia="宋体" w:hint="default"/>
                <w:sz w:val="18"/>
                <w:szCs w:val="18"/>
              </w:rPr>
              <w:t>累计变 更用途 的募集 资金总 额比例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8" w:right="159"/>
              <w:jc w:val="center"/>
              <w:rPr>
                <w:rFonts w:ascii="宋体" w:hAnsi="宋体" w:cs="宋体" w:eastAsia="宋体" w:hint="default"/>
                <w:sz w:val="18"/>
                <w:szCs w:val="18"/>
              </w:rPr>
            </w:pPr>
            <w:r>
              <w:rPr>
                <w:rFonts w:ascii="宋体" w:hAnsi="宋体" w:cs="宋体" w:eastAsia="宋体" w:hint="default"/>
                <w:sz w:val="18"/>
                <w:szCs w:val="18"/>
              </w:rPr>
              <w:t>尚未使 用募集 资金总 额</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0" w:right="158"/>
              <w:jc w:val="center"/>
              <w:rPr>
                <w:rFonts w:ascii="宋体" w:hAnsi="宋体" w:cs="宋体" w:eastAsia="宋体" w:hint="default"/>
                <w:sz w:val="18"/>
                <w:szCs w:val="18"/>
              </w:rPr>
            </w:pPr>
            <w:r>
              <w:rPr>
                <w:rFonts w:ascii="宋体" w:hAnsi="宋体" w:cs="宋体" w:eastAsia="宋体" w:hint="default"/>
                <w:sz w:val="18"/>
                <w:szCs w:val="18"/>
              </w:rPr>
              <w:t>尚未使 用募集 资金用 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8" w:right="158"/>
              <w:jc w:val="both"/>
              <w:rPr>
                <w:rFonts w:ascii="宋体" w:hAnsi="宋体" w:cs="宋体" w:eastAsia="宋体" w:hint="default"/>
                <w:sz w:val="18"/>
                <w:szCs w:val="18"/>
              </w:rPr>
            </w:pPr>
            <w:r>
              <w:rPr>
                <w:rFonts w:ascii="宋体" w:hAnsi="宋体" w:cs="宋体" w:eastAsia="宋体" w:hint="default"/>
                <w:sz w:val="18"/>
                <w:szCs w:val="18"/>
              </w:rPr>
              <w:t>闲置两 年以上 募集资 金金额</w:t>
            </w:r>
          </w:p>
        </w:tc>
      </w:tr>
      <w:tr>
        <w:trPr>
          <w:trHeight w:val="1964" w:hRule="exact"/>
        </w:trPr>
        <w:tc>
          <w:tcPr>
            <w:tcW w:w="6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41"/>
              <w:jc w:val="both"/>
              <w:rPr>
                <w:rFonts w:ascii="宋体" w:hAnsi="宋体" w:cs="宋体" w:eastAsia="宋体" w:hint="default"/>
                <w:sz w:val="18"/>
                <w:szCs w:val="18"/>
              </w:rPr>
            </w:pPr>
            <w:r>
              <w:rPr>
                <w:rFonts w:ascii="宋体" w:hAnsi="宋体" w:cs="宋体" w:eastAsia="宋体" w:hint="default"/>
                <w:sz w:val="18"/>
                <w:szCs w:val="18"/>
              </w:rPr>
              <w:t>非公开发 行股份募 集配套资 金</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36" w:right="0"/>
              <w:jc w:val="center"/>
              <w:rPr>
                <w:rFonts w:ascii="Times New Roman" w:hAnsi="Times New Roman" w:cs="Times New Roman" w:eastAsia="Times New Roman" w:hint="default"/>
                <w:sz w:val="18"/>
                <w:szCs w:val="18"/>
              </w:rPr>
            </w:pPr>
            <w:r>
              <w:rPr>
                <w:rFonts w:ascii="Times New Roman"/>
                <w:sz w:val="18"/>
              </w:rPr>
              <w:t>271,99</w:t>
            </w:r>
          </w:p>
          <w:p>
            <w:pPr>
              <w:pStyle w:val="TableParagraph"/>
              <w:spacing w:line="240" w:lineRule="auto" w:before="105"/>
              <w:ind w:left="216" w:right="0"/>
              <w:jc w:val="center"/>
              <w:rPr>
                <w:rFonts w:ascii="Times New Roman" w:hAnsi="Times New Roman" w:cs="Times New Roman" w:eastAsia="Times New Roman" w:hint="default"/>
                <w:sz w:val="18"/>
                <w:szCs w:val="18"/>
              </w:rPr>
            </w:pPr>
            <w:r>
              <w:rPr>
                <w:rFonts w:ascii="Times New Roman"/>
                <w:sz w:val="18"/>
              </w:rPr>
              <w:t>4.99</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233,804.0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178,491.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65.62%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38,190.9</w:t>
            </w:r>
          </w:p>
          <w:p>
            <w:pPr>
              <w:pStyle w:val="TableParagraph"/>
              <w:spacing w:line="240" w:lineRule="auto" w:before="105"/>
              <w:ind w:right="104"/>
              <w:jc w:val="right"/>
              <w:rPr>
                <w:rFonts w:ascii="Times New Roman" w:hAnsi="Times New Roman" w:cs="Times New Roman" w:eastAsia="Times New Roman" w:hint="default"/>
                <w:sz w:val="18"/>
                <w:szCs w:val="18"/>
              </w:rPr>
            </w:pPr>
            <w:r>
              <w:rPr>
                <w:rFonts w:ascii="Times New Roman"/>
                <w:sz w:val="18"/>
              </w:rPr>
              <w:t>5</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15"/>
              <w:jc w:val="both"/>
              <w:rPr>
                <w:rFonts w:ascii="宋体" w:hAnsi="宋体" w:cs="宋体" w:eastAsia="宋体" w:hint="default"/>
                <w:sz w:val="18"/>
                <w:szCs w:val="18"/>
              </w:rPr>
            </w:pPr>
            <w:r>
              <w:rPr>
                <w:rFonts w:ascii="宋体" w:hAnsi="宋体" w:cs="宋体" w:eastAsia="宋体" w:hint="default"/>
                <w:sz w:val="18"/>
                <w:szCs w:val="18"/>
              </w:rPr>
              <w:t>未来投 入新设 项目或 者补充 流动资 金</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38,190.9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r>
      <w:tr>
        <w:trPr>
          <w:trHeight w:val="713" w:hRule="exact"/>
        </w:trPr>
        <w:tc>
          <w:tcPr>
            <w:tcW w:w="6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center"/>
              <w:rPr>
                <w:rFonts w:ascii="Times New Roman" w:hAnsi="Times New Roman" w:cs="Times New Roman" w:eastAsia="Times New Roman" w:hint="default"/>
                <w:sz w:val="18"/>
                <w:szCs w:val="18"/>
              </w:rPr>
            </w:pPr>
            <w:r>
              <w:rPr>
                <w:rFonts w:ascii="Times New Roman"/>
                <w:sz w:val="18"/>
              </w:rPr>
              <w:t>271,99</w:t>
            </w:r>
          </w:p>
          <w:p>
            <w:pPr>
              <w:pStyle w:val="TableParagraph"/>
              <w:spacing w:line="240" w:lineRule="auto" w:before="102"/>
              <w:ind w:left="216" w:right="0"/>
              <w:jc w:val="center"/>
              <w:rPr>
                <w:rFonts w:ascii="Times New Roman" w:hAnsi="Times New Roman" w:cs="Times New Roman" w:eastAsia="Times New Roman" w:hint="default"/>
                <w:sz w:val="18"/>
                <w:szCs w:val="18"/>
              </w:rPr>
            </w:pPr>
            <w:r>
              <w:rPr>
                <w:rFonts w:ascii="Times New Roman"/>
                <w:sz w:val="18"/>
              </w:rPr>
              <w:t>4.99</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233,804.0</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4</w:t>
            </w:r>
          </w:p>
        </w:tc>
        <w:tc>
          <w:tcPr>
            <w:tcW w:w="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178,491.</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7</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65.62%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38,190.9</w:t>
            </w:r>
          </w:p>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38,190.9</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9566"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337" w:hRule="exact"/>
        </w:trPr>
        <w:tc>
          <w:tcPr>
            <w:tcW w:w="9566"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日累计</w:t>
            </w:r>
            <w:r>
              <w:rPr>
                <w:rFonts w:ascii="宋体" w:hAnsi="宋体" w:cs="宋体" w:eastAsia="宋体" w:hint="default"/>
                <w:spacing w:val="-3"/>
                <w:sz w:val="18"/>
                <w:szCs w:val="18"/>
              </w:rPr>
              <w:t>使</w:t>
            </w:r>
            <w:r>
              <w:rPr>
                <w:rFonts w:ascii="宋体" w:hAnsi="宋体" w:cs="宋体" w:eastAsia="宋体" w:hint="default"/>
                <w:sz w:val="18"/>
                <w:szCs w:val="18"/>
              </w:rPr>
              <w:t>用募集资金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8</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51"/>
                <w:sz w:val="18"/>
                <w:szCs w:val="18"/>
              </w:rPr>
              <w:t>，</w:t>
            </w:r>
            <w:r>
              <w:rPr>
                <w:rFonts w:ascii="宋体" w:hAnsi="宋体" w:cs="宋体" w:eastAsia="宋体" w:hint="default"/>
                <w:sz w:val="18"/>
                <w:szCs w:val="18"/>
              </w:rPr>
              <w:t>其</w:t>
            </w:r>
            <w:r>
              <w:rPr>
                <w:rFonts w:ascii="宋体" w:hAnsi="宋体" w:cs="宋体" w:eastAsia="宋体" w:hint="default"/>
                <w:spacing w:val="-49"/>
                <w:sz w:val="18"/>
                <w:szCs w:val="18"/>
              </w:rPr>
              <w:t>中</w:t>
            </w:r>
            <w:r>
              <w:rPr>
                <w:rFonts w:ascii="宋体" w:hAnsi="宋体" w:cs="宋体" w:eastAsia="宋体" w:hint="default"/>
                <w:sz w:val="18"/>
                <w:szCs w:val="18"/>
              </w:rPr>
              <w:t>“移动广告营销网络建设项目</w:t>
            </w:r>
            <w:r>
              <w:rPr>
                <w:rFonts w:ascii="宋体" w:hAnsi="宋体" w:cs="宋体" w:eastAsia="宋体" w:hint="default"/>
                <w:spacing w:val="-49"/>
                <w:sz w:val="18"/>
                <w:szCs w:val="18"/>
              </w:rPr>
              <w:t>”</w:t>
            </w:r>
            <w:r>
              <w:rPr>
                <w:rFonts w:ascii="宋体" w:hAnsi="宋体" w:cs="宋体" w:eastAsia="宋体" w:hint="default"/>
                <w:sz w:val="18"/>
                <w:szCs w:val="18"/>
              </w:rPr>
              <w:t>投入</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r>
              <w:rPr>
                <w:rFonts w:ascii="宋体" w:hAnsi="宋体" w:cs="宋体" w:eastAsia="宋体" w:hint="default"/>
                <w:spacing w:val="-140"/>
                <w:sz w:val="18"/>
                <w:szCs w:val="18"/>
              </w:rPr>
              <w:t>，</w:t>
            </w:r>
            <w:r>
              <w:rPr>
                <w:rFonts w:ascii="宋体" w:hAnsi="宋体" w:cs="宋体" w:eastAsia="宋体" w:hint="default"/>
                <w:sz w:val="18"/>
                <w:szCs w:val="18"/>
              </w:rPr>
              <w:t>“户</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外媒体联屏联播网项目</w:t>
            </w:r>
            <w:r>
              <w:rPr>
                <w:rFonts w:ascii="宋体" w:hAnsi="宋体" w:cs="宋体" w:eastAsia="宋体" w:hint="default"/>
                <w:spacing w:val="-17"/>
                <w:sz w:val="18"/>
                <w:szCs w:val="18"/>
              </w:rPr>
              <w:t>”</w:t>
            </w:r>
            <w:r>
              <w:rPr>
                <w:rFonts w:ascii="宋体" w:hAnsi="宋体" w:cs="宋体" w:eastAsia="宋体" w:hint="default"/>
                <w:sz w:val="18"/>
                <w:szCs w:val="18"/>
              </w:rPr>
              <w:t>投入</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9</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万元</w:t>
            </w:r>
            <w:r>
              <w:rPr>
                <w:rFonts w:ascii="宋体" w:hAnsi="宋体" w:cs="宋体" w:eastAsia="宋体" w:hint="default"/>
                <w:spacing w:val="-10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W</w:t>
            </w:r>
            <w:r>
              <w:rPr>
                <w:rFonts w:ascii="Times New Roman" w:hAnsi="Times New Roman" w:cs="Times New Roman" w:eastAsia="Times New Roman" w:hint="default"/>
                <w:w w:val="99"/>
                <w:sz w:val="18"/>
                <w:szCs w:val="18"/>
              </w:rPr>
              <w:t>IF</w:t>
            </w:r>
            <w:r>
              <w:rPr>
                <w:rFonts w:ascii="Times New Roman" w:hAnsi="Times New Roman" w:cs="Times New Roman" w:eastAsia="Times New Roman" w:hint="default"/>
                <w:w w:val="99"/>
                <w:sz w:val="18"/>
                <w:szCs w:val="18"/>
              </w:rPr>
              <w:t>I </w:t>
            </w:r>
            <w:r>
              <w:rPr>
                <w:rFonts w:ascii="宋体" w:hAnsi="宋体" w:cs="宋体" w:eastAsia="宋体" w:hint="default"/>
                <w:w w:val="99"/>
                <w:sz w:val="18"/>
                <w:szCs w:val="18"/>
              </w:rPr>
              <w:t>布点</w:t>
            </w:r>
            <w:r>
              <w:rPr>
                <w:rFonts w:ascii="宋体" w:hAnsi="宋体" w:cs="宋体" w:eastAsia="宋体" w:hint="default"/>
                <w:spacing w:val="-3"/>
                <w:w w:val="99"/>
                <w:sz w:val="18"/>
                <w:szCs w:val="18"/>
              </w:rPr>
              <w:t>项</w:t>
            </w:r>
            <w:r>
              <w:rPr>
                <w:rFonts w:ascii="宋体" w:hAnsi="宋体" w:cs="宋体" w:eastAsia="宋体" w:hint="default"/>
                <w:w w:val="99"/>
                <w:sz w:val="18"/>
                <w:szCs w:val="18"/>
              </w:rPr>
              <w:t>目</w:t>
            </w:r>
            <w:r>
              <w:rPr>
                <w:rFonts w:ascii="宋体" w:hAnsi="宋体" w:cs="宋体" w:eastAsia="宋体" w:hint="default"/>
                <w:spacing w:val="-17"/>
                <w:w w:val="99"/>
                <w:sz w:val="18"/>
                <w:szCs w:val="18"/>
              </w:rPr>
              <w:t>”</w:t>
            </w:r>
            <w:r>
              <w:rPr>
                <w:rFonts w:ascii="宋体" w:hAnsi="宋体" w:cs="宋体" w:eastAsia="宋体" w:hint="default"/>
                <w:w w:val="99"/>
                <w:sz w:val="18"/>
                <w:szCs w:val="18"/>
              </w:rPr>
              <w:t>投入</w:t>
            </w:r>
            <w:r>
              <w:rPr>
                <w:rFonts w:ascii="宋体" w:hAnsi="宋体" w:cs="宋体" w:eastAsia="宋体" w:hint="default"/>
                <w:spacing w:val="-45"/>
                <w:w w:val="99"/>
                <w:sz w:val="18"/>
                <w:szCs w:val="18"/>
              </w:rPr>
              <w:t> </w:t>
            </w:r>
            <w:r>
              <w:rPr>
                <w:rFonts w:ascii="Times New Roman" w:hAnsi="Times New Roman" w:cs="Times New Roman" w:eastAsia="Times New Roman" w:hint="default"/>
                <w:spacing w:val="-2"/>
                <w:w w:val="99"/>
                <w:sz w:val="18"/>
                <w:szCs w:val="18"/>
              </w:rPr>
              <w:t>7</w:t>
            </w:r>
            <w:r>
              <w:rPr>
                <w:rFonts w:ascii="Times New Roman" w:hAnsi="Times New Roman" w:cs="Times New Roman" w:eastAsia="Times New Roman" w:hint="default"/>
                <w:w w:val="99"/>
                <w:sz w:val="18"/>
                <w:szCs w:val="18"/>
              </w:rPr>
              <w:t>2</w:t>
            </w:r>
            <w:r>
              <w:rPr>
                <w:rFonts w:ascii="Times New Roman" w:hAnsi="Times New Roman" w:cs="Times New Roman" w:eastAsia="Times New Roman" w:hint="default"/>
                <w:spacing w:val="1"/>
                <w:w w:val="99"/>
                <w:sz w:val="18"/>
                <w:szCs w:val="18"/>
              </w:rPr>
              <w:t> </w:t>
            </w:r>
            <w:r>
              <w:rPr>
                <w:rFonts w:ascii="宋体" w:hAnsi="宋体" w:cs="宋体" w:eastAsia="宋体" w:hint="default"/>
                <w:w w:val="99"/>
                <w:sz w:val="18"/>
                <w:szCs w:val="18"/>
              </w:rPr>
              <w:t>万元</w:t>
            </w:r>
            <w:r>
              <w:rPr>
                <w:rFonts w:ascii="宋体" w:hAnsi="宋体" w:cs="宋体" w:eastAsia="宋体" w:hint="default"/>
                <w:spacing w:val="-17"/>
                <w:w w:val="99"/>
                <w:sz w:val="18"/>
                <w:szCs w:val="18"/>
              </w:rPr>
              <w:t>，</w:t>
            </w:r>
            <w:r>
              <w:rPr>
                <w:rFonts w:ascii="宋体" w:hAnsi="宋体" w:cs="宋体" w:eastAsia="宋体" w:hint="default"/>
                <w:w w:val="99"/>
                <w:sz w:val="18"/>
                <w:szCs w:val="18"/>
              </w:rPr>
              <w:t>支付收购</w:t>
            </w:r>
            <w:r>
              <w:rPr>
                <w:rFonts w:ascii="宋体" w:hAnsi="宋体" w:cs="宋体" w:eastAsia="宋体" w:hint="default"/>
                <w:spacing w:val="-3"/>
                <w:w w:val="99"/>
                <w:sz w:val="18"/>
                <w:szCs w:val="18"/>
              </w:rPr>
              <w:t>对</w:t>
            </w:r>
            <w:r>
              <w:rPr>
                <w:rFonts w:ascii="宋体" w:hAnsi="宋体" w:cs="宋体" w:eastAsia="宋体" w:hint="default"/>
                <w:w w:val="99"/>
                <w:sz w:val="18"/>
                <w:szCs w:val="18"/>
              </w:rPr>
              <w:t>价</w:t>
            </w:r>
            <w:r>
              <w:rPr>
                <w:rFonts w:ascii="宋体" w:hAnsi="宋体" w:cs="宋体" w:eastAsia="宋体" w:hint="default"/>
                <w:spacing w:val="-45"/>
                <w:w w:val="99"/>
                <w:sz w:val="18"/>
                <w:szCs w:val="18"/>
              </w:rPr>
              <w:t> </w:t>
            </w:r>
            <w:r>
              <w:rPr>
                <w:rFonts w:ascii="Times New Roman" w:hAnsi="Times New Roman" w:cs="Times New Roman" w:eastAsia="Times New Roman" w:hint="default"/>
                <w:spacing w:val="1"/>
                <w:w w:val="99"/>
                <w:sz w:val="18"/>
                <w:szCs w:val="18"/>
              </w:rPr>
              <w:t>79</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spacing w:val="1"/>
                <w:w w:val="99"/>
                <w:sz w:val="18"/>
                <w:szCs w:val="18"/>
              </w:rPr>
              <w:t>3</w:t>
            </w:r>
            <w:r>
              <w:rPr>
                <w:rFonts w:ascii="Times New Roman" w:hAnsi="Times New Roman" w:cs="Times New Roman" w:eastAsia="Times New Roman" w:hint="default"/>
                <w:spacing w:val="-2"/>
                <w:w w:val="99"/>
                <w:sz w:val="18"/>
                <w:szCs w:val="18"/>
              </w:rPr>
              <w:t>0</w:t>
            </w:r>
            <w:r>
              <w:rPr>
                <w:rFonts w:ascii="Times New Roman" w:hAnsi="Times New Roman" w:cs="Times New Roman" w:eastAsia="Times New Roman" w:hint="default"/>
                <w:spacing w:val="1"/>
                <w:w w:val="99"/>
                <w:sz w:val="18"/>
                <w:szCs w:val="18"/>
              </w:rPr>
              <w:t>2</w:t>
            </w:r>
            <w:r>
              <w:rPr>
                <w:rFonts w:ascii="Times New Roman" w:hAnsi="Times New Roman" w:cs="Times New Roman" w:eastAsia="Times New Roman" w:hint="default"/>
                <w:spacing w:val="-2"/>
                <w:w w:val="99"/>
                <w:sz w:val="18"/>
                <w:szCs w:val="18"/>
              </w:rPr>
              <w:t>.</w:t>
            </w:r>
            <w:r>
              <w:rPr>
                <w:rFonts w:ascii="Times New Roman" w:hAnsi="Times New Roman" w:cs="Times New Roman" w:eastAsia="Times New Roman" w:hint="default"/>
                <w:spacing w:val="1"/>
                <w:w w:val="99"/>
                <w:sz w:val="18"/>
                <w:szCs w:val="18"/>
              </w:rPr>
              <w:t>8</w:t>
            </w:r>
            <w:r>
              <w:rPr>
                <w:rFonts w:ascii="Times New Roman" w:hAnsi="Times New Roman" w:cs="Times New Roman" w:eastAsia="Times New Roman" w:hint="default"/>
                <w:w w:val="99"/>
                <w:sz w:val="18"/>
                <w:szCs w:val="18"/>
              </w:rPr>
              <w:t>7</w:t>
            </w:r>
            <w:r>
              <w:rPr>
                <w:rFonts w:ascii="Times New Roman" w:hAnsi="Times New Roman" w:cs="Times New Roman" w:eastAsia="Times New Roman" w:hint="default"/>
                <w:spacing w:val="3"/>
                <w:w w:val="99"/>
                <w:sz w:val="18"/>
                <w:szCs w:val="18"/>
              </w:rPr>
              <w:t> </w:t>
            </w:r>
            <w:r>
              <w:rPr>
                <w:rFonts w:ascii="宋体" w:hAnsi="宋体" w:cs="宋体" w:eastAsia="宋体" w:hint="default"/>
                <w:w w:val="99"/>
                <w:sz w:val="18"/>
                <w:szCs w:val="18"/>
              </w:rPr>
              <w:t>万</w:t>
            </w:r>
            <w:r>
              <w:rPr>
                <w:rFonts w:ascii="宋体" w:hAnsi="宋体" w:cs="宋体" w:eastAsia="宋体" w:hint="default"/>
                <w:spacing w:val="-3"/>
                <w:w w:val="99"/>
                <w:sz w:val="18"/>
                <w:szCs w:val="18"/>
              </w:rPr>
              <w:t>元</w:t>
            </w:r>
            <w:r>
              <w:rPr>
                <w:rFonts w:ascii="宋体" w:hAnsi="宋体" w:cs="宋体" w:eastAsia="宋体" w:hint="default"/>
                <w:spacing w:val="-17"/>
                <w:w w:val="99"/>
                <w:sz w:val="18"/>
                <w:szCs w:val="18"/>
              </w:rPr>
              <w:t>，</w:t>
            </w:r>
            <w:r>
              <w:rPr>
                <w:rFonts w:ascii="宋体" w:hAnsi="宋体" w:cs="宋体" w:eastAsia="宋体" w:hint="default"/>
                <w:w w:val="99"/>
                <w:sz w:val="18"/>
                <w:szCs w:val="18"/>
              </w:rPr>
              <w:t>永久补充</w:t>
            </w:r>
            <w:r>
              <w:rPr>
                <w:rFonts w:ascii="宋体" w:hAnsi="宋体" w:cs="宋体" w:eastAsia="宋体"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流动资金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140,188.93</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万元，募投项目终止后剩余资金</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万元变更为传媒生态链项目、</w:t>
            </w:r>
            <w:r>
              <w:rPr>
                <w:rFonts w:ascii="Times New Roman" w:hAnsi="Times New Roman" w:cs="Times New Roman" w:eastAsia="Times New Roman" w:hint="default"/>
                <w:sz w:val="18"/>
                <w:szCs w:val="18"/>
              </w:rPr>
              <w:t>9,179</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万元变更为杭州武林广场</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灯光秀项目，剩余</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38,190.95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万元及相关利息仍存储在募集资金专户中。</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募集资金承诺项目情况" w:id="54"/>
      <w:bookmarkEnd w:id="54"/>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right="986"/>
        <w:jc w:val="left"/>
      </w:pPr>
      <w:r>
        <w:rPr/>
        <w:t>√ 适用 □</w:t>
      </w:r>
      <w:r>
        <w:rPr>
          <w:spacing w:val="3"/>
        </w:rPr>
        <w:t> </w:t>
      </w:r>
      <w:r>
        <w:rPr/>
        <w:t>不适用</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770"/>
        <w:gridCol w:w="778"/>
        <w:gridCol w:w="781"/>
        <w:gridCol w:w="780"/>
        <w:gridCol w:w="780"/>
        <w:gridCol w:w="780"/>
        <w:gridCol w:w="780"/>
        <w:gridCol w:w="780"/>
        <w:gridCol w:w="781"/>
        <w:gridCol w:w="780"/>
        <w:gridCol w:w="780"/>
      </w:tblGrid>
      <w:tr>
        <w:trPr>
          <w:trHeight w:val="165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428" w:right="161" w:hanging="272"/>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5" w:right="110"/>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 部分变 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8" w:right="110"/>
              <w:jc w:val="center"/>
              <w:rPr>
                <w:rFonts w:ascii="宋体" w:hAnsi="宋体" w:cs="宋体" w:eastAsia="宋体" w:hint="default"/>
                <w:sz w:val="18"/>
                <w:szCs w:val="18"/>
              </w:rPr>
            </w:pPr>
            <w:r>
              <w:rPr>
                <w:rFonts w:ascii="宋体" w:hAnsi="宋体" w:cs="宋体" w:eastAsia="宋体" w:hint="default"/>
                <w:sz w:val="18"/>
                <w:szCs w:val="18"/>
              </w:rPr>
              <w:t>募集资 金承诺 投资总 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7" w:right="110"/>
              <w:jc w:val="both"/>
              <w:rPr>
                <w:rFonts w:ascii="Times New Roman" w:hAnsi="Times New Roman" w:cs="Times New Roman" w:eastAsia="Times New Roman" w:hint="default"/>
                <w:sz w:val="18"/>
                <w:szCs w:val="18"/>
              </w:rPr>
            </w:pPr>
            <w:r>
              <w:rPr>
                <w:rFonts w:ascii="宋体" w:hAnsi="宋体" w:cs="宋体" w:eastAsia="宋体" w:hint="default"/>
                <w:sz w:val="18"/>
                <w:szCs w:val="18"/>
              </w:rPr>
              <w:t>调整后 投资总 额</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7" w:right="110"/>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5"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末累计 投入金 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24" w:lineRule="auto" w:before="49"/>
              <w:ind w:left="115"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 </w:t>
            </w:r>
            <w:r>
              <w:rPr>
                <w:rFonts w:ascii="Times New Roman" w:hAnsi="Times New Roman" w:cs="Times New Roman" w:eastAsia="Times New Roman" w:hint="default"/>
                <w:sz w:val="18"/>
                <w:szCs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5" w:right="113"/>
              <w:jc w:val="center"/>
              <w:rPr>
                <w:rFonts w:ascii="宋体" w:hAnsi="宋体" w:cs="宋体" w:eastAsia="宋体" w:hint="default"/>
                <w:sz w:val="18"/>
                <w:szCs w:val="18"/>
              </w:rPr>
            </w:pPr>
            <w:r>
              <w:rPr>
                <w:rFonts w:ascii="宋体" w:hAnsi="宋体" w:cs="宋体" w:eastAsia="宋体" w:hint="default"/>
                <w:sz w:val="18"/>
                <w:szCs w:val="18"/>
              </w:rPr>
              <w:t>项目达 到预定 可使用 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5" w:right="113"/>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5" w:right="113"/>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5" w:right="113"/>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1" w:hRule="exact"/>
        </w:trPr>
        <w:tc>
          <w:tcPr>
            <w:tcW w:w="9570"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518" w:right="161" w:hanging="360"/>
              <w:jc w:val="left"/>
              <w:rPr>
                <w:rFonts w:ascii="宋体" w:hAnsi="宋体" w:cs="宋体" w:eastAsia="宋体" w:hint="default"/>
                <w:sz w:val="18"/>
                <w:szCs w:val="18"/>
              </w:rPr>
            </w:pPr>
            <w:r>
              <w:rPr>
                <w:rFonts w:ascii="宋体" w:hAnsi="宋体" w:cs="宋体" w:eastAsia="宋体" w:hint="default"/>
                <w:sz w:val="18"/>
                <w:szCs w:val="18"/>
              </w:rPr>
              <w:t>移动广告营销网络 建设项目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23,547.</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1,205.0</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1,205.0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p>
          <w:p>
            <w:pPr>
              <w:pStyle w:val="TableParagraph"/>
              <w:spacing w:line="240" w:lineRule="auto" w:before="63"/>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-81.5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58" w:right="161"/>
              <w:jc w:val="center"/>
              <w:rPr>
                <w:rFonts w:ascii="宋体" w:hAnsi="宋体" w:cs="宋体" w:eastAsia="宋体" w:hint="default"/>
                <w:sz w:val="18"/>
                <w:szCs w:val="18"/>
              </w:rPr>
            </w:pPr>
            <w:r>
              <w:rPr>
                <w:rFonts w:ascii="宋体" w:hAnsi="宋体" w:cs="宋体" w:eastAsia="宋体" w:hint="default"/>
                <w:sz w:val="18"/>
                <w:szCs w:val="18"/>
              </w:rPr>
              <w:t>至美移动数字营销 综合服务平台升级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23,992.</w:t>
            </w:r>
          </w:p>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研发中心项目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5,130.9</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0.00%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610" w:right="161" w:hanging="452"/>
              <w:jc w:val="left"/>
              <w:rPr>
                <w:rFonts w:ascii="宋体" w:hAnsi="宋体" w:cs="宋体" w:eastAsia="宋体" w:hint="default"/>
                <w:sz w:val="18"/>
                <w:szCs w:val="18"/>
              </w:rPr>
            </w:pPr>
            <w:r>
              <w:rPr>
                <w:rFonts w:ascii="宋体" w:hAnsi="宋体" w:cs="宋体" w:eastAsia="宋体" w:hint="default"/>
                <w:sz w:val="18"/>
                <w:szCs w:val="18"/>
              </w:rPr>
              <w:t>户外媒体联屏联播 网项目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4" w:right="0"/>
              <w:jc w:val="left"/>
              <w:rPr>
                <w:rFonts w:ascii="Times New Roman" w:hAnsi="Times New Roman" w:cs="Times New Roman" w:eastAsia="Times New Roman" w:hint="default"/>
                <w:sz w:val="18"/>
                <w:szCs w:val="18"/>
              </w:rPr>
            </w:pPr>
            <w:r>
              <w:rPr>
                <w:rFonts w:ascii="Times New Roman"/>
                <w:sz w:val="18"/>
              </w:rPr>
              <w:t>114,45</w:t>
            </w:r>
          </w:p>
          <w:p>
            <w:pPr>
              <w:pStyle w:val="TableParagraph"/>
              <w:spacing w:line="240" w:lineRule="auto" w:before="102"/>
              <w:ind w:left="230" w:right="0"/>
              <w:jc w:val="left"/>
              <w:rPr>
                <w:rFonts w:ascii="Times New Roman" w:hAnsi="Times New Roman" w:cs="Times New Roman" w:eastAsia="Times New Roman" w:hint="default"/>
                <w:sz w:val="18"/>
                <w:szCs w:val="18"/>
              </w:rPr>
            </w:pPr>
            <w:r>
              <w:rPr>
                <w:rFonts w:ascii="Times New Roman"/>
                <w:sz w:val="18"/>
              </w:rPr>
              <w:t>7.91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12,923.</w:t>
            </w:r>
          </w:p>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12,923.</w:t>
            </w:r>
          </w:p>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38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布点项目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14,769.</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67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7" w:right="0"/>
              <w:jc w:val="left"/>
              <w:rPr>
                <w:rFonts w:ascii="Times New Roman" w:hAnsi="Times New Roman" w:cs="Times New Roman" w:eastAsia="Times New Roman" w:hint="default"/>
                <w:sz w:val="18"/>
                <w:szCs w:val="18"/>
              </w:rPr>
            </w:pPr>
            <w:r>
              <w:rPr>
                <w:rFonts w:ascii="Times New Roman"/>
                <w:sz w:val="18"/>
              </w:rPr>
              <w:t>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698" w:right="120" w:hanging="579"/>
              <w:jc w:val="left"/>
              <w:rPr>
                <w:rFonts w:ascii="宋体" w:hAnsi="宋体" w:cs="宋体" w:eastAsia="宋体" w:hint="default"/>
                <w:sz w:val="18"/>
                <w:szCs w:val="18"/>
              </w:rPr>
            </w:pPr>
            <w:r>
              <w:rPr>
                <w:rFonts w:ascii="宋体" w:hAnsi="宋体" w:cs="宋体" w:eastAsia="宋体" w:hint="default"/>
                <w:sz w:val="18"/>
                <w:szCs w:val="18"/>
              </w:rPr>
              <w:t>宴会厅</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显示屏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10,793.</w:t>
            </w:r>
          </w:p>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22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338" w:right="0"/>
              <w:jc w:val="left"/>
              <w:rPr>
                <w:rFonts w:ascii="宋体" w:hAnsi="宋体" w:cs="宋体" w:eastAsia="宋体" w:hint="default"/>
                <w:sz w:val="18"/>
                <w:szCs w:val="18"/>
              </w:rPr>
            </w:pPr>
            <w:r>
              <w:rPr>
                <w:rFonts w:ascii="宋体" w:hAnsi="宋体" w:cs="宋体" w:eastAsia="宋体" w:hint="default"/>
                <w:sz w:val="18"/>
                <w:szCs w:val="18"/>
              </w:rPr>
              <w:t>支付收购对价</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79,302.</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79,302.</w:t>
            </w:r>
          </w:p>
          <w:p>
            <w:pPr>
              <w:pStyle w:val="TableParagraph"/>
              <w:spacing w:line="240" w:lineRule="auto" w:before="105"/>
              <w:ind w:left="7" w:right="0"/>
              <w:jc w:val="center"/>
              <w:rPr>
                <w:rFonts w:ascii="Times New Roman" w:hAnsi="Times New Roman" w:cs="Times New Roman" w:eastAsia="Times New Roman" w:hint="default"/>
                <w:sz w:val="18"/>
                <w:szCs w:val="18"/>
              </w:rPr>
            </w:pPr>
            <w:r>
              <w:rPr>
                <w:rFonts w:ascii="Times New Roman"/>
                <w:sz w:val="18"/>
              </w:rPr>
              <w:t>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79,302.</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20"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58"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9" w:right="0"/>
              <w:jc w:val="left"/>
              <w:rPr>
                <w:rFonts w:ascii="Times New Roman" w:hAnsi="Times New Roman" w:cs="Times New Roman" w:eastAsia="Times New Roman" w:hint="default"/>
                <w:sz w:val="18"/>
                <w:szCs w:val="18"/>
              </w:rPr>
            </w:pPr>
            <w:r>
              <w:rPr>
                <w:rFonts w:ascii="Times New Roman"/>
                <w:sz w:val="18"/>
              </w:rPr>
              <w:t>271,99</w:t>
            </w:r>
          </w:p>
          <w:p>
            <w:pPr>
              <w:pStyle w:val="TableParagraph"/>
              <w:spacing w:line="240" w:lineRule="auto" w:before="102"/>
              <w:ind w:left="230" w:right="0"/>
              <w:jc w:val="left"/>
              <w:rPr>
                <w:rFonts w:ascii="Times New Roman" w:hAnsi="Times New Roman" w:cs="Times New Roman" w:eastAsia="Times New Roman" w:hint="default"/>
                <w:sz w:val="18"/>
                <w:szCs w:val="18"/>
              </w:rPr>
            </w:pPr>
            <w:r>
              <w:rPr>
                <w:rFonts w:ascii="Times New Roman"/>
                <w:sz w:val="18"/>
              </w:rPr>
              <w:t>4.99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 w:right="0"/>
              <w:jc w:val="center"/>
              <w:rPr>
                <w:rFonts w:ascii="Times New Roman" w:hAnsi="Times New Roman" w:cs="Times New Roman" w:eastAsia="Times New Roman" w:hint="default"/>
                <w:sz w:val="18"/>
                <w:szCs w:val="18"/>
              </w:rPr>
            </w:pPr>
            <w:r>
              <w:rPr>
                <w:rFonts w:ascii="Times New Roman"/>
                <w:sz w:val="18"/>
              </w:rPr>
              <w:t>93,503.</w:t>
            </w:r>
          </w:p>
          <w:p>
            <w:pPr>
              <w:pStyle w:val="TableParagraph"/>
              <w:spacing w:line="240" w:lineRule="auto" w:before="102"/>
              <w:ind w:left="7" w:right="0"/>
              <w:jc w:val="center"/>
              <w:rPr>
                <w:rFonts w:ascii="Times New Roman" w:hAnsi="Times New Roman" w:cs="Times New Roman" w:eastAsia="Times New Roman" w:hint="default"/>
                <w:sz w:val="18"/>
                <w:szCs w:val="18"/>
              </w:rPr>
            </w:pPr>
            <w:r>
              <w:rPr>
                <w:rFonts w:ascii="Times New Roman"/>
                <w:sz w:val="18"/>
              </w:rPr>
              <w:t>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93,503.</w:t>
            </w:r>
          </w:p>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29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96" w:right="0"/>
              <w:jc w:val="left"/>
              <w:rPr>
                <w:rFonts w:ascii="Times New Roman" w:hAnsi="Times New Roman" w:cs="Times New Roman" w:eastAsia="Times New Roman" w:hint="default"/>
                <w:sz w:val="18"/>
                <w:szCs w:val="18"/>
              </w:rPr>
            </w:pPr>
            <w:r>
              <w:rPr>
                <w:rFonts w:ascii="Times New Roman"/>
                <w:sz w:val="18"/>
              </w:rPr>
              <w:t>-81.5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271,99</w:t>
            </w:r>
          </w:p>
          <w:p>
            <w:pPr>
              <w:pStyle w:val="TableParagraph"/>
              <w:spacing w:line="240" w:lineRule="auto" w:before="105"/>
              <w:ind w:left="255" w:right="0"/>
              <w:jc w:val="center"/>
              <w:rPr>
                <w:rFonts w:ascii="Times New Roman" w:hAnsi="Times New Roman" w:cs="Times New Roman" w:eastAsia="Times New Roman" w:hint="default"/>
                <w:sz w:val="18"/>
                <w:szCs w:val="18"/>
              </w:rPr>
            </w:pPr>
            <w:r>
              <w:rPr>
                <w:rFonts w:ascii="Times New Roman"/>
                <w:sz w:val="18"/>
              </w:rPr>
              <w:t>4.99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9" w:right="0"/>
              <w:jc w:val="left"/>
              <w:rPr>
                <w:rFonts w:ascii="Times New Roman" w:hAnsi="Times New Roman" w:cs="Times New Roman" w:eastAsia="Times New Roman" w:hint="default"/>
                <w:sz w:val="18"/>
                <w:szCs w:val="18"/>
              </w:rPr>
            </w:pPr>
            <w:r>
              <w:rPr>
                <w:rFonts w:ascii="Times New Roman"/>
                <w:sz w:val="18"/>
              </w:rPr>
              <w:t>93,503.</w:t>
            </w:r>
          </w:p>
          <w:p>
            <w:pPr>
              <w:pStyle w:val="TableParagraph"/>
              <w:spacing w:line="240" w:lineRule="auto" w:before="105"/>
              <w:ind w:left="489" w:right="0"/>
              <w:jc w:val="left"/>
              <w:rPr>
                <w:rFonts w:ascii="Times New Roman" w:hAnsi="Times New Roman" w:cs="Times New Roman" w:eastAsia="Times New Roman" w:hint="default"/>
                <w:sz w:val="18"/>
                <w:szCs w:val="18"/>
              </w:rPr>
            </w:pPr>
            <w:r>
              <w:rPr>
                <w:rFonts w:ascii="Times New Roman"/>
                <w:sz w:val="18"/>
              </w:rPr>
              <w:t>29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7" w:right="0"/>
              <w:jc w:val="left"/>
              <w:rPr>
                <w:rFonts w:ascii="Times New Roman" w:hAnsi="Times New Roman" w:cs="Times New Roman" w:eastAsia="Times New Roman" w:hint="default"/>
                <w:sz w:val="18"/>
                <w:szCs w:val="18"/>
              </w:rPr>
            </w:pPr>
            <w:r>
              <w:rPr>
                <w:rFonts w:ascii="Times New Roman"/>
                <w:sz w:val="18"/>
              </w:rPr>
              <w:t>93,503.</w:t>
            </w:r>
          </w:p>
          <w:p>
            <w:pPr>
              <w:pStyle w:val="TableParagraph"/>
              <w:spacing w:line="240" w:lineRule="auto" w:before="105"/>
              <w:ind w:left="487" w:right="0"/>
              <w:jc w:val="left"/>
              <w:rPr>
                <w:rFonts w:ascii="Times New Roman" w:hAnsi="Times New Roman" w:cs="Times New Roman" w:eastAsia="Times New Roman" w:hint="default"/>
                <w:sz w:val="18"/>
                <w:szCs w:val="18"/>
              </w:rPr>
            </w:pPr>
            <w:r>
              <w:rPr>
                <w:rFonts w:ascii="Times New Roman"/>
                <w:sz w:val="18"/>
              </w:rPr>
              <w:t>29</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24" w:right="0"/>
              <w:jc w:val="lef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92" w:right="0"/>
              <w:jc w:val="left"/>
              <w:rPr>
                <w:rFonts w:ascii="Times New Roman" w:hAnsi="Times New Roman" w:cs="Times New Roman" w:eastAsia="Times New Roman" w:hint="default"/>
                <w:sz w:val="18"/>
                <w:szCs w:val="18"/>
              </w:rPr>
            </w:pPr>
            <w:r>
              <w:rPr>
                <w:rFonts w:ascii="Times New Roman"/>
                <w:sz w:val="18"/>
              </w:rPr>
              <w:t>-81.5</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586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6"/>
                <w:szCs w:val="16"/>
              </w:rPr>
            </w:pPr>
          </w:p>
          <w:p>
            <w:pPr>
              <w:pStyle w:val="TableParagraph"/>
              <w:spacing w:line="319" w:lineRule="auto"/>
              <w:ind w:left="103" w:right="36"/>
              <w:jc w:val="left"/>
              <w:rPr>
                <w:rFonts w:ascii="宋体" w:hAnsi="宋体" w:cs="宋体" w:eastAsia="宋体" w:hint="default"/>
                <w:sz w:val="18"/>
                <w:szCs w:val="18"/>
              </w:rPr>
            </w:pPr>
            <w:r>
              <w:rPr>
                <w:rFonts w:ascii="宋体" w:hAnsi="宋体" w:cs="宋体" w:eastAsia="宋体" w:hint="default"/>
                <w:sz w:val="18"/>
                <w:szCs w:val="18"/>
              </w:rPr>
              <w:t>未达到计划进度或 预计收益的情况和 原因（分具体项目）</w:t>
            </w:r>
          </w:p>
        </w:tc>
        <w:tc>
          <w:tcPr>
            <w:tcW w:w="7799" w:type="dxa"/>
            <w:gridSpan w:val="10"/>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103" w:right="1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、移动广告营销网络建设项目，因公司出于对移动广告营销网络布局谨慎决策的考虑，加大了前 期市场调研力度，该项目已不能实现公司合理的商业预期，公司董事会和管理层决定减少该项目 投资额。目前已完成青岛城市公司营销体系的搭建，尚未达到预期效益。</w:t>
            </w:r>
          </w:p>
          <w:p>
            <w:pPr>
              <w:pStyle w:val="TableParagraph"/>
              <w:spacing w:line="300" w:lineRule="auto" w:before="67"/>
              <w:ind w:left="103" w:right="11"/>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、至美移动数字营销综合服务平台升级项目，因项目的市场、技术、行业等因素发生进一步变化，</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考虑到项目的可持续性，公司终止了该项目。</w:t>
            </w:r>
          </w:p>
          <w:p>
            <w:pPr>
              <w:pStyle w:val="TableParagraph"/>
              <w:spacing w:line="314" w:lineRule="auto" w:before="72"/>
              <w:ind w:left="103" w:right="100"/>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、研发中心项目，由于近年来互联网和移动互联网营销市场环境和技术环境发生较大变化，主流</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媒体后台技术能力大幅提升，公司无必要再独立进行软硬件采购并进行相应研发。另外，随着互 联网流量广告行业出现的虚假流量和广告欺诈情况，公司结合目前行业发展趋势及技术情况，拟 将部分研发中心项目募集资金用于传媒生态链项目。率先使用区块链技术打造的创新生态平台， 为生态链的每个环节提供稳定、安全、可靠、易用、开放的基础设施，解决与媒体、广告、内容 相关的业务场景问题，基于以上原因，公司终止了研发中心项目。</w:t>
            </w:r>
          </w:p>
          <w:p>
            <w:pPr>
              <w:pStyle w:val="TableParagraph"/>
              <w:spacing w:line="300" w:lineRule="auto" w:before="59"/>
              <w:ind w:left="103" w:right="10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、户外媒体联屏联播网项目，因政策收紧，无法获取有效的户外媒体阵地资源，原有募投项目已</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无法满足媒体发展的新趋势、新变化，因此公司终止了该项目。</w:t>
            </w:r>
          </w:p>
          <w:p>
            <w:pPr>
              <w:pStyle w:val="TableParagraph"/>
              <w:spacing w:line="300" w:lineRule="auto" w:before="72"/>
              <w:ind w:left="103" w:right="11"/>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WIFI</w:t>
            </w:r>
            <w:r>
              <w:rPr>
                <w:rFonts w:ascii="Times New Roman" w:hAnsi="Times New Roman" w:cs="Times New Roman" w:eastAsia="Times New Roman" w:hint="default"/>
                <w:spacing w:val="23"/>
                <w:sz w:val="18"/>
                <w:szCs w:val="18"/>
              </w:rPr>
              <w:t> </w:t>
            </w:r>
            <w:r>
              <w:rPr>
                <w:rFonts w:ascii="宋体" w:hAnsi="宋体" w:cs="宋体" w:eastAsia="宋体" w:hint="default"/>
                <w:spacing w:val="-2"/>
                <w:sz w:val="18"/>
                <w:szCs w:val="18"/>
              </w:rPr>
              <w:t>布点项目，因项目的市场、技术、行业等因素发生进一步变化，考虑到项目的可持续性，</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公司对项目方案进行了进一步论证，考虑到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布点项目的后期计划的不确定性并避免募集资</w:t>
            </w:r>
            <w:r>
              <w:rPr>
                <w:rFonts w:ascii="宋体" w:hAnsi="宋体" w:cs="宋体" w:eastAsia="宋体" w:hint="default"/>
                <w:w w:val="99"/>
                <w:sz w:val="18"/>
                <w:szCs w:val="18"/>
              </w:rPr>
              <w:t> </w:t>
            </w:r>
            <w:r>
              <w:rPr>
                <w:rFonts w:ascii="宋体" w:hAnsi="宋体" w:cs="宋体" w:eastAsia="宋体" w:hint="default"/>
                <w:sz w:val="18"/>
                <w:szCs w:val="18"/>
              </w:rPr>
              <w:t>金闲置，公司董事会和管理层决定终止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WIFI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布点项目。</w:t>
            </w:r>
          </w:p>
          <w:p>
            <w:pPr>
              <w:pStyle w:val="TableParagraph"/>
              <w:spacing w:line="300" w:lineRule="auto" w:before="53"/>
              <w:ind w:left="103" w:right="99"/>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6</w:t>
            </w:r>
            <w:r>
              <w:rPr>
                <w:rFonts w:ascii="宋体" w:hAnsi="宋体" w:cs="宋体" w:eastAsia="宋体" w:hint="default"/>
                <w:spacing w:val="-4"/>
                <w:sz w:val="18"/>
                <w:szCs w:val="18"/>
              </w:rPr>
              <w:t>、宴会厅</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显示屏项目，因国内高端餐饮消费市场持续低迷，宴会厅</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显示屏项目市场环 境已发生很大变化，该项目已不能实现公司合理的商业预期。公司出于对市场行情的判断，考虑</w:t>
            </w:r>
          </w:p>
        </w:tc>
      </w:tr>
    </w:tbl>
    <w:p>
      <w:pPr>
        <w:spacing w:after="0" w:line="300" w:lineRule="auto"/>
        <w:jc w:val="both"/>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770"/>
        <w:gridCol w:w="7799"/>
      </w:tblGrid>
      <w:tr>
        <w:trPr>
          <w:trHeight w:val="36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到宴会厅</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显示屏项目后期的实施困难，公司董事会和管理层决定终止该项目。</w:t>
            </w:r>
          </w:p>
        </w:tc>
      </w:tr>
      <w:tr>
        <w:trPr>
          <w:trHeight w:val="10746"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316" w:lineRule="auto"/>
              <w:ind w:left="102" w:right="216"/>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、至美移动数字营销综合服务平台升级项目</w:t>
            </w:r>
          </w:p>
          <w:p>
            <w:pPr>
              <w:pStyle w:val="TableParagraph"/>
              <w:spacing w:line="309" w:lineRule="auto" w:before="101"/>
              <w:ind w:left="103" w:right="12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）市场认可度降低，竞争激烈，加速市场洗牌。移动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DSP </w:t>
            </w:r>
            <w:r>
              <w:rPr>
                <w:rFonts w:ascii="宋体" w:hAnsi="宋体" w:cs="宋体" w:eastAsia="宋体" w:hint="default"/>
                <w:sz w:val="18"/>
                <w:szCs w:val="18"/>
              </w:rPr>
              <w:t>市场在移动广告领域和程序化购买 广告技术的双重加持下，取得了较快的发展。但是，伴随而来的流量作弊等问题也进一步凸显， 制约了行业发展，行业洗牌加速。</w:t>
            </w:r>
          </w:p>
          <w:p>
            <w:pPr>
              <w:pStyle w:val="TableParagraph"/>
              <w:spacing w:line="300" w:lineRule="auto" w:before="65"/>
              <w:ind w:left="103" w:right="9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）国内主流媒体自建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ADX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DSP</w:t>
            </w:r>
            <w:r>
              <w:rPr>
                <w:rFonts w:ascii="宋体" w:hAnsi="宋体" w:cs="宋体" w:eastAsia="宋体" w:hint="default"/>
                <w:sz w:val="18"/>
                <w:szCs w:val="18"/>
              </w:rPr>
              <w:t>，压缩第三方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SSP/DSP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平台空间。从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年起各个主流媒 体开始自建</w:t>
            </w:r>
            <w:r>
              <w:rPr>
                <w:rFonts w:ascii="宋体" w:hAnsi="宋体" w:cs="宋体" w:eastAsia="宋体" w:hint="default"/>
                <w:spacing w:val="-41"/>
                <w:sz w:val="18"/>
                <w:szCs w:val="18"/>
              </w:rPr>
              <w:t> </w:t>
            </w:r>
            <w:r>
              <w:rPr>
                <w:rFonts w:ascii="Times New Roman" w:hAnsi="Times New Roman" w:cs="Times New Roman" w:eastAsia="Times New Roman" w:hint="default"/>
                <w:spacing w:val="-4"/>
                <w:sz w:val="18"/>
                <w:szCs w:val="18"/>
              </w:rPr>
              <w:t>ADX</w:t>
            </w:r>
            <w:r>
              <w:rPr>
                <w:rFonts w:ascii="宋体" w:hAnsi="宋体" w:cs="宋体" w:eastAsia="宋体" w:hint="default"/>
                <w:spacing w:val="-4"/>
                <w:sz w:val="18"/>
                <w:szCs w:val="18"/>
              </w:rPr>
              <w:t>，比如微博、今日头条、陌陌等，流量完全与官方直投共同竞价；对第三方</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ADX</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与</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SSP</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而言，只能面向中小媒体，同时由于主流媒体的流量集合，基本能覆盖全网流量，因此第 三方生存空间将大大被压缩。同时，从</w:t>
            </w:r>
            <w:r>
              <w:rPr>
                <w:rFonts w:ascii="宋体" w:hAnsi="宋体" w:cs="宋体" w:eastAsia="宋体" w:hint="default"/>
                <w:spacing w:val="-6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年开始，主流媒体开始自建</w:t>
            </w:r>
            <w:r>
              <w:rPr>
                <w:rFonts w:ascii="宋体" w:hAnsi="宋体" w:cs="宋体" w:eastAsia="宋体" w:hint="default"/>
                <w:spacing w:val="-61"/>
                <w:sz w:val="18"/>
                <w:szCs w:val="18"/>
              </w:rPr>
              <w:t> </w:t>
            </w:r>
            <w:r>
              <w:rPr>
                <w:rFonts w:ascii="Times New Roman" w:hAnsi="Times New Roman" w:cs="Times New Roman" w:eastAsia="Times New Roman" w:hint="default"/>
                <w:spacing w:val="-3"/>
                <w:sz w:val="18"/>
                <w:szCs w:val="18"/>
              </w:rPr>
              <w:t>DSP</w:t>
            </w:r>
            <w:r>
              <w:rPr>
                <w:rFonts w:ascii="宋体" w:hAnsi="宋体" w:cs="宋体" w:eastAsia="宋体" w:hint="default"/>
                <w:spacing w:val="-3"/>
                <w:sz w:val="18"/>
                <w:szCs w:val="18"/>
              </w:rPr>
              <w:t>，比如今日头条、广</w:t>
            </w:r>
            <w:r>
              <w:rPr>
                <w:rFonts w:ascii="宋体" w:hAnsi="宋体" w:cs="宋体" w:eastAsia="宋体" w:hint="default"/>
                <w:sz w:val="18"/>
                <w:szCs w:val="18"/>
              </w:rPr>
              <w:t> 点通等。广告主或者代理商直接进入媒体</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DSP</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系统，通过媒体的审核后方可进行展示，进一步压 缩了第三方</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DSP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的空间。</w:t>
            </w:r>
          </w:p>
          <w:p>
            <w:pPr>
              <w:pStyle w:val="TableParagraph"/>
              <w:spacing w:line="300" w:lineRule="auto" w:before="53"/>
              <w:ind w:left="103" w:right="98"/>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DSP</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平台采购和销售量占公司业务总量的比例比较小。冉十科技</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年度通过</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DSP</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平台采 购金额占总营业成本的比例为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0.34%</w:t>
            </w:r>
            <w:r>
              <w:rPr>
                <w:rFonts w:ascii="宋体" w:hAnsi="宋体" w:cs="宋体" w:eastAsia="宋体" w:hint="default"/>
                <w:sz w:val="18"/>
                <w:szCs w:val="18"/>
              </w:rPr>
              <w:t>，通过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DSP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平台产生的销售收入占收入总额的比例仅为 </w:t>
            </w:r>
            <w:r>
              <w:rPr>
                <w:rFonts w:ascii="Times New Roman" w:hAnsi="Times New Roman" w:cs="Times New Roman" w:eastAsia="Times New Roman" w:hint="default"/>
                <w:sz w:val="18"/>
                <w:szCs w:val="18"/>
              </w:rPr>
              <w:t>1.52%</w:t>
            </w:r>
            <w:r>
              <w:rPr>
                <w:rFonts w:ascii="宋体" w:hAnsi="宋体" w:cs="宋体" w:eastAsia="宋体" w:hint="default"/>
                <w:sz w:val="18"/>
                <w:szCs w:val="18"/>
              </w:rPr>
              <w:t>。</w:t>
            </w:r>
          </w:p>
          <w:p>
            <w:pPr>
              <w:pStyle w:val="TableParagraph"/>
              <w:spacing w:line="321" w:lineRule="auto" w:before="51"/>
              <w:ind w:left="10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、研发中心项目 由于近年来互联网和移动互联网营销市场环境和技术环境发生较大变化，主流媒体后台技术能力 大幅提升，公司无必要再独立进行软硬件采购并进行相应研发。另外，随着互联网流量广告行业 出现的虚假流量和广告欺诈情况，公司结合目前行业发展趋势及技术情况，拟将部分研发中心项 目募集资金用于传媒生态链项目，率先使用区块链技术打造的创新生态平台，为生态链的每个环 </w:t>
            </w:r>
            <w:r>
              <w:rPr>
                <w:rFonts w:ascii="宋体" w:hAnsi="宋体" w:cs="宋体" w:eastAsia="宋体" w:hint="default"/>
                <w:spacing w:val="-2"/>
                <w:sz w:val="18"/>
                <w:szCs w:val="18"/>
              </w:rPr>
              <w:t>节提供稳定、安全可靠、易用、开放的基础设施，解决与媒体、广告、内容相关的业务场景问题。</w:t>
            </w:r>
          </w:p>
          <w:p>
            <w:pPr>
              <w:pStyle w:val="TableParagraph"/>
              <w:spacing w:line="240" w:lineRule="auto" w:before="56"/>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、户外媒体联屏联播网项目</w:t>
            </w:r>
          </w:p>
          <w:p>
            <w:pPr>
              <w:pStyle w:val="TableParagraph"/>
              <w:spacing w:line="312" w:lineRule="auto" w:before="101"/>
              <w:ind w:left="103" w:right="101"/>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）政策收紧，无法获取有效的户外媒体阵地资源。</w:t>
            </w:r>
            <w:r>
              <w:rPr>
                <w:rFonts w:ascii="Times New Roman" w:hAnsi="Times New Roman" w:cs="Times New Roman" w:eastAsia="Times New Roman" w:hint="default"/>
                <w:spacing w:val="-2"/>
                <w:sz w:val="18"/>
                <w:szCs w:val="18"/>
              </w:rPr>
              <w:t>G20</w:t>
            </w:r>
            <w:r>
              <w:rPr>
                <w:rFonts w:ascii="Times New Roman" w:hAnsi="Times New Roman" w:cs="Times New Roman" w:eastAsia="Times New Roman" w:hint="default"/>
                <w:spacing w:val="16"/>
                <w:sz w:val="18"/>
                <w:szCs w:val="18"/>
              </w:rPr>
              <w:t> </w:t>
            </w:r>
            <w:r>
              <w:rPr>
                <w:rFonts w:ascii="宋体" w:hAnsi="宋体" w:cs="宋体" w:eastAsia="宋体" w:hint="default"/>
                <w:spacing w:val="-2"/>
                <w:sz w:val="18"/>
                <w:szCs w:val="18"/>
              </w:rPr>
              <w:t>峰会在杭州的落地，为杭州增添了一张</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靓丽的名片。但同时，杭州为提升城市形象和品位，陆续出台了一系列规范户外广告的政策和举 措，新的户外阵地资源的获取难度增加。</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年国内多地均出台相关法规对户外广告牌进行集中 整治，此举无疑会对部分地区的户外广告市场产生影响，使得视科传媒在进行户外广告市场扩张 时，不得不充分考虑其可能带来的不利影响，在项目投资上采取了更为谨慎、更为稳健的评估、 判断。鉴于上述变化，董事会决议终止本募投项目。</w:t>
            </w:r>
          </w:p>
          <w:p>
            <w:pPr>
              <w:pStyle w:val="TableParagraph"/>
              <w:spacing w:line="309" w:lineRule="auto" w:before="63"/>
              <w:ind w:left="103" w:right="122"/>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）杭州工联大屏的建成提升品牌美誉度。公司巨额投入的杭州工联大厦巨幕</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显示屏正以 其“亚洲第一屏”的品牌美誉为业界所熟悉，深受各大品牌主的青睐，对于提升品牌价值及获得 高端客户具有良好的效果，正在成为公司新的持续的业绩增长点和公司形象名片。</w:t>
            </w:r>
          </w:p>
          <w:p>
            <w:pPr>
              <w:pStyle w:val="TableParagraph"/>
              <w:spacing w:line="312" w:lineRule="auto" w:before="65"/>
              <w:ind w:left="103" w:right="102"/>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）原有募投项目已无法满足媒体发展的新趋势、新变化。由于风险资本和互联网巨头、独角兽</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公司的持续关注和进入，加速了户外媒体的资源整合，中国以阿里巴巴、腾讯、百度等为代表的 互联网公司，正瞄准了户外媒体这一线下媒体流量入口，纷纷抢滩入局，场景化营销、媒体融合 成为新的焦点和趋势，中国的户外媒体面临新的格局。</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02" w:right="103"/>
              <w:jc w:val="left"/>
              <w:rPr>
                <w:rFonts w:ascii="宋体" w:hAnsi="宋体" w:cs="宋体" w:eastAsia="宋体" w:hint="default"/>
                <w:sz w:val="18"/>
                <w:szCs w:val="18"/>
              </w:rPr>
            </w:pPr>
            <w:r>
              <w:rPr>
                <w:rFonts w:ascii="宋体" w:hAnsi="宋体" w:cs="宋体" w:eastAsia="宋体" w:hint="default"/>
                <w:spacing w:val="-8"/>
                <w:sz w:val="18"/>
                <w:szCs w:val="18"/>
              </w:rPr>
              <w:t>超募资金的金额、用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途及使用进展情况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25"/>
                <w:szCs w:val="25"/>
              </w:rPr>
            </w:pPr>
          </w:p>
          <w:p>
            <w:pPr>
              <w:pStyle w:val="TableParagraph"/>
              <w:spacing w:line="316" w:lineRule="auto"/>
              <w:ind w:left="102" w:right="216"/>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102" w:right="216"/>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770"/>
        <w:gridCol w:w="7799"/>
      </w:tblGrid>
      <w:tr>
        <w:trPr>
          <w:trHeight w:val="401"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2" w:right="216"/>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2" w:right="216"/>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102" w:right="216"/>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624"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9"/>
              <w:ind w:left="103" w:right="0"/>
              <w:jc w:val="left"/>
              <w:rPr>
                <w:rFonts w:ascii="宋体" w:hAnsi="宋体" w:cs="宋体" w:eastAsia="宋体" w:hint="default"/>
                <w:sz w:val="18"/>
                <w:szCs w:val="18"/>
              </w:rPr>
            </w:pPr>
            <w:r>
              <w:rPr>
                <w:rFonts w:ascii="宋体" w:hAnsi="宋体" w:cs="宋体" w:eastAsia="宋体" w:hint="default"/>
                <w:sz w:val="18"/>
                <w:szCs w:val="18"/>
              </w:rPr>
              <w:t>公司已完成青岛城市公司营销体系的搭建，移动广告营销网络建设项目结余</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294.96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216"/>
              <w:jc w:val="left"/>
              <w:rPr>
                <w:rFonts w:ascii="宋体" w:hAnsi="宋体" w:cs="宋体" w:eastAsia="宋体" w:hint="default"/>
                <w:sz w:val="18"/>
                <w:szCs w:val="18"/>
              </w:rPr>
            </w:pPr>
            <w:r>
              <w:rPr>
                <w:rFonts w:ascii="宋体" w:hAnsi="宋体" w:cs="宋体" w:eastAsia="宋体" w:hint="default"/>
                <w:sz w:val="18"/>
                <w:szCs w:val="18"/>
              </w:rPr>
              <w:t>尚未使用的募集资 金用途及去向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24"/>
              <w:jc w:val="left"/>
              <w:rPr>
                <w:rFonts w:ascii="宋体" w:hAnsi="宋体" w:cs="宋体" w:eastAsia="宋体" w:hint="default"/>
                <w:sz w:val="18"/>
                <w:szCs w:val="18"/>
              </w:rPr>
            </w:pPr>
            <w:r>
              <w:rPr>
                <w:rFonts w:ascii="宋体" w:hAnsi="宋体" w:cs="宋体" w:eastAsia="宋体" w:hint="default"/>
                <w:sz w:val="18"/>
                <w:szCs w:val="18"/>
              </w:rPr>
              <w:t>尚未使用的募集资金仍存储于募集资金专户。在确保不影响募集资金项目建设、募集资金使用和 安全的前提下，对暂时闲置的募集资金进行现金管理，以提高资金收益。</w:t>
            </w:r>
          </w:p>
        </w:tc>
      </w:tr>
      <w:tr>
        <w:trPr>
          <w:trHeight w:val="2940"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5"/>
                <w:szCs w:val="15"/>
              </w:rPr>
            </w:pPr>
          </w:p>
          <w:p>
            <w:pPr>
              <w:pStyle w:val="TableParagraph"/>
              <w:spacing w:line="316" w:lineRule="auto"/>
              <w:ind w:left="102" w:right="216"/>
              <w:jc w:val="both"/>
              <w:rPr>
                <w:rFonts w:ascii="宋体" w:hAnsi="宋体" w:cs="宋体" w:eastAsia="宋体" w:hint="default"/>
                <w:sz w:val="18"/>
                <w:szCs w:val="18"/>
              </w:rPr>
            </w:pPr>
            <w:r>
              <w:rPr>
                <w:rFonts w:ascii="宋体" w:hAnsi="宋体" w:cs="宋体" w:eastAsia="宋体" w:hint="default"/>
                <w:sz w:val="18"/>
                <w:szCs w:val="18"/>
              </w:rPr>
              <w:t>募集资金使用及披 露中存在的问题或 其他情况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51"/>
              <w:ind w:left="103" w:right="11"/>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、武林</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灯光秀项目原预计实施期限为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日，公司未在预计的期限内投资，报告</w:t>
            </w:r>
            <w:r>
              <w:rPr>
                <w:rFonts w:ascii="宋体" w:hAnsi="宋体" w:cs="宋体" w:eastAsia="宋体" w:hint="default"/>
                <w:sz w:val="18"/>
                <w:szCs w:val="18"/>
              </w:rPr>
              <w:t> </w:t>
            </w:r>
            <w:r>
              <w:rPr>
                <w:rFonts w:ascii="宋体" w:hAnsi="宋体" w:cs="宋体" w:eastAsia="宋体" w:hint="default"/>
                <w:spacing w:val="-2"/>
                <w:sz w:val="18"/>
                <w:szCs w:val="18"/>
              </w:rPr>
              <w:t>期内，公司多次和当地政府协商景观造方案和商业改造方案的推进情况，但是方案始终未被批准。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月份将武林</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灯光秀项目的实施主体视科传媒公司转让，在该项目前景不明 朗的情况下，公司决定终止该项目，该项目尚未投入资金。</w:t>
            </w:r>
          </w:p>
          <w:p>
            <w:pPr>
              <w:pStyle w:val="TableParagraph"/>
              <w:spacing w:line="314" w:lineRule="auto" w:before="68"/>
              <w:ind w:left="103" w:right="102"/>
              <w:jc w:val="both"/>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、苏州大通箐鹰投资合伙企业（有限合伙）之优先级合伙人山东省金融资产管理股份有限公司与</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劣后级合伙人青岛亚星实业有限公司、执行事务合伙人苏州大通智远投资有限公司就退伙事宜未</w:t>
            </w:r>
            <w:r>
              <w:rPr>
                <w:rFonts w:ascii="宋体" w:hAnsi="宋体" w:cs="宋体" w:eastAsia="宋体" w:hint="default"/>
                <w:sz w:val="18"/>
                <w:szCs w:val="18"/>
              </w:rPr>
              <w:t> 达成一致意见，因公司对省金融资产公司在投资期间的预期投资收益及实缴出资额负有差额补足 的义务，省金融资产公司向青岛市中级人民法院提起诉讼，公司在浦发银行青岛高科园支行、青 岛银行辽阳路支行开立的募集资金监管账户分别存在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25,957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万元资金被冻结。</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6"/>
        <w:jc w:val="left"/>
        <w:rPr>
          <w:b w:val="0"/>
          <w:bCs w:val="0"/>
        </w:rPr>
      </w:pPr>
      <w:bookmarkStart w:name="（3）募集资金变更项目情况" w:id="55"/>
      <w:bookmarkEnd w:id="55"/>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6"/>
        <w:jc w:val="left"/>
      </w:pPr>
      <w:r>
        <w:rPr/>
        <w:t>√ 适用 □</w:t>
      </w:r>
      <w:r>
        <w:rPr>
          <w:spacing w:val="3"/>
        </w:rPr>
        <w:t> </w:t>
      </w:r>
      <w:r>
        <w:rPr/>
        <w:t>不适用</w:t>
      </w:r>
    </w:p>
    <w:p>
      <w:pPr>
        <w:pStyle w:val="BodyText"/>
        <w:spacing w:line="240" w:lineRule="auto" w:before="117"/>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889"/>
        <w:gridCol w:w="1027"/>
      </w:tblGrid>
      <w:tr>
        <w:trPr>
          <w:trHeight w:val="1337"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93" w:right="113" w:hanging="181"/>
              <w:jc w:val="left"/>
              <w:rPr>
                <w:rFonts w:ascii="宋体" w:hAnsi="宋体" w:cs="宋体" w:eastAsia="宋体" w:hint="default"/>
                <w:sz w:val="18"/>
                <w:szCs w:val="18"/>
              </w:rPr>
            </w:pPr>
            <w:r>
              <w:rPr>
                <w:rFonts w:ascii="宋体" w:hAnsi="宋体" w:cs="宋体" w:eastAsia="宋体" w:hint="default"/>
                <w:sz w:val="18"/>
                <w:szCs w:val="18"/>
              </w:rPr>
              <w:t>变更后的 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13"/>
              <w:jc w:val="left"/>
              <w:rPr>
                <w:rFonts w:ascii="宋体" w:hAnsi="宋体" w:cs="宋体" w:eastAsia="宋体" w:hint="default"/>
                <w:sz w:val="18"/>
                <w:szCs w:val="18"/>
              </w:rPr>
            </w:pPr>
            <w:r>
              <w:rPr>
                <w:rFonts w:ascii="宋体" w:hAnsi="宋体" w:cs="宋体" w:eastAsia="宋体" w:hint="default"/>
                <w:sz w:val="18"/>
                <w:szCs w:val="18"/>
              </w:rPr>
              <w:t>对应的原 承诺项目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13"/>
              <w:jc w:val="both"/>
              <w:rPr>
                <w:rFonts w:ascii="Times New Roman" w:hAnsi="Times New Roman" w:cs="Times New Roman" w:eastAsia="Times New Roman" w:hint="default"/>
                <w:sz w:val="18"/>
                <w:szCs w:val="18"/>
              </w:rPr>
            </w:pPr>
            <w:r>
              <w:rPr>
                <w:rFonts w:ascii="宋体" w:hAnsi="宋体" w:cs="宋体" w:eastAsia="宋体" w:hint="default"/>
                <w:sz w:val="18"/>
                <w:szCs w:val="18"/>
              </w:rPr>
              <w:t>变更后项 目拟投入 募集资金 总额</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2" w:right="113"/>
              <w:jc w:val="center"/>
              <w:rPr>
                <w:rFonts w:ascii="宋体" w:hAnsi="宋体" w:cs="宋体" w:eastAsia="宋体" w:hint="default"/>
                <w:sz w:val="18"/>
                <w:szCs w:val="18"/>
              </w:rPr>
            </w:pPr>
            <w:r>
              <w:rPr>
                <w:rFonts w:ascii="宋体" w:hAnsi="宋体" w:cs="宋体" w:eastAsia="宋体" w:hint="default"/>
                <w:sz w:val="18"/>
                <w:szCs w:val="18"/>
              </w:rPr>
              <w:t>本报告期 实际投入 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112" w:right="11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 实际累计 投入金额 </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38" w:lineRule="auto"/>
              <w:ind w:left="110" w:right="49" w:firstLine="31"/>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(3)=(2)/(1)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2" w:right="11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2" w:right="110"/>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8" w:right="168"/>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67"/>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23"/>
              <w:jc w:val="left"/>
              <w:rPr>
                <w:rFonts w:ascii="宋体" w:hAnsi="宋体" w:cs="宋体" w:eastAsia="宋体" w:hint="default"/>
                <w:sz w:val="18"/>
                <w:szCs w:val="18"/>
              </w:rPr>
            </w:pPr>
            <w:r>
              <w:rPr>
                <w:rFonts w:ascii="宋体" w:hAnsi="宋体" w:cs="宋体" w:eastAsia="宋体" w:hint="default"/>
                <w:sz w:val="18"/>
                <w:szCs w:val="18"/>
              </w:rPr>
              <w:t>传媒生态 链项目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22"/>
              <w:jc w:val="left"/>
              <w:rPr>
                <w:rFonts w:ascii="宋体" w:hAnsi="宋体" w:cs="宋体" w:eastAsia="宋体" w:hint="default"/>
                <w:sz w:val="18"/>
                <w:szCs w:val="18"/>
              </w:rPr>
            </w:pPr>
            <w:r>
              <w:rPr>
                <w:rFonts w:ascii="宋体" w:hAnsi="宋体" w:cs="宋体" w:eastAsia="宋体" w:hint="default"/>
                <w:sz w:val="18"/>
                <w:szCs w:val="18"/>
              </w:rPr>
              <w:t>研发中心 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1,000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111.82</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5" w:right="0"/>
              <w:jc w:val="left"/>
              <w:rPr>
                <w:rFonts w:ascii="Times New Roman" w:hAnsi="Times New Roman" w:cs="Times New Roman" w:eastAsia="Times New Roman" w:hint="default"/>
                <w:sz w:val="18"/>
                <w:szCs w:val="18"/>
              </w:rPr>
            </w:pPr>
            <w:r>
              <w:rPr>
                <w:rFonts w:ascii="Times New Roman"/>
                <w:sz w:val="18"/>
              </w:rPr>
              <w:t>11.18%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23"/>
              <w:jc w:val="left"/>
              <w:rPr>
                <w:rFonts w:ascii="宋体" w:hAnsi="宋体" w:cs="宋体" w:eastAsia="宋体" w:hint="default"/>
                <w:sz w:val="18"/>
                <w:szCs w:val="18"/>
              </w:rPr>
            </w:pPr>
            <w:r>
              <w:rPr>
                <w:rFonts w:ascii="宋体" w:hAnsi="宋体" w:cs="宋体" w:eastAsia="宋体" w:hint="default"/>
                <w:sz w:val="18"/>
                <w:szCs w:val="18"/>
              </w:rPr>
              <w:t>杭州武林 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灯光秀项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22"/>
              <w:jc w:val="both"/>
              <w:rPr>
                <w:rFonts w:ascii="宋体" w:hAnsi="宋体" w:cs="宋体" w:eastAsia="宋体" w:hint="default"/>
                <w:sz w:val="18"/>
                <w:szCs w:val="18"/>
              </w:rPr>
            </w:pPr>
            <w:r>
              <w:rPr>
                <w:rFonts w:ascii="宋体" w:hAnsi="宋体" w:cs="宋体" w:eastAsia="宋体" w:hint="default"/>
                <w:sz w:val="18"/>
                <w:szCs w:val="18"/>
              </w:rPr>
              <w:t>户外媒体 联屏联播 网项目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9,179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1339"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3"/>
              <w:jc w:val="both"/>
              <w:rPr>
                <w:rFonts w:ascii="宋体" w:hAnsi="宋体" w:cs="宋体" w:eastAsia="宋体" w:hint="default"/>
                <w:sz w:val="18"/>
                <w:szCs w:val="18"/>
              </w:rPr>
            </w:pPr>
            <w:r>
              <w:rPr>
                <w:rFonts w:ascii="宋体" w:hAnsi="宋体" w:cs="宋体" w:eastAsia="宋体" w:hint="default"/>
                <w:sz w:val="18"/>
                <w:szCs w:val="18"/>
              </w:rPr>
              <w:t>终止项目 后存放在 募集专户 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0"/>
              <w:ind w:left="103" w:right="122"/>
              <w:jc w:val="both"/>
              <w:rPr>
                <w:rFonts w:ascii="宋体" w:hAnsi="宋体" w:cs="宋体" w:eastAsia="宋体" w:hint="default"/>
                <w:sz w:val="18"/>
                <w:szCs w:val="18"/>
              </w:rPr>
            </w:pPr>
            <w:r>
              <w:rPr>
                <w:rFonts w:ascii="宋体" w:hAnsi="宋体" w:cs="宋体" w:eastAsia="宋体" w:hint="default"/>
                <w:sz w:val="18"/>
                <w:szCs w:val="18"/>
              </w:rPr>
              <w:t>至美移动 数字营销 综合服务 平台升级</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28,123.77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957"/>
        <w:gridCol w:w="958"/>
        <w:gridCol w:w="958"/>
        <w:gridCol w:w="958"/>
        <w:gridCol w:w="958"/>
        <w:gridCol w:w="956"/>
        <w:gridCol w:w="958"/>
        <w:gridCol w:w="955"/>
        <w:gridCol w:w="889"/>
        <w:gridCol w:w="1027"/>
      </w:tblGrid>
      <w:tr>
        <w:trPr>
          <w:trHeight w:val="987" w:hRule="exact"/>
        </w:trPr>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22"/>
              <w:jc w:val="both"/>
              <w:rPr>
                <w:rFonts w:ascii="宋体" w:hAnsi="宋体" w:cs="宋体" w:eastAsia="宋体" w:hint="default"/>
                <w:sz w:val="18"/>
                <w:szCs w:val="18"/>
              </w:rPr>
            </w:pPr>
            <w:r>
              <w:rPr>
                <w:rFonts w:ascii="宋体" w:hAnsi="宋体" w:cs="宋体" w:eastAsia="宋体" w:hint="default"/>
                <w:sz w:val="18"/>
                <w:szCs w:val="18"/>
              </w:rPr>
              <w:t>项目、研 发中心项 目</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
        </w:tc>
        <w:tc>
          <w:tcPr>
            <w:tcW w:w="1027" w:type="dxa"/>
            <w:tcBorders>
              <w:top w:val="single" w:sz="4" w:space="0" w:color="000000"/>
              <w:left w:val="single" w:sz="4" w:space="0" w:color="000000"/>
              <w:bottom w:val="single" w:sz="4" w:space="0" w:color="000000"/>
              <w:right w:val="single" w:sz="4" w:space="0" w:color="000000"/>
            </w:tcBorders>
          </w:tcPr>
          <w:p>
            <w:pPr/>
          </w:p>
        </w:tc>
      </w:tr>
      <w:tr>
        <w:trPr>
          <w:trHeight w:val="2273" w:hRule="exact"/>
        </w:trPr>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2" w:right="123"/>
              <w:jc w:val="left"/>
              <w:rPr>
                <w:rFonts w:ascii="宋体" w:hAnsi="宋体" w:cs="宋体" w:eastAsia="宋体" w:hint="default"/>
                <w:sz w:val="18"/>
                <w:szCs w:val="18"/>
              </w:rPr>
            </w:pPr>
            <w:r>
              <w:rPr>
                <w:rFonts w:ascii="宋体" w:hAnsi="宋体" w:cs="宋体" w:eastAsia="宋体" w:hint="default"/>
                <w:sz w:val="18"/>
                <w:szCs w:val="18"/>
              </w:rPr>
              <w:t>永久补充 流动资金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2"/>
              <w:jc w:val="left"/>
              <w:rPr>
                <w:rFonts w:ascii="宋体" w:hAnsi="宋体" w:cs="宋体" w:eastAsia="宋体" w:hint="default"/>
                <w:sz w:val="18"/>
                <w:szCs w:val="18"/>
              </w:rPr>
            </w:pPr>
            <w:r>
              <w:rPr>
                <w:rFonts w:ascii="宋体" w:hAnsi="宋体" w:cs="宋体" w:eastAsia="宋体" w:hint="default"/>
                <w:sz w:val="18"/>
                <w:szCs w:val="18"/>
              </w:rPr>
              <w:t>移动广告 营销网络 建设项 目、户外 媒体联屏 联播网项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140,188.9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140,188.9</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178,491.7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40,000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140,300.7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9771" w:hRule="exact"/>
        </w:trPr>
        <w:tc>
          <w:tcPr>
            <w:tcW w:w="287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14" w:lineRule="auto"/>
              <w:ind w:left="102" w:right="102"/>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变更原因、决策程序及信息披露情</w:t>
            </w:r>
            <w:r>
              <w:rPr>
                <w:rFonts w:ascii="宋体" w:hAnsi="宋体" w:cs="宋体" w:eastAsia="宋体" w:hint="default"/>
                <w:sz w:val="18"/>
                <w:szCs w:val="18"/>
              </w:rPr>
              <w:t> 况说明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一、变更原因</w:t>
            </w:r>
          </w:p>
          <w:p>
            <w:pPr>
              <w:pStyle w:val="TableParagraph"/>
              <w:spacing w:line="240" w:lineRule="auto" w:before="115"/>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、至美移动数字营销综合服务平台升级项目</w:t>
            </w:r>
          </w:p>
          <w:p>
            <w:pPr>
              <w:pStyle w:val="TableParagraph"/>
              <w:spacing w:line="309" w:lineRule="auto" w:before="103"/>
              <w:ind w:left="103" w:right="104"/>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）市场认可度降低，竞争激烈，加速市场洗牌。移动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DSP </w:t>
            </w:r>
            <w:r>
              <w:rPr>
                <w:rFonts w:ascii="宋体" w:hAnsi="宋体" w:cs="宋体" w:eastAsia="宋体" w:hint="default"/>
                <w:sz w:val="18"/>
                <w:szCs w:val="18"/>
              </w:rPr>
              <w:t>市场在移动广告领域 和程序化购买广告技术的双重加持下，取得了较快的发展。但是，伴随而来的流量 作弊等问题也进一步凸显，制约了行业发展，行业洗牌加速。</w:t>
            </w:r>
          </w:p>
          <w:p>
            <w:pPr>
              <w:pStyle w:val="TableParagraph"/>
              <w:spacing w:line="302" w:lineRule="auto" w:before="65"/>
              <w:ind w:left="103" w:right="9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）国内主流媒体自建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ADX</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DSP</w:t>
            </w:r>
            <w:r>
              <w:rPr>
                <w:rFonts w:ascii="宋体" w:hAnsi="宋体" w:cs="宋体" w:eastAsia="宋体" w:hint="default"/>
                <w:sz w:val="18"/>
                <w:szCs w:val="18"/>
              </w:rPr>
              <w:t>，压缩第三方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SSP/DSP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平台空间。从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起各个主流媒体开始自建</w:t>
            </w:r>
            <w:r>
              <w:rPr>
                <w:rFonts w:ascii="宋体" w:hAnsi="宋体" w:cs="宋体" w:eastAsia="宋体" w:hint="default"/>
                <w:spacing w:val="-29"/>
                <w:sz w:val="18"/>
                <w:szCs w:val="18"/>
              </w:rPr>
              <w:t> </w:t>
            </w:r>
            <w:r>
              <w:rPr>
                <w:rFonts w:ascii="Times New Roman" w:hAnsi="Times New Roman" w:cs="Times New Roman" w:eastAsia="Times New Roman" w:hint="default"/>
                <w:spacing w:val="-4"/>
                <w:sz w:val="18"/>
                <w:szCs w:val="18"/>
              </w:rPr>
              <w:t>ADX</w:t>
            </w:r>
            <w:r>
              <w:rPr>
                <w:rFonts w:ascii="宋体" w:hAnsi="宋体" w:cs="宋体" w:eastAsia="宋体" w:hint="default"/>
                <w:spacing w:val="-4"/>
                <w:sz w:val="18"/>
                <w:szCs w:val="18"/>
              </w:rPr>
              <w:t>，比如微博、今日头条、陌陌等，流量完全与官方直</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投共同竞价；对第三方</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ADX </w:t>
            </w:r>
            <w:r>
              <w:rPr>
                <w:rFonts w:ascii="宋体" w:hAnsi="宋体" w:cs="宋体" w:eastAsia="宋体" w:hint="default"/>
                <w:sz w:val="18"/>
                <w:szCs w:val="18"/>
              </w:rPr>
              <w:t>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SSP</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而言，只能面向中小媒体，同时由于主流媒体 的流量集合，基本能覆盖全网流量，因此第三方生存空间将大大被压缩。同时，从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年开始，主流媒体开始自建</w:t>
            </w:r>
            <w:r>
              <w:rPr>
                <w:rFonts w:ascii="宋体" w:hAnsi="宋体" w:cs="宋体" w:eastAsia="宋体" w:hint="default"/>
                <w:spacing w:val="-40"/>
                <w:sz w:val="18"/>
                <w:szCs w:val="18"/>
              </w:rPr>
              <w:t> </w:t>
            </w:r>
            <w:r>
              <w:rPr>
                <w:rFonts w:ascii="Times New Roman" w:hAnsi="Times New Roman" w:cs="Times New Roman" w:eastAsia="Times New Roman" w:hint="default"/>
                <w:spacing w:val="-3"/>
                <w:sz w:val="18"/>
                <w:szCs w:val="18"/>
              </w:rPr>
              <w:t>DSP</w:t>
            </w:r>
            <w:r>
              <w:rPr>
                <w:rFonts w:ascii="宋体" w:hAnsi="宋体" w:cs="宋体" w:eastAsia="宋体" w:hint="default"/>
                <w:spacing w:val="-3"/>
                <w:sz w:val="18"/>
                <w:szCs w:val="18"/>
              </w:rPr>
              <w:t>，比如今日头条、广点通等。广告主或者代理</w:t>
            </w:r>
            <w:r>
              <w:rPr>
                <w:rFonts w:ascii="宋体" w:hAnsi="宋体" w:cs="宋体" w:eastAsia="宋体" w:hint="default"/>
                <w:sz w:val="18"/>
                <w:szCs w:val="18"/>
              </w:rPr>
              <w:t> 商直接进入媒体</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DSP</w:t>
            </w:r>
            <w:r>
              <w:rPr>
                <w:rFonts w:ascii="Times New Roman" w:hAnsi="Times New Roman" w:cs="Times New Roman" w:eastAsia="Times New Roman" w:hint="default"/>
                <w:spacing w:val="10"/>
                <w:sz w:val="18"/>
                <w:szCs w:val="18"/>
              </w:rPr>
              <w:t> </w:t>
            </w:r>
            <w:r>
              <w:rPr>
                <w:rFonts w:ascii="宋体" w:hAnsi="宋体" w:cs="宋体" w:eastAsia="宋体" w:hint="default"/>
                <w:spacing w:val="-3"/>
                <w:sz w:val="18"/>
                <w:szCs w:val="18"/>
              </w:rPr>
              <w:t>系统，通过媒体的审核后方可进行展示，进一步压缩了第三方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DSP </w:t>
            </w:r>
            <w:r>
              <w:rPr>
                <w:rFonts w:ascii="宋体" w:hAnsi="宋体" w:cs="宋体" w:eastAsia="宋体" w:hint="default"/>
                <w:sz w:val="18"/>
                <w:szCs w:val="18"/>
              </w:rPr>
              <w:t>的空间。</w:t>
            </w:r>
          </w:p>
          <w:p>
            <w:pPr>
              <w:pStyle w:val="TableParagraph"/>
              <w:spacing w:line="300" w:lineRule="auto" w:before="49"/>
              <w:ind w:left="103" w:right="98"/>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DSP</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平台采购和销售量占公司业务总量的比例比较小。冉十科技</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年度通 过</w:t>
            </w:r>
            <w:r>
              <w:rPr>
                <w:rFonts w:ascii="宋体" w:hAnsi="宋体" w:cs="宋体" w:eastAsia="宋体" w:hint="default"/>
                <w:spacing w:val="-42"/>
                <w:sz w:val="18"/>
                <w:szCs w:val="18"/>
              </w:rPr>
              <w:t> </w:t>
            </w:r>
            <w:r>
              <w:rPr>
                <w:rFonts w:ascii="Times New Roman" w:hAnsi="Times New Roman" w:cs="Times New Roman" w:eastAsia="Times New Roman" w:hint="default"/>
                <w:spacing w:val="-1"/>
                <w:w w:val="99"/>
                <w:sz w:val="18"/>
                <w:szCs w:val="18"/>
              </w:rPr>
              <w:t>DSP</w:t>
            </w:r>
            <w:r>
              <w:rPr>
                <w:rFonts w:ascii="Times New Roman" w:hAnsi="Times New Roman" w:cs="Times New Roman" w:eastAsia="Times New Roman" w:hint="default"/>
                <w:spacing w:val="7"/>
                <w:w w:val="99"/>
                <w:sz w:val="18"/>
                <w:szCs w:val="18"/>
              </w:rPr>
              <w:t> </w:t>
            </w:r>
            <w:r>
              <w:rPr>
                <w:rFonts w:ascii="宋体" w:hAnsi="宋体" w:cs="宋体" w:eastAsia="宋体" w:hint="default"/>
                <w:spacing w:val="-1"/>
                <w:sz w:val="18"/>
                <w:szCs w:val="18"/>
              </w:rPr>
              <w:t>平台采购金额占总营业成本的比例为</w:t>
            </w:r>
            <w:r>
              <w:rPr>
                <w:rFonts w:ascii="宋体" w:hAnsi="宋体" w:cs="宋体" w:eastAsia="宋体" w:hint="default"/>
                <w:spacing w:val="-42"/>
                <w:sz w:val="18"/>
                <w:szCs w:val="18"/>
              </w:rPr>
              <w:t> </w:t>
            </w:r>
            <w:r>
              <w:rPr>
                <w:rFonts w:ascii="Times New Roman" w:hAnsi="Times New Roman" w:cs="Times New Roman" w:eastAsia="Times New Roman" w:hint="default"/>
                <w:spacing w:val="-12"/>
                <w:sz w:val="18"/>
                <w:szCs w:val="18"/>
              </w:rPr>
              <w:t>0.34%</w:t>
            </w:r>
            <w:r>
              <w:rPr>
                <w:rFonts w:ascii="宋体" w:hAnsi="宋体" w:cs="宋体" w:eastAsia="宋体" w:hint="default"/>
                <w:spacing w:val="-12"/>
                <w:sz w:val="18"/>
                <w:szCs w:val="18"/>
              </w:rPr>
              <w:t>，通过</w:t>
            </w:r>
            <w:r>
              <w:rPr>
                <w:rFonts w:ascii="宋体" w:hAnsi="宋体" w:cs="宋体" w:eastAsia="宋体" w:hint="default"/>
                <w:spacing w:val="-42"/>
                <w:sz w:val="18"/>
                <w:szCs w:val="18"/>
              </w:rPr>
              <w:t> </w:t>
            </w:r>
            <w:r>
              <w:rPr>
                <w:rFonts w:ascii="Times New Roman" w:hAnsi="Times New Roman" w:cs="Times New Roman" w:eastAsia="Times New Roman" w:hint="default"/>
                <w:spacing w:val="-1"/>
                <w:w w:val="99"/>
                <w:sz w:val="18"/>
                <w:szCs w:val="18"/>
              </w:rPr>
              <w:t>DSP</w:t>
            </w:r>
            <w:r>
              <w:rPr>
                <w:rFonts w:ascii="Times New Roman" w:hAnsi="Times New Roman" w:cs="Times New Roman" w:eastAsia="Times New Roman" w:hint="default"/>
                <w:spacing w:val="4"/>
                <w:w w:val="99"/>
                <w:sz w:val="18"/>
                <w:szCs w:val="18"/>
              </w:rPr>
              <w:t> </w:t>
            </w:r>
            <w:r>
              <w:rPr>
                <w:rFonts w:ascii="宋体" w:hAnsi="宋体" w:cs="宋体" w:eastAsia="宋体" w:hint="default"/>
                <w:sz w:val="18"/>
                <w:szCs w:val="18"/>
              </w:rPr>
              <w:t>平台产生的销售收入 占收入总额的比例仅为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1.52%</w:t>
            </w:r>
            <w:r>
              <w:rPr>
                <w:rFonts w:ascii="宋体" w:hAnsi="宋体" w:cs="宋体" w:eastAsia="宋体" w:hint="default"/>
                <w:sz w:val="18"/>
                <w:szCs w:val="18"/>
              </w:rPr>
              <w:t>。</w:t>
            </w:r>
          </w:p>
          <w:p>
            <w:pPr>
              <w:pStyle w:val="TableParagraph"/>
              <w:spacing w:line="321" w:lineRule="auto" w:before="53"/>
              <w:ind w:left="103" w:right="1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、研发中心项目 由于近年来互联网和移动互联网营销市场环境和技术环境发生较大变化，主流媒体 </w:t>
            </w:r>
            <w:r>
              <w:rPr>
                <w:rFonts w:ascii="宋体" w:hAnsi="宋体" w:cs="宋体" w:eastAsia="宋体" w:hint="default"/>
                <w:spacing w:val="-3"/>
                <w:sz w:val="18"/>
                <w:szCs w:val="18"/>
              </w:rPr>
              <w:t>后台技术能力大幅提升，公司无必要再独立进行软硬件采购并进行相应研发。另外，</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随着互联网流量广告行业出现的虚假流量和广告欺诈情况，公司结合目前行业发展 趋势及技术情况，拟将部分研发中心项目募集资金用于传媒生态链项目。率先使用 </w:t>
            </w:r>
            <w:r>
              <w:rPr>
                <w:rFonts w:ascii="宋体" w:hAnsi="宋体" w:cs="宋体" w:eastAsia="宋体" w:hint="default"/>
                <w:spacing w:val="-3"/>
                <w:sz w:val="18"/>
                <w:szCs w:val="18"/>
              </w:rPr>
              <w:t>区块链技术打造的创新生态平台，为生态链的每个环节提供稳定、安全可靠、易用、</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开放的基础设施，解决与媒体、广告、内容相关的业务场景问题。</w:t>
            </w:r>
          </w:p>
          <w:p>
            <w:pPr>
              <w:pStyle w:val="TableParagraph"/>
              <w:spacing w:line="240" w:lineRule="auto" w:before="53"/>
              <w:ind w:left="103"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、户外媒体联屏联播网项目</w:t>
            </w:r>
          </w:p>
          <w:p>
            <w:pPr>
              <w:pStyle w:val="TableParagraph"/>
              <w:spacing w:line="312" w:lineRule="auto" w:before="103"/>
              <w:ind w:left="103" w:right="98"/>
              <w:jc w:val="both"/>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）政策收紧，无法获取有效的户外媒体阵地资源。</w:t>
            </w:r>
            <w:r>
              <w:rPr>
                <w:rFonts w:ascii="Times New Roman" w:hAnsi="Times New Roman" w:cs="Times New Roman" w:eastAsia="Times New Roman" w:hint="default"/>
                <w:spacing w:val="-3"/>
                <w:sz w:val="18"/>
                <w:szCs w:val="18"/>
              </w:rPr>
              <w:t>G20</w:t>
            </w:r>
            <w:r>
              <w:rPr>
                <w:rFonts w:ascii="Times New Roman" w:hAnsi="Times New Roman" w:cs="Times New Roman" w:eastAsia="Times New Roman" w:hint="default"/>
                <w:spacing w:val="18"/>
                <w:sz w:val="18"/>
                <w:szCs w:val="18"/>
              </w:rPr>
              <w:t> </w:t>
            </w:r>
            <w:r>
              <w:rPr>
                <w:rFonts w:ascii="宋体" w:hAnsi="宋体" w:cs="宋体" w:eastAsia="宋体" w:hint="default"/>
                <w:spacing w:val="-3"/>
                <w:sz w:val="18"/>
                <w:szCs w:val="18"/>
              </w:rPr>
              <w:t>峰会在杭州的落地，为杭</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州增添了一张靓丽的名片。但同时，杭州为提升城市形象和品位，陆续出台了一系 </w:t>
            </w:r>
            <w:r>
              <w:rPr>
                <w:rFonts w:ascii="宋体" w:hAnsi="宋体" w:cs="宋体" w:eastAsia="宋体" w:hint="default"/>
                <w:spacing w:val="-2"/>
                <w:sz w:val="18"/>
                <w:szCs w:val="18"/>
              </w:rPr>
              <w:t>列规范户外广告的政策和举措，新的户外阵地资源的获取难度增加。</w:t>
            </w:r>
            <w:r>
              <w:rPr>
                <w:rFonts w:ascii="Times New Roman" w:hAnsi="Times New Roman" w:cs="Times New Roman" w:eastAsia="Times New Roman" w:hint="default"/>
                <w:spacing w:val="-2"/>
                <w:sz w:val="18"/>
                <w:szCs w:val="18"/>
              </w:rPr>
              <w:t>2017</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年国内多</w:t>
            </w:r>
            <w:r>
              <w:rPr>
                <w:rFonts w:ascii="宋体" w:hAnsi="宋体" w:cs="宋体" w:eastAsia="宋体" w:hint="default"/>
                <w:spacing w:val="-85"/>
                <w:sz w:val="18"/>
                <w:szCs w:val="18"/>
              </w:rPr>
              <w:t> </w:t>
            </w:r>
            <w:r>
              <w:rPr>
                <w:rFonts w:ascii="宋体" w:hAnsi="宋体" w:cs="宋体" w:eastAsia="宋体" w:hint="default"/>
                <w:sz w:val="18"/>
                <w:szCs w:val="18"/>
              </w:rPr>
              <w:t>地均出台相关法规对户外广告牌进行集中整治，此举无疑会对部分地区的户外广告 市场产生影响，使得视科传媒在进行户外广告市场扩张时，不得不充分考虑其可能 带来的不利影响，在项目投资上采取了更为谨慎、更为稳健的评估、判断。鉴于上 述变化，董事会决议终止本募投项目。</w:t>
            </w:r>
          </w:p>
        </w:tc>
      </w:tr>
    </w:tbl>
    <w:p>
      <w:pPr>
        <w:spacing w:after="0" w:line="312" w:lineRule="auto"/>
        <w:jc w:val="both"/>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73"/>
        <w:gridCol w:w="6699"/>
      </w:tblGrid>
      <w:tr>
        <w:trPr>
          <w:trHeight w:val="9731"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8"/>
              <w:ind w:left="103" w:right="103"/>
              <w:jc w:val="both"/>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）杭州工联大屏的建成提升品牌美誉度。公司巨额投入的杭州工联大厦巨幕</w:t>
            </w:r>
            <w:r>
              <w:rPr>
                <w:rFonts w:ascii="宋体" w:hAnsi="宋体" w:cs="宋体" w:eastAsia="宋体" w:hint="default"/>
                <w:spacing w:val="-35"/>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宋体" w:hAnsi="宋体" w:cs="宋体" w:eastAsia="宋体" w:hint="default"/>
                <w:sz w:val="18"/>
                <w:szCs w:val="18"/>
              </w:rPr>
              <w:t>显示屏正以其“亚洲第一屏”的品牌美誉为业界所熟悉，深受各大品牌主的青睐， 对于提升品牌价值及获得高端客户具有良好的效果，正在成为公司新的持续的业绩 增长点和公司形象名片。</w:t>
            </w:r>
          </w:p>
          <w:p>
            <w:pPr>
              <w:pStyle w:val="TableParagraph"/>
              <w:spacing w:line="314" w:lineRule="auto" w:before="63"/>
              <w:ind w:left="103" w:right="12"/>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）原有募投项目已无法满足媒体发展的新趋势、新变化。由于风险资本和互联网</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巨头、独角兽公司的持续关注和进入，加速了户外媒体的资源整合，中国以阿里巴 </w:t>
            </w:r>
            <w:r>
              <w:rPr>
                <w:rFonts w:ascii="宋体" w:hAnsi="宋体" w:cs="宋体" w:eastAsia="宋体" w:hint="default"/>
                <w:spacing w:val="-3"/>
                <w:sz w:val="18"/>
                <w:szCs w:val="18"/>
              </w:rPr>
              <w:t>巴、腾讯、百度等为代表的互联网公司，正瞄准了户外媒体这一线下媒体流量入口，</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纷纷抢滩入局，场景化营销、媒体融合成为新的焦点和趋势，中国的户外媒体面临 新的格局。</w:t>
            </w:r>
          </w:p>
          <w:p>
            <w:pPr>
              <w:pStyle w:val="TableParagraph"/>
              <w:spacing w:line="312" w:lineRule="auto" w:before="59"/>
              <w:ind w:left="103" w:right="102"/>
              <w:jc w:val="both"/>
              <w:rPr>
                <w:rFonts w:ascii="宋体" w:hAnsi="宋体" w:cs="宋体" w:eastAsia="宋体" w:hint="default"/>
                <w:sz w:val="18"/>
                <w:szCs w:val="18"/>
              </w:rPr>
            </w:pPr>
            <w:r>
              <w:rPr>
                <w:rFonts w:ascii="Times New Roman" w:hAnsi="Times New Roman" w:cs="Times New Roman" w:eastAsia="Times New Roman" w:hint="default"/>
                <w:spacing w:val="-3"/>
                <w:sz w:val="18"/>
                <w:szCs w:val="18"/>
              </w:rPr>
              <w:t>4</w:t>
            </w:r>
            <w:r>
              <w:rPr>
                <w:rFonts w:ascii="宋体" w:hAnsi="宋体" w:cs="宋体" w:eastAsia="宋体" w:hint="default"/>
                <w:spacing w:val="-3"/>
                <w:sz w:val="18"/>
                <w:szCs w:val="18"/>
              </w:rPr>
              <w:t>、移动广告营销网络建设项目，因公司出于对移动广告营销网络布局谨慎决策的考</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虑，加大了前期市场调研力度，该项目已不能实现公司合理的商业预期，公司董事 会和管理层决定减少该项目投资额。目前已完成青岛城市公司营销体系的搭建，尚 未达到预期效益。</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二、履行决策程序</w:t>
            </w:r>
          </w:p>
          <w:p>
            <w:pPr>
              <w:pStyle w:val="TableParagraph"/>
              <w:spacing w:line="307" w:lineRule="auto" w:before="117"/>
              <w:ind w:left="103" w:right="58"/>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日，公司召开了董事会九届三十四次会议和监事会九届十四次会议， 审议通过了《关于变更及终止部分募投项目并将部分募集资金用于永久性补充流动 </w:t>
            </w:r>
            <w:r>
              <w:rPr>
                <w:rFonts w:ascii="宋体" w:hAnsi="宋体" w:cs="宋体" w:eastAsia="宋体" w:hint="default"/>
                <w:spacing w:val="-6"/>
                <w:sz w:val="18"/>
                <w:szCs w:val="18"/>
              </w:rPr>
              <w:t>资金的议案》。上述提案经公司于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 大会审议通过。</w:t>
            </w:r>
          </w:p>
          <w:p>
            <w:pPr>
              <w:pStyle w:val="TableParagraph"/>
              <w:spacing w:line="240" w:lineRule="auto" w:before="64"/>
              <w:ind w:left="103" w:right="0"/>
              <w:jc w:val="both"/>
              <w:rPr>
                <w:rFonts w:ascii="宋体" w:hAnsi="宋体" w:cs="宋体" w:eastAsia="宋体" w:hint="default"/>
                <w:sz w:val="18"/>
                <w:szCs w:val="18"/>
              </w:rPr>
            </w:pPr>
            <w:r>
              <w:rPr>
                <w:rFonts w:ascii="宋体" w:hAnsi="宋体" w:cs="宋体" w:eastAsia="宋体" w:hint="default"/>
                <w:sz w:val="18"/>
                <w:szCs w:val="18"/>
              </w:rPr>
              <w:t>三、信息披露情况</w:t>
            </w:r>
          </w:p>
          <w:p>
            <w:pPr>
              <w:pStyle w:val="TableParagraph"/>
              <w:spacing w:line="300" w:lineRule="auto" w:before="117"/>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日公司在指定媒体披露了《关于变更及终止部分募投项目并将部分募 </w:t>
            </w:r>
            <w:r>
              <w:rPr>
                <w:rFonts w:ascii="宋体" w:hAnsi="宋体" w:cs="宋体" w:eastAsia="宋体" w:hint="default"/>
                <w:spacing w:val="-9"/>
                <w:sz w:val="18"/>
                <w:szCs w:val="18"/>
              </w:rPr>
              <w:t>集资金用于永久性补充流动资金的公告》（公告编号：</w:t>
            </w:r>
            <w:r>
              <w:rPr>
                <w:rFonts w:ascii="Times New Roman" w:hAnsi="Times New Roman" w:cs="Times New Roman" w:eastAsia="Times New Roman" w:hint="default"/>
                <w:spacing w:val="-9"/>
                <w:sz w:val="18"/>
                <w:szCs w:val="18"/>
              </w:rPr>
              <w:t>2018-071</w:t>
            </w:r>
            <w:r>
              <w:rPr>
                <w:rFonts w:ascii="宋体" w:hAnsi="宋体" w:cs="宋体" w:eastAsia="宋体" w:hint="default"/>
                <w:spacing w:val="-9"/>
                <w:sz w:val="18"/>
                <w:szCs w:val="18"/>
              </w:rPr>
              <w:t>）。</w:t>
            </w:r>
            <w:r>
              <w:rPr>
                <w:rFonts w:ascii="宋体" w:hAnsi="宋体" w:cs="宋体" w:eastAsia="宋体" w:hint="default"/>
                <w:sz w:val="18"/>
                <w:szCs w:val="18"/>
              </w:rPr>
            </w:r>
          </w:p>
          <w:p>
            <w:pPr>
              <w:pStyle w:val="TableParagraph"/>
              <w:spacing w:line="314" w:lineRule="auto" w:before="53"/>
              <w:ind w:left="103" w:right="1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日，公司召开了董事会九届四十一次会议和监事会九届十八次会议，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5"/>
                <w:sz w:val="18"/>
                <w:szCs w:val="18"/>
              </w:rPr>
              <w:t>审议通过了《关于使用部分募集资金永久性补充流动资金的议案》，独立董事发表了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独立意见。为了降低公司财务费用及资金成本，提高募集资金使用效率，更好地满 足公司发展的需要，维护公司股东利益，经审慎考虑，公司拟将部分已终止募集资 金投资项目但尚未找到新项目的</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40,000</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万元募集资金用于永久性补充流动资金，剩</w:t>
            </w:r>
          </w:p>
          <w:p>
            <w:pPr>
              <w:pStyle w:val="TableParagraph"/>
              <w:spacing w:line="240" w:lineRule="auto" w:before="1"/>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余的募集资金则继续存放于相应的募集资金专户中。上述提案经公司于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日召开的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w:t>
            </w:r>
          </w:p>
          <w:p>
            <w:pPr>
              <w:pStyle w:val="TableParagraph"/>
              <w:spacing w:line="300" w:lineRule="auto" w:before="101"/>
              <w:ind w:left="103" w:right="10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日，公司在指定媒体披露了《关于使用部分募集资金永久性补充流 </w:t>
            </w:r>
            <w:r>
              <w:rPr>
                <w:rFonts w:ascii="宋体" w:hAnsi="宋体" w:cs="宋体" w:eastAsia="宋体" w:hint="default"/>
                <w:spacing w:val="-16"/>
                <w:sz w:val="18"/>
                <w:szCs w:val="18"/>
              </w:rPr>
              <w:t>动资金的公告》（</w:t>
            </w:r>
            <w:r>
              <w:rPr>
                <w:rFonts w:ascii="Times New Roman" w:hAnsi="Times New Roman" w:cs="Times New Roman" w:eastAsia="Times New Roman" w:hint="default"/>
                <w:spacing w:val="-16"/>
                <w:sz w:val="18"/>
                <w:szCs w:val="18"/>
              </w:rPr>
              <w:t>2018-128</w:t>
            </w:r>
            <w:r>
              <w:rPr>
                <w:rFonts w:ascii="宋体" w:hAnsi="宋体" w:cs="宋体" w:eastAsia="宋体" w:hint="default"/>
                <w:spacing w:val="-16"/>
                <w:sz w:val="18"/>
                <w:szCs w:val="18"/>
              </w:rPr>
              <w:t>）。</w:t>
            </w:r>
            <w:r>
              <w:rPr>
                <w:rFonts w:ascii="宋体" w:hAnsi="宋体" w:cs="宋体" w:eastAsia="宋体" w:hint="default"/>
                <w:sz w:val="18"/>
                <w:szCs w:val="18"/>
              </w:rPr>
            </w:r>
          </w:p>
        </w:tc>
      </w:tr>
      <w:tr>
        <w:trPr>
          <w:trHeight w:val="4186"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1"/>
              <w:ind w:left="102" w:right="240"/>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 况和原因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3"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年第二次临时股东大会审议通过的《深 </w:t>
            </w:r>
            <w:r>
              <w:rPr>
                <w:rFonts w:ascii="宋体" w:hAnsi="宋体" w:cs="宋体" w:eastAsia="宋体" w:hint="default"/>
                <w:spacing w:val="-5"/>
                <w:sz w:val="18"/>
                <w:szCs w:val="18"/>
              </w:rPr>
              <w:t>圳大通实业股份有限公司募集资金管理办法》，募集资金投资项目应当通过公司的子</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5"/>
                <w:sz w:val="18"/>
                <w:szCs w:val="18"/>
              </w:rPr>
              <w:t>公司或公司控制的其他企业实施。公司于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日召开第九届董事会第五</w:t>
            </w:r>
            <w:r>
              <w:rPr>
                <w:rFonts w:ascii="宋体" w:hAnsi="宋体" w:cs="宋体" w:eastAsia="宋体" w:hint="default"/>
                <w:sz w:val="18"/>
                <w:szCs w:val="18"/>
              </w:rPr>
              <w:t> 十四次会议审议通过《以公开拍卖方式转让全资子公司浙江视科文化传播有限公司 </w:t>
            </w:r>
            <w:r>
              <w:rPr>
                <w:rFonts w:ascii="Times New Roman" w:hAnsi="Times New Roman" w:cs="Times New Roman" w:eastAsia="Times New Roman" w:hint="default"/>
                <w:spacing w:val="-8"/>
                <w:sz w:val="18"/>
                <w:szCs w:val="18"/>
              </w:rPr>
              <w:t>100%</w:t>
            </w:r>
            <w:r>
              <w:rPr>
                <w:rFonts w:ascii="宋体" w:hAnsi="宋体" w:cs="宋体" w:eastAsia="宋体" w:hint="default"/>
                <w:spacing w:val="-8"/>
                <w:sz w:val="18"/>
                <w:szCs w:val="18"/>
              </w:rPr>
              <w:t>股权的议案》，</w:t>
            </w:r>
            <w:r>
              <w:rPr>
                <w:rFonts w:ascii="Times New Roman" w:hAnsi="Times New Roman" w:cs="Times New Roman" w:eastAsia="Times New Roman" w:hint="default"/>
                <w:spacing w:val="-8"/>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日拍卖完成，</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日视科传媒股权 工商变更登记完成，杭州武林广场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灯光秀项目的实施主体视科传媒已不是公司 合并范围内子公司。</w:t>
            </w:r>
          </w:p>
          <w:p>
            <w:pPr>
              <w:pStyle w:val="TableParagraph"/>
              <w:spacing w:line="314" w:lineRule="auto" w:before="67"/>
              <w:ind w:left="103" w:right="61"/>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月，视科传媒与下城区天水街道签订《武林广场整体合作运营合同》，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该项目是当地政府牵头的改造项目，该项目涉及景观造方案和商业改造方案。武林 广场的景观改造方案一直未获得政府审批通过，商业改造方案因涉及政府多个审批 部门，也没有任何实质性进展。在项目没有实质性进展的情况下，公司仍需按期协 议约定支出较大金额的运营费的情况，经综合评估，公司认为项目的审批及运营环 境存在重大不确定性，公司面临的商业风险不可控。</w:t>
            </w:r>
          </w:p>
        </w:tc>
      </w:tr>
    </w:tbl>
    <w:p>
      <w:pPr>
        <w:spacing w:after="0" w:line="314" w:lineRule="auto"/>
        <w:jc w:val="both"/>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873"/>
        <w:gridCol w:w="6699"/>
      </w:tblGrid>
      <w:tr>
        <w:trPr>
          <w:trHeight w:val="4187" w:hRule="exact"/>
        </w:trPr>
        <w:tc>
          <w:tcPr>
            <w:tcW w:w="2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8"/>
              <w:ind w:left="102" w:right="240"/>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 化的情况说明</w:t>
            </w:r>
          </w:p>
        </w:tc>
        <w:tc>
          <w:tcPr>
            <w:tcW w:w="6699"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3"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、根据公司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年第二次临时股东大会审议通过的《深 </w:t>
            </w:r>
            <w:r>
              <w:rPr>
                <w:rFonts w:ascii="宋体" w:hAnsi="宋体" w:cs="宋体" w:eastAsia="宋体" w:hint="default"/>
                <w:spacing w:val="-5"/>
                <w:sz w:val="18"/>
                <w:szCs w:val="18"/>
              </w:rPr>
              <w:t>圳大通实业股份有限公司募集资金管理办法》，募集资金投资项目应当通过公司的子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公司或公司控制的其他企业实施。公司于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pacing w:val="3"/>
                <w:sz w:val="18"/>
                <w:szCs w:val="18"/>
              </w:rPr>
              <w:t> </w:t>
            </w:r>
            <w:r>
              <w:rPr>
                <w:rFonts w:ascii="宋体" w:hAnsi="宋体" w:cs="宋体" w:eastAsia="宋体" w:hint="default"/>
                <w:spacing w:val="-1"/>
                <w:sz w:val="18"/>
                <w:szCs w:val="18"/>
              </w:rPr>
              <w:t>日召开第九届董事会第五</w:t>
            </w:r>
            <w:r>
              <w:rPr>
                <w:rFonts w:ascii="宋体" w:hAnsi="宋体" w:cs="宋体" w:eastAsia="宋体" w:hint="default"/>
                <w:sz w:val="18"/>
                <w:szCs w:val="18"/>
              </w:rPr>
              <w:t> 十四次会议审议通过《以公开拍卖方式转让全资子公司浙江视科文化传播有限公司 </w:t>
            </w:r>
            <w:r>
              <w:rPr>
                <w:rFonts w:ascii="Times New Roman" w:hAnsi="Times New Roman" w:cs="Times New Roman" w:eastAsia="Times New Roman" w:hint="default"/>
                <w:spacing w:val="-8"/>
                <w:sz w:val="18"/>
                <w:szCs w:val="18"/>
              </w:rPr>
              <w:t>100%</w:t>
            </w:r>
            <w:r>
              <w:rPr>
                <w:rFonts w:ascii="宋体" w:hAnsi="宋体" w:cs="宋体" w:eastAsia="宋体" w:hint="default"/>
                <w:spacing w:val="-8"/>
                <w:sz w:val="18"/>
                <w:szCs w:val="18"/>
              </w:rPr>
              <w:t>股权的议案》，</w:t>
            </w:r>
            <w:r>
              <w:rPr>
                <w:rFonts w:ascii="Times New Roman" w:hAnsi="Times New Roman" w:cs="Times New Roman" w:eastAsia="Times New Roman" w:hint="default"/>
                <w:spacing w:val="-8"/>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12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日拍卖完成，</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日视科传媒股权 工商变更登记完成，杭州武林广场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灯光秀项目的实施主体视科传媒已不是公司 合并范围内子公司。</w:t>
            </w:r>
          </w:p>
          <w:p>
            <w:pPr>
              <w:pStyle w:val="TableParagraph"/>
              <w:spacing w:line="314" w:lineRule="auto" w:before="64"/>
              <w:ind w:left="103" w:right="61"/>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2018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38"/>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0"/>
                <w:sz w:val="18"/>
                <w:szCs w:val="18"/>
              </w:rPr>
              <w:t> </w:t>
            </w:r>
            <w:r>
              <w:rPr>
                <w:rFonts w:ascii="宋体" w:hAnsi="宋体" w:cs="宋体" w:eastAsia="宋体" w:hint="default"/>
                <w:spacing w:val="-4"/>
                <w:sz w:val="18"/>
                <w:szCs w:val="18"/>
              </w:rPr>
              <w:t>月，视科传媒与下城区天水街道签订《武林广场整体合作运营合同》，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该项目是当地政府牵头的改造项目，该项目涉及景观造方案和商业改造方案。武林 广场的景观改造方案一直未获得政府审批通过，商业改造方案因涉及政府多个审批 部门，也没有任何实质性进展。在项目没有实质性进展的情况下，公司仍需按期协 议约定支出较大金额的运营费的情况，经综合评估，公司认为项目的审批及运营环 境存在重大不确定性，公司面临的商业风险不可控。</w:t>
            </w:r>
          </w:p>
        </w:tc>
      </w:tr>
    </w:tbl>
    <w:p>
      <w:pPr>
        <w:spacing w:line="240" w:lineRule="auto" w:before="6"/>
        <w:rPr>
          <w:rFonts w:ascii="Times New Roman" w:hAnsi="Times New Roman" w:cs="Times New Roman" w:eastAsia="Times New Roman" w:hint="default"/>
          <w:sz w:val="20"/>
          <w:szCs w:val="20"/>
        </w:rPr>
      </w:pPr>
    </w:p>
    <w:p>
      <w:pPr>
        <w:pStyle w:val="Heading2"/>
        <w:spacing w:line="240" w:lineRule="auto" w:before="26"/>
        <w:ind w:right="986"/>
        <w:jc w:val="left"/>
        <w:rPr>
          <w:b w:val="0"/>
          <w:bCs w:val="0"/>
        </w:rPr>
      </w:pPr>
      <w:bookmarkStart w:name="六、重大资产和股权出售" w:id="56"/>
      <w:bookmarkEnd w:id="56"/>
      <w:r>
        <w:rPr>
          <w:b w:val="0"/>
          <w:bCs w:val="0"/>
        </w:rPr>
      </w:r>
      <w:r>
        <w:rPr/>
        <w:t>六、重大资产和股权出售</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出售重大资产情况" w:id="57"/>
      <w:bookmarkEnd w:id="57"/>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8414"/>
        <w:jc w:val="left"/>
      </w:pPr>
      <w:r>
        <w:rPr/>
        <w:t>□ 适用 √</w:t>
      </w:r>
      <w:r>
        <w:rPr>
          <w:spacing w:val="3"/>
        </w:rPr>
        <w:t> </w:t>
      </w:r>
      <w:r>
        <w:rPr/>
        <w:t>不适用</w:t>
      </w:r>
      <w:r>
        <w:rPr/>
        <w:t> 公司报告期未出售重大资产。</w:t>
      </w:r>
    </w:p>
    <w:p>
      <w:pPr>
        <w:spacing w:line="240" w:lineRule="auto" w:before="4"/>
        <w:rPr>
          <w:rFonts w:ascii="宋体" w:hAnsi="宋体" w:cs="宋体" w:eastAsia="宋体" w:hint="default"/>
          <w:sz w:val="20"/>
          <w:szCs w:val="20"/>
        </w:rPr>
      </w:pPr>
    </w:p>
    <w:p>
      <w:pPr>
        <w:pStyle w:val="Heading4"/>
        <w:spacing w:line="240" w:lineRule="auto"/>
        <w:ind w:right="986"/>
        <w:jc w:val="left"/>
        <w:rPr>
          <w:b w:val="0"/>
          <w:bCs w:val="0"/>
        </w:rPr>
      </w:pPr>
      <w:bookmarkStart w:name="2、出售重大股权情况" w:id="58"/>
      <w:bookmarkEnd w:id="58"/>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38"/>
        <w:gridCol w:w="650"/>
        <w:gridCol w:w="454"/>
        <w:gridCol w:w="518"/>
        <w:gridCol w:w="764"/>
        <w:gridCol w:w="1735"/>
        <w:gridCol w:w="680"/>
        <w:gridCol w:w="487"/>
        <w:gridCol w:w="422"/>
        <w:gridCol w:w="355"/>
        <w:gridCol w:w="586"/>
        <w:gridCol w:w="939"/>
        <w:gridCol w:w="487"/>
        <w:gridCol w:w="1049"/>
      </w:tblGrid>
      <w:tr>
        <w:trPr>
          <w:trHeight w:val="3836" w:hRule="exact"/>
        </w:trPr>
        <w:tc>
          <w:tcPr>
            <w:tcW w:w="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24" w:right="122"/>
              <w:jc w:val="both"/>
              <w:rPr>
                <w:rFonts w:ascii="宋体" w:hAnsi="宋体" w:cs="宋体" w:eastAsia="宋体" w:hint="default"/>
                <w:sz w:val="18"/>
                <w:szCs w:val="18"/>
              </w:rPr>
            </w:pPr>
            <w:r>
              <w:rPr>
                <w:rFonts w:ascii="宋体" w:hAnsi="宋体" w:cs="宋体" w:eastAsia="宋体" w:hint="default"/>
                <w:sz w:val="18"/>
                <w:szCs w:val="18"/>
              </w:rPr>
              <w:t>交 易 对 方</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141" w:right="137"/>
              <w:jc w:val="both"/>
              <w:rPr>
                <w:rFonts w:ascii="宋体" w:hAnsi="宋体" w:cs="宋体" w:eastAsia="宋体" w:hint="default"/>
                <w:sz w:val="18"/>
                <w:szCs w:val="18"/>
              </w:rPr>
            </w:pPr>
            <w:r>
              <w:rPr>
                <w:rFonts w:ascii="宋体" w:hAnsi="宋体" w:cs="宋体" w:eastAsia="宋体" w:hint="default"/>
                <w:sz w:val="18"/>
                <w:szCs w:val="18"/>
              </w:rPr>
              <w:t>被出 售股 权</w:t>
            </w:r>
          </w:p>
        </w:tc>
        <w:tc>
          <w:tcPr>
            <w:tcW w:w="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1"/>
                <w:szCs w:val="21"/>
              </w:rPr>
            </w:pPr>
          </w:p>
          <w:p>
            <w:pPr>
              <w:pStyle w:val="TableParagraph"/>
              <w:spacing w:line="316" w:lineRule="auto"/>
              <w:ind w:left="131" w:right="131"/>
              <w:jc w:val="both"/>
              <w:rPr>
                <w:rFonts w:ascii="宋体" w:hAnsi="宋体" w:cs="宋体" w:eastAsia="宋体" w:hint="default"/>
                <w:sz w:val="18"/>
                <w:szCs w:val="18"/>
              </w:rPr>
            </w:pPr>
            <w:r>
              <w:rPr>
                <w:rFonts w:ascii="宋体" w:hAnsi="宋体" w:cs="宋体" w:eastAsia="宋体" w:hint="default"/>
                <w:sz w:val="18"/>
                <w:szCs w:val="18"/>
              </w:rPr>
              <w:t>出 售 日</w:t>
            </w:r>
          </w:p>
        </w:tc>
        <w:tc>
          <w:tcPr>
            <w:tcW w:w="5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63" w:right="163"/>
              <w:jc w:val="both"/>
              <w:rPr>
                <w:rFonts w:ascii="宋体" w:hAnsi="宋体" w:cs="宋体" w:eastAsia="宋体" w:hint="default"/>
                <w:sz w:val="18"/>
                <w:szCs w:val="18"/>
              </w:rPr>
            </w:pPr>
            <w:r>
              <w:rPr>
                <w:rFonts w:ascii="宋体" w:hAnsi="宋体" w:cs="宋体" w:eastAsia="宋体" w:hint="default"/>
                <w:sz w:val="18"/>
                <w:szCs w:val="18"/>
              </w:rPr>
              <w:t>交 易 价 格</w:t>
            </w:r>
          </w:p>
          <w:p>
            <w:pPr>
              <w:pStyle w:val="TableParagraph"/>
              <w:spacing w:line="316" w:lineRule="auto" w:before="19"/>
              <w:ind w:left="103" w:right="43" w:firstLine="60"/>
              <w:jc w:val="left"/>
              <w:rPr>
                <w:rFonts w:ascii="宋体" w:hAnsi="宋体" w:cs="宋体" w:eastAsia="宋体" w:hint="default"/>
                <w:sz w:val="18"/>
                <w:szCs w:val="18"/>
              </w:rPr>
            </w:pPr>
            <w:r>
              <w:rPr>
                <w:rFonts w:ascii="宋体" w:hAnsi="宋体" w:cs="宋体" w:eastAsia="宋体" w:hint="default"/>
                <w:sz w:val="18"/>
                <w:szCs w:val="18"/>
              </w:rPr>
              <w:t>（ 万 元）</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7" w:right="104"/>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出售对公司的影响</w:t>
            </w:r>
          </w:p>
        </w:tc>
        <w:tc>
          <w:tcPr>
            <w:tcW w:w="6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5" w:right="153"/>
              <w:jc w:val="both"/>
              <w:rPr>
                <w:rFonts w:ascii="宋体" w:hAnsi="宋体" w:cs="宋体" w:eastAsia="宋体" w:hint="default"/>
                <w:sz w:val="18"/>
                <w:szCs w:val="18"/>
              </w:rPr>
            </w:pPr>
            <w:r>
              <w:rPr>
                <w:rFonts w:ascii="宋体" w:hAnsi="宋体" w:cs="宋体" w:eastAsia="宋体" w:hint="default"/>
                <w:sz w:val="18"/>
                <w:szCs w:val="18"/>
              </w:rPr>
              <w:t>股权 出售 为上 市公 司贡 献的 净利 润占 净利 润总 额的 比例</w:t>
            </w:r>
          </w:p>
        </w:tc>
        <w:tc>
          <w:tcPr>
            <w:tcW w:w="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51" w:right="144"/>
              <w:jc w:val="both"/>
              <w:rPr>
                <w:rFonts w:ascii="宋体" w:hAnsi="宋体" w:cs="宋体" w:eastAsia="宋体" w:hint="default"/>
                <w:sz w:val="18"/>
                <w:szCs w:val="18"/>
              </w:rPr>
            </w:pPr>
            <w:r>
              <w:rPr>
                <w:rFonts w:ascii="宋体" w:hAnsi="宋体" w:cs="宋体" w:eastAsia="宋体" w:hint="default"/>
                <w:sz w:val="18"/>
                <w:szCs w:val="18"/>
              </w:rPr>
              <w:t>股 权 出 售 定 价 原 则</w:t>
            </w:r>
          </w:p>
        </w:tc>
        <w:tc>
          <w:tcPr>
            <w:tcW w:w="4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17" w:right="113"/>
              <w:jc w:val="both"/>
              <w:rPr>
                <w:rFonts w:ascii="宋体" w:hAnsi="宋体" w:cs="宋体" w:eastAsia="宋体" w:hint="default"/>
                <w:sz w:val="18"/>
                <w:szCs w:val="18"/>
              </w:rPr>
            </w:pPr>
            <w:r>
              <w:rPr>
                <w:rFonts w:ascii="宋体" w:hAnsi="宋体" w:cs="宋体" w:eastAsia="宋体" w:hint="default"/>
                <w:sz w:val="18"/>
                <w:szCs w:val="18"/>
              </w:rPr>
              <w:t>是 否 为 关 联 交 易</w:t>
            </w:r>
          </w:p>
        </w:tc>
        <w:tc>
          <w:tcPr>
            <w:tcW w:w="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60"/>
              <w:jc w:val="both"/>
              <w:rPr>
                <w:rFonts w:ascii="宋体" w:hAnsi="宋体" w:cs="宋体" w:eastAsia="宋体" w:hint="default"/>
                <w:sz w:val="18"/>
                <w:szCs w:val="18"/>
              </w:rPr>
            </w:pPr>
            <w:r>
              <w:rPr>
                <w:rFonts w:ascii="宋体" w:hAnsi="宋体" w:cs="宋体" w:eastAsia="宋体" w:hint="default"/>
                <w:sz w:val="18"/>
                <w:szCs w:val="18"/>
              </w:rPr>
              <w:t>与 交 易 对 方 的 关 联 关 系</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07" w:right="107"/>
              <w:jc w:val="both"/>
              <w:rPr>
                <w:rFonts w:ascii="宋体" w:hAnsi="宋体" w:cs="宋体" w:eastAsia="宋体" w:hint="default"/>
                <w:sz w:val="18"/>
                <w:szCs w:val="18"/>
              </w:rPr>
            </w:pPr>
            <w:r>
              <w:rPr>
                <w:rFonts w:ascii="宋体" w:hAnsi="宋体" w:cs="宋体" w:eastAsia="宋体" w:hint="default"/>
                <w:sz w:val="18"/>
                <w:szCs w:val="18"/>
              </w:rPr>
              <w:t>所涉 及的 股权 是否 已全 部过 户</w:t>
            </w:r>
          </w:p>
        </w:tc>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5" w:right="101"/>
              <w:jc w:val="center"/>
              <w:rPr>
                <w:rFonts w:ascii="宋体" w:hAnsi="宋体" w:cs="宋体" w:eastAsia="宋体" w:hint="default"/>
                <w:sz w:val="18"/>
                <w:szCs w:val="18"/>
              </w:rPr>
            </w:pPr>
            <w:r>
              <w:rPr>
                <w:rFonts w:ascii="宋体" w:hAnsi="宋体" w:cs="宋体" w:eastAsia="宋体" w:hint="default"/>
                <w:sz w:val="18"/>
                <w:szCs w:val="18"/>
              </w:rPr>
              <w:t>是否按计 划如期实 施，如未 按计划实 施，应当 说明原因 及公司已 采取的措 施</w:t>
            </w:r>
          </w:p>
        </w:tc>
        <w:tc>
          <w:tcPr>
            <w:tcW w:w="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151" w:right="144"/>
              <w:jc w:val="both"/>
              <w:rPr>
                <w:rFonts w:ascii="宋体" w:hAnsi="宋体" w:cs="宋体" w:eastAsia="宋体" w:hint="default"/>
                <w:sz w:val="18"/>
                <w:szCs w:val="18"/>
              </w:rPr>
            </w:pPr>
            <w:r>
              <w:rPr>
                <w:rFonts w:ascii="宋体" w:hAnsi="宋体" w:cs="宋体" w:eastAsia="宋体" w:hint="default"/>
                <w:sz w:val="18"/>
                <w:szCs w:val="18"/>
              </w:rPr>
              <w:t>披 露 日 期</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273" w:hRule="exact"/>
        </w:trPr>
        <w:tc>
          <w:tcPr>
            <w:tcW w:w="4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2" w:right="144"/>
              <w:jc w:val="both"/>
              <w:rPr>
                <w:rFonts w:ascii="宋体" w:hAnsi="宋体" w:cs="宋体" w:eastAsia="宋体" w:hint="default"/>
                <w:sz w:val="18"/>
                <w:szCs w:val="18"/>
              </w:rPr>
            </w:pPr>
            <w:r>
              <w:rPr>
                <w:rFonts w:ascii="宋体" w:hAnsi="宋体" w:cs="宋体" w:eastAsia="宋体" w:hint="default"/>
                <w:sz w:val="18"/>
                <w:szCs w:val="18"/>
              </w:rPr>
              <w:t>青 岛 腾 视 文 化 科</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5" w:right="173"/>
              <w:jc w:val="both"/>
              <w:rPr>
                <w:rFonts w:ascii="宋体" w:hAnsi="宋体" w:cs="宋体" w:eastAsia="宋体" w:hint="default"/>
                <w:sz w:val="18"/>
                <w:szCs w:val="18"/>
              </w:rPr>
            </w:pPr>
            <w:r>
              <w:rPr>
                <w:rFonts w:ascii="宋体" w:hAnsi="宋体" w:cs="宋体" w:eastAsia="宋体" w:hint="default"/>
                <w:sz w:val="18"/>
                <w:szCs w:val="18"/>
              </w:rPr>
              <w:t>浙江 视科 文化 传播 有限 公司 及其</w:t>
            </w:r>
          </w:p>
        </w:tc>
        <w:tc>
          <w:tcPr>
            <w:tcW w:w="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18,</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400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-1,355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3" w:right="12"/>
              <w:jc w:val="left"/>
              <w:rPr>
                <w:rFonts w:ascii="宋体" w:hAnsi="宋体" w:cs="宋体" w:eastAsia="宋体" w:hint="default"/>
                <w:sz w:val="18"/>
                <w:szCs w:val="18"/>
              </w:rPr>
            </w:pPr>
            <w:r>
              <w:rPr>
                <w:rFonts w:ascii="宋体" w:hAnsi="宋体" w:cs="宋体" w:eastAsia="宋体" w:hint="default"/>
                <w:sz w:val="18"/>
                <w:szCs w:val="18"/>
              </w:rPr>
              <w:t>公司为了优化资源 配置，改善资产结 构，推进业务转型 升级，增强持续发 展能力和盈利能 </w:t>
            </w:r>
            <w:r>
              <w:rPr>
                <w:rFonts w:ascii="宋体" w:hAnsi="宋体" w:cs="宋体" w:eastAsia="宋体" w:hint="default"/>
                <w:spacing w:val="-2"/>
                <w:sz w:val="18"/>
                <w:szCs w:val="18"/>
              </w:rPr>
              <w:t>力，保护股东利益，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在充分预测和评估</w:t>
            </w:r>
          </w:p>
        </w:tc>
        <w:tc>
          <w:tcPr>
            <w:tcW w:w="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163" w:right="0"/>
              <w:jc w:val="left"/>
              <w:rPr>
                <w:rFonts w:ascii="Times New Roman" w:hAnsi="Times New Roman" w:cs="Times New Roman" w:eastAsia="Times New Roman" w:hint="default"/>
                <w:sz w:val="18"/>
                <w:szCs w:val="18"/>
              </w:rPr>
            </w:pPr>
            <w:r>
              <w:rPr>
                <w:rFonts w:ascii="Times New Roman"/>
                <w:sz w:val="18"/>
              </w:rPr>
              <w:t>30.44</w:t>
            </w:r>
          </w:p>
          <w:p>
            <w:pPr>
              <w:pStyle w:val="TableParagraph"/>
              <w:spacing w:line="240" w:lineRule="auto" w:before="105"/>
              <w:ind w:left="419"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68"/>
              <w:ind w:left="105" w:right="191"/>
              <w:jc w:val="both"/>
              <w:rPr>
                <w:rFonts w:ascii="宋体" w:hAnsi="宋体" w:cs="宋体" w:eastAsia="宋体" w:hint="default"/>
                <w:sz w:val="18"/>
                <w:szCs w:val="18"/>
              </w:rPr>
            </w:pPr>
            <w:r>
              <w:rPr>
                <w:rFonts w:ascii="宋体" w:hAnsi="宋体" w:cs="宋体" w:eastAsia="宋体" w:hint="default"/>
                <w:sz w:val="18"/>
                <w:szCs w:val="18"/>
              </w:rPr>
              <w:t>根 据 拍 卖 行 最 终</w:t>
            </w:r>
          </w:p>
        </w:tc>
        <w:tc>
          <w:tcPr>
            <w:tcW w:w="4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3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3" w:right="60"/>
              <w:jc w:val="both"/>
              <w:rPr>
                <w:rFonts w:ascii="宋体" w:hAnsi="宋体" w:cs="宋体" w:eastAsia="宋体" w:hint="default"/>
                <w:sz w:val="18"/>
                <w:szCs w:val="18"/>
              </w:rPr>
            </w:pPr>
            <w:r>
              <w:rPr>
                <w:rFonts w:ascii="宋体" w:hAnsi="宋体" w:cs="宋体" w:eastAsia="宋体" w:hint="default"/>
                <w:sz w:val="18"/>
                <w:szCs w:val="18"/>
              </w:rPr>
              <w:t>不 适 用</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202</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Times New Roman"/>
                <w:sz w:val="18"/>
              </w:rPr>
              <w:t>02</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62"/>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5"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p>
            <w:pPr>
              <w:pStyle w:val="TableParagraph"/>
              <w:spacing w:line="240" w:lineRule="auto" w:before="63"/>
              <w:ind w:left="105"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16" w:lineRule="auto" w:before="63"/>
              <w:ind w:left="105" w:right="211"/>
              <w:jc w:val="both"/>
              <w:rPr>
                <w:rFonts w:ascii="宋体" w:hAnsi="宋体" w:cs="宋体" w:eastAsia="宋体" w:hint="default"/>
                <w:sz w:val="18"/>
                <w:szCs w:val="18"/>
              </w:rPr>
            </w:pPr>
            <w:r>
              <w:rPr>
                <w:rFonts w:ascii="宋体" w:hAnsi="宋体" w:cs="宋体" w:eastAsia="宋体" w:hint="default"/>
                <w:sz w:val="18"/>
                <w:szCs w:val="18"/>
              </w:rPr>
              <w:t>《关于签 署浙江视 科文化传 播有限公 司股权转</w:t>
            </w:r>
          </w:p>
        </w:tc>
      </w:tr>
    </w:tbl>
    <w:p>
      <w:pPr>
        <w:spacing w:after="0" w:line="316" w:lineRule="auto"/>
        <w:jc w:val="both"/>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40"/>
        <w:gridCol w:w="650"/>
        <w:gridCol w:w="454"/>
        <w:gridCol w:w="518"/>
        <w:gridCol w:w="764"/>
        <w:gridCol w:w="1735"/>
        <w:gridCol w:w="680"/>
        <w:gridCol w:w="487"/>
        <w:gridCol w:w="422"/>
        <w:gridCol w:w="355"/>
        <w:gridCol w:w="586"/>
        <w:gridCol w:w="939"/>
        <w:gridCol w:w="487"/>
        <w:gridCol w:w="1049"/>
      </w:tblGrid>
      <w:tr>
        <w:trPr>
          <w:trHeight w:val="2547" w:hRule="exact"/>
        </w:trPr>
        <w:tc>
          <w:tcPr>
            <w:tcW w:w="44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44"/>
              <w:jc w:val="both"/>
              <w:rPr>
                <w:rFonts w:ascii="宋体" w:hAnsi="宋体" w:cs="宋体" w:eastAsia="宋体" w:hint="default"/>
                <w:sz w:val="18"/>
                <w:szCs w:val="18"/>
              </w:rPr>
            </w:pPr>
            <w:r>
              <w:rPr>
                <w:rFonts w:ascii="宋体" w:hAnsi="宋体" w:cs="宋体" w:eastAsia="宋体" w:hint="default"/>
                <w:sz w:val="18"/>
                <w:szCs w:val="18"/>
              </w:rPr>
              <w:t>技 有 限 公 司</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105" w:right="17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孙</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子公</w:t>
            </w:r>
            <w:r>
              <w:rPr>
                <w:rFonts w:ascii="宋体" w:hAnsi="宋体" w:cs="宋体" w:eastAsia="宋体" w:hint="default"/>
                <w:w w:val="99"/>
                <w:sz w:val="18"/>
                <w:szCs w:val="18"/>
              </w:rPr>
              <w:t> </w:t>
            </w:r>
            <w:r>
              <w:rPr>
                <w:rFonts w:ascii="宋体" w:hAnsi="宋体" w:cs="宋体" w:eastAsia="宋体" w:hint="default"/>
                <w:sz w:val="18"/>
                <w:szCs w:val="18"/>
              </w:rPr>
              <w:t>司全</w:t>
            </w:r>
            <w:r>
              <w:rPr>
                <w:rFonts w:ascii="宋体" w:hAnsi="宋体" w:cs="宋体" w:eastAsia="宋体" w:hint="default"/>
                <w:w w:val="99"/>
                <w:sz w:val="18"/>
                <w:szCs w:val="18"/>
              </w:rPr>
              <w:t> </w:t>
            </w:r>
            <w:r>
              <w:rPr>
                <w:rFonts w:ascii="宋体" w:hAnsi="宋体" w:cs="宋体" w:eastAsia="宋体" w:hint="default"/>
                <w:sz w:val="18"/>
                <w:szCs w:val="18"/>
              </w:rPr>
              <w:t>部股</w:t>
            </w:r>
            <w:r>
              <w:rPr>
                <w:rFonts w:ascii="宋体" w:hAnsi="宋体" w:cs="宋体" w:eastAsia="宋体" w:hint="default"/>
                <w:w w:val="99"/>
                <w:sz w:val="18"/>
                <w:szCs w:val="18"/>
              </w:rPr>
              <w:t> </w:t>
            </w:r>
            <w:r>
              <w:rPr>
                <w:rFonts w:ascii="宋体" w:hAnsi="宋体" w:cs="宋体" w:eastAsia="宋体" w:hint="default"/>
                <w:sz w:val="18"/>
                <w:szCs w:val="18"/>
              </w:rPr>
              <w:t>权</w:t>
            </w:r>
          </w:p>
        </w:tc>
        <w:tc>
          <w:tcPr>
            <w:tcW w:w="454" w:type="dxa"/>
            <w:tcBorders>
              <w:top w:val="single" w:sz="4" w:space="0" w:color="000000"/>
              <w:left w:val="single" w:sz="4" w:space="0" w:color="000000"/>
              <w:bottom w:val="single" w:sz="4" w:space="0" w:color="000000"/>
              <w:right w:val="single" w:sz="4" w:space="0" w:color="000000"/>
            </w:tcBorders>
          </w:tcPr>
          <w:p>
            <w:pPr/>
          </w:p>
        </w:tc>
        <w:tc>
          <w:tcPr>
            <w:tcW w:w="518"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103" w:right="180"/>
              <w:jc w:val="left"/>
              <w:rPr>
                <w:rFonts w:ascii="宋体" w:hAnsi="宋体" w:cs="宋体" w:eastAsia="宋体" w:hint="default"/>
                <w:sz w:val="18"/>
                <w:szCs w:val="18"/>
              </w:rPr>
            </w:pPr>
            <w:r>
              <w:rPr>
                <w:rFonts w:ascii="宋体" w:hAnsi="宋体" w:cs="宋体" w:eastAsia="宋体" w:hint="default"/>
                <w:sz w:val="18"/>
                <w:szCs w:val="18"/>
              </w:rPr>
              <w:t>未来业务发展前景 的前提下，公司以 公开拍卖的方式将 视科传媒的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股权对外转让。本 次交易对公司当期 损益的影响为 </w:t>
            </w:r>
            <w:r>
              <w:rPr>
                <w:rFonts w:ascii="Times New Roman" w:hAnsi="Times New Roman" w:cs="Times New Roman" w:eastAsia="Times New Roman" w:hint="default"/>
                <w:sz w:val="18"/>
                <w:szCs w:val="18"/>
              </w:rPr>
              <w:t>3,772.10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80"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5" w:right="191"/>
              <w:jc w:val="both"/>
              <w:rPr>
                <w:rFonts w:ascii="宋体" w:hAnsi="宋体" w:cs="宋体" w:eastAsia="宋体" w:hint="default"/>
                <w:sz w:val="18"/>
                <w:szCs w:val="18"/>
              </w:rPr>
            </w:pPr>
            <w:r>
              <w:rPr>
                <w:rFonts w:ascii="宋体" w:hAnsi="宋体" w:cs="宋体" w:eastAsia="宋体" w:hint="default"/>
                <w:sz w:val="18"/>
                <w:szCs w:val="18"/>
              </w:rPr>
              <w:t>拍 卖 成 交 价 格 确 定</w:t>
            </w:r>
          </w:p>
        </w:tc>
        <w:tc>
          <w:tcPr>
            <w:tcW w:w="422" w:type="dxa"/>
            <w:tcBorders>
              <w:top w:val="single" w:sz="4" w:space="0" w:color="000000"/>
              <w:left w:val="single" w:sz="4" w:space="0" w:color="000000"/>
              <w:bottom w:val="single" w:sz="4" w:space="0" w:color="000000"/>
              <w:right w:val="single" w:sz="4" w:space="0" w:color="000000"/>
            </w:tcBorders>
          </w:tcPr>
          <w:p>
            <w:pPr/>
          </w:p>
        </w:tc>
        <w:tc>
          <w:tcPr>
            <w:tcW w:w="355"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939"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8"/>
              <w:ind w:left="105" w:right="98"/>
              <w:jc w:val="left"/>
              <w:rPr>
                <w:rFonts w:ascii="Times New Roman" w:hAnsi="Times New Roman" w:cs="Times New Roman" w:eastAsia="Times New Roman" w:hint="default"/>
                <w:sz w:val="18"/>
                <w:szCs w:val="18"/>
              </w:rPr>
            </w:pPr>
            <w:r>
              <w:rPr>
                <w:rFonts w:ascii="宋体" w:hAnsi="宋体" w:cs="宋体" w:eastAsia="宋体" w:hint="default"/>
                <w:sz w:val="18"/>
                <w:szCs w:val="18"/>
              </w:rPr>
              <w:t>让合同的 </w:t>
            </w:r>
            <w:r>
              <w:rPr>
                <w:rFonts w:ascii="宋体" w:hAnsi="宋体" w:cs="宋体" w:eastAsia="宋体" w:hint="default"/>
                <w:spacing w:val="-14"/>
                <w:sz w:val="18"/>
                <w:szCs w:val="18"/>
              </w:rPr>
              <w:t>公告》编号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Times New Roman" w:hAnsi="Times New Roman" w:cs="Times New Roman" w:eastAsia="Times New Roman" w:hint="default"/>
                <w:sz w:val="18"/>
                <w:szCs w:val="18"/>
              </w:rPr>
              <w:t>2020-015</w:t>
            </w:r>
          </w:p>
          <w:p>
            <w:pPr>
              <w:pStyle w:val="TableParagraph"/>
              <w:spacing w:line="217" w:lineRule="exact"/>
              <w:ind w:left="105" w:right="0"/>
              <w:jc w:val="left"/>
              <w:rPr>
                <w:rFonts w:ascii="宋体" w:hAnsi="宋体" w:cs="宋体" w:eastAsia="宋体" w:hint="default"/>
                <w:sz w:val="18"/>
                <w:szCs w:val="18"/>
              </w:rPr>
            </w:pPr>
            <w:r>
              <w:rPr>
                <w:rFonts w:ascii="宋体" w:hAnsi="宋体" w:cs="宋体" w:eastAsia="宋体" w:hint="default"/>
                <w:sz w:val="18"/>
                <w:szCs w:val="18"/>
              </w:rPr>
              <w:t>巨潮资讯</w:t>
            </w:r>
          </w:p>
          <w:p>
            <w:pPr>
              <w:pStyle w:val="TableParagraph"/>
              <w:spacing w:line="240" w:lineRule="auto" w:before="76"/>
              <w:ind w:left="105" w:right="0"/>
              <w:jc w:val="left"/>
              <w:rPr>
                <w:rFonts w:ascii="宋体" w:hAnsi="宋体" w:cs="宋体" w:eastAsia="宋体" w:hint="default"/>
                <w:sz w:val="18"/>
                <w:szCs w:val="18"/>
              </w:rPr>
            </w:pPr>
            <w:r>
              <w:rPr>
                <w:rFonts w:ascii="宋体" w:hAnsi="宋体" w:cs="宋体" w:eastAsia="宋体" w:hint="default"/>
                <w:sz w:val="18"/>
                <w:szCs w:val="18"/>
              </w:rPr>
              <w:t>网</w:t>
            </w:r>
          </w:p>
        </w:tc>
      </w:tr>
    </w:tbl>
    <w:p>
      <w:pPr>
        <w:spacing w:line="240" w:lineRule="auto" w:before="1"/>
        <w:rPr>
          <w:rFonts w:ascii="宋体" w:hAnsi="宋体" w:cs="宋体" w:eastAsia="宋体" w:hint="default"/>
          <w:sz w:val="18"/>
          <w:szCs w:val="18"/>
        </w:rPr>
      </w:pPr>
    </w:p>
    <w:p>
      <w:pPr>
        <w:pStyle w:val="Heading2"/>
        <w:spacing w:line="240" w:lineRule="auto" w:before="26"/>
        <w:ind w:right="986"/>
        <w:jc w:val="left"/>
        <w:rPr>
          <w:b w:val="0"/>
          <w:bCs w:val="0"/>
        </w:rPr>
      </w:pPr>
      <w:bookmarkStart w:name="七、主要控股参股公司分析" w:id="59"/>
      <w:bookmarkEnd w:id="59"/>
      <w:r>
        <w:rPr>
          <w:b w:val="0"/>
          <w:bCs w:val="0"/>
        </w:rPr>
      </w:r>
      <w:r>
        <w:rPr/>
        <w:t>七、主要控股参股公司分析</w:t>
      </w:r>
      <w:r>
        <w:rPr>
          <w:b w:val="0"/>
          <w:bCs w:val="0"/>
        </w:rPr>
      </w:r>
    </w:p>
    <w:p>
      <w:pPr>
        <w:spacing w:line="240" w:lineRule="auto" w:before="1"/>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906" w:footer="1021" w:top="1100" w:bottom="1220" w:left="1020" w:right="0"/>
        </w:sectPr>
      </w:pPr>
    </w:p>
    <w:p>
      <w:pPr>
        <w:pStyle w:val="BodyText"/>
        <w:spacing w:line="240" w:lineRule="auto"/>
        <w:ind w:right="-18"/>
        <w:jc w:val="left"/>
      </w:pPr>
      <w:r>
        <w:rPr/>
        <w:t>√ 适用 □</w:t>
      </w:r>
      <w:r>
        <w:rPr>
          <w:spacing w:val="3"/>
        </w:rPr>
        <w:t> </w:t>
      </w:r>
      <w:r>
        <w:rPr/>
        <w:t>不适用</w:t>
      </w:r>
    </w:p>
    <w:p>
      <w:pPr>
        <w:pStyle w:val="BodyText"/>
        <w:spacing w:line="240" w:lineRule="auto" w:before="115"/>
        <w:ind w:right="-18"/>
        <w:jc w:val="left"/>
      </w:pPr>
      <w:r>
        <w:rPr/>
        <w:t>主要子公司及对公司净利润影响达</w:t>
      </w:r>
      <w:r>
        <w:rPr>
          <w:spacing w:val="-44"/>
        </w:rPr>
        <w:t> </w:t>
      </w:r>
      <w:r>
        <w:rPr>
          <w:rFonts w:ascii="Times New Roman" w:hAnsi="Times New Roman" w:cs="Times New Roman" w:eastAsia="Times New Roman"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100" w:bottom="1220" w:left="1020" w:right="0"/>
          <w:cols w:num="2" w:equalWidth="0">
            <w:col w:w="4811" w:space="4109"/>
            <w:col w:w="197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54"/>
        <w:gridCol w:w="1106"/>
        <w:gridCol w:w="1136"/>
        <w:gridCol w:w="1044"/>
        <w:gridCol w:w="1047"/>
        <w:gridCol w:w="1046"/>
        <w:gridCol w:w="1044"/>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公司类型</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61" w:right="0"/>
              <w:jc w:val="left"/>
              <w:rPr>
                <w:rFonts w:ascii="宋体" w:hAnsi="宋体" w:cs="宋体" w:eastAsia="宋体" w:hint="default"/>
                <w:sz w:val="18"/>
                <w:szCs w:val="18"/>
              </w:rPr>
            </w:pPr>
            <w:r>
              <w:rPr>
                <w:rFonts w:ascii="宋体" w:hAnsi="宋体" w:cs="宋体" w:eastAsia="宋体" w:hint="default"/>
                <w:sz w:val="18"/>
                <w:szCs w:val="18"/>
              </w:rPr>
              <w:t>冉十科技</w:t>
            </w:r>
          </w:p>
          <w:p>
            <w:pPr>
              <w:pStyle w:val="TableParagraph"/>
              <w:spacing w:line="316" w:lineRule="auto" w:before="76"/>
              <w:ind w:left="252" w:right="101" w:hanging="150"/>
              <w:jc w:val="left"/>
              <w:rPr>
                <w:rFonts w:ascii="宋体" w:hAnsi="宋体" w:cs="宋体" w:eastAsia="宋体" w:hint="default"/>
                <w:sz w:val="18"/>
                <w:szCs w:val="18"/>
              </w:rPr>
            </w:pPr>
            <w:r>
              <w:rPr>
                <w:rFonts w:ascii="宋体" w:hAnsi="宋体" w:cs="宋体" w:eastAsia="宋体" w:hint="default"/>
                <w:spacing w:val="-13"/>
                <w:sz w:val="18"/>
                <w:szCs w:val="18"/>
              </w:rPr>
              <w:t>（北京）有</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限公司</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2" w:right="111"/>
              <w:jc w:val="center"/>
              <w:rPr>
                <w:rFonts w:ascii="宋体" w:hAnsi="宋体" w:cs="宋体" w:eastAsia="宋体" w:hint="default"/>
                <w:sz w:val="18"/>
                <w:szCs w:val="18"/>
              </w:rPr>
            </w:pPr>
            <w:r>
              <w:rPr>
                <w:rFonts w:ascii="宋体" w:hAnsi="宋体" w:cs="宋体" w:eastAsia="宋体" w:hint="default"/>
                <w:sz w:val="18"/>
                <w:szCs w:val="18"/>
              </w:rPr>
              <w:t>移动互联网 广告营销服 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20,000,000</w:t>
            </w:r>
          </w:p>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230,528,99</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4.50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192,851,75</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9.52</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131,079,12</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8.70</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-38,220,95</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sz w:val="18"/>
              </w:rPr>
              <w:t>0.77</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-38,954,31</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2.58</w:t>
            </w:r>
          </w:p>
        </w:tc>
      </w:tr>
      <w:tr>
        <w:trPr>
          <w:trHeight w:val="1337"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61" w:right="161"/>
              <w:jc w:val="both"/>
              <w:rPr>
                <w:rFonts w:ascii="宋体" w:hAnsi="宋体" w:cs="宋体" w:eastAsia="宋体" w:hint="default"/>
                <w:sz w:val="18"/>
                <w:szCs w:val="18"/>
              </w:rPr>
            </w:pPr>
            <w:r>
              <w:rPr>
                <w:rFonts w:ascii="宋体" w:hAnsi="宋体" w:cs="宋体" w:eastAsia="宋体" w:hint="default"/>
                <w:sz w:val="18"/>
                <w:szCs w:val="18"/>
              </w:rPr>
              <w:t>深圳大通 致远供应 链管理有 限公司</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供应链管理</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12,500,000</w:t>
            </w:r>
          </w:p>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261,595,18</w:t>
            </w:r>
          </w:p>
          <w:p>
            <w:pPr>
              <w:pStyle w:val="TableParagraph"/>
              <w:spacing w:line="240" w:lineRule="auto" w:before="102"/>
              <w:ind w:left="2" w:right="0"/>
              <w:jc w:val="center"/>
              <w:rPr>
                <w:rFonts w:ascii="Times New Roman" w:hAnsi="Times New Roman" w:cs="Times New Roman" w:eastAsia="Times New Roman" w:hint="default"/>
                <w:sz w:val="18"/>
                <w:szCs w:val="18"/>
              </w:rPr>
            </w:pPr>
            <w:r>
              <w:rPr>
                <w:rFonts w:ascii="Times New Roman"/>
                <w:sz w:val="18"/>
              </w:rPr>
              <w:t>3.79</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2,064,361.</w:t>
            </w:r>
          </w:p>
          <w:p>
            <w:pPr>
              <w:pStyle w:val="TableParagraph"/>
              <w:spacing w:line="240" w:lineRule="auto" w:before="102"/>
              <w:ind w:left="4" w:right="0"/>
              <w:jc w:val="center"/>
              <w:rPr>
                <w:rFonts w:ascii="Times New Roman" w:hAnsi="Times New Roman" w:cs="Times New Roman" w:eastAsia="Times New Roman" w:hint="default"/>
                <w:sz w:val="18"/>
                <w:szCs w:val="18"/>
              </w:rPr>
            </w:pPr>
            <w:r>
              <w:rPr>
                <w:rFonts w:ascii="Times New Roman"/>
                <w:sz w:val="18"/>
              </w:rPr>
              <w:t>91</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1,433,296,</w:t>
            </w:r>
          </w:p>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670.59</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10,528,591</w:t>
            </w:r>
          </w:p>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.31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7,775,296.</w:t>
            </w:r>
          </w:p>
          <w:p>
            <w:pPr>
              <w:pStyle w:val="TableParagraph"/>
              <w:spacing w:line="240" w:lineRule="auto" w:before="102"/>
              <w:ind w:left="4" w:right="0"/>
              <w:jc w:val="center"/>
              <w:rPr>
                <w:rFonts w:ascii="Times New Roman" w:hAnsi="Times New Roman" w:cs="Times New Roman" w:eastAsia="Times New Roman" w:hint="default"/>
                <w:sz w:val="18"/>
                <w:szCs w:val="18"/>
              </w:rPr>
            </w:pPr>
            <w:r>
              <w:rPr>
                <w:rFonts w:ascii="Times New Roman"/>
                <w:sz w:val="18"/>
              </w:rPr>
              <w:t>93</w:t>
            </w:r>
          </w:p>
        </w:tc>
      </w:tr>
      <w:tr>
        <w:trPr>
          <w:trHeight w:val="165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1" w:right="161"/>
              <w:jc w:val="both"/>
              <w:rPr>
                <w:rFonts w:ascii="宋体" w:hAnsi="宋体" w:cs="宋体" w:eastAsia="宋体" w:hint="default"/>
                <w:sz w:val="18"/>
                <w:szCs w:val="18"/>
              </w:rPr>
            </w:pPr>
            <w:r>
              <w:rPr>
                <w:rFonts w:ascii="宋体" w:hAnsi="宋体" w:cs="宋体" w:eastAsia="宋体" w:hint="default"/>
                <w:sz w:val="18"/>
                <w:szCs w:val="18"/>
              </w:rPr>
              <w:t>青岛大通 汇鑫民间 资本管理 有限公司</w:t>
            </w:r>
          </w:p>
        </w:tc>
        <w:tc>
          <w:tcPr>
            <w:tcW w:w="1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12" w:right="111"/>
              <w:jc w:val="both"/>
              <w:rPr>
                <w:rFonts w:ascii="宋体" w:hAnsi="宋体" w:cs="宋体" w:eastAsia="宋体" w:hint="default"/>
                <w:sz w:val="18"/>
                <w:szCs w:val="18"/>
              </w:rPr>
            </w:pPr>
            <w:r>
              <w:rPr>
                <w:rFonts w:ascii="宋体" w:hAnsi="宋体" w:cs="宋体" w:eastAsia="宋体" w:hint="default"/>
                <w:sz w:val="18"/>
                <w:szCs w:val="18"/>
              </w:rPr>
              <w:t>股权投资、 债权投资、 短期财务性 投资、投资 咨询等业务</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0.00</w:t>
            </w:r>
          </w:p>
        </w:tc>
        <w:tc>
          <w:tcPr>
            <w:tcW w:w="1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1,020,657,</w:t>
            </w:r>
          </w:p>
          <w:p>
            <w:pPr>
              <w:pStyle w:val="TableParagraph"/>
              <w:spacing w:line="240" w:lineRule="auto" w:before="105"/>
              <w:ind w:left="4" w:right="0"/>
              <w:jc w:val="center"/>
              <w:rPr>
                <w:rFonts w:ascii="Times New Roman" w:hAnsi="Times New Roman" w:cs="Times New Roman" w:eastAsia="Times New Roman" w:hint="default"/>
                <w:sz w:val="18"/>
                <w:szCs w:val="18"/>
              </w:rPr>
            </w:pPr>
            <w:r>
              <w:rPr>
                <w:rFonts w:ascii="Times New Roman"/>
                <w:sz w:val="18"/>
              </w:rPr>
              <w:t>605.80</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565,287,37</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2.97</w:t>
            </w:r>
          </w:p>
        </w:tc>
        <w:tc>
          <w:tcPr>
            <w:tcW w:w="10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104,610,16</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2.71</w:t>
            </w: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75,487,914</w:t>
            </w:r>
          </w:p>
          <w:p>
            <w:pPr>
              <w:pStyle w:val="TableParagraph"/>
              <w:spacing w:line="240" w:lineRule="auto" w:before="105"/>
              <w:ind w:right="0"/>
              <w:jc w:val="center"/>
              <w:rPr>
                <w:rFonts w:ascii="Times New Roman" w:hAnsi="Times New Roman" w:cs="Times New Roman" w:eastAsia="Times New Roman" w:hint="default"/>
                <w:sz w:val="18"/>
                <w:szCs w:val="18"/>
              </w:rPr>
            </w:pPr>
            <w:r>
              <w:rPr>
                <w:rFonts w:ascii="Times New Roman"/>
                <w:sz w:val="18"/>
              </w:rPr>
              <w:t>.68</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56,609,969</w:t>
            </w:r>
          </w:p>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sz w:val="18"/>
              </w:rPr>
              <w:t>.72</w:t>
            </w:r>
          </w:p>
        </w:tc>
      </w:tr>
    </w:tbl>
    <w:p>
      <w:pPr>
        <w:pStyle w:val="BodyText"/>
        <w:spacing w:line="240" w:lineRule="auto" w:before="49"/>
        <w:ind w:right="986"/>
        <w:jc w:val="left"/>
      </w:pPr>
      <w:r>
        <w:rPr/>
        <w:t>报告期内取得和处置子公司的情况</w:t>
      </w:r>
    </w:p>
    <w:p>
      <w:pPr>
        <w:pStyle w:val="BodyText"/>
        <w:spacing w:line="240" w:lineRule="auto" w:before="115"/>
        <w:ind w:right="986"/>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744"/>
        <w:gridCol w:w="2741"/>
        <w:gridCol w:w="4085"/>
      </w:tblGrid>
      <w:tr>
        <w:trPr>
          <w:trHeight w:val="401" w:hRule="exact"/>
        </w:trPr>
        <w:tc>
          <w:tcPr>
            <w:tcW w:w="2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4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1340"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浙江视科文化传播有限公司</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99"/>
              <w:jc w:val="both"/>
              <w:rPr>
                <w:rFonts w:ascii="宋体" w:hAnsi="宋体" w:cs="宋体" w:eastAsia="宋体" w:hint="default"/>
                <w:sz w:val="18"/>
                <w:szCs w:val="18"/>
              </w:rPr>
            </w:pPr>
            <w:r>
              <w:rPr>
                <w:rFonts w:ascii="宋体" w:hAnsi="宋体" w:cs="宋体" w:eastAsia="宋体" w:hint="default"/>
                <w:spacing w:val="-5"/>
                <w:sz w:val="18"/>
                <w:szCs w:val="18"/>
              </w:rPr>
              <w:t>处置该股权有助于公司有效盘活公司存量资产，尽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5"/>
                <w:sz w:val="18"/>
                <w:szCs w:val="18"/>
              </w:rPr>
              <w:t>快回笼资金，改善资产结构，更好的推进公司业务</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5"/>
                <w:sz w:val="18"/>
                <w:szCs w:val="18"/>
              </w:rPr>
              <w:t>转型升级，增强可持续发展能力和盈利能力，更好</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的保护股东利益。</w:t>
            </w:r>
          </w:p>
        </w:tc>
      </w:tr>
      <w:tr>
        <w:trPr>
          <w:trHeight w:val="401"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杭州联屏文化策划有限公司</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杭州视赚网络技术有限公司</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1"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杭州视赚优嘉电子商务有限公司</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杭州俏动营销策划有限公司</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1"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北京赛鸽天地广告有限公司</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北京三吉嘉喜传媒科技有限公司</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bl>
    <w:p>
      <w:pPr>
        <w:spacing w:after="0" w:line="240"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744"/>
        <w:gridCol w:w="2741"/>
        <w:gridCol w:w="4085"/>
      </w:tblGrid>
      <w:tr>
        <w:trPr>
          <w:trHeight w:val="401"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浙江视赚赛鸽科技有限公司</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义乌视科文化传播有限公司</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股权转让</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同上</w:t>
            </w:r>
          </w:p>
        </w:tc>
      </w:tr>
      <w:tr>
        <w:trPr>
          <w:trHeight w:val="401"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桐庐视科文化传播有限公司</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报告期尚未开展业务，对整体经营和业绩无影响。</w:t>
            </w:r>
          </w:p>
        </w:tc>
      </w:tr>
      <w:tr>
        <w:trPr>
          <w:trHeight w:val="40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云南浩南生物科技有限公司</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报告期尚未开展业务，对整体经营和业绩无影响。</w:t>
            </w:r>
          </w:p>
        </w:tc>
      </w:tr>
      <w:tr>
        <w:trPr>
          <w:trHeight w:val="401"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云南云冠通生物科技有限公司</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报告期尚未开展业务，对整体经营和业绩无影响。</w:t>
            </w:r>
          </w:p>
        </w:tc>
      </w:tr>
      <w:tr>
        <w:trPr>
          <w:trHeight w:val="40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云南贝捷生物科技有限公司</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报告期尚未开展业务，对整体经营和业绩无影响。</w:t>
            </w:r>
          </w:p>
        </w:tc>
      </w:tr>
      <w:tr>
        <w:trPr>
          <w:trHeight w:val="71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青岛大通云麻生物科技合伙企业</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报告期尚未开展业务，对整体经营和业绩无影响。</w:t>
            </w:r>
          </w:p>
        </w:tc>
      </w:tr>
      <w:tr>
        <w:trPr>
          <w:trHeight w:val="403"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青岛大通云澜生物科技有限公司</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报告期尚未开展业务，对整体经营和业绩无影响。</w:t>
            </w:r>
          </w:p>
        </w:tc>
      </w:tr>
      <w:tr>
        <w:trPr>
          <w:trHeight w:val="716" w:hRule="exact"/>
        </w:trPr>
        <w:tc>
          <w:tcPr>
            <w:tcW w:w="274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9"/>
              <w:jc w:val="left"/>
              <w:rPr>
                <w:rFonts w:ascii="宋体" w:hAnsi="宋体" w:cs="宋体" w:eastAsia="宋体" w:hint="default"/>
                <w:sz w:val="18"/>
                <w:szCs w:val="18"/>
              </w:rPr>
            </w:pPr>
            <w:r>
              <w:rPr>
                <w:rFonts w:ascii="宋体" w:hAnsi="宋体" w:cs="宋体" w:eastAsia="宋体" w:hint="default"/>
                <w:sz w:val="18"/>
                <w:szCs w:val="18"/>
              </w:rPr>
              <w:t>深通澜麻生物科技（澜沧）有限 公司</w:t>
            </w:r>
          </w:p>
        </w:tc>
        <w:tc>
          <w:tcPr>
            <w:tcW w:w="27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新设后注销</w:t>
            </w:r>
          </w:p>
        </w:tc>
        <w:tc>
          <w:tcPr>
            <w:tcW w:w="4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报告期尚未开展业务，对整体经营和业绩无影响。</w:t>
            </w:r>
          </w:p>
        </w:tc>
      </w:tr>
    </w:tbl>
    <w:p>
      <w:pPr>
        <w:pStyle w:val="BodyText"/>
        <w:spacing w:line="240" w:lineRule="auto" w:before="49"/>
        <w:ind w:right="986"/>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986"/>
        <w:jc w:val="left"/>
        <w:rPr>
          <w:b w:val="0"/>
          <w:bCs w:val="0"/>
        </w:rPr>
      </w:pPr>
      <w:bookmarkStart w:name="八、公司控制的结构化主体情况" w:id="60"/>
      <w:bookmarkEnd w:id="60"/>
      <w:r>
        <w:rPr>
          <w:b w:val="0"/>
          <w:bCs w:val="0"/>
        </w:rPr>
      </w:r>
      <w:r>
        <w:rPr/>
        <w:t>八、公司控制的结构化主体情况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bookmarkStart w:name="九、公司未来发展的展望" w:id="61"/>
      <w:bookmarkEnd w:id="61"/>
      <w:r>
        <w:rPr>
          <w:b w:val="0"/>
          <w:bCs w:val="0"/>
        </w:rPr>
      </w:r>
      <w:r>
        <w:rPr/>
        <w:t>九、公司未来发展的展望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1131"/>
        <w:jc w:val="both"/>
      </w:pPr>
      <w:r>
        <w:rPr>
          <w:spacing w:val="-5"/>
        </w:rPr>
        <w:t>（一）公司发展战略。公司董事会及管理层将积极调整优化现有主业发展模式，</w:t>
      </w:r>
      <w:r>
        <w:rPr>
          <w:rFonts w:ascii="宋体" w:hAnsi="宋体" w:cs="宋体" w:eastAsia="宋体" w:hint="default"/>
          <w:spacing w:val="-5"/>
        </w:rPr>
        <w:t>2020</w:t>
      </w:r>
      <w:r>
        <w:rPr>
          <w:spacing w:val="-5"/>
        </w:rPr>
        <w:t>年公司将全面进行工业大麻、燃料乙醇、</w:t>
      </w:r>
      <w:r>
        <w:rPr>
          <w:spacing w:val="-69"/>
        </w:rPr>
        <w:t> </w:t>
      </w:r>
      <w:r>
        <w:rPr>
          <w:spacing w:val="-69"/>
        </w:rPr>
      </w:r>
      <w:r>
        <w:rPr>
          <w:spacing w:val="-2"/>
        </w:rPr>
        <w:t>生物有机肥（生物有机水溶肥）的建设、生产和销售，并推动和完善工业大麻上下游产业链的整合，打造一条从种植、加工</w:t>
      </w:r>
      <w:r>
        <w:rPr>
          <w:spacing w:val="-68"/>
        </w:rPr>
        <w:t> </w:t>
      </w:r>
      <w:r>
        <w:rPr>
          <w:spacing w:val="-68"/>
        </w:rPr>
      </w:r>
      <w:r>
        <w:rPr>
          <w:spacing w:val="-2"/>
        </w:rPr>
        <w:t>到应用的工业大麻精深加工全产业链。充分利用公司已上线和正在研发的区块链应用链等优势，逐渐形成生物工程、供应链</w:t>
      </w:r>
      <w:r>
        <w:rPr>
          <w:spacing w:val="-66"/>
        </w:rPr>
        <w:t> </w:t>
      </w:r>
      <w:r>
        <w:rPr>
          <w:spacing w:val="-66"/>
        </w:rPr>
      </w:r>
      <w:r>
        <w:rPr>
          <w:spacing w:val="-2"/>
        </w:rPr>
        <w:t>服务和民间资本管理、互联网传媒三大业务板块，利用资金资源等优势，通过强化激励措施，积极引进外部优秀团队，全面</w:t>
      </w:r>
      <w:r>
        <w:rPr>
          <w:spacing w:val="-67"/>
        </w:rPr>
        <w:t> </w:t>
      </w:r>
      <w:r>
        <w:rPr>
          <w:spacing w:val="-67"/>
        </w:rPr>
      </w:r>
      <w:r>
        <w:rPr/>
        <w:t>实现公司的战略转型和产业升级。</w:t>
      </w:r>
    </w:p>
    <w:p>
      <w:pPr>
        <w:pStyle w:val="BodyText"/>
        <w:spacing w:line="316" w:lineRule="auto" w:before="17"/>
        <w:ind w:right="986"/>
        <w:jc w:val="left"/>
      </w:pPr>
      <w:r>
        <w:rPr>
          <w:rFonts w:ascii="宋体" w:hAnsi="宋体" w:cs="宋体" w:eastAsia="宋体" w:hint="default"/>
        </w:rPr>
        <w:t>1</w:t>
      </w:r>
      <w:r>
        <w:rPr/>
        <w:t>、现有业务板块 </w:t>
      </w:r>
      <w:r>
        <w:rPr>
          <w:spacing w:val="-2"/>
        </w:rPr>
        <w:t>基于目前行业情况及新冠疫情影响，公司在保留现有互联网传媒及供应链服务等业务板块的基础上，开拓并加大互联网电商</w:t>
      </w:r>
      <w:r>
        <w:rPr>
          <w:spacing w:val="-64"/>
        </w:rPr>
        <w:t> </w:t>
      </w:r>
      <w:r>
        <w:rPr>
          <w:spacing w:val="-64"/>
        </w:rPr>
      </w:r>
      <w:r>
        <w:rPr>
          <w:spacing w:val="-2"/>
        </w:rPr>
        <w:t>领域的项目布局，结合公司区块链技术研发优势，持续对旗下子公司进行业务的迭代升级，在保障公司原有业务持续稳定发</w:t>
      </w:r>
      <w:r>
        <w:rPr>
          <w:spacing w:val="-63"/>
        </w:rPr>
        <w:t> </w:t>
      </w:r>
      <w:r>
        <w:rPr>
          <w:spacing w:val="-63"/>
        </w:rPr>
      </w:r>
      <w:r>
        <w:rPr/>
        <w:t>展的基础上，有效开拓上市公司新的盈利增长点。</w:t>
      </w:r>
    </w:p>
    <w:p>
      <w:pPr>
        <w:pStyle w:val="BodyText"/>
        <w:spacing w:line="316" w:lineRule="auto" w:before="19"/>
        <w:ind w:right="986"/>
        <w:jc w:val="left"/>
      </w:pPr>
      <w:r>
        <w:rPr>
          <w:rFonts w:ascii="宋体" w:hAnsi="宋体" w:cs="宋体" w:eastAsia="宋体" w:hint="default"/>
        </w:rPr>
        <w:t>2</w:t>
      </w:r>
      <w:r>
        <w:rPr/>
        <w:t>、新增业务板块 </w:t>
      </w:r>
      <w:r>
        <w:rPr>
          <w:spacing w:val="-2"/>
        </w:rPr>
        <w:t>公司生物工程各业务板块关联和协同性较强，产业优势明显。如乙醇产品以及乙醇生产副产物二氧化碳都是工业大麻花叶提</w:t>
      </w:r>
      <w:r>
        <w:rPr>
          <w:spacing w:val="-64"/>
        </w:rPr>
        <w:t> </w:t>
      </w:r>
      <w:r>
        <w:rPr>
          <w:spacing w:val="-64"/>
        </w:rPr>
      </w:r>
      <w:r>
        <w:rPr>
          <w:spacing w:val="-4"/>
        </w:rPr>
        <w:t>取大麻二酚（</w:t>
      </w:r>
      <w:r>
        <w:rPr>
          <w:rFonts w:ascii="宋体" w:hAnsi="宋体" w:cs="宋体" w:eastAsia="宋体" w:hint="default"/>
          <w:spacing w:val="-4"/>
        </w:rPr>
        <w:t>CBD</w:t>
      </w:r>
      <w:r>
        <w:rPr>
          <w:spacing w:val="-4"/>
        </w:rPr>
        <w:t>）的重要原料，而工业大麻提取和燃料乙醇生产的废料又同为有机肥的优质原料。三个业务板块互相协同，</w:t>
      </w:r>
      <w:r>
        <w:rPr>
          <w:spacing w:val="-42"/>
        </w:rPr>
        <w:t> </w:t>
      </w:r>
      <w:r>
        <w:rPr>
          <w:spacing w:val="-42"/>
        </w:rPr>
      </w:r>
      <w:r>
        <w:rPr/>
        <w:t>形成循环经济产业链，可大幅降低成本，提高综合经济效益，进而为社会发展做出贡献。相关业务板块发展战略如下：</w:t>
      </w:r>
    </w:p>
    <w:p>
      <w:pPr>
        <w:pStyle w:val="BodyText"/>
        <w:spacing w:line="316" w:lineRule="auto" w:before="19"/>
        <w:ind w:right="1127"/>
        <w:jc w:val="left"/>
      </w:pPr>
      <w:r>
        <w:rPr/>
        <w:t>（</w:t>
      </w:r>
      <w:r>
        <w:rPr>
          <w:rFonts w:ascii="宋体" w:hAnsi="宋体" w:cs="宋体" w:eastAsia="宋体" w:hint="default"/>
        </w:rPr>
        <w:t>1</w:t>
      </w:r>
      <w:r>
        <w:rPr/>
        <w:t>）工业大麻的种植、加工及产品应用： </w:t>
      </w:r>
      <w:r>
        <w:rPr>
          <w:spacing w:val="-2"/>
        </w:rPr>
        <w:t>在加工提取方面，原有生产能力已不能满足需求，公司已经取得了新的土地资源用于提高工业大麻产能。新增产能将在</w:t>
      </w:r>
      <w:r>
        <w:rPr>
          <w:rFonts w:ascii="宋体" w:hAnsi="宋体" w:cs="宋体" w:eastAsia="宋体" w:hint="default"/>
          <w:spacing w:val="-2"/>
        </w:rPr>
        <w:t>2020</w:t>
      </w:r>
      <w:r>
        <w:rPr>
          <w:rFonts w:ascii="宋体" w:hAnsi="宋体" w:cs="宋体" w:eastAsia="宋体" w:hint="default"/>
          <w:spacing w:val="-57"/>
        </w:rPr>
        <w:t> </w:t>
      </w:r>
      <w:r>
        <w:rPr>
          <w:rFonts w:ascii="宋体" w:hAnsi="宋体" w:cs="宋体" w:eastAsia="宋体" w:hint="default"/>
          <w:spacing w:val="-57"/>
        </w:rPr>
      </w:r>
      <w:r>
        <w:rPr/>
        <w:t>年内有序投产，采用国内外先进提纯、萃取技术，生产出高品质全谱</w:t>
      </w:r>
      <w:r>
        <w:rPr>
          <w:rFonts w:ascii="宋体" w:hAnsi="宋体" w:cs="宋体" w:eastAsia="宋体" w:hint="default"/>
        </w:rPr>
        <w:t>CBD</w:t>
      </w:r>
      <w:r>
        <w:rPr/>
        <w:t>油、广谱</w:t>
      </w:r>
      <w:r>
        <w:rPr>
          <w:rFonts w:ascii="宋体" w:hAnsi="宋体" w:cs="宋体" w:eastAsia="宋体" w:hint="default"/>
        </w:rPr>
        <w:t>CBD</w:t>
      </w:r>
      <w:r>
        <w:rPr/>
        <w:t>油和高纯度</w:t>
      </w:r>
      <w:r>
        <w:rPr>
          <w:rFonts w:ascii="宋体" w:hAnsi="宋体" w:cs="宋体" w:eastAsia="宋体" w:hint="default"/>
        </w:rPr>
        <w:t>CBD</w:t>
      </w:r>
      <w:r>
        <w:rPr/>
        <w:t>晶体，产品将销往国内 化妆品、日用快消品等行业，并出口</w:t>
      </w:r>
      <w:r>
        <w:rPr>
          <w:rFonts w:ascii="宋体" w:hAnsi="宋体" w:cs="宋体" w:eastAsia="宋体" w:hint="default"/>
        </w:rPr>
        <w:t>CBD</w:t>
      </w:r>
      <w:r>
        <w:rPr/>
        <w:t>原料到欧美等国家，用于食品、药品、日用护肤化妆品、电子烟及其他健康产业。 工业大麻的种植相关工作已经在积极推进。 另外，公司还将在未来积极布局工业大麻后端产品的应用领域，逐步研发各类产品并积极推向市场，打通工业大麻“种植</w:t>
      </w:r>
      <w:r>
        <w:rPr>
          <w:rFonts w:ascii="宋体" w:hAnsi="宋体" w:cs="宋体" w:eastAsia="宋体" w:hint="default"/>
        </w:rPr>
        <w:t>- </w:t>
      </w:r>
      <w:r>
        <w:rPr/>
        <w:t>原料生产</w:t>
      </w:r>
      <w:r>
        <w:rPr>
          <w:rFonts w:ascii="宋体" w:hAnsi="宋体" w:cs="宋体" w:eastAsia="宋体" w:hint="default"/>
        </w:rPr>
        <w:t>-</w:t>
      </w:r>
      <w:r>
        <w:rPr/>
        <w:t>应用研究</w:t>
      </w:r>
      <w:r>
        <w:rPr>
          <w:rFonts w:ascii="宋体" w:hAnsi="宋体" w:cs="宋体" w:eastAsia="宋体" w:hint="default"/>
        </w:rPr>
        <w:t>-</w:t>
      </w:r>
      <w:r>
        <w:rPr/>
        <w:t>产品生产</w:t>
      </w:r>
      <w:r>
        <w:rPr>
          <w:rFonts w:ascii="宋体" w:hAnsi="宋体" w:cs="宋体" w:eastAsia="宋体" w:hint="default"/>
        </w:rPr>
        <w:t>-</w:t>
      </w:r>
      <w:r>
        <w:rPr/>
        <w:t>终端销售”的全产业链。</w:t>
      </w:r>
      <w:r>
        <w:rPr>
          <w:rFonts w:ascii="宋体" w:hAnsi="宋体" w:cs="宋体" w:eastAsia="宋体" w:hint="default"/>
        </w:rPr>
        <w:t>2020</w:t>
      </w:r>
      <w:r>
        <w:rPr/>
        <w:t>年公司计划与相关重点科研机构紧密合作，组建工业大麻研究 院，专门从事大麻衍生商品的研制与开发工作，</w:t>
      </w:r>
      <w:r>
        <w:rPr>
          <w:rFonts w:ascii="宋体" w:hAnsi="宋体" w:cs="宋体" w:eastAsia="宋体" w:hint="default"/>
        </w:rPr>
        <w:t>CBD</w:t>
      </w:r>
      <w:r>
        <w:rPr/>
        <w:t>相关产品将涉及化妆品、日用品、个人护理产品等多个领域。</w:t>
      </w:r>
    </w:p>
    <w:p>
      <w:pPr>
        <w:pStyle w:val="BodyText"/>
        <w:spacing w:line="316" w:lineRule="auto" w:before="18"/>
        <w:ind w:right="1124"/>
        <w:jc w:val="left"/>
      </w:pPr>
      <w:r>
        <w:rPr/>
        <w:t>（</w:t>
      </w:r>
      <w:r>
        <w:rPr>
          <w:rFonts w:ascii="宋体" w:hAnsi="宋体" w:cs="宋体" w:eastAsia="宋体" w:hint="default"/>
        </w:rPr>
        <w:t>2</w:t>
      </w:r>
      <w:r>
        <w:rPr/>
        <w:t>）燃料乙醇及生物有机肥业务：公司将在较短时间内完善燃料乙醇及生物有机肥业务所需要的相关手续，在原有生产线 </w:t>
      </w:r>
      <w:r>
        <w:rPr>
          <w:spacing w:val="-2"/>
        </w:rPr>
        <w:t>的基础上进行快速有效的升级改造及新生产线建设，确保相关业务扎实、稳定发展，并在最短的时间内为上市公司带来业绩</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ind w:right="986"/>
        <w:jc w:val="left"/>
      </w:pPr>
      <w:r>
        <w:rPr/>
        <w:t>贡献。</w:t>
      </w:r>
    </w:p>
    <w:p>
      <w:pPr>
        <w:pStyle w:val="BodyText"/>
        <w:spacing w:line="240" w:lineRule="auto" w:before="77"/>
        <w:ind w:right="986"/>
        <w:jc w:val="left"/>
      </w:pPr>
      <w:r>
        <w:rPr/>
        <w:t>（二）可能面临的风险</w:t>
      </w:r>
    </w:p>
    <w:p>
      <w:pPr>
        <w:pStyle w:val="BodyText"/>
        <w:spacing w:line="316" w:lineRule="auto" w:before="76"/>
        <w:ind w:right="1124"/>
        <w:jc w:val="left"/>
      </w:pPr>
      <w:r>
        <w:rPr>
          <w:rFonts w:ascii="宋体" w:hAnsi="宋体" w:cs="宋体" w:eastAsia="宋体" w:hint="default"/>
        </w:rPr>
        <w:t>1.</w:t>
      </w:r>
      <w:r>
        <w:rPr>
          <w:rFonts w:ascii="宋体" w:hAnsi="宋体" w:cs="宋体" w:eastAsia="宋体" w:hint="default"/>
          <w:spacing w:val="-1"/>
        </w:rPr>
        <w:t> </w:t>
      </w:r>
      <w:r>
        <w:rPr>
          <w:rFonts w:ascii="宋体" w:hAnsi="宋体" w:cs="宋体" w:eastAsia="宋体" w:hint="default"/>
        </w:rPr>
        <w:t>2020</w:t>
      </w:r>
      <w:r>
        <w:rPr/>
        <w:t>年年初受到新冠肺炎疫情叠加春节长假等因素影响，商品生产企业假期停产、复产缓慢、物流受限，加之各地严格 </w:t>
      </w:r>
      <w:r>
        <w:rPr>
          <w:spacing w:val="-5"/>
        </w:rPr>
        <w:t>执行的疫情防护措施使得员工返岗困难，企业遭遇用工荒，导致商品生产明显下降，国内大宗商品市场存在极大的下行压力。</w:t>
      </w:r>
      <w:r>
        <w:rPr>
          <w:spacing w:val="-78"/>
        </w:rPr>
        <w:t> </w:t>
      </w:r>
      <w:r>
        <w:rPr>
          <w:spacing w:val="-78"/>
        </w:rPr>
      </w:r>
      <w:r>
        <w:rPr/>
        <w:t>进入</w:t>
      </w:r>
      <w:r>
        <w:rPr>
          <w:rFonts w:ascii="宋体" w:hAnsi="宋体" w:cs="宋体" w:eastAsia="宋体" w:hint="default"/>
        </w:rPr>
        <w:t>3</w:t>
      </w:r>
      <w:r>
        <w:rPr/>
        <w:t>月份，虽然企业正逐步复工复产，但由于供应端复产先于需求端，预计供强需弱的格局仍将维持，市场运行压力短期 </w:t>
      </w:r>
      <w:r>
        <w:rPr>
          <w:spacing w:val="-2"/>
        </w:rPr>
        <w:t>难以出现明显缓解。迫于经济下行压力，预计今年财政政策、货币政策会趋向宽松。叠加工业生产低迷和货币政策影响，传</w:t>
      </w:r>
      <w:r>
        <w:rPr>
          <w:spacing w:val="-67"/>
        </w:rPr>
        <w:t> </w:t>
      </w:r>
      <w:r>
        <w:rPr>
          <w:spacing w:val="-67"/>
        </w:rPr>
      </w:r>
      <w:r>
        <w:rPr/>
        <w:t>统大宗商品供应链业务会面临较大的竞争压力。 </w:t>
      </w:r>
      <w:r>
        <w:rPr>
          <w:rFonts w:ascii="宋体" w:hAnsi="宋体" w:cs="宋体" w:eastAsia="宋体" w:hint="default"/>
        </w:rPr>
        <w:t>2.</w:t>
      </w:r>
      <w:r>
        <w:rPr/>
        <w:t>产品国际市场价格波动风险。公司核心产品</w:t>
      </w:r>
      <w:r>
        <w:rPr>
          <w:rFonts w:ascii="宋体" w:hAnsi="宋体" w:cs="宋体" w:eastAsia="宋体" w:hint="default"/>
        </w:rPr>
        <w:t>CBD</w:t>
      </w:r>
      <w:r>
        <w:rPr/>
        <w:t>目前绝大部分用于出口，销售价格受国外需求量影响较大，另外国外工业 大麻种植面积、</w:t>
      </w:r>
      <w:r>
        <w:rPr>
          <w:rFonts w:ascii="宋体" w:hAnsi="宋体" w:cs="宋体" w:eastAsia="宋体" w:hint="default"/>
        </w:rPr>
        <w:t>CBD</w:t>
      </w:r>
      <w:r>
        <w:rPr/>
        <w:t>含量、提取成本等因素也会从供给端对国内</w:t>
      </w:r>
      <w:r>
        <w:rPr>
          <w:rFonts w:ascii="宋体" w:hAnsi="宋体" w:cs="宋体" w:eastAsia="宋体" w:hint="default"/>
        </w:rPr>
        <w:t>CBD</w:t>
      </w:r>
      <w:r>
        <w:rPr/>
        <w:t>售价造成冲击。由于国内法律法规限制</w:t>
      </w:r>
      <w:r>
        <w:rPr>
          <w:rFonts w:ascii="宋体" w:hAnsi="宋体" w:cs="宋体" w:eastAsia="宋体" w:hint="default"/>
        </w:rPr>
        <w:t>CBD</w:t>
      </w:r>
      <w:r>
        <w:rPr/>
        <w:t>在药品和食品</w:t>
      </w:r>
      <w:r>
        <w:rPr>
          <w:spacing w:val="-87"/>
        </w:rPr>
        <w:t> </w:t>
      </w:r>
      <w:r>
        <w:rPr>
          <w:spacing w:val="-5"/>
        </w:rPr>
        <w:t>领域的应用，国内</w:t>
      </w:r>
      <w:r>
        <w:rPr>
          <w:rFonts w:ascii="宋体" w:hAnsi="宋体" w:cs="宋体" w:eastAsia="宋体" w:hint="default"/>
          <w:spacing w:val="-5"/>
        </w:rPr>
        <w:t>CBD</w:t>
      </w:r>
      <w:r>
        <w:rPr>
          <w:spacing w:val="-5"/>
        </w:rPr>
        <w:t>市场需求量较难放大，</w:t>
      </w:r>
      <w:r>
        <w:rPr>
          <w:rFonts w:ascii="宋体" w:hAnsi="宋体" w:cs="宋体" w:eastAsia="宋体" w:hint="default"/>
          <w:spacing w:val="-5"/>
        </w:rPr>
        <w:t>CBD</w:t>
      </w:r>
      <w:r>
        <w:rPr>
          <w:spacing w:val="-5"/>
        </w:rPr>
        <w:t>出口销售价格将持续受制于国外供需市场的变动，价格存在较大的波动风险。</w:t>
      </w:r>
      <w:r>
        <w:rPr>
          <w:spacing w:val="-66"/>
        </w:rPr>
        <w:t> </w:t>
      </w:r>
      <w:r>
        <w:rPr>
          <w:spacing w:val="-66"/>
        </w:rPr>
      </w:r>
      <w:r>
        <w:rPr>
          <w:spacing w:val="-2"/>
        </w:rPr>
        <w:t>公司将通过不断升级改造生产工艺，提高有效提取率，降低单位生产成本，进而提高公司产品价格竞争力，抵御国际市场价</w:t>
      </w:r>
      <w:r>
        <w:rPr>
          <w:spacing w:val="-64"/>
        </w:rPr>
        <w:t> </w:t>
      </w:r>
      <w:r>
        <w:rPr>
          <w:spacing w:val="-64"/>
        </w:rPr>
      </w:r>
      <w:r>
        <w:rPr/>
        <w:t>格波动风险。另外，伴随国内工业大麻育种不断取得突破，</w:t>
      </w:r>
      <w:r>
        <w:rPr>
          <w:rFonts w:ascii="宋体" w:hAnsi="宋体" w:cs="宋体" w:eastAsia="宋体" w:hint="default"/>
        </w:rPr>
        <w:t>CBD</w:t>
      </w:r>
      <w:r>
        <w:rPr/>
        <w:t>含量不断上升，也将有效降低国内</w:t>
      </w:r>
      <w:r>
        <w:rPr>
          <w:rFonts w:ascii="宋体" w:hAnsi="宋体" w:cs="宋体" w:eastAsia="宋体" w:hint="default"/>
        </w:rPr>
        <w:t>CBD</w:t>
      </w:r>
      <w:r>
        <w:rPr/>
        <w:t>提取成本。</w:t>
      </w:r>
    </w:p>
    <w:p>
      <w:pPr>
        <w:spacing w:line="240" w:lineRule="auto" w:before="12"/>
        <w:rPr>
          <w:rFonts w:ascii="宋体" w:hAnsi="宋体" w:cs="宋体" w:eastAsia="宋体" w:hint="default"/>
          <w:sz w:val="20"/>
          <w:szCs w:val="20"/>
        </w:rPr>
      </w:pPr>
    </w:p>
    <w:p>
      <w:pPr>
        <w:pStyle w:val="Heading2"/>
        <w:spacing w:line="240" w:lineRule="auto"/>
        <w:ind w:right="986"/>
        <w:jc w:val="left"/>
        <w:rPr>
          <w:b w:val="0"/>
          <w:bCs w:val="0"/>
        </w:rPr>
      </w:pPr>
      <w:bookmarkStart w:name="十、接待调研、沟通、采访等活动情况" w:id="62"/>
      <w:bookmarkEnd w:id="62"/>
      <w:r>
        <w:rPr>
          <w:b w:val="0"/>
          <w:bCs w:val="0"/>
        </w:rPr>
      </w:r>
      <w:r>
        <w:rPr/>
        <w:t>十、接待调研、沟通、采访等活动情况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报告期内接待调研、沟通、采访等活动登记表" w:id="63"/>
      <w:bookmarkEnd w:id="63"/>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784"/>
        <w:gridCol w:w="1059"/>
        <w:gridCol w:w="1442"/>
        <w:gridCol w:w="5286"/>
      </w:tblGrid>
      <w:tr>
        <w:trPr>
          <w:trHeight w:val="401" w:hRule="exact"/>
        </w:trPr>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6" w:right="0"/>
              <w:jc w:val="left"/>
              <w:rPr>
                <w:rFonts w:ascii="宋体" w:hAnsi="宋体" w:cs="宋体" w:eastAsia="宋体" w:hint="default"/>
                <w:sz w:val="18"/>
                <w:szCs w:val="18"/>
              </w:rPr>
            </w:pPr>
            <w:r>
              <w:rPr>
                <w:rFonts w:ascii="宋体" w:hAnsi="宋体" w:cs="宋体" w:eastAsia="宋体" w:hint="default"/>
                <w:sz w:val="18"/>
                <w:szCs w:val="18"/>
              </w:rPr>
              <w:t>接待时间</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5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027"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p>
            <w:pPr>
              <w:pStyle w:val="TableParagraph"/>
              <w:spacing w:line="240" w:lineRule="auto" w:before="63"/>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
              <w:jc w:val="center"/>
              <w:rPr>
                <w:rFonts w:ascii="宋体" w:hAnsi="宋体" w:cs="宋体" w:eastAsia="宋体" w:hint="default"/>
                <w:sz w:val="18"/>
                <w:szCs w:val="18"/>
              </w:rPr>
            </w:pPr>
            <w:r>
              <w:rPr>
                <w:rFonts w:ascii="宋体" w:hAnsi="宋体" w:cs="宋体" w:eastAsia="宋体" w:hint="default"/>
                <w:sz w:val="18"/>
                <w:szCs w:val="18"/>
              </w:rPr>
              <w:t>电话沟通</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1"/>
              <w:jc w:val="both"/>
              <w:rPr>
                <w:rFonts w:ascii="宋体" w:hAnsi="宋体" w:cs="宋体" w:eastAsia="宋体" w:hint="default"/>
                <w:sz w:val="18"/>
                <w:szCs w:val="18"/>
              </w:rPr>
            </w:pPr>
            <w:r>
              <w:rPr>
                <w:rFonts w:ascii="宋体" w:hAnsi="宋体" w:cs="宋体" w:eastAsia="宋体" w:hint="default"/>
                <w:sz w:val="18"/>
                <w:szCs w:val="18"/>
              </w:rPr>
              <w:t>报告期内累计接听投资者电话</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98</w:t>
            </w:r>
            <w:r>
              <w:rPr>
                <w:rFonts w:ascii="Times New Roman" w:hAnsi="Times New Roman" w:cs="Times New Roman" w:eastAsia="Times New Roman" w:hint="default"/>
                <w:spacing w:val="3"/>
                <w:sz w:val="18"/>
                <w:szCs w:val="18"/>
              </w:rPr>
              <w:t> </w:t>
            </w:r>
            <w:r>
              <w:rPr>
                <w:rFonts w:ascii="宋体" w:hAnsi="宋体" w:cs="宋体" w:eastAsia="宋体" w:hint="default"/>
                <w:spacing w:val="-5"/>
                <w:sz w:val="18"/>
                <w:szCs w:val="18"/>
              </w:rPr>
              <w:t>次，投资者主要问询内容：公司</w:t>
            </w:r>
            <w:r>
              <w:rPr>
                <w:rFonts w:ascii="宋体" w:hAnsi="宋体" w:cs="宋体" w:eastAsia="宋体" w:hint="default"/>
                <w:sz w:val="18"/>
                <w:szCs w:val="18"/>
              </w:rPr>
              <w:t> 目前业务发展情况、公司定期报告情况、公司股东增持情况、公 司业绩补偿情况等问题。公司并未与投资者沟通未公开信息。</w:t>
            </w:r>
          </w:p>
        </w:tc>
      </w:tr>
      <w:tr>
        <w:trPr>
          <w:trHeight w:val="1337" w:hRule="exact"/>
        </w:trPr>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4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p>
            <w:pPr>
              <w:pStyle w:val="TableParagraph"/>
              <w:spacing w:line="240" w:lineRule="auto" w:before="63"/>
              <w:ind w:left="1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其他</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个人</w:t>
            </w:r>
          </w:p>
        </w:tc>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130"/>
              <w:jc w:val="both"/>
              <w:rPr>
                <w:rFonts w:ascii="宋体" w:hAnsi="宋体" w:cs="宋体" w:eastAsia="宋体" w:hint="default"/>
                <w:sz w:val="18"/>
                <w:szCs w:val="18"/>
              </w:rPr>
            </w:pPr>
            <w:r>
              <w:rPr>
                <w:rFonts w:ascii="宋体" w:hAnsi="宋体" w:cs="宋体" w:eastAsia="宋体" w:hint="default"/>
                <w:sz w:val="18"/>
                <w:szCs w:val="18"/>
              </w:rPr>
              <w:t>报告期内回复投资者互动易问询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条，主要询问内容：公司目 前业务发展情况、公司股东减持股份情况、股东人数、公司定期 报告情况、公司股东增持情况、公司业绩补偿情况等问题。公司 并未与投资者沟通未公开信息。</w:t>
            </w:r>
          </w:p>
        </w:tc>
      </w:tr>
      <w:tr>
        <w:trPr>
          <w:trHeight w:val="403" w:hRule="exact"/>
        </w:trPr>
        <w:tc>
          <w:tcPr>
            <w:tcW w:w="42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接待次数</w:t>
            </w:r>
          </w:p>
        </w:tc>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252</w:t>
            </w:r>
          </w:p>
        </w:tc>
      </w:tr>
      <w:tr>
        <w:trPr>
          <w:trHeight w:val="401" w:hRule="exact"/>
        </w:trPr>
        <w:tc>
          <w:tcPr>
            <w:tcW w:w="42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接待机构数量</w:t>
            </w:r>
          </w:p>
        </w:tc>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2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接待个人数量</w:t>
            </w:r>
          </w:p>
        </w:tc>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252</w:t>
            </w:r>
          </w:p>
        </w:tc>
      </w:tr>
      <w:tr>
        <w:trPr>
          <w:trHeight w:val="401" w:hRule="exact"/>
        </w:trPr>
        <w:tc>
          <w:tcPr>
            <w:tcW w:w="42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接待其他对象数量</w:t>
            </w:r>
          </w:p>
        </w:tc>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428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是否披露、透露或泄露未公开重大信息</w:t>
            </w:r>
          </w:p>
        </w:tc>
        <w:tc>
          <w:tcPr>
            <w:tcW w:w="52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3762"/>
        <w:jc w:val="center"/>
        <w:rPr>
          <w:b w:val="0"/>
          <w:bCs w:val="0"/>
        </w:rPr>
      </w:pPr>
      <w:bookmarkStart w:name="第五节重要事项" w:id="64"/>
      <w:bookmarkEnd w:id="64"/>
      <w:r>
        <w:rPr>
          <w:b w:val="0"/>
          <w:bCs w:val="0"/>
        </w:rPr>
      </w:r>
      <w:bookmarkStart w:name="_bookmark4" w:id="65"/>
      <w:bookmarkEnd w:id="65"/>
      <w:r>
        <w:rPr>
          <w:b w:val="0"/>
          <w:bCs w:val="0"/>
        </w:rPr>
      </w:r>
      <w:r>
        <w:rPr/>
        <w:t>第五节重要事项</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86"/>
        <w:jc w:val="left"/>
        <w:rPr>
          <w:b w:val="0"/>
          <w:bCs w:val="0"/>
        </w:rPr>
      </w:pPr>
      <w:bookmarkStart w:name="一、公司普通股利润分配及资本公积金转增股本情况" w:id="66"/>
      <w:bookmarkEnd w:id="66"/>
      <w:r>
        <w:rPr>
          <w:b w:val="0"/>
          <w:bCs w:val="0"/>
        </w:rPr>
      </w:r>
      <w:r>
        <w:rPr/>
        <w:t>一、公司普通股利润分配及资本公积金转增股本情况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报告期内普通股利润分配政策，特别是现金分红政策的制定、执行或调整情况</w:t>
      </w:r>
    </w:p>
    <w:p>
      <w:pPr>
        <w:pStyle w:val="BodyText"/>
        <w:spacing w:line="240" w:lineRule="auto" w:before="117"/>
        <w:ind w:right="986"/>
        <w:jc w:val="left"/>
      </w:pPr>
      <w:r>
        <w:rPr/>
        <w:t>□ 适用 √</w:t>
      </w:r>
      <w:r>
        <w:rPr>
          <w:spacing w:val="3"/>
        </w:rPr>
        <w:t> </w:t>
      </w:r>
      <w:r>
        <w:rPr/>
        <w:t>不适用</w:t>
      </w:r>
    </w:p>
    <w:p>
      <w:pPr>
        <w:pStyle w:val="BodyText"/>
        <w:spacing w:line="340" w:lineRule="auto" w:before="115"/>
        <w:ind w:right="2747"/>
        <w:jc w:val="left"/>
      </w:pPr>
      <w:r>
        <w:rPr/>
        <w:t>公司近</w:t>
      </w:r>
      <w:r>
        <w:rPr>
          <w:spacing w:val="-30"/>
        </w:rPr>
        <w:t> </w:t>
      </w:r>
      <w:r>
        <w:rPr>
          <w:rFonts w:ascii="Times New Roman" w:hAnsi="Times New Roman" w:cs="Times New Roman" w:eastAsia="Times New Roman" w:hint="default"/>
        </w:rPr>
        <w:t>3</w:t>
      </w:r>
      <w:r>
        <w:rPr>
          <w:rFonts w:ascii="Times New Roman" w:hAnsi="Times New Roman" w:cs="Times New Roman" w:eastAsia="Times New Roman" w:hint="default"/>
          <w:spacing w:val="15"/>
        </w:rPr>
        <w:t> </w:t>
      </w:r>
      <w:r>
        <w:rPr>
          <w:spacing w:val="-3"/>
        </w:rPr>
        <w:t>年（包括本报告期）的普通股股利分配方案（预案）、资本公积金转增股本方案（预案）情况</w:t>
      </w:r>
      <w:r>
        <w:rPr>
          <w:spacing w:val="-88"/>
        </w:rPr>
        <w:t> </w:t>
      </w:r>
      <w:r>
        <w:rPr>
          <w:spacing w:val="-88"/>
        </w:rPr>
      </w:r>
      <w:r>
        <w:rPr>
          <w:rFonts w:ascii="宋体" w:hAnsi="宋体" w:cs="宋体" w:eastAsia="宋体" w:hint="default"/>
        </w:rPr>
        <w:t>2019</w:t>
      </w:r>
      <w:r>
        <w:rPr/>
        <w:t>年度利润分配预案：公司计划不派发现金红利，不送红股，不以公积金转增股本。</w:t>
      </w:r>
    </w:p>
    <w:p>
      <w:pPr>
        <w:pStyle w:val="BodyText"/>
        <w:spacing w:line="240" w:lineRule="auto" w:before="1"/>
        <w:ind w:right="986"/>
        <w:jc w:val="left"/>
      </w:pPr>
      <w:r>
        <w:rPr>
          <w:rFonts w:ascii="宋体" w:hAnsi="宋体" w:cs="宋体" w:eastAsia="宋体" w:hint="default"/>
        </w:rPr>
        <w:t>2018</w:t>
      </w:r>
      <w:r>
        <w:rPr/>
        <w:t>年度利润分配方案：公司不派发现金红利，不送红股，不以公积金转增股本。</w:t>
      </w:r>
    </w:p>
    <w:p>
      <w:pPr>
        <w:pStyle w:val="BodyText"/>
        <w:spacing w:line="338" w:lineRule="auto" w:before="76"/>
        <w:ind w:right="1124"/>
        <w:jc w:val="left"/>
      </w:pPr>
      <w:r>
        <w:rPr>
          <w:rFonts w:ascii="宋体" w:hAnsi="宋体" w:cs="宋体" w:eastAsia="宋体" w:hint="default"/>
        </w:rPr>
        <w:t>2017</w:t>
      </w:r>
      <w:r>
        <w:rPr/>
        <w:t>年度利润分配方案：以公司</w:t>
      </w:r>
      <w:r>
        <w:rPr>
          <w:rFonts w:ascii="宋体" w:hAnsi="宋体" w:cs="宋体" w:eastAsia="宋体" w:hint="default"/>
        </w:rPr>
        <w:t>2017</w:t>
      </w:r>
      <w:r>
        <w:rPr/>
        <w:t>年</w:t>
      </w:r>
      <w:r>
        <w:rPr>
          <w:rFonts w:ascii="宋体" w:hAnsi="宋体" w:cs="宋体" w:eastAsia="宋体" w:hint="default"/>
        </w:rPr>
        <w:t>12</w:t>
      </w:r>
      <w:r>
        <w:rPr/>
        <w:t>月</w:t>
      </w:r>
      <w:r>
        <w:rPr>
          <w:rFonts w:ascii="宋体" w:hAnsi="宋体" w:cs="宋体" w:eastAsia="宋体" w:hint="default"/>
        </w:rPr>
        <w:t>31</w:t>
      </w:r>
      <w:r>
        <w:rPr/>
        <w:t>日的总股本</w:t>
      </w:r>
      <w:r>
        <w:rPr>
          <w:rFonts w:ascii="宋体" w:hAnsi="宋体" w:cs="宋体" w:eastAsia="宋体" w:hint="default"/>
        </w:rPr>
        <w:t>522,777,419</w:t>
      </w:r>
      <w:r>
        <w:rPr/>
        <w:t>为基数，向全体股东每</w:t>
      </w:r>
      <w:r>
        <w:rPr>
          <w:rFonts w:ascii="宋体" w:hAnsi="宋体" w:cs="宋体" w:eastAsia="宋体" w:hint="default"/>
        </w:rPr>
        <w:t>10</w:t>
      </w:r>
      <w:r>
        <w:rPr/>
        <w:t>股派发现金红利</w:t>
      </w:r>
      <w:r>
        <w:rPr>
          <w:rFonts w:ascii="宋体" w:hAnsi="宋体" w:cs="宋体" w:eastAsia="宋体" w:hint="default"/>
        </w:rPr>
        <w:t>4.00</w:t>
      </w:r>
      <w:r>
        <w:rPr/>
        <w:t>元（含 </w:t>
      </w:r>
      <w:r>
        <w:rPr>
          <w:spacing w:val="-2"/>
        </w:rPr>
        <w:t>税），共派发现金红利</w:t>
      </w:r>
      <w:r>
        <w:rPr>
          <w:rFonts w:ascii="宋体" w:hAnsi="宋体" w:cs="宋体" w:eastAsia="宋体" w:hint="default"/>
          <w:spacing w:val="-2"/>
        </w:rPr>
        <w:t>209,110,967.60</w:t>
      </w:r>
      <w:r>
        <w:rPr>
          <w:spacing w:val="-2"/>
        </w:rPr>
        <w:t>元。</w:t>
      </w:r>
      <w:r>
        <w:rPr>
          <w:rFonts w:ascii="宋体" w:hAnsi="宋体" w:cs="宋体" w:eastAsia="宋体" w:hint="default"/>
          <w:spacing w:val="-2"/>
        </w:rPr>
        <w:t>2017</w:t>
      </w:r>
      <w:r>
        <w:rPr>
          <w:spacing w:val="-2"/>
        </w:rPr>
        <w:t>年度不送红股，不进行资本公积转增股本。</w:t>
      </w:r>
      <w:r>
        <w:rPr>
          <w:spacing w:val="-88"/>
        </w:rPr>
        <w:t> </w:t>
      </w:r>
      <w:r>
        <w:rPr>
          <w:spacing w:val="-88"/>
        </w:rPr>
      </w:r>
      <w:r>
        <w:rPr/>
        <w:t>公司近三年（包括本报告期）普通股现金分红情况表</w:t>
      </w:r>
    </w:p>
    <w:p>
      <w:pPr>
        <w:pStyle w:val="BodyText"/>
        <w:spacing w:line="240" w:lineRule="auto" w:before="41"/>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900"/>
        <w:gridCol w:w="1022"/>
        <w:gridCol w:w="1289"/>
        <w:gridCol w:w="1634"/>
        <w:gridCol w:w="946"/>
        <w:gridCol w:w="1385"/>
        <w:gridCol w:w="848"/>
        <w:gridCol w:w="1546"/>
      </w:tblGrid>
      <w:tr>
        <w:trPr>
          <w:trHeight w:val="1963"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24"/>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1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46" w:right="144"/>
              <w:jc w:val="center"/>
              <w:rPr>
                <w:rFonts w:ascii="宋体" w:hAnsi="宋体" w:cs="宋体" w:eastAsia="宋体" w:hint="default"/>
                <w:sz w:val="18"/>
                <w:szCs w:val="18"/>
              </w:rPr>
            </w:pPr>
            <w:r>
              <w:rPr>
                <w:rFonts w:ascii="宋体" w:hAnsi="宋体" w:cs="宋体" w:eastAsia="宋体" w:hint="default"/>
                <w:sz w:val="18"/>
                <w:szCs w:val="18"/>
              </w:rPr>
              <w:t>现金分红 金额（含 税）</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9" w:right="188"/>
              <w:jc w:val="both"/>
              <w:rPr>
                <w:rFonts w:ascii="宋体" w:hAnsi="宋体" w:cs="宋体" w:eastAsia="宋体" w:hint="default"/>
                <w:sz w:val="18"/>
                <w:szCs w:val="18"/>
              </w:rPr>
            </w:pPr>
            <w:r>
              <w:rPr>
                <w:rFonts w:ascii="宋体" w:hAnsi="宋体" w:cs="宋体" w:eastAsia="宋体" w:hint="default"/>
                <w:sz w:val="18"/>
                <w:szCs w:val="18"/>
              </w:rPr>
              <w:t>分红年度合 并报表中归 属于上市公 司普通股股 东的净利润</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2" w:right="180"/>
              <w:jc w:val="center"/>
              <w:rPr>
                <w:rFonts w:ascii="宋体" w:hAnsi="宋体" w:cs="宋体" w:eastAsia="宋体" w:hint="default"/>
                <w:sz w:val="18"/>
                <w:szCs w:val="18"/>
              </w:rPr>
            </w:pPr>
            <w:r>
              <w:rPr>
                <w:rFonts w:ascii="宋体" w:hAnsi="宋体" w:cs="宋体" w:eastAsia="宋体" w:hint="default"/>
                <w:sz w:val="18"/>
                <w:szCs w:val="18"/>
              </w:rPr>
              <w:t>现金分红金额占 合并报表中归属 于上市公司普通 股股东的净利润 的比率</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7" w:right="106"/>
              <w:jc w:val="both"/>
              <w:rPr>
                <w:rFonts w:ascii="宋体" w:hAnsi="宋体" w:cs="宋体" w:eastAsia="宋体" w:hint="default"/>
                <w:sz w:val="18"/>
                <w:szCs w:val="18"/>
              </w:rPr>
            </w:pPr>
            <w:r>
              <w:rPr>
                <w:rFonts w:ascii="宋体" w:hAnsi="宋体" w:cs="宋体" w:eastAsia="宋体" w:hint="default"/>
                <w:sz w:val="18"/>
                <w:szCs w:val="18"/>
              </w:rPr>
              <w:t>以其他方 式（如回 购股份） 现金分红 的金额</w:t>
            </w:r>
          </w:p>
        </w:tc>
        <w:tc>
          <w:tcPr>
            <w:tcW w:w="13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8" w:right="144"/>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48" w:right="147"/>
              <w:jc w:val="left"/>
              <w:rPr>
                <w:rFonts w:ascii="宋体" w:hAnsi="宋体" w:cs="宋体" w:eastAsia="宋体" w:hint="default"/>
                <w:sz w:val="18"/>
                <w:szCs w:val="18"/>
              </w:rPr>
            </w:pPr>
            <w:r>
              <w:rPr>
                <w:rFonts w:ascii="宋体" w:hAnsi="宋体" w:cs="宋体" w:eastAsia="宋体" w:hint="default"/>
                <w:sz w:val="18"/>
                <w:szCs w:val="18"/>
              </w:rPr>
              <w:t>现金分 红总额</w:t>
            </w:r>
          </w:p>
          <w:p>
            <w:pPr>
              <w:pStyle w:val="TableParagraph"/>
              <w:spacing w:line="316" w:lineRule="auto" w:before="19"/>
              <w:ind w:left="103" w:right="14" w:firstLine="45"/>
              <w:jc w:val="left"/>
              <w:rPr>
                <w:rFonts w:ascii="宋体" w:hAnsi="宋体" w:cs="宋体" w:eastAsia="宋体" w:hint="default"/>
                <w:sz w:val="18"/>
                <w:szCs w:val="18"/>
              </w:rPr>
            </w:pPr>
            <w:r>
              <w:rPr>
                <w:rFonts w:ascii="宋体" w:hAnsi="宋体" w:cs="宋体" w:eastAsia="宋体" w:hint="default"/>
                <w:sz w:val="18"/>
                <w:szCs w:val="18"/>
              </w:rPr>
              <w:t>（含其 他方式）</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6" w:lineRule="auto" w:before="76"/>
              <w:ind w:left="139" w:right="134"/>
              <w:jc w:val="center"/>
              <w:rPr>
                <w:rFonts w:ascii="宋体" w:hAnsi="宋体" w:cs="宋体" w:eastAsia="宋体" w:hint="default"/>
                <w:sz w:val="18"/>
                <w:szCs w:val="18"/>
              </w:rPr>
            </w:pPr>
            <w:r>
              <w:rPr>
                <w:rFonts w:ascii="宋体" w:hAnsi="宋体" w:cs="宋体" w:eastAsia="宋体" w:hint="default"/>
                <w:sz w:val="18"/>
                <w:szCs w:val="18"/>
              </w:rPr>
              <w:t>（含其他方式） 占合并报表中归 属于上市公司普 通股股东的净利 润的比率</w:t>
            </w:r>
          </w:p>
        </w:tc>
      </w:tr>
      <w:tr>
        <w:trPr>
          <w:trHeight w:val="713"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122,379,851.8</w:t>
            </w:r>
          </w:p>
          <w:p>
            <w:pPr>
              <w:pStyle w:val="TableParagraph"/>
              <w:spacing w:line="240" w:lineRule="auto" w:before="103"/>
              <w:ind w:right="102"/>
              <w:jc w:val="right"/>
              <w:rPr>
                <w:rFonts w:ascii="Times New Roman" w:hAnsi="Times New Roman" w:cs="Times New Roman" w:eastAsia="Times New Roman" w:hint="default"/>
                <w:sz w:val="18"/>
                <w:szCs w:val="18"/>
              </w:rPr>
            </w:pPr>
            <w:r>
              <w:rPr>
                <w:rFonts w:ascii="Times New Roman"/>
                <w:sz w:val="18"/>
              </w:rPr>
              <w:t>4</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-2,549,568,55</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8.92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0.00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0.00%</w:t>
            </w:r>
          </w:p>
        </w:tc>
      </w:tr>
      <w:tr>
        <w:trPr>
          <w:trHeight w:val="713" w:hRule="exact"/>
        </w:trPr>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9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0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209,110,96</w:t>
            </w:r>
          </w:p>
          <w:p>
            <w:pPr>
              <w:pStyle w:val="TableParagraph"/>
              <w:spacing w:line="240" w:lineRule="auto" w:before="102"/>
              <w:ind w:left="595" w:right="0"/>
              <w:jc w:val="left"/>
              <w:rPr>
                <w:rFonts w:ascii="Times New Roman" w:hAnsi="Times New Roman" w:cs="Times New Roman" w:eastAsia="Times New Roman" w:hint="default"/>
                <w:sz w:val="18"/>
                <w:szCs w:val="18"/>
              </w:rPr>
            </w:pPr>
            <w:r>
              <w:rPr>
                <w:rFonts w:ascii="Times New Roman"/>
                <w:sz w:val="18"/>
              </w:rPr>
              <w:t>7.60</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357,930,132.3</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7</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58.42%</w:t>
            </w:r>
          </w:p>
        </w:tc>
        <w:tc>
          <w:tcPr>
            <w:tcW w:w="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3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0.00%</w:t>
            </w:r>
          </w:p>
        </w:tc>
        <w:tc>
          <w:tcPr>
            <w:tcW w:w="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209,110,</w:t>
            </w:r>
          </w:p>
          <w:p>
            <w:pPr>
              <w:pStyle w:val="TableParagraph"/>
              <w:spacing w:line="240" w:lineRule="auto" w:before="102"/>
              <w:ind w:left="136" w:right="0"/>
              <w:jc w:val="center"/>
              <w:rPr>
                <w:rFonts w:ascii="Times New Roman" w:hAnsi="Times New Roman" w:cs="Times New Roman" w:eastAsia="Times New Roman" w:hint="default"/>
                <w:sz w:val="18"/>
                <w:szCs w:val="18"/>
              </w:rPr>
            </w:pPr>
            <w:r>
              <w:rPr>
                <w:rFonts w:ascii="Times New Roman"/>
                <w:sz w:val="18"/>
              </w:rPr>
              <w:t>967.60</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58.42%</w:t>
            </w:r>
          </w:p>
        </w:tc>
      </w:tr>
    </w:tbl>
    <w:p>
      <w:pPr>
        <w:pStyle w:val="BodyText"/>
        <w:spacing w:line="240" w:lineRule="auto" w:before="49"/>
        <w:ind w:right="986"/>
        <w:jc w:val="left"/>
      </w:pPr>
      <w:r>
        <w:rPr/>
        <w:t>公司报告期内盈利且母公司可供普通股股东分配利润为正但未提出普通股现金红利分配预案</w:t>
      </w:r>
    </w:p>
    <w:p>
      <w:pPr>
        <w:pStyle w:val="BodyText"/>
        <w:spacing w:line="240" w:lineRule="auto" w:before="117"/>
        <w:ind w:right="986"/>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986"/>
        <w:jc w:val="left"/>
        <w:rPr>
          <w:b w:val="0"/>
          <w:bCs w:val="0"/>
        </w:rPr>
      </w:pPr>
      <w:bookmarkStart w:name="二、本报告期利润分配及资本公积金转增股本情况" w:id="67"/>
      <w:bookmarkEnd w:id="67"/>
      <w:r>
        <w:rPr>
          <w:b w:val="0"/>
          <w:bCs w:val="0"/>
        </w:rPr>
      </w:r>
      <w:r>
        <w:rPr/>
        <w:t>二、本报告期利润分配及资本公积金转增股本情况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right="5534"/>
        <w:jc w:val="left"/>
      </w:pPr>
      <w:r>
        <w:rPr/>
        <w:t>□ 适用 √</w:t>
      </w:r>
      <w:r>
        <w:rPr>
          <w:spacing w:val="3"/>
        </w:rPr>
        <w:t> </w:t>
      </w:r>
      <w:r>
        <w:rPr/>
        <w:t>不适用</w:t>
      </w:r>
      <w:r>
        <w:rPr/>
        <w:t> 公司计划年度不派发现金红利，不送红股，不以公积金转增股本。</w:t>
      </w:r>
    </w:p>
    <w:p>
      <w:pPr>
        <w:spacing w:line="240" w:lineRule="auto" w:before="2"/>
        <w:rPr>
          <w:rFonts w:ascii="宋体" w:hAnsi="宋体" w:cs="宋体" w:eastAsia="宋体" w:hint="default"/>
          <w:sz w:val="18"/>
          <w:szCs w:val="18"/>
        </w:rPr>
      </w:pPr>
    </w:p>
    <w:p>
      <w:pPr>
        <w:pStyle w:val="Heading2"/>
        <w:spacing w:line="240" w:lineRule="auto"/>
        <w:ind w:right="986"/>
        <w:jc w:val="left"/>
        <w:rPr>
          <w:b w:val="0"/>
          <w:bCs w:val="0"/>
        </w:rPr>
      </w:pPr>
      <w:bookmarkStart w:name="三、承诺事项履行情况" w:id="68"/>
      <w:bookmarkEnd w:id="68"/>
      <w:r>
        <w:rPr>
          <w:b w:val="0"/>
          <w:bCs w:val="0"/>
        </w:rPr>
      </w:r>
      <w:r>
        <w:rPr/>
        <w:t>三、承诺事项履行情况</w:t>
      </w:r>
      <w:r>
        <w:rPr>
          <w:b w:val="0"/>
          <w:bCs w:val="0"/>
        </w:rPr>
      </w:r>
    </w:p>
    <w:p>
      <w:pPr>
        <w:spacing w:line="240" w:lineRule="auto" w:before="12"/>
        <w:rPr>
          <w:rFonts w:ascii="宋体" w:hAnsi="宋体" w:cs="宋体" w:eastAsia="宋体" w:hint="default"/>
          <w:b/>
          <w:bCs/>
          <w:sz w:val="24"/>
          <w:szCs w:val="24"/>
        </w:rPr>
      </w:pPr>
    </w:p>
    <w:p>
      <w:pPr>
        <w:pStyle w:val="Heading4"/>
        <w:spacing w:line="259" w:lineRule="auto"/>
        <w:ind w:right="986"/>
        <w:jc w:val="left"/>
        <w:rPr>
          <w:b w:val="0"/>
          <w:bCs w:val="0"/>
        </w:rPr>
      </w:pPr>
      <w:bookmarkStart w:name="1、公司实际控制人、股东、关联方、收购人以及公司等承诺相关方在报告期内履行完毕及" w:id="69"/>
      <w:bookmarkEnd w:id="69"/>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65"/>
        </w:rPr>
        <w:t> </w:t>
      </w:r>
      <w:r>
        <w:rPr>
          <w:spacing w:val="-65"/>
        </w:rPr>
      </w:r>
      <w:r>
        <w:rPr/>
        <w:t>尚未履行完毕的承诺事项</w:t>
      </w:r>
      <w:r>
        <w:rPr>
          <w:b w:val="0"/>
          <w:bCs w:val="0"/>
        </w:rPr>
      </w:r>
    </w:p>
    <w:p>
      <w:pPr>
        <w:spacing w:line="240" w:lineRule="auto" w:before="1"/>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080"/>
        <w:gridCol w:w="1212"/>
        <w:gridCol w:w="857"/>
        <w:gridCol w:w="3012"/>
        <w:gridCol w:w="600"/>
        <w:gridCol w:w="588"/>
        <w:gridCol w:w="2218"/>
      </w:tblGrid>
      <w:tr>
        <w:trPr>
          <w:trHeight w:val="713"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3" w:right="152" w:hanging="180"/>
              <w:jc w:val="left"/>
              <w:rPr>
                <w:rFonts w:ascii="宋体" w:hAnsi="宋体" w:cs="宋体" w:eastAsia="宋体" w:hint="default"/>
                <w:sz w:val="18"/>
                <w:szCs w:val="18"/>
              </w:rPr>
            </w:pPr>
            <w:r>
              <w:rPr>
                <w:rFonts w:ascii="宋体" w:hAnsi="宋体" w:cs="宋体" w:eastAsia="宋体" w:hint="default"/>
                <w:sz w:val="18"/>
                <w:szCs w:val="18"/>
              </w:rPr>
              <w:t>承诺类 型</w:t>
            </w:r>
          </w:p>
        </w:tc>
        <w:tc>
          <w:tcPr>
            <w:tcW w:w="3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5" w:right="113"/>
              <w:jc w:val="left"/>
              <w:rPr>
                <w:rFonts w:ascii="宋体" w:hAnsi="宋体" w:cs="宋体" w:eastAsia="宋体" w:hint="default"/>
                <w:sz w:val="18"/>
                <w:szCs w:val="18"/>
              </w:rPr>
            </w:pPr>
            <w:r>
              <w:rPr>
                <w:rFonts w:ascii="宋体" w:hAnsi="宋体" w:cs="宋体" w:eastAsia="宋体" w:hint="default"/>
                <w:sz w:val="18"/>
                <w:szCs w:val="18"/>
              </w:rPr>
              <w:t>承诺 时间</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7" w:right="108"/>
              <w:jc w:val="left"/>
              <w:rPr>
                <w:rFonts w:ascii="宋体" w:hAnsi="宋体" w:cs="宋体" w:eastAsia="宋体" w:hint="default"/>
                <w:sz w:val="18"/>
                <w:szCs w:val="18"/>
              </w:rPr>
            </w:pPr>
            <w:r>
              <w:rPr>
                <w:rFonts w:ascii="宋体" w:hAnsi="宋体" w:cs="宋体" w:eastAsia="宋体" w:hint="default"/>
                <w:sz w:val="18"/>
                <w:szCs w:val="18"/>
              </w:rPr>
              <w:t>承诺 期限</w:t>
            </w:r>
          </w:p>
        </w:tc>
        <w:tc>
          <w:tcPr>
            <w:tcW w:w="22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履行情况</w:t>
            </w:r>
          </w:p>
        </w:tc>
      </w:tr>
      <w:tr>
        <w:trPr>
          <w:trHeight w:val="1963" w:hRule="exact"/>
        </w:trPr>
        <w:tc>
          <w:tcPr>
            <w:tcW w:w="10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103" w:right="197"/>
              <w:jc w:val="left"/>
              <w:rPr>
                <w:rFonts w:ascii="宋体" w:hAnsi="宋体" w:cs="宋体" w:eastAsia="宋体" w:hint="default"/>
                <w:sz w:val="18"/>
                <w:szCs w:val="18"/>
              </w:rPr>
            </w:pPr>
            <w:r>
              <w:rPr>
                <w:rFonts w:ascii="宋体" w:hAnsi="宋体" w:cs="宋体" w:eastAsia="宋体" w:hint="default"/>
                <w:sz w:val="18"/>
                <w:szCs w:val="18"/>
              </w:rPr>
              <w:t>青岛亚星实 业有限公司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43" w:right="82"/>
              <w:jc w:val="both"/>
              <w:rPr>
                <w:rFonts w:ascii="宋体" w:hAnsi="宋体" w:cs="宋体" w:eastAsia="宋体" w:hint="default"/>
                <w:sz w:val="18"/>
                <w:szCs w:val="18"/>
              </w:rPr>
            </w:pPr>
            <w:r>
              <w:rPr>
                <w:rFonts w:ascii="宋体" w:hAnsi="宋体" w:cs="宋体" w:eastAsia="宋体" w:hint="default"/>
                <w:sz w:val="18"/>
                <w:szCs w:val="18"/>
              </w:rPr>
              <w:t>关于同业 竞争、关 联交易、 资金占用 方面的承 诺</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禁止同业竞争、禁止资金占用，避免</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关联交易等承诺</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长期</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未违反承诺。</w:t>
            </w:r>
          </w:p>
        </w:tc>
      </w:tr>
      <w:tr>
        <w:trPr>
          <w:trHeight w:val="1337" w:hRule="exact"/>
        </w:trPr>
        <w:tc>
          <w:tcPr>
            <w:tcW w:w="1080" w:type="dxa"/>
            <w:vMerge/>
            <w:tcBorders>
              <w:left w:val="single" w:sz="4" w:space="0" w:color="000000"/>
              <w:bottom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197"/>
              <w:jc w:val="left"/>
              <w:rPr>
                <w:rFonts w:ascii="宋体" w:hAnsi="宋体" w:cs="宋体" w:eastAsia="宋体" w:hint="default"/>
                <w:sz w:val="18"/>
                <w:szCs w:val="18"/>
              </w:rPr>
            </w:pPr>
            <w:r>
              <w:rPr>
                <w:rFonts w:ascii="宋体" w:hAnsi="宋体" w:cs="宋体" w:eastAsia="宋体" w:hint="default"/>
                <w:sz w:val="18"/>
                <w:szCs w:val="18"/>
              </w:rPr>
              <w:t>青岛亚星实 业有限公司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3" w:right="202"/>
              <w:jc w:val="left"/>
              <w:rPr>
                <w:rFonts w:ascii="宋体" w:hAnsi="宋体" w:cs="宋体" w:eastAsia="宋体" w:hint="default"/>
                <w:sz w:val="18"/>
                <w:szCs w:val="18"/>
              </w:rPr>
            </w:pPr>
            <w:r>
              <w:rPr>
                <w:rFonts w:ascii="宋体" w:hAnsi="宋体" w:cs="宋体" w:eastAsia="宋体" w:hint="default"/>
                <w:sz w:val="18"/>
                <w:szCs w:val="18"/>
              </w:rPr>
              <w:t>其他承 诺</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保持上市公司独立性方面的承诺</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2013</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right="10"/>
              <w:jc w:val="center"/>
              <w:rPr>
                <w:rFonts w:ascii="宋体" w:hAnsi="宋体" w:cs="宋体" w:eastAsia="宋体" w:hint="default"/>
                <w:sz w:val="18"/>
                <w:szCs w:val="18"/>
              </w:rPr>
            </w:pPr>
            <w:r>
              <w:rPr>
                <w:rFonts w:ascii="宋体" w:hAnsi="宋体" w:cs="宋体" w:eastAsia="宋体" w:hint="default"/>
                <w:sz w:val="18"/>
                <w:szCs w:val="18"/>
              </w:rPr>
              <w:t>长期</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未违反承诺。</w:t>
            </w:r>
          </w:p>
        </w:tc>
      </w:tr>
      <w:tr>
        <w:trPr>
          <w:trHeight w:val="1651"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245"/>
              <w:jc w:val="both"/>
              <w:rPr>
                <w:rFonts w:ascii="宋体" w:hAnsi="宋体" w:cs="宋体" w:eastAsia="宋体" w:hint="default"/>
                <w:sz w:val="18"/>
                <w:szCs w:val="18"/>
              </w:rPr>
            </w:pPr>
            <w:r>
              <w:rPr>
                <w:rFonts w:ascii="宋体" w:hAnsi="宋体" w:cs="宋体" w:eastAsia="宋体" w:hint="default"/>
                <w:sz w:val="18"/>
                <w:szCs w:val="18"/>
              </w:rPr>
              <w:t>收购报告 书或权益 变动报告 书中所作 承诺</w:t>
            </w:r>
          </w:p>
        </w:tc>
        <w:tc>
          <w:tcPr>
            <w:tcW w:w="12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r>
      <w:tr>
        <w:trPr>
          <w:trHeight w:val="8163" w:hRule="exact"/>
        </w:trPr>
        <w:tc>
          <w:tcPr>
            <w:tcW w:w="10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103" w:right="245"/>
              <w:jc w:val="both"/>
              <w:rPr>
                <w:rFonts w:ascii="宋体" w:hAnsi="宋体" w:cs="宋体" w:eastAsia="宋体" w:hint="default"/>
                <w:sz w:val="18"/>
                <w:szCs w:val="18"/>
              </w:rPr>
            </w:pPr>
            <w:r>
              <w:rPr>
                <w:rFonts w:ascii="宋体" w:hAnsi="宋体" w:cs="宋体" w:eastAsia="宋体" w:hint="default"/>
                <w:sz w:val="18"/>
                <w:szCs w:val="18"/>
              </w:rPr>
              <w:t>资产重组 时所作承 诺</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4" w:lineRule="auto"/>
              <w:ind w:left="103" w:right="197"/>
              <w:jc w:val="left"/>
              <w:rPr>
                <w:rFonts w:ascii="宋体" w:hAnsi="宋体" w:cs="宋体" w:eastAsia="宋体" w:hint="default"/>
                <w:sz w:val="18"/>
                <w:szCs w:val="18"/>
              </w:rPr>
            </w:pPr>
            <w:r>
              <w:rPr>
                <w:rFonts w:ascii="宋体" w:hAnsi="宋体" w:cs="宋体" w:eastAsia="宋体" w:hint="default"/>
                <w:sz w:val="18"/>
                <w:szCs w:val="18"/>
              </w:rPr>
              <w:t>曹林芳；李 勇；莫清雅</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4" w:lineRule="auto"/>
              <w:ind w:left="103" w:right="202"/>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1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、本人就本次交易中取得的深大通 的股份自股份上市之日起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个月内 </w:t>
            </w:r>
            <w:r>
              <w:rPr>
                <w:rFonts w:ascii="宋体" w:hAnsi="宋体" w:cs="宋体" w:eastAsia="宋体" w:hint="default"/>
                <w:spacing w:val="-5"/>
                <w:sz w:val="18"/>
                <w:szCs w:val="18"/>
              </w:rPr>
              <w:t>不转让。</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、在上述锁定期的基础上，</w:t>
            </w:r>
            <w:r>
              <w:rPr>
                <w:rFonts w:ascii="宋体" w:hAnsi="宋体" w:cs="宋体" w:eastAsia="宋体" w:hint="default"/>
                <w:sz w:val="18"/>
                <w:szCs w:val="18"/>
              </w:rPr>
              <w:t> 为保证本次交易标的资产交易盈利 </w:t>
            </w:r>
            <w:r>
              <w:rPr>
                <w:rFonts w:ascii="宋体" w:hAnsi="宋体" w:cs="宋体" w:eastAsia="宋体" w:hint="default"/>
                <w:spacing w:val="-6"/>
                <w:sz w:val="18"/>
                <w:szCs w:val="18"/>
              </w:rPr>
              <w:t>预测补偿承诺的实现，本人按下列安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排转让本次交易取得的深大通的股 </w:t>
            </w:r>
            <w:r>
              <w:rPr>
                <w:rFonts w:ascii="宋体" w:hAnsi="宋体" w:cs="宋体" w:eastAsia="宋体" w:hint="default"/>
                <w:spacing w:val="-7"/>
                <w:sz w:val="18"/>
                <w:szCs w:val="18"/>
              </w:rPr>
              <w:t>份：（</w:t>
            </w: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）自股份上市之日起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p>
            <w:pPr>
              <w:pStyle w:val="TableParagraph"/>
              <w:spacing w:line="309" w:lineRule="auto" w:before="5"/>
              <w:ind w:left="103" w:right="101"/>
              <w:jc w:val="left"/>
              <w:rPr>
                <w:rFonts w:ascii="宋体" w:hAnsi="宋体" w:cs="宋体" w:eastAsia="宋体" w:hint="default"/>
                <w:sz w:val="18"/>
                <w:szCs w:val="18"/>
              </w:rPr>
            </w:pPr>
            <w:r>
              <w:rPr>
                <w:rFonts w:ascii="宋体" w:hAnsi="宋体" w:cs="宋体" w:eastAsia="宋体" w:hint="default"/>
                <w:sz w:val="18"/>
                <w:szCs w:val="18"/>
              </w:rPr>
              <w:t>届满且履行其相应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年度目标公 </w:t>
            </w:r>
            <w:r>
              <w:rPr>
                <w:rFonts w:ascii="宋体" w:hAnsi="宋体" w:cs="宋体" w:eastAsia="宋体" w:hint="default"/>
                <w:spacing w:val="-6"/>
                <w:sz w:val="18"/>
                <w:szCs w:val="18"/>
              </w:rPr>
              <w:t>司业绩补偿承诺之日起，本人可转让</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股份数为其各自认购深大通本次发 行股份数的</w:t>
            </w:r>
            <w:r>
              <w:rPr>
                <w:rFonts w:ascii="宋体" w:hAnsi="宋体" w:cs="宋体" w:eastAsia="宋体" w:hint="default"/>
                <w:spacing w:val="-45"/>
                <w:sz w:val="18"/>
                <w:szCs w:val="18"/>
              </w:rPr>
              <w:t> </w:t>
            </w:r>
            <w:r>
              <w:rPr>
                <w:rFonts w:ascii="Times New Roman" w:hAnsi="Times New Roman" w:cs="Times New Roman" w:eastAsia="Times New Roman" w:hint="default"/>
                <w:spacing w:val="-8"/>
                <w:sz w:val="18"/>
                <w:szCs w:val="18"/>
              </w:rPr>
              <w:t>20%</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）自股份上市</w:t>
            </w:r>
            <w:r>
              <w:rPr>
                <w:rFonts w:ascii="宋体" w:hAnsi="宋体" w:cs="宋体" w:eastAsia="宋体" w:hint="default"/>
                <w:sz w:val="18"/>
                <w:szCs w:val="18"/>
              </w:rPr>
              <w:t> 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个月届满且履行其相应</w:t>
            </w:r>
          </w:p>
          <w:p>
            <w:pPr>
              <w:pStyle w:val="TableParagraph"/>
              <w:spacing w:line="309" w:lineRule="auto" w:before="5"/>
              <w:ind w:left="103"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年度目标公司业绩补偿承诺之 </w:t>
            </w:r>
            <w:r>
              <w:rPr>
                <w:rFonts w:ascii="宋体" w:hAnsi="宋体" w:cs="宋体" w:eastAsia="宋体" w:hint="default"/>
                <w:spacing w:val="-6"/>
                <w:sz w:val="18"/>
                <w:szCs w:val="18"/>
              </w:rPr>
              <w:t>日起，本人累计可转让股份数为其各</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自认购深大通本次发行股份数的 </w:t>
            </w:r>
            <w:r>
              <w:rPr>
                <w:rFonts w:ascii="Times New Roman" w:hAnsi="Times New Roman" w:cs="Times New Roman" w:eastAsia="Times New Roman" w:hint="default"/>
                <w:spacing w:val="-7"/>
                <w:sz w:val="18"/>
                <w:szCs w:val="18"/>
              </w:rPr>
              <w:t>50%</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）自股份上市之日起</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r>
              <w:rPr>
                <w:rFonts w:ascii="宋体" w:hAnsi="宋体" w:cs="宋体" w:eastAsia="宋体" w:hint="default"/>
                <w:spacing w:val="-82"/>
                <w:sz w:val="18"/>
                <w:szCs w:val="18"/>
              </w:rPr>
              <w:t> </w:t>
            </w:r>
            <w:r>
              <w:rPr>
                <w:rFonts w:ascii="宋体" w:hAnsi="宋体" w:cs="宋体" w:eastAsia="宋体" w:hint="default"/>
                <w:sz w:val="18"/>
                <w:szCs w:val="18"/>
              </w:rPr>
              <w:t>月届满且履行其相应</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年度目标 </w:t>
            </w:r>
            <w:r>
              <w:rPr>
                <w:rFonts w:ascii="宋体" w:hAnsi="宋体" w:cs="宋体" w:eastAsia="宋体" w:hint="default"/>
                <w:spacing w:val="-6"/>
                <w:sz w:val="18"/>
                <w:szCs w:val="18"/>
              </w:rPr>
              <w:t>公司业绩补偿承诺之日起，本人累计</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可转让股份数为其各自认购深大通 本次发行股份数的</w:t>
            </w:r>
            <w:r>
              <w:rPr>
                <w:rFonts w:ascii="宋体" w:hAnsi="宋体" w:cs="宋体" w:eastAsia="宋体" w:hint="default"/>
                <w:spacing w:val="-44"/>
                <w:sz w:val="18"/>
                <w:szCs w:val="18"/>
              </w:rPr>
              <w:t> </w:t>
            </w:r>
            <w:r>
              <w:rPr>
                <w:rFonts w:ascii="Times New Roman" w:hAnsi="Times New Roman" w:cs="Times New Roman" w:eastAsia="Times New Roman" w:hint="default"/>
                <w:spacing w:val="-11"/>
                <w:sz w:val="18"/>
                <w:szCs w:val="18"/>
              </w:rPr>
              <w:t>80%</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4</w:t>
            </w:r>
            <w:r>
              <w:rPr>
                <w:rFonts w:ascii="宋体" w:hAnsi="宋体" w:cs="宋体" w:eastAsia="宋体" w:hint="default"/>
                <w:spacing w:val="-11"/>
                <w:sz w:val="18"/>
                <w:szCs w:val="18"/>
              </w:rPr>
              <w:t>）自股</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个月，本人累计可 转让股份数为其各自认购深大通本 次发行股份数的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、本人在 转让本次交易中取得的深大通的股 份时，如担任深大通的董事、监事、 </w:t>
            </w:r>
            <w:r>
              <w:rPr>
                <w:rFonts w:ascii="宋体" w:hAnsi="宋体" w:cs="宋体" w:eastAsia="宋体" w:hint="default"/>
                <w:spacing w:val="-6"/>
                <w:sz w:val="18"/>
                <w:szCs w:val="18"/>
              </w:rPr>
              <w:t>高管职务，本人可转让的股份数量还</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312" w:lineRule="exact" w:before="21"/>
              <w:ind w:left="103" w:right="157"/>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未违反承诺。</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079"/>
        <w:gridCol w:w="1212"/>
        <w:gridCol w:w="857"/>
        <w:gridCol w:w="3012"/>
        <w:gridCol w:w="600"/>
        <w:gridCol w:w="588"/>
        <w:gridCol w:w="2218"/>
      </w:tblGrid>
      <w:tr>
        <w:trPr>
          <w:trHeight w:val="1611" w:hRule="exact"/>
        </w:trPr>
        <w:tc>
          <w:tcPr>
            <w:tcW w:w="1079" w:type="dxa"/>
            <w:vMerge w:val="restart"/>
            <w:tcBorders>
              <w:top w:val="single" w:sz="4" w:space="0" w:color="000000"/>
              <w:left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103" w:right="101"/>
              <w:jc w:val="left"/>
              <w:rPr>
                <w:rFonts w:ascii="宋体" w:hAnsi="宋体" w:cs="宋体" w:eastAsia="宋体" w:hint="default"/>
                <w:sz w:val="18"/>
                <w:szCs w:val="18"/>
              </w:rPr>
            </w:pPr>
            <w:r>
              <w:rPr>
                <w:rFonts w:ascii="宋体" w:hAnsi="宋体" w:cs="宋体" w:eastAsia="宋体" w:hint="default"/>
                <w:spacing w:val="-6"/>
                <w:sz w:val="18"/>
                <w:szCs w:val="18"/>
              </w:rPr>
              <w:t>应遵守《公司法》等法律法规的限制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性规定。</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、本人本次交易所认购深 </w:t>
            </w:r>
            <w:r>
              <w:rPr>
                <w:rFonts w:ascii="宋体" w:hAnsi="宋体" w:cs="宋体" w:eastAsia="宋体" w:hint="default"/>
                <w:spacing w:val="-6"/>
                <w:sz w:val="18"/>
                <w:szCs w:val="18"/>
              </w:rPr>
              <w:t>大通的股份的限售期，最终将按照中</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国证监会或深圳证券交易所的审核 要求执行。</w:t>
            </w:r>
          </w:p>
        </w:tc>
        <w:tc>
          <w:tcPr>
            <w:tcW w:w="6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r>
      <w:tr>
        <w:trPr>
          <w:trHeight w:val="10074" w:hRule="exact"/>
        </w:trPr>
        <w:tc>
          <w:tcPr>
            <w:tcW w:w="1079" w:type="dxa"/>
            <w:vMerge/>
            <w:tcBorders>
              <w:left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4"/>
                <w:szCs w:val="14"/>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夏东明；罗 </w:t>
            </w:r>
            <w:r>
              <w:rPr>
                <w:rFonts w:ascii="宋体" w:hAnsi="宋体" w:cs="宋体" w:eastAsia="宋体" w:hint="default"/>
                <w:spacing w:val="-15"/>
                <w:sz w:val="18"/>
                <w:szCs w:val="18"/>
              </w:rPr>
              <w:t>承；杭州淳安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嘉源企业管 理咨询有限 </w:t>
            </w:r>
            <w:r>
              <w:rPr>
                <w:rFonts w:ascii="宋体" w:hAnsi="宋体" w:cs="宋体" w:eastAsia="宋体" w:hint="default"/>
                <w:spacing w:val="-15"/>
                <w:sz w:val="18"/>
                <w:szCs w:val="18"/>
              </w:rPr>
              <w:t>公司（原名称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宁波华夏嘉 源管理咨询 </w:t>
            </w:r>
            <w:r>
              <w:rPr>
                <w:rFonts w:ascii="宋体" w:hAnsi="宋体" w:cs="宋体" w:eastAsia="宋体" w:hint="default"/>
                <w:spacing w:val="-16"/>
                <w:sz w:val="18"/>
                <w:szCs w:val="18"/>
              </w:rPr>
              <w:t>有限公司）；</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15"/>
                <w:sz w:val="18"/>
                <w:szCs w:val="18"/>
              </w:rPr>
              <w:t>蒋纪平；黄艳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红；龚莉蓉</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316" w:lineRule="auto"/>
              <w:ind w:left="103" w:right="202"/>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、本人通过本次交易取得的上市公 司新增股份，自股份上市之日起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个月内不得以任何形式转让。</w:t>
            </w:r>
            <w:r>
              <w:rPr>
                <w:rFonts w:ascii="Times New Roman" w:hAnsi="Times New Roman" w:cs="Times New Roman" w:eastAsia="Times New Roman" w:hint="default"/>
                <w:sz w:val="18"/>
                <w:szCs w:val="18"/>
              </w:rPr>
              <w:t>2</w:t>
            </w:r>
            <w:r>
              <w:rPr>
                <w:rFonts w:ascii="宋体" w:hAnsi="宋体" w:cs="宋体" w:eastAsia="宋体" w:hint="default"/>
                <w:sz w:val="18"/>
                <w:szCs w:val="18"/>
              </w:rPr>
              <w:t>、在 </w:t>
            </w:r>
            <w:r>
              <w:rPr>
                <w:rFonts w:ascii="宋体" w:hAnsi="宋体" w:cs="宋体" w:eastAsia="宋体" w:hint="default"/>
                <w:spacing w:val="-6"/>
                <w:sz w:val="18"/>
                <w:szCs w:val="18"/>
              </w:rPr>
              <w:t>遵守前述股份锁定期的前提下，为使</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公司与本人签订的利润补偿协议更 </w:t>
            </w:r>
            <w:r>
              <w:rPr>
                <w:rFonts w:ascii="宋体" w:hAnsi="宋体" w:cs="宋体" w:eastAsia="宋体" w:hint="default"/>
                <w:spacing w:val="-6"/>
                <w:sz w:val="18"/>
                <w:szCs w:val="18"/>
              </w:rPr>
              <w:t>具可操作性，本人同意其所认购的深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大通股份自上市之日起满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个月后 </w:t>
            </w:r>
            <w:r>
              <w:rPr>
                <w:rFonts w:ascii="宋体" w:hAnsi="宋体" w:cs="宋体" w:eastAsia="宋体" w:hint="default"/>
                <w:spacing w:val="-11"/>
                <w:sz w:val="18"/>
                <w:szCs w:val="18"/>
              </w:rPr>
              <w:t>按如下方式解除限售：（</w:t>
            </w:r>
            <w:r>
              <w:rPr>
                <w:rFonts w:ascii="Times New Roman" w:hAnsi="Times New Roman" w:cs="Times New Roman" w:eastAsia="Times New Roman" w:hint="default"/>
                <w:spacing w:val="-11"/>
                <w:sz w:val="18"/>
                <w:szCs w:val="18"/>
              </w:rPr>
              <w:t>1</w:t>
            </w:r>
            <w:r>
              <w:rPr>
                <w:rFonts w:ascii="宋体" w:hAnsi="宋体" w:cs="宋体" w:eastAsia="宋体" w:hint="default"/>
                <w:spacing w:val="-11"/>
                <w:sz w:val="18"/>
                <w:szCs w:val="18"/>
              </w:rPr>
              <w:t>）自股份上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个月届满且履行其相应</w:t>
            </w:r>
          </w:p>
          <w:p>
            <w:pPr>
              <w:pStyle w:val="TableParagraph"/>
              <w:spacing w:line="307" w:lineRule="auto" w:before="7"/>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年度视科传媒业绩补偿承诺之 </w:t>
            </w:r>
            <w:r>
              <w:rPr>
                <w:rFonts w:ascii="宋体" w:hAnsi="宋体" w:cs="宋体" w:eastAsia="宋体" w:hint="default"/>
                <w:spacing w:val="-6"/>
                <w:sz w:val="18"/>
                <w:szCs w:val="18"/>
              </w:rPr>
              <w:t>日起，可转让股份数为其各自认购深</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大通本次发行股份数的</w:t>
            </w:r>
            <w:r>
              <w:rPr>
                <w:rFonts w:ascii="宋体" w:hAnsi="宋体" w:cs="宋体" w:eastAsia="宋体" w:hint="default"/>
                <w:spacing w:val="-45"/>
                <w:sz w:val="18"/>
                <w:szCs w:val="18"/>
              </w:rPr>
              <w:t> </w:t>
            </w:r>
            <w:r>
              <w:rPr>
                <w:rFonts w:ascii="Times New Roman" w:hAnsi="Times New Roman" w:cs="Times New Roman" w:eastAsia="Times New Roman" w:hint="default"/>
                <w:spacing w:val="-13"/>
                <w:sz w:val="18"/>
                <w:szCs w:val="18"/>
              </w:rPr>
              <w:t>25%</w:t>
            </w:r>
            <w:r>
              <w:rPr>
                <w:rFonts w:ascii="宋体" w:hAnsi="宋体" w:cs="宋体" w:eastAsia="宋体" w:hint="default"/>
                <w:spacing w:val="-13"/>
                <w:sz w:val="18"/>
                <w:szCs w:val="18"/>
              </w:rPr>
              <w:t>；（</w:t>
            </w: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w:t>
            </w:r>
            <w:r>
              <w:rPr>
                <w:rFonts w:ascii="宋体" w:hAnsi="宋体" w:cs="宋体" w:eastAsia="宋体" w:hint="default"/>
                <w:sz w:val="18"/>
                <w:szCs w:val="18"/>
              </w:rPr>
              <w:t> 自股份上市之日起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个月届满且履</w:t>
            </w:r>
          </w:p>
          <w:p>
            <w:pPr>
              <w:pStyle w:val="TableParagraph"/>
              <w:spacing w:line="312" w:lineRule="auto" w:before="7"/>
              <w:ind w:left="103" w:right="101"/>
              <w:jc w:val="left"/>
              <w:rPr>
                <w:rFonts w:ascii="宋体" w:hAnsi="宋体" w:cs="宋体" w:eastAsia="宋体" w:hint="default"/>
                <w:sz w:val="18"/>
                <w:szCs w:val="18"/>
              </w:rPr>
            </w:pPr>
            <w:r>
              <w:rPr>
                <w:rFonts w:ascii="宋体" w:hAnsi="宋体" w:cs="宋体" w:eastAsia="宋体" w:hint="default"/>
                <w:sz w:val="18"/>
                <w:szCs w:val="18"/>
              </w:rPr>
              <w:t>行其相应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年度视科传媒业绩补 </w:t>
            </w:r>
            <w:r>
              <w:rPr>
                <w:rFonts w:ascii="宋体" w:hAnsi="宋体" w:cs="宋体" w:eastAsia="宋体" w:hint="default"/>
                <w:spacing w:val="-6"/>
                <w:sz w:val="18"/>
                <w:szCs w:val="18"/>
              </w:rPr>
              <w:t>偿承诺之日起，累计可转让股份数为</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其各自认购深大通本次发行股份数 的</w:t>
            </w:r>
            <w:r>
              <w:rPr>
                <w:rFonts w:ascii="宋体" w:hAnsi="宋体" w:cs="宋体" w:eastAsia="宋体" w:hint="default"/>
                <w:spacing w:val="-42"/>
                <w:sz w:val="18"/>
                <w:szCs w:val="18"/>
              </w:rPr>
              <w:t> </w:t>
            </w:r>
            <w:r>
              <w:rPr>
                <w:rFonts w:ascii="Times New Roman" w:hAnsi="Times New Roman" w:cs="Times New Roman" w:eastAsia="Times New Roman" w:hint="default"/>
                <w:spacing w:val="-7"/>
                <w:sz w:val="18"/>
                <w:szCs w:val="18"/>
              </w:rPr>
              <w:t>55%</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）自股份上市之日起</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36</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个月届满且履行其相应</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年度视 </w:t>
            </w:r>
            <w:r>
              <w:rPr>
                <w:rFonts w:ascii="宋体" w:hAnsi="宋体" w:cs="宋体" w:eastAsia="宋体" w:hint="default"/>
                <w:spacing w:val="-6"/>
                <w:sz w:val="18"/>
                <w:szCs w:val="18"/>
              </w:rPr>
              <w:t>科传媒业绩补偿承诺之日起，累计可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转让股份数为其各自认购深大通本 次发行股份数的</w:t>
            </w:r>
            <w:r>
              <w:rPr>
                <w:rFonts w:ascii="宋体" w:hAnsi="宋体" w:cs="宋体" w:eastAsia="宋体" w:hint="default"/>
                <w:spacing w:val="-44"/>
                <w:sz w:val="18"/>
                <w:szCs w:val="18"/>
              </w:rPr>
              <w:t> </w:t>
            </w:r>
            <w:r>
              <w:rPr>
                <w:rFonts w:ascii="Times New Roman" w:hAnsi="Times New Roman" w:cs="Times New Roman" w:eastAsia="Times New Roman" w:hint="default"/>
                <w:spacing w:val="-10"/>
                <w:sz w:val="18"/>
                <w:szCs w:val="18"/>
              </w:rPr>
              <w:t>80%</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4</w:t>
            </w:r>
            <w:r>
              <w:rPr>
                <w:rFonts w:ascii="宋体" w:hAnsi="宋体" w:cs="宋体" w:eastAsia="宋体" w:hint="default"/>
                <w:spacing w:val="-10"/>
                <w:sz w:val="18"/>
                <w:szCs w:val="18"/>
              </w:rPr>
              <w:t>）自股份</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上市之日起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 </w:t>
            </w:r>
            <w:r>
              <w:rPr>
                <w:rFonts w:ascii="宋体" w:hAnsi="宋体" w:cs="宋体" w:eastAsia="宋体" w:hint="default"/>
                <w:sz w:val="18"/>
                <w:szCs w:val="18"/>
              </w:rPr>
              <w:t>个月届满之日起，累 计可转让股份数为其各自认购深大 通本次发行股份数的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、本 人在转让本次交易中取得的深大通 </w:t>
            </w:r>
            <w:r>
              <w:rPr>
                <w:rFonts w:ascii="宋体" w:hAnsi="宋体" w:cs="宋体" w:eastAsia="宋体" w:hint="default"/>
                <w:spacing w:val="-6"/>
                <w:sz w:val="18"/>
                <w:szCs w:val="18"/>
              </w:rPr>
              <w:t>的股份时，如担任深大通的董事、监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事、高管职务，本人可转让的股份数</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量还应遵守《公司法》等法律法规的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限制性规定。</w:t>
            </w:r>
            <w:r>
              <w:rPr>
                <w:rFonts w:ascii="Times New Roman" w:hAnsi="Times New Roman" w:cs="Times New Roman" w:eastAsia="Times New Roman" w:hint="default"/>
                <w:sz w:val="18"/>
                <w:szCs w:val="18"/>
              </w:rPr>
              <w:t>4</w:t>
            </w:r>
            <w:r>
              <w:rPr>
                <w:rFonts w:ascii="宋体" w:hAnsi="宋体" w:cs="宋体" w:eastAsia="宋体" w:hint="default"/>
                <w:sz w:val="18"/>
                <w:szCs w:val="18"/>
              </w:rPr>
              <w:t>、本人本次交易所认 </w:t>
            </w:r>
            <w:r>
              <w:rPr>
                <w:rFonts w:ascii="宋体" w:hAnsi="宋体" w:cs="宋体" w:eastAsia="宋体" w:hint="default"/>
                <w:spacing w:val="-6"/>
                <w:sz w:val="18"/>
                <w:szCs w:val="18"/>
              </w:rPr>
              <w:t>购深大通的股份的限售期，最终将按</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照中国证监会或深圳证券交易所的 审核要求执行。</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10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未违反承诺。</w:t>
            </w:r>
          </w:p>
        </w:tc>
      </w:tr>
      <w:tr>
        <w:trPr>
          <w:trHeight w:val="2234" w:hRule="exact"/>
        </w:trPr>
        <w:tc>
          <w:tcPr>
            <w:tcW w:w="1079" w:type="dxa"/>
            <w:vMerge/>
            <w:tcBorders>
              <w:left w:val="single" w:sz="4" w:space="0" w:color="000000"/>
              <w:bottom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5"/>
                <w:sz w:val="18"/>
                <w:szCs w:val="18"/>
              </w:rPr>
              <w:t>朱兰英；修涞</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贵</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103" w:right="202"/>
              <w:jc w:val="left"/>
              <w:rPr>
                <w:rFonts w:ascii="宋体" w:hAnsi="宋体" w:cs="宋体" w:eastAsia="宋体" w:hint="default"/>
                <w:sz w:val="18"/>
                <w:szCs w:val="18"/>
              </w:rPr>
            </w:pPr>
            <w:r>
              <w:rPr>
                <w:rFonts w:ascii="宋体" w:hAnsi="宋体" w:cs="宋体" w:eastAsia="宋体" w:hint="default"/>
                <w:sz w:val="18"/>
                <w:szCs w:val="18"/>
              </w:rPr>
              <w:t>股份限 售承诺</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3"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、通过本次交易取得的上市公司新 增股份，自股份上市之日起</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 </w:t>
            </w:r>
            <w:r>
              <w:rPr>
                <w:rFonts w:ascii="宋体" w:hAnsi="宋体" w:cs="宋体" w:eastAsia="宋体" w:hint="default"/>
                <w:spacing w:val="-6"/>
                <w:sz w:val="18"/>
                <w:szCs w:val="18"/>
              </w:rPr>
              <w:t>内不得以任何形式转让。自股份上市</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36 </w:t>
            </w:r>
            <w:r>
              <w:rPr>
                <w:rFonts w:ascii="宋体" w:hAnsi="宋体" w:cs="宋体" w:eastAsia="宋体" w:hint="default"/>
                <w:sz w:val="18"/>
                <w:szCs w:val="18"/>
              </w:rPr>
              <w:t>个月届满且履行其相应</w:t>
            </w:r>
          </w:p>
          <w:p>
            <w:pPr>
              <w:pStyle w:val="TableParagraph"/>
              <w:spacing w:line="309" w:lineRule="auto" w:before="7"/>
              <w:ind w:left="103" w:right="98"/>
              <w:jc w:val="both"/>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年度目标公司业绩补偿承诺之 </w:t>
            </w:r>
            <w:r>
              <w:rPr>
                <w:rFonts w:ascii="宋体" w:hAnsi="宋体" w:cs="宋体" w:eastAsia="宋体" w:hint="default"/>
                <w:spacing w:val="-6"/>
                <w:sz w:val="18"/>
                <w:szCs w:val="18"/>
              </w:rPr>
              <w:t>日起，可转让不超过本次认购股份数</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量的</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80%</w:t>
            </w:r>
            <w:r>
              <w:rPr>
                <w:rFonts w:ascii="宋体" w:hAnsi="宋体" w:cs="宋体" w:eastAsia="宋体" w:hint="default"/>
                <w:sz w:val="18"/>
                <w:szCs w:val="18"/>
              </w:rPr>
              <w:t>；自股份上市之日起</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48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left="10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312" w:lineRule="exact" w:before="23"/>
              <w:ind w:left="103" w:right="157"/>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22</w:t>
            </w:r>
          </w:p>
          <w:p>
            <w:pPr>
              <w:pStyle w:val="TableParagraph"/>
              <w:spacing w:line="240" w:lineRule="auto" w:before="39"/>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2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103" w:right="0"/>
              <w:jc w:val="left"/>
              <w:rPr>
                <w:rFonts w:ascii="宋体" w:hAnsi="宋体" w:cs="宋体" w:eastAsia="宋体" w:hint="default"/>
                <w:sz w:val="18"/>
                <w:szCs w:val="18"/>
              </w:rPr>
            </w:pPr>
            <w:r>
              <w:rPr>
                <w:rFonts w:ascii="宋体" w:hAnsi="宋体" w:cs="宋体" w:eastAsia="宋体" w:hint="default"/>
                <w:sz w:val="18"/>
                <w:szCs w:val="18"/>
              </w:rPr>
              <w:t>未违反承诺。</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079"/>
        <w:gridCol w:w="1212"/>
        <w:gridCol w:w="857"/>
        <w:gridCol w:w="3012"/>
        <w:gridCol w:w="600"/>
        <w:gridCol w:w="588"/>
        <w:gridCol w:w="2221"/>
      </w:tblGrid>
      <w:tr>
        <w:trPr>
          <w:trHeight w:val="2859" w:hRule="exact"/>
        </w:trPr>
        <w:tc>
          <w:tcPr>
            <w:tcW w:w="1079" w:type="dxa"/>
            <w:vMerge w:val="restart"/>
            <w:tcBorders>
              <w:top w:val="single" w:sz="4" w:space="0" w:color="000000"/>
              <w:left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103" w:right="17"/>
              <w:jc w:val="left"/>
              <w:rPr>
                <w:rFonts w:ascii="宋体" w:hAnsi="宋体" w:cs="宋体" w:eastAsia="宋体" w:hint="default"/>
                <w:sz w:val="18"/>
                <w:szCs w:val="18"/>
              </w:rPr>
            </w:pPr>
            <w:r>
              <w:rPr>
                <w:rFonts w:ascii="宋体" w:hAnsi="宋体" w:cs="宋体" w:eastAsia="宋体" w:hint="default"/>
                <w:spacing w:val="-6"/>
                <w:sz w:val="18"/>
                <w:szCs w:val="18"/>
              </w:rPr>
              <w:t>月届满之日起，可转让本次认购的全</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部股份。</w:t>
            </w:r>
            <w:r>
              <w:rPr>
                <w:rFonts w:ascii="Times New Roman" w:hAnsi="Times New Roman" w:cs="Times New Roman" w:eastAsia="Times New Roman" w:hint="default"/>
                <w:sz w:val="18"/>
                <w:szCs w:val="18"/>
              </w:rPr>
              <w:t>2</w:t>
            </w:r>
            <w:r>
              <w:rPr>
                <w:rFonts w:ascii="宋体" w:hAnsi="宋体" w:cs="宋体" w:eastAsia="宋体" w:hint="default"/>
                <w:sz w:val="18"/>
                <w:szCs w:val="18"/>
              </w:rPr>
              <w:t>、本人在转让本次交易中 </w:t>
            </w:r>
            <w:r>
              <w:rPr>
                <w:rFonts w:ascii="宋体" w:hAnsi="宋体" w:cs="宋体" w:eastAsia="宋体" w:hint="default"/>
                <w:spacing w:val="-6"/>
                <w:sz w:val="18"/>
                <w:szCs w:val="18"/>
              </w:rPr>
              <w:t>取得的深大通的股份时，如担任深大</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6"/>
                <w:sz w:val="18"/>
                <w:szCs w:val="18"/>
              </w:rPr>
              <w:t>通的董事、监事、高管职务，本人可</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转让的股份数量还应遵守《公司法》 等法律法规的限制性规定。</w:t>
            </w:r>
            <w:r>
              <w:rPr>
                <w:rFonts w:ascii="Times New Roman" w:hAnsi="Times New Roman" w:cs="Times New Roman" w:eastAsia="Times New Roman" w:hint="default"/>
                <w:sz w:val="18"/>
                <w:szCs w:val="18"/>
              </w:rPr>
              <w:t>3</w:t>
            </w:r>
            <w:r>
              <w:rPr>
                <w:rFonts w:ascii="宋体" w:hAnsi="宋体" w:cs="宋体" w:eastAsia="宋体" w:hint="default"/>
                <w:sz w:val="18"/>
                <w:szCs w:val="18"/>
              </w:rPr>
              <w:t>、本人 本次交易所认购深大通的股份的限 </w:t>
            </w:r>
            <w:r>
              <w:rPr>
                <w:rFonts w:ascii="宋体" w:hAnsi="宋体" w:cs="宋体" w:eastAsia="宋体" w:hint="default"/>
                <w:spacing w:val="-6"/>
                <w:sz w:val="18"/>
                <w:szCs w:val="18"/>
              </w:rPr>
              <w:t>售期，最终将按照中国证监会或深圳</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证券交易所的审核要求执行。</w:t>
            </w:r>
          </w:p>
        </w:tc>
        <w:tc>
          <w:tcPr>
            <w:tcW w:w="6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4145" w:hRule="exact"/>
        </w:trPr>
        <w:tc>
          <w:tcPr>
            <w:tcW w:w="1079" w:type="dxa"/>
            <w:vMerge/>
            <w:tcBorders>
              <w:left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197"/>
              <w:jc w:val="left"/>
              <w:rPr>
                <w:rFonts w:ascii="宋体" w:hAnsi="宋体" w:cs="宋体" w:eastAsia="宋体" w:hint="default"/>
                <w:sz w:val="18"/>
                <w:szCs w:val="18"/>
              </w:rPr>
            </w:pPr>
            <w:r>
              <w:rPr>
                <w:rFonts w:ascii="宋体" w:hAnsi="宋体" w:cs="宋体" w:eastAsia="宋体" w:hint="default"/>
                <w:sz w:val="18"/>
                <w:szCs w:val="18"/>
              </w:rPr>
              <w:t>曹林芳；李 勇；莫清雅</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103" w:right="202"/>
              <w:jc w:val="left"/>
              <w:rPr>
                <w:rFonts w:ascii="宋体" w:hAnsi="宋体" w:cs="宋体" w:eastAsia="宋体" w:hint="default"/>
                <w:sz w:val="18"/>
                <w:szCs w:val="18"/>
              </w:rPr>
            </w:pPr>
            <w:r>
              <w:rPr>
                <w:rFonts w:ascii="宋体" w:hAnsi="宋体" w:cs="宋体" w:eastAsia="宋体" w:hint="default"/>
                <w:sz w:val="18"/>
                <w:szCs w:val="18"/>
              </w:rPr>
              <w:t>利润承 诺</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06"/>
              <w:ind w:left="103" w:right="106"/>
              <w:jc w:val="left"/>
              <w:rPr>
                <w:rFonts w:ascii="宋体" w:hAnsi="宋体" w:cs="宋体" w:eastAsia="宋体" w:hint="default"/>
                <w:sz w:val="18"/>
                <w:szCs w:val="18"/>
              </w:rPr>
            </w:pPr>
            <w:r>
              <w:rPr>
                <w:rFonts w:ascii="宋体" w:hAnsi="宋体" w:cs="宋体" w:eastAsia="宋体" w:hint="default"/>
                <w:sz w:val="18"/>
                <w:szCs w:val="18"/>
              </w:rPr>
              <w:t>冉十科技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年净利润不低于人民 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年净利润不 低于人民币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8,750.00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净利润不低于人民币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10,937.00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年净利润不低于人民币 </w:t>
            </w:r>
            <w:r>
              <w:rPr>
                <w:rFonts w:ascii="Times New Roman" w:hAnsi="Times New Roman" w:cs="Times New Roman" w:eastAsia="Times New Roman" w:hint="default"/>
                <w:sz w:val="18"/>
                <w:szCs w:val="18"/>
              </w:rPr>
              <w:t>13,635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9"/>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年实现利润</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7,803.93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万元、</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年实现利润</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10,127.25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2017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年实</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现利润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9,950.12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年实现利润</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11,667.39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年完成承诺利润，</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年未完成承诺利润，</w:t>
            </w:r>
          </w:p>
          <w:p>
            <w:pPr>
              <w:pStyle w:val="TableParagraph"/>
              <w:spacing w:line="309" w:lineRule="auto" w:before="63"/>
              <w:ind w:left="103"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-20017</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年三年累计 实现净利润完成利润承 </w:t>
            </w:r>
            <w:r>
              <w:rPr>
                <w:rFonts w:ascii="宋体" w:hAnsi="宋体" w:cs="宋体" w:eastAsia="宋体" w:hint="default"/>
                <w:spacing w:val="-4"/>
                <w:sz w:val="18"/>
                <w:szCs w:val="18"/>
              </w:rPr>
              <w:t>诺；</w:t>
            </w:r>
            <w:r>
              <w:rPr>
                <w:rFonts w:ascii="Times New Roman" w:hAnsi="Times New Roman" w:cs="Times New Roman" w:eastAsia="Times New Roman" w:hint="default"/>
                <w:spacing w:val="-4"/>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年未完成承诺利 </w:t>
            </w:r>
            <w:r>
              <w:rPr>
                <w:rFonts w:ascii="宋体" w:hAnsi="宋体" w:cs="宋体" w:eastAsia="宋体" w:hint="default"/>
                <w:spacing w:val="-8"/>
                <w:sz w:val="18"/>
                <w:szCs w:val="18"/>
              </w:rPr>
              <w:t>润。已签署《和解协议》，</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和解协议正在履行中。</w:t>
            </w:r>
          </w:p>
        </w:tc>
      </w:tr>
      <w:tr>
        <w:trPr>
          <w:trHeight w:val="4772" w:hRule="exact"/>
        </w:trPr>
        <w:tc>
          <w:tcPr>
            <w:tcW w:w="1079" w:type="dxa"/>
            <w:vMerge/>
            <w:tcBorders>
              <w:left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2"/>
              <w:jc w:val="left"/>
              <w:rPr>
                <w:rFonts w:ascii="宋体" w:hAnsi="宋体" w:cs="宋体" w:eastAsia="宋体" w:hint="default"/>
                <w:sz w:val="18"/>
                <w:szCs w:val="18"/>
              </w:rPr>
            </w:pPr>
            <w:r>
              <w:rPr>
                <w:rFonts w:ascii="宋体" w:hAnsi="宋体" w:cs="宋体" w:eastAsia="宋体" w:hint="default"/>
                <w:spacing w:val="-15"/>
                <w:sz w:val="18"/>
                <w:szCs w:val="18"/>
              </w:rPr>
              <w:t>夏东明；朱兰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英；罗承；修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涞贵；杭州淳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安嘉源企业 管理咨询有 </w:t>
            </w:r>
            <w:r>
              <w:rPr>
                <w:rFonts w:ascii="宋体" w:hAnsi="宋体" w:cs="宋体" w:eastAsia="宋体" w:hint="default"/>
                <w:spacing w:val="-15"/>
                <w:sz w:val="18"/>
                <w:szCs w:val="18"/>
              </w:rPr>
              <w:t>限公司（原名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称宁波华夏 嘉源管理咨 询有限公 </w:t>
            </w:r>
            <w:r>
              <w:rPr>
                <w:rFonts w:ascii="宋体" w:hAnsi="宋体" w:cs="宋体" w:eastAsia="宋体" w:hint="default"/>
                <w:spacing w:val="-26"/>
                <w:sz w:val="18"/>
                <w:szCs w:val="18"/>
              </w:rPr>
              <w:t>司）；蒋纪平；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黄艳红；龚莉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蓉</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103" w:right="202"/>
              <w:jc w:val="left"/>
              <w:rPr>
                <w:rFonts w:ascii="宋体" w:hAnsi="宋体" w:cs="宋体" w:eastAsia="宋体" w:hint="default"/>
                <w:sz w:val="18"/>
                <w:szCs w:val="18"/>
              </w:rPr>
            </w:pPr>
            <w:r>
              <w:rPr>
                <w:rFonts w:ascii="宋体" w:hAnsi="宋体" w:cs="宋体" w:eastAsia="宋体" w:hint="default"/>
                <w:sz w:val="18"/>
                <w:szCs w:val="18"/>
              </w:rPr>
              <w:t>利润承 诺</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00" w:lineRule="auto"/>
              <w:ind w:left="103" w:right="98"/>
              <w:jc w:val="left"/>
              <w:rPr>
                <w:rFonts w:ascii="宋体" w:hAnsi="宋体" w:cs="宋体" w:eastAsia="宋体" w:hint="default"/>
                <w:sz w:val="18"/>
                <w:szCs w:val="18"/>
              </w:rPr>
            </w:pPr>
            <w:r>
              <w:rPr>
                <w:rFonts w:ascii="宋体" w:hAnsi="宋体" w:cs="宋体" w:eastAsia="宋体" w:hint="default"/>
                <w:sz w:val="18"/>
                <w:szCs w:val="18"/>
              </w:rPr>
              <w:t>视科传媒</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2015 </w:t>
            </w:r>
            <w:r>
              <w:rPr>
                <w:rFonts w:ascii="宋体" w:hAnsi="宋体" w:cs="宋体" w:eastAsia="宋体" w:hint="default"/>
                <w:sz w:val="18"/>
                <w:szCs w:val="18"/>
              </w:rPr>
              <w:t>年净利润不低于人民 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13,100.00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年净利润不 低于人民币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16,500.00</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万元、</w:t>
            </w:r>
            <w:r>
              <w:rPr>
                <w:rFonts w:ascii="Times New Roman" w:hAnsi="Times New Roman" w:cs="Times New Roman" w:eastAsia="Times New Roman" w:hint="default"/>
                <w:spacing w:val="-7"/>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 净利润不低于人民币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19,800.00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 元、</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年净利润不低于人民币 </w:t>
            </w:r>
            <w:r>
              <w:rPr>
                <w:rFonts w:ascii="Times New Roman" w:hAnsi="Times New Roman" w:cs="Times New Roman" w:eastAsia="Times New Roman" w:hint="default"/>
                <w:sz w:val="18"/>
                <w:szCs w:val="18"/>
              </w:rPr>
              <w:t>21,200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1"/>
              <w:ind w:left="103" w:right="0"/>
              <w:jc w:val="left"/>
              <w:rPr>
                <w:rFonts w:ascii="Times New Roman" w:hAnsi="Times New Roman" w:cs="Times New Roman" w:eastAsia="Times New Roman" w:hint="default"/>
                <w:sz w:val="18"/>
                <w:szCs w:val="18"/>
              </w:rPr>
            </w:pPr>
            <w:r>
              <w:rPr>
                <w:rFonts w:ascii="Times New Roman"/>
                <w:sz w:val="18"/>
              </w:rPr>
              <w:t>2015</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年实现利润</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13,919.29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2016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年实</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现利润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17,251.61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年实现净利润</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19,292.76 </w:t>
            </w:r>
            <w:r>
              <w:rPr>
                <w:rFonts w:ascii="宋体" w:hAnsi="宋体" w:cs="宋体" w:eastAsia="宋体" w:hint="default"/>
                <w:spacing w:val="-10"/>
                <w:sz w:val="18"/>
                <w:szCs w:val="18"/>
              </w:rPr>
              <w:t>万元，</w:t>
            </w:r>
            <w:r>
              <w:rPr>
                <w:rFonts w:ascii="Times New Roman" w:hAnsi="Times New Roman" w:cs="Times New Roman" w:eastAsia="Times New Roman" w:hint="default"/>
                <w:spacing w:val="-10"/>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年实</w:t>
            </w:r>
          </w:p>
          <w:p>
            <w:pPr>
              <w:pStyle w:val="TableParagraph"/>
              <w:spacing w:line="307" w:lineRule="auto" w:before="63"/>
              <w:ind w:left="103" w:right="17"/>
              <w:jc w:val="left"/>
              <w:rPr>
                <w:rFonts w:ascii="宋体" w:hAnsi="宋体" w:cs="宋体" w:eastAsia="宋体" w:hint="default"/>
                <w:sz w:val="18"/>
                <w:szCs w:val="18"/>
              </w:rPr>
            </w:pPr>
            <w:r>
              <w:rPr>
                <w:rFonts w:ascii="宋体" w:hAnsi="宋体" w:cs="宋体" w:eastAsia="宋体" w:hint="default"/>
                <w:sz w:val="18"/>
                <w:szCs w:val="18"/>
              </w:rPr>
              <w:t>现净利润</w:t>
            </w:r>
            <w:r>
              <w:rPr>
                <w:rFonts w:ascii="Times New Roman" w:hAnsi="Times New Roman" w:cs="Times New Roman" w:eastAsia="Times New Roman" w:hint="default"/>
                <w:sz w:val="18"/>
                <w:szCs w:val="18"/>
              </w:rPr>
              <w:t>-36,941.97 </w:t>
            </w:r>
            <w:r>
              <w:rPr>
                <w:rFonts w:ascii="宋体" w:hAnsi="宋体" w:cs="宋体" w:eastAsia="宋体" w:hint="default"/>
                <w:sz w:val="18"/>
                <w:szCs w:val="18"/>
              </w:rPr>
              <w:t>万元， </w:t>
            </w:r>
            <w:r>
              <w:rPr>
                <w:rFonts w:ascii="Times New Roman" w:hAnsi="Times New Roman" w:cs="Times New Roman" w:eastAsia="Times New Roman" w:hint="default"/>
                <w:sz w:val="18"/>
                <w:szCs w:val="18"/>
              </w:rPr>
              <w:t>2015 </w:t>
            </w:r>
            <w:r>
              <w:rPr>
                <w:rFonts w:ascii="宋体" w:hAnsi="宋体" w:cs="宋体" w:eastAsia="宋体" w:hint="default"/>
                <w:spacing w:val="-12"/>
                <w:sz w:val="18"/>
                <w:szCs w:val="18"/>
              </w:rPr>
              <w:t>年、</w:t>
            </w:r>
            <w:r>
              <w:rPr>
                <w:rFonts w:ascii="Times New Roman" w:hAnsi="Times New Roman" w:cs="Times New Roman" w:eastAsia="Times New Roman" w:hint="default"/>
                <w:spacing w:val="-12"/>
                <w:sz w:val="18"/>
                <w:szCs w:val="18"/>
              </w:rPr>
              <w:t>2016</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年完成承诺 </w:t>
            </w:r>
            <w:r>
              <w:rPr>
                <w:rFonts w:ascii="宋体" w:hAnsi="宋体" w:cs="宋体" w:eastAsia="宋体" w:hint="default"/>
                <w:spacing w:val="-3"/>
                <w:sz w:val="18"/>
                <w:szCs w:val="18"/>
              </w:rPr>
              <w:t>利润，</w:t>
            </w:r>
            <w:r>
              <w:rPr>
                <w:rFonts w:ascii="Times New Roman" w:hAnsi="Times New Roman" w:cs="Times New Roman" w:eastAsia="Times New Roman" w:hint="default"/>
                <w:spacing w:val="-3"/>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年未完成承诺 </w:t>
            </w:r>
            <w:r>
              <w:rPr>
                <w:rFonts w:ascii="宋体" w:hAnsi="宋体" w:cs="宋体" w:eastAsia="宋体" w:hint="default"/>
                <w:spacing w:val="-6"/>
                <w:sz w:val="18"/>
                <w:szCs w:val="18"/>
              </w:rPr>
              <w:t>利润，</w:t>
            </w:r>
            <w:r>
              <w:rPr>
                <w:rFonts w:ascii="Times New Roman" w:hAnsi="Times New Roman" w:cs="Times New Roman" w:eastAsia="Times New Roman" w:hint="default"/>
                <w:spacing w:val="-6"/>
                <w:sz w:val="18"/>
                <w:szCs w:val="18"/>
              </w:rPr>
              <w:t>2015 </w:t>
            </w:r>
            <w:r>
              <w:rPr>
                <w:rFonts w:ascii="宋体" w:hAnsi="宋体" w:cs="宋体" w:eastAsia="宋体" w:hint="default"/>
                <w:sz w:val="18"/>
                <w:szCs w:val="18"/>
              </w:rPr>
              <w:t>年</w:t>
            </w:r>
            <w:r>
              <w:rPr>
                <w:rFonts w:ascii="Times New Roman" w:hAnsi="Times New Roman" w:cs="Times New Roman" w:eastAsia="Times New Roman" w:hint="default"/>
                <w:sz w:val="18"/>
                <w:szCs w:val="18"/>
              </w:rPr>
              <w:t>-20017</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年三 年累计实现净利润完成利 </w:t>
            </w:r>
            <w:r>
              <w:rPr>
                <w:rFonts w:ascii="宋体" w:hAnsi="宋体" w:cs="宋体" w:eastAsia="宋体" w:hint="default"/>
                <w:spacing w:val="-3"/>
                <w:sz w:val="18"/>
                <w:szCs w:val="18"/>
              </w:rPr>
              <w:t>润承诺；</w:t>
            </w:r>
            <w:r>
              <w:rPr>
                <w:rFonts w:ascii="Times New Roman" w:hAnsi="Times New Roman" w:cs="Times New Roman" w:eastAsia="Times New Roman" w:hint="default"/>
                <w:spacing w:val="-3"/>
                <w:sz w:val="18"/>
                <w:szCs w:val="18"/>
              </w:rPr>
              <w:t>2018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年未完成承</w:t>
            </w:r>
            <w:r>
              <w:rPr>
                <w:rFonts w:ascii="宋体" w:hAnsi="宋体" w:cs="宋体" w:eastAsia="宋体" w:hint="default"/>
                <w:spacing w:val="-88"/>
                <w:sz w:val="18"/>
                <w:szCs w:val="18"/>
              </w:rPr>
              <w:t> </w:t>
            </w:r>
            <w:r>
              <w:rPr>
                <w:rFonts w:ascii="宋体" w:hAnsi="宋体" w:cs="宋体" w:eastAsia="宋体" w:hint="default"/>
                <w:sz w:val="18"/>
                <w:szCs w:val="18"/>
              </w:rPr>
              <w:t>诺利润。公司已和夏东明 以外的视科传媒其他股东 </w:t>
            </w:r>
            <w:r>
              <w:rPr>
                <w:rFonts w:ascii="宋体" w:hAnsi="宋体" w:cs="宋体" w:eastAsia="宋体" w:hint="default"/>
                <w:spacing w:val="-14"/>
                <w:sz w:val="18"/>
                <w:szCs w:val="18"/>
              </w:rPr>
              <w:t>签署《和解协议》，和解协</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议正在履行中。</w:t>
            </w:r>
          </w:p>
        </w:tc>
      </w:tr>
      <w:tr>
        <w:trPr>
          <w:trHeight w:val="1922" w:hRule="exact"/>
        </w:trPr>
        <w:tc>
          <w:tcPr>
            <w:tcW w:w="1079" w:type="dxa"/>
            <w:vMerge/>
            <w:tcBorders>
              <w:left w:val="single" w:sz="4" w:space="0" w:color="000000"/>
              <w:bottom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
              <w:jc w:val="left"/>
              <w:rPr>
                <w:rFonts w:ascii="宋体" w:hAnsi="宋体" w:cs="宋体" w:eastAsia="宋体" w:hint="default"/>
                <w:sz w:val="18"/>
                <w:szCs w:val="18"/>
              </w:rPr>
            </w:pPr>
            <w:r>
              <w:rPr>
                <w:rFonts w:ascii="宋体" w:hAnsi="宋体" w:cs="宋体" w:eastAsia="宋体" w:hint="default"/>
                <w:sz w:val="18"/>
                <w:szCs w:val="18"/>
              </w:rPr>
              <w:t>曹林芳；李 勇；莫清雅； </w:t>
            </w:r>
            <w:r>
              <w:rPr>
                <w:rFonts w:ascii="宋体" w:hAnsi="宋体" w:cs="宋体" w:eastAsia="宋体" w:hint="default"/>
                <w:spacing w:val="-15"/>
                <w:sz w:val="18"/>
                <w:szCs w:val="18"/>
              </w:rPr>
              <w:t>夏东明；朱兰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英；罗承；修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15"/>
                <w:sz w:val="18"/>
                <w:szCs w:val="18"/>
              </w:rPr>
              <w:t>涞贵；杭州淳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安嘉源企业</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
              <w:jc w:val="left"/>
              <w:rPr>
                <w:rFonts w:ascii="宋体" w:hAnsi="宋体" w:cs="宋体" w:eastAsia="宋体" w:hint="default"/>
                <w:sz w:val="18"/>
                <w:szCs w:val="18"/>
              </w:rPr>
            </w:pPr>
            <w:r>
              <w:rPr>
                <w:rFonts w:ascii="宋体" w:hAnsi="宋体" w:cs="宋体" w:eastAsia="宋体" w:hint="default"/>
                <w:sz w:val="18"/>
                <w:szCs w:val="18"/>
              </w:rPr>
              <w:t>避免关 联交易、 避免同 业竞争、 保持公 司独立</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pacing w:val="-6"/>
                <w:sz w:val="18"/>
                <w:szCs w:val="18"/>
              </w:rPr>
              <w:t>避免关联交易、避免同业竞争、保持</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公司独立性相关承诺</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0"/>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未违反承诺。</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079"/>
        <w:gridCol w:w="1212"/>
        <w:gridCol w:w="857"/>
        <w:gridCol w:w="3012"/>
        <w:gridCol w:w="600"/>
        <w:gridCol w:w="588"/>
        <w:gridCol w:w="2221"/>
      </w:tblGrid>
      <w:tr>
        <w:trPr>
          <w:trHeight w:val="2547" w:hRule="exact"/>
        </w:trPr>
        <w:tc>
          <w:tcPr>
            <w:tcW w:w="1079" w:type="dxa"/>
            <w:vMerge w:val="restart"/>
            <w:tcBorders>
              <w:top w:val="single" w:sz="4" w:space="0" w:color="000000"/>
              <w:left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103" w:right="12"/>
              <w:jc w:val="left"/>
              <w:rPr>
                <w:rFonts w:ascii="宋体" w:hAnsi="宋体" w:cs="宋体" w:eastAsia="宋体" w:hint="default"/>
                <w:sz w:val="18"/>
                <w:szCs w:val="18"/>
              </w:rPr>
            </w:pPr>
            <w:r>
              <w:rPr>
                <w:rFonts w:ascii="宋体" w:hAnsi="宋体" w:cs="宋体" w:eastAsia="宋体" w:hint="default"/>
                <w:sz w:val="18"/>
                <w:szCs w:val="18"/>
              </w:rPr>
              <w:t>管理咨询有 </w:t>
            </w:r>
            <w:r>
              <w:rPr>
                <w:rFonts w:ascii="宋体" w:hAnsi="宋体" w:cs="宋体" w:eastAsia="宋体" w:hint="default"/>
                <w:spacing w:val="-15"/>
                <w:sz w:val="18"/>
                <w:szCs w:val="18"/>
              </w:rPr>
              <w:t>限公司（原名</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称宁波华夏 嘉源管理咨 询有限公 </w:t>
            </w:r>
            <w:r>
              <w:rPr>
                <w:rFonts w:ascii="宋体" w:hAnsi="宋体" w:cs="宋体" w:eastAsia="宋体" w:hint="default"/>
                <w:spacing w:val="-26"/>
                <w:sz w:val="18"/>
                <w:szCs w:val="18"/>
              </w:rPr>
              <w:t>司）；蒋纪平；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黄艳红；龚莉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蓉</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202"/>
              <w:jc w:val="left"/>
              <w:rPr>
                <w:rFonts w:ascii="宋体" w:hAnsi="宋体" w:cs="宋体" w:eastAsia="宋体" w:hint="default"/>
                <w:sz w:val="18"/>
                <w:szCs w:val="18"/>
              </w:rPr>
            </w:pPr>
            <w:r>
              <w:rPr>
                <w:rFonts w:ascii="宋体" w:hAnsi="宋体" w:cs="宋体" w:eastAsia="宋体" w:hint="default"/>
                <w:sz w:val="18"/>
                <w:szCs w:val="18"/>
              </w:rPr>
              <w:t>性相关 承诺</w:t>
            </w:r>
          </w:p>
        </w:tc>
        <w:tc>
          <w:tcPr>
            <w:tcW w:w="301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
        </w:tc>
      </w:tr>
      <w:tr>
        <w:trPr>
          <w:trHeight w:val="1961" w:hRule="exact"/>
        </w:trPr>
        <w:tc>
          <w:tcPr>
            <w:tcW w:w="1079" w:type="dxa"/>
            <w:vMerge/>
            <w:tcBorders>
              <w:left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7"/>
              <w:jc w:val="left"/>
              <w:rPr>
                <w:rFonts w:ascii="宋体" w:hAnsi="宋体" w:cs="宋体" w:eastAsia="宋体" w:hint="default"/>
                <w:sz w:val="18"/>
                <w:szCs w:val="18"/>
              </w:rPr>
            </w:pPr>
            <w:r>
              <w:rPr>
                <w:rFonts w:ascii="宋体" w:hAnsi="宋体" w:cs="宋体" w:eastAsia="宋体" w:hint="default"/>
                <w:sz w:val="18"/>
                <w:szCs w:val="18"/>
              </w:rPr>
              <w:t>曹林芳；李 勇；莫清雅； 曹建发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202"/>
              <w:jc w:val="both"/>
              <w:rPr>
                <w:rFonts w:ascii="宋体" w:hAnsi="宋体" w:cs="宋体" w:eastAsia="宋体" w:hint="default"/>
                <w:sz w:val="18"/>
                <w:szCs w:val="18"/>
              </w:rPr>
            </w:pPr>
            <w:r>
              <w:rPr>
                <w:rFonts w:ascii="宋体" w:hAnsi="宋体" w:cs="宋体" w:eastAsia="宋体" w:hint="default"/>
                <w:sz w:val="18"/>
                <w:szCs w:val="18"/>
              </w:rPr>
              <w:t>应收账 款回款 承诺</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5"/>
                <w:sz w:val="18"/>
                <w:szCs w:val="18"/>
              </w:rPr>
              <w:t>、</w:t>
            </w:r>
            <w:r>
              <w:rPr>
                <w:rFonts w:ascii="宋体" w:hAnsi="宋体" w:cs="宋体" w:eastAsia="宋体" w:hint="default"/>
                <w:sz w:val="18"/>
                <w:szCs w:val="18"/>
              </w:rPr>
              <w:t>负责在</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以</w:t>
            </w:r>
            <w:r>
              <w:rPr>
                <w:rFonts w:ascii="宋体" w:hAnsi="宋体" w:cs="宋体" w:eastAsia="宋体" w:hint="default"/>
                <w:sz w:val="18"/>
                <w:szCs w:val="18"/>
              </w:rPr>
              <w:t>前收</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回冉十科技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年账面所列的全部</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剩余应收账款，其中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z w:val="18"/>
                <w:szCs w:val="18"/>
              </w:rPr>
              <w:t>日前收回不低于</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亿元。</w:t>
            </w:r>
            <w:r>
              <w:rPr>
                <w:rFonts w:ascii="Times New Roman" w:hAnsi="Times New Roman" w:cs="Times New Roman" w:eastAsia="Times New Roman" w:hint="default"/>
                <w:sz w:val="18"/>
                <w:szCs w:val="18"/>
              </w:rPr>
              <w:t>2</w:t>
            </w:r>
            <w:r>
              <w:rPr>
                <w:rFonts w:ascii="宋体" w:hAnsi="宋体" w:cs="宋体" w:eastAsia="宋体" w:hint="default"/>
                <w:sz w:val="18"/>
                <w:szCs w:val="18"/>
              </w:rPr>
              <w:t>、负</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责在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日前收回冉十</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科技</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年产生的全部应收账款。</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9"/>
              <w:ind w:left="103"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自协议签署日即</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31 </w:t>
            </w:r>
            <w:r>
              <w:rPr>
                <w:rFonts w:ascii="宋体" w:hAnsi="宋体" w:cs="宋体" w:eastAsia="宋体" w:hint="default"/>
                <w:spacing w:val="-9"/>
                <w:sz w:val="18"/>
                <w:szCs w:val="18"/>
              </w:rPr>
              <w:t>日，冉十科技收回</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日账面应收账</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10326.69 </w:t>
            </w:r>
            <w:r>
              <w:rPr>
                <w:rFonts w:ascii="宋体" w:hAnsi="宋体" w:cs="宋体" w:eastAsia="宋体" w:hint="default"/>
                <w:sz w:val="18"/>
                <w:szCs w:val="18"/>
              </w:rPr>
              <w:t>万元。</w:t>
            </w:r>
          </w:p>
        </w:tc>
      </w:tr>
      <w:tr>
        <w:trPr>
          <w:trHeight w:val="2587" w:hRule="exact"/>
        </w:trPr>
        <w:tc>
          <w:tcPr>
            <w:tcW w:w="1079" w:type="dxa"/>
            <w:vMerge/>
            <w:tcBorders>
              <w:left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03" w:right="17"/>
              <w:jc w:val="left"/>
              <w:rPr>
                <w:rFonts w:ascii="宋体" w:hAnsi="宋体" w:cs="宋体" w:eastAsia="宋体" w:hint="default"/>
                <w:sz w:val="18"/>
                <w:szCs w:val="18"/>
              </w:rPr>
            </w:pPr>
            <w:r>
              <w:rPr>
                <w:rFonts w:ascii="宋体" w:hAnsi="宋体" w:cs="宋体" w:eastAsia="宋体" w:hint="default"/>
                <w:sz w:val="18"/>
                <w:szCs w:val="18"/>
              </w:rPr>
              <w:t>曹林芳；李 勇；莫清雅； 曹建发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7"/>
              <w:ind w:left="103" w:right="202"/>
              <w:jc w:val="left"/>
              <w:rPr>
                <w:rFonts w:ascii="宋体" w:hAnsi="宋体" w:cs="宋体" w:eastAsia="宋体" w:hint="default"/>
                <w:sz w:val="18"/>
                <w:szCs w:val="18"/>
              </w:rPr>
            </w:pPr>
            <w:r>
              <w:rPr>
                <w:rFonts w:ascii="宋体" w:hAnsi="宋体" w:cs="宋体" w:eastAsia="宋体" w:hint="default"/>
                <w:sz w:val="18"/>
                <w:szCs w:val="18"/>
              </w:rPr>
              <w:t>业绩补 偿</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3" w:right="0"/>
              <w:jc w:val="left"/>
              <w:rPr>
                <w:rFonts w:ascii="宋体" w:hAnsi="宋体" w:cs="宋体" w:eastAsia="宋体" w:hint="default"/>
                <w:sz w:val="18"/>
                <w:szCs w:val="18"/>
              </w:rPr>
            </w:pPr>
            <w:r>
              <w:rPr>
                <w:rFonts w:ascii="宋体" w:hAnsi="宋体" w:cs="宋体" w:eastAsia="宋体" w:hint="default"/>
                <w:sz w:val="18"/>
                <w:szCs w:val="18"/>
              </w:rPr>
              <w:t>和解协议生效后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日内启动将其持</w:t>
            </w:r>
          </w:p>
          <w:p>
            <w:pPr>
              <w:pStyle w:val="TableParagraph"/>
              <w:spacing w:line="309" w:lineRule="auto" w:before="63"/>
              <w:ind w:left="103" w:right="101"/>
              <w:jc w:val="left"/>
              <w:rPr>
                <w:rFonts w:ascii="宋体" w:hAnsi="宋体" w:cs="宋体" w:eastAsia="宋体" w:hint="default"/>
                <w:sz w:val="18"/>
                <w:szCs w:val="18"/>
              </w:rPr>
            </w:pPr>
            <w:r>
              <w:rPr>
                <w:rFonts w:ascii="宋体" w:hAnsi="宋体" w:cs="宋体" w:eastAsia="宋体" w:hint="default"/>
                <w:sz w:val="18"/>
                <w:szCs w:val="18"/>
              </w:rPr>
              <w:t>有的深大通的股票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1706724 </w:t>
            </w:r>
            <w:r>
              <w:rPr>
                <w:rFonts w:ascii="宋体" w:hAnsi="宋体" w:cs="宋体" w:eastAsia="宋体" w:hint="default"/>
                <w:sz w:val="18"/>
                <w:szCs w:val="18"/>
              </w:rPr>
              <w:t>股全部 </w:t>
            </w:r>
            <w:r>
              <w:rPr>
                <w:rFonts w:ascii="宋体" w:hAnsi="宋体" w:cs="宋体" w:eastAsia="宋体" w:hint="default"/>
                <w:spacing w:val="-6"/>
                <w:sz w:val="18"/>
                <w:szCs w:val="18"/>
              </w:rPr>
              <w:t>补偿给除曹林芳、李勇、莫清雅之外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6"/>
                <w:sz w:val="18"/>
                <w:szCs w:val="18"/>
              </w:rPr>
              <w:t>的深大通其他股东的办理手续，同时</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将该补偿股份历年的现金分红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78.94 </w:t>
            </w:r>
            <w:r>
              <w:rPr>
                <w:rFonts w:ascii="宋体" w:hAnsi="宋体" w:cs="宋体" w:eastAsia="宋体" w:hint="default"/>
                <w:sz w:val="18"/>
                <w:szCs w:val="18"/>
              </w:rPr>
              <w:t>万元归还给公司。</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8"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98"/>
              <w:jc w:val="left"/>
              <w:rPr>
                <w:rFonts w:ascii="宋体" w:hAnsi="宋体" w:cs="宋体" w:eastAsia="宋体" w:hint="default"/>
                <w:sz w:val="18"/>
                <w:szCs w:val="18"/>
              </w:rPr>
            </w:pPr>
            <w:r>
              <w:rPr>
                <w:rFonts w:ascii="宋体" w:hAnsi="宋体" w:cs="宋体" w:eastAsia="宋体" w:hint="default"/>
                <w:sz w:val="18"/>
                <w:szCs w:val="18"/>
              </w:rPr>
              <w:t>冉十科技原股东未启动将 其持有的深大通股票 </w:t>
            </w:r>
            <w:r>
              <w:rPr>
                <w:rFonts w:ascii="Times New Roman" w:hAnsi="Times New Roman" w:cs="Times New Roman" w:eastAsia="Times New Roman" w:hint="default"/>
                <w:sz w:val="18"/>
                <w:szCs w:val="18"/>
              </w:rPr>
              <w:t>1,706,724</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股补偿给除冉十 科技原股东及曹建发之外 的深大通其他股东事宜。 公司也未收到冉十科技原 股东历年现金分红</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78.94 </w:t>
            </w:r>
            <w:r>
              <w:rPr>
                <w:rFonts w:ascii="宋体" w:hAnsi="宋体" w:cs="宋体" w:eastAsia="宋体" w:hint="default"/>
                <w:sz w:val="18"/>
                <w:szCs w:val="18"/>
              </w:rPr>
              <w:t>万元。</w:t>
            </w:r>
          </w:p>
        </w:tc>
      </w:tr>
      <w:tr>
        <w:trPr>
          <w:trHeight w:val="1649" w:hRule="exact"/>
        </w:trPr>
        <w:tc>
          <w:tcPr>
            <w:tcW w:w="1079" w:type="dxa"/>
            <w:vMerge/>
            <w:tcBorders>
              <w:left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曹建发</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202"/>
              <w:jc w:val="left"/>
              <w:rPr>
                <w:rFonts w:ascii="宋体" w:hAnsi="宋体" w:cs="宋体" w:eastAsia="宋体" w:hint="default"/>
                <w:sz w:val="18"/>
                <w:szCs w:val="18"/>
              </w:rPr>
            </w:pPr>
            <w:r>
              <w:rPr>
                <w:rFonts w:ascii="宋体" w:hAnsi="宋体" w:cs="宋体" w:eastAsia="宋体" w:hint="default"/>
                <w:sz w:val="18"/>
                <w:szCs w:val="18"/>
              </w:rPr>
              <w:t>资产减 值补偿</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7"/>
              <w:jc w:val="left"/>
              <w:rPr>
                <w:rFonts w:ascii="宋体" w:hAnsi="宋体" w:cs="宋体" w:eastAsia="宋体" w:hint="default"/>
                <w:sz w:val="18"/>
                <w:szCs w:val="18"/>
              </w:rPr>
            </w:pPr>
            <w:r>
              <w:rPr>
                <w:rFonts w:ascii="宋体" w:hAnsi="宋体" w:cs="宋体" w:eastAsia="宋体" w:hint="default"/>
                <w:sz w:val="18"/>
                <w:szCs w:val="18"/>
              </w:rPr>
              <w:t>将其持有的青岛鑫中天创新生物医 药科技研究所有限公司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股权及 其相关权益转让给深大通或深大通 指定的第三方，作为曹林芳、李勇、 莫清雅三人的资产减值补偿。</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8" w:type="dxa"/>
            <w:tcBorders>
              <w:top w:val="single" w:sz="4" w:space="0" w:color="000000"/>
              <w:left w:val="single" w:sz="4" w:space="0" w:color="000000"/>
              <w:bottom w:val="single" w:sz="4" w:space="0" w:color="000000"/>
              <w:right w:val="single" w:sz="4" w:space="0" w:color="000000"/>
            </w:tcBorders>
          </w:tcPr>
          <w:p>
            <w:pP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未履行。</w:t>
            </w:r>
          </w:p>
        </w:tc>
      </w:tr>
      <w:tr>
        <w:trPr>
          <w:trHeight w:val="1963" w:hRule="exact"/>
        </w:trPr>
        <w:tc>
          <w:tcPr>
            <w:tcW w:w="1079" w:type="dxa"/>
            <w:vMerge/>
            <w:tcBorders>
              <w:left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朱兰英</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03" w:right="202"/>
              <w:jc w:val="left"/>
              <w:rPr>
                <w:rFonts w:ascii="宋体" w:hAnsi="宋体" w:cs="宋体" w:eastAsia="宋体" w:hint="default"/>
                <w:sz w:val="18"/>
                <w:szCs w:val="18"/>
              </w:rPr>
            </w:pPr>
            <w:r>
              <w:rPr>
                <w:rFonts w:ascii="宋体" w:hAnsi="宋体" w:cs="宋体" w:eastAsia="宋体" w:hint="default"/>
                <w:sz w:val="18"/>
                <w:szCs w:val="18"/>
              </w:rPr>
              <w:t>补偿承 诺</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09" w:lineRule="auto"/>
              <w:ind w:left="103" w:right="106"/>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日以前将应付杭 州工联大厦股份有限公司的全部债 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3400 </w:t>
            </w:r>
            <w:r>
              <w:rPr>
                <w:rFonts w:ascii="宋体" w:hAnsi="宋体" w:cs="宋体" w:eastAsia="宋体" w:hint="default"/>
                <w:sz w:val="18"/>
                <w:szCs w:val="18"/>
              </w:rPr>
              <w:t>万元（即夏东明转让给杭州</w:t>
            </w:r>
          </w:p>
          <w:p>
            <w:pPr>
              <w:pStyle w:val="TableParagraph"/>
              <w:spacing w:line="316" w:lineRule="auto" w:before="5"/>
              <w:ind w:left="103" w:right="17"/>
              <w:jc w:val="left"/>
              <w:rPr>
                <w:rFonts w:ascii="宋体" w:hAnsi="宋体" w:cs="宋体" w:eastAsia="宋体" w:hint="default"/>
                <w:sz w:val="18"/>
                <w:szCs w:val="18"/>
              </w:rPr>
            </w:pPr>
            <w:r>
              <w:rPr>
                <w:rFonts w:ascii="宋体" w:hAnsi="宋体" w:cs="宋体" w:eastAsia="宋体" w:hint="default"/>
                <w:sz w:val="18"/>
                <w:szCs w:val="18"/>
              </w:rPr>
              <w:t>工联大厦股份有限公司的全部债权） 作为补偿款直接支付给深大通。</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31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正在履行中。</w:t>
            </w:r>
          </w:p>
        </w:tc>
      </w:tr>
      <w:tr>
        <w:trPr>
          <w:trHeight w:val="3209" w:hRule="exact"/>
        </w:trPr>
        <w:tc>
          <w:tcPr>
            <w:tcW w:w="1079" w:type="dxa"/>
            <w:vMerge/>
            <w:tcBorders>
              <w:left w:val="single" w:sz="4" w:space="0" w:color="000000"/>
              <w:bottom w:val="single" w:sz="4" w:space="0" w:color="000000"/>
              <w:right w:val="single" w:sz="4" w:space="0" w:color="000000"/>
            </w:tcBorders>
            <w:shd w:val="clear" w:color="auto" w:fill="D2D2D2"/>
          </w:tcPr>
          <w:p>
            <w:pP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
              <w:jc w:val="left"/>
              <w:rPr>
                <w:rFonts w:ascii="宋体" w:hAnsi="宋体" w:cs="宋体" w:eastAsia="宋体" w:hint="default"/>
                <w:sz w:val="18"/>
                <w:szCs w:val="18"/>
              </w:rPr>
            </w:pPr>
            <w:r>
              <w:rPr>
                <w:rFonts w:ascii="宋体" w:hAnsi="宋体" w:cs="宋体" w:eastAsia="宋体" w:hint="default"/>
                <w:sz w:val="18"/>
                <w:szCs w:val="18"/>
              </w:rPr>
              <w:t>修涞贵、罗 承、蒋纪平、 </w:t>
            </w:r>
            <w:r>
              <w:rPr>
                <w:rFonts w:ascii="宋体" w:hAnsi="宋体" w:cs="宋体" w:eastAsia="宋体" w:hint="default"/>
                <w:spacing w:val="-15"/>
                <w:sz w:val="18"/>
                <w:szCs w:val="18"/>
              </w:rPr>
              <w:t>龚莉蓉、黄艳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红、杭州淳安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嘉源企业管 理咨询有限 </w:t>
            </w:r>
            <w:r>
              <w:rPr>
                <w:rFonts w:ascii="宋体" w:hAnsi="宋体" w:cs="宋体" w:eastAsia="宋体" w:hint="default"/>
                <w:spacing w:val="-15"/>
                <w:sz w:val="18"/>
                <w:szCs w:val="18"/>
              </w:rPr>
              <w:t>公司（原名称</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宁波华夏嘉 源管理咨询 有限公司）</w:t>
            </w: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2"/>
                <w:szCs w:val="22"/>
              </w:rPr>
            </w:pPr>
          </w:p>
          <w:p>
            <w:pPr>
              <w:pStyle w:val="TableParagraph"/>
              <w:spacing w:line="316" w:lineRule="auto"/>
              <w:ind w:left="103" w:right="202"/>
              <w:jc w:val="left"/>
              <w:rPr>
                <w:rFonts w:ascii="宋体" w:hAnsi="宋体" w:cs="宋体" w:eastAsia="宋体" w:hint="default"/>
                <w:sz w:val="18"/>
                <w:szCs w:val="18"/>
              </w:rPr>
            </w:pPr>
            <w:r>
              <w:rPr>
                <w:rFonts w:ascii="宋体" w:hAnsi="宋体" w:cs="宋体" w:eastAsia="宋体" w:hint="default"/>
                <w:sz w:val="18"/>
                <w:szCs w:val="18"/>
              </w:rPr>
              <w:t>补偿承 诺</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309" w:lineRule="auto"/>
              <w:ind w:left="103" w:right="101"/>
              <w:jc w:val="left"/>
              <w:rPr>
                <w:rFonts w:ascii="宋体" w:hAnsi="宋体" w:cs="宋体" w:eastAsia="宋体" w:hint="default"/>
                <w:sz w:val="18"/>
                <w:szCs w:val="18"/>
              </w:rPr>
            </w:pPr>
            <w:r>
              <w:rPr>
                <w:rFonts w:ascii="宋体" w:hAnsi="宋体" w:cs="宋体" w:eastAsia="宋体" w:hint="default"/>
                <w:sz w:val="18"/>
                <w:szCs w:val="18"/>
              </w:rPr>
              <w:t>各方按照合计</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亿元的金额以现金 方式对深大通进行补偿，各方应在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日前向深大通支付</w:t>
            </w:r>
          </w:p>
          <w:p>
            <w:pPr>
              <w:pStyle w:val="TableParagraph"/>
              <w:spacing w:line="240" w:lineRule="auto" w:before="5"/>
              <w:ind w:left="103" w:right="0"/>
              <w:jc w:val="left"/>
              <w:rPr>
                <w:rFonts w:ascii="宋体" w:hAnsi="宋体" w:cs="宋体" w:eastAsia="宋体" w:hint="default"/>
                <w:sz w:val="18"/>
                <w:szCs w:val="18"/>
              </w:rPr>
            </w:pPr>
            <w:r>
              <w:rPr>
                <w:rFonts w:ascii="宋体" w:hAnsi="宋体" w:cs="宋体" w:eastAsia="宋体" w:hint="default"/>
                <w:sz w:val="18"/>
                <w:szCs w:val="18"/>
              </w:rPr>
              <w:t>第一期补偿金合计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pacing w:val="-7"/>
                <w:sz w:val="18"/>
                <w:szCs w:val="18"/>
              </w:rPr>
              <w:t>亿元，各方应</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日前再向深大通</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支付第二期补偿金合计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w:t>
            </w:r>
          </w:p>
        </w:tc>
        <w:tc>
          <w:tcPr>
            <w:tcW w:w="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22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9" w:lineRule="auto" w:before="106"/>
              <w:ind w:left="103" w:right="31"/>
              <w:jc w:val="left"/>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 收到上述部分股东补偿款 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5,071.28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bl>
    <w:p>
      <w:pPr>
        <w:spacing w:after="0" w:line="309"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079"/>
        <w:gridCol w:w="1212"/>
        <w:gridCol w:w="857"/>
        <w:gridCol w:w="3012"/>
        <w:gridCol w:w="600"/>
        <w:gridCol w:w="588"/>
        <w:gridCol w:w="2218"/>
      </w:tblGrid>
      <w:tr>
        <w:trPr>
          <w:trHeight w:val="1337" w:hRule="exact"/>
        </w:trPr>
        <w:tc>
          <w:tcPr>
            <w:tcW w:w="1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245"/>
              <w:jc w:val="both"/>
              <w:rPr>
                <w:rFonts w:ascii="宋体" w:hAnsi="宋体" w:cs="宋体" w:eastAsia="宋体" w:hint="default"/>
                <w:sz w:val="18"/>
                <w:szCs w:val="18"/>
              </w:rPr>
            </w:pPr>
            <w:r>
              <w:rPr>
                <w:rFonts w:ascii="宋体" w:hAnsi="宋体" w:cs="宋体" w:eastAsia="宋体" w:hint="default"/>
                <w:sz w:val="18"/>
                <w:szCs w:val="18"/>
              </w:rPr>
              <w:t>首次公开 发行或再 融资时所 作承诺</w:t>
            </w:r>
          </w:p>
        </w:tc>
        <w:tc>
          <w:tcPr>
            <w:tcW w:w="12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245"/>
              <w:jc w:val="left"/>
              <w:rPr>
                <w:rFonts w:ascii="宋体" w:hAnsi="宋体" w:cs="宋体" w:eastAsia="宋体" w:hint="default"/>
                <w:sz w:val="18"/>
                <w:szCs w:val="18"/>
              </w:rPr>
            </w:pPr>
            <w:r>
              <w:rPr>
                <w:rFonts w:ascii="宋体" w:hAnsi="宋体" w:cs="宋体" w:eastAsia="宋体" w:hint="default"/>
                <w:sz w:val="18"/>
                <w:szCs w:val="18"/>
              </w:rPr>
              <w:t>股权激励 承诺</w:t>
            </w:r>
          </w:p>
        </w:tc>
        <w:tc>
          <w:tcPr>
            <w:tcW w:w="12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45"/>
              <w:jc w:val="both"/>
              <w:rPr>
                <w:rFonts w:ascii="宋体" w:hAnsi="宋体" w:cs="宋体" w:eastAsia="宋体" w:hint="default"/>
                <w:sz w:val="18"/>
                <w:szCs w:val="18"/>
              </w:rPr>
            </w:pPr>
            <w:r>
              <w:rPr>
                <w:rFonts w:ascii="宋体" w:hAnsi="宋体" w:cs="宋体" w:eastAsia="宋体" w:hint="default"/>
                <w:sz w:val="18"/>
                <w:szCs w:val="18"/>
              </w:rPr>
              <w:t>其他对公 司中小股 东所作承 诺</w:t>
            </w:r>
          </w:p>
        </w:tc>
        <w:tc>
          <w:tcPr>
            <w:tcW w:w="1212"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600"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2218"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245"/>
              <w:jc w:val="left"/>
              <w:rPr>
                <w:rFonts w:ascii="宋体" w:hAnsi="宋体" w:cs="宋体" w:eastAsia="宋体" w:hint="default"/>
                <w:sz w:val="18"/>
                <w:szCs w:val="18"/>
              </w:rPr>
            </w:pPr>
            <w:r>
              <w:rPr>
                <w:rFonts w:ascii="宋体" w:hAnsi="宋体" w:cs="宋体" w:eastAsia="宋体" w:hint="default"/>
                <w:sz w:val="18"/>
                <w:szCs w:val="18"/>
              </w:rPr>
              <w:t>承诺是否 按时履行</w:t>
            </w:r>
          </w:p>
        </w:tc>
        <w:tc>
          <w:tcPr>
            <w:tcW w:w="848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2899" w:hRule="exact"/>
        </w:trPr>
        <w:tc>
          <w:tcPr>
            <w:tcW w:w="10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z w:val="18"/>
                <w:szCs w:val="18"/>
              </w:rPr>
              <w:t>如承诺超 期未履行 </w:t>
            </w:r>
            <w:r>
              <w:rPr>
                <w:rFonts w:ascii="宋体" w:hAnsi="宋体" w:cs="宋体" w:eastAsia="宋体" w:hint="default"/>
                <w:spacing w:val="-8"/>
                <w:sz w:val="18"/>
                <w:szCs w:val="18"/>
              </w:rPr>
              <w:t>完毕的，应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当详细说 明未完成 履行的具 体原因及 下一步的 工作计划</w:t>
            </w:r>
          </w:p>
        </w:tc>
        <w:tc>
          <w:tcPr>
            <w:tcW w:w="848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103" w:right="102"/>
              <w:jc w:val="left"/>
              <w:rPr>
                <w:rFonts w:ascii="宋体" w:hAnsi="宋体" w:cs="宋体" w:eastAsia="宋体" w:hint="default"/>
                <w:sz w:val="18"/>
                <w:szCs w:val="18"/>
              </w:rPr>
            </w:pPr>
            <w:r>
              <w:rPr>
                <w:rFonts w:ascii="宋体" w:hAnsi="宋体" w:cs="宋体" w:eastAsia="宋体" w:hint="default"/>
                <w:spacing w:val="-1"/>
                <w:sz w:val="18"/>
                <w:szCs w:val="18"/>
              </w:rPr>
              <w:t>公司将会积极督促视科传媒原股东及冉十科技原股东继续履行相关义务，并将视其实际履行情况采取包括</w:t>
            </w:r>
            <w:r>
              <w:rPr>
                <w:rFonts w:ascii="宋体" w:hAnsi="宋体" w:cs="宋体" w:eastAsia="宋体" w:hint="default"/>
                <w:spacing w:val="-54"/>
                <w:sz w:val="18"/>
                <w:szCs w:val="18"/>
              </w:rPr>
              <w:t> </w:t>
            </w:r>
            <w:r>
              <w:rPr>
                <w:rFonts w:ascii="宋体" w:hAnsi="宋体" w:cs="宋体" w:eastAsia="宋体" w:hint="default"/>
                <w:spacing w:val="-54"/>
                <w:sz w:val="18"/>
                <w:szCs w:val="18"/>
              </w:rPr>
            </w:r>
            <w:r>
              <w:rPr>
                <w:rFonts w:ascii="宋体" w:hAnsi="宋体" w:cs="宋体" w:eastAsia="宋体" w:hint="default"/>
                <w:sz w:val="18"/>
                <w:szCs w:val="18"/>
              </w:rPr>
              <w:t>处置股票及其他相关资产在内的系列措施，积极维护上市公司权益，特别是中小股东权益不受损害。</w:t>
            </w:r>
          </w:p>
        </w:tc>
      </w:tr>
    </w:tbl>
    <w:p>
      <w:pPr>
        <w:spacing w:line="240" w:lineRule="auto" w:before="10"/>
        <w:rPr>
          <w:rFonts w:ascii="Times New Roman" w:hAnsi="Times New Roman" w:cs="Times New Roman" w:eastAsia="Times New Roman" w:hint="default"/>
          <w:sz w:val="21"/>
          <w:szCs w:val="21"/>
        </w:rPr>
      </w:pPr>
    </w:p>
    <w:p>
      <w:pPr>
        <w:pStyle w:val="Heading4"/>
        <w:spacing w:line="256" w:lineRule="auto" w:before="36"/>
        <w:ind w:right="986"/>
        <w:jc w:val="left"/>
        <w:rPr>
          <w:b w:val="0"/>
          <w:bCs w:val="0"/>
        </w:rPr>
      </w:pPr>
      <w:bookmarkStart w:name="2、公司资产或项目存在盈利预测，且报告期仍处在盈利预测期间，公司就资产或项目达到" w:id="70"/>
      <w:bookmarkEnd w:id="70"/>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5"/>
        </w:rPr>
        <w:t> </w:t>
      </w:r>
      <w:r>
        <w:rPr>
          <w:spacing w:val="-65"/>
        </w:rPr>
      </w:r>
      <w:r>
        <w:rPr/>
        <w:t>其原因做出说明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986"/>
        <w:jc w:val="left"/>
        <w:rPr>
          <w:b w:val="0"/>
          <w:bCs w:val="0"/>
        </w:rPr>
      </w:pPr>
      <w:bookmarkStart w:name="四、控股股东及其关联方对上市公司的非经营性占用资金情况" w:id="71"/>
      <w:bookmarkEnd w:id="71"/>
      <w:r>
        <w:rPr>
          <w:b w:val="0"/>
          <w:bCs w:val="0"/>
        </w:rPr>
      </w:r>
      <w:r>
        <w:rPr/>
        <w:t>四、控股股东及其关联方对上市公司的非经营性占用资金情况</w:t>
      </w:r>
      <w:r>
        <w:rPr>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right="4994"/>
        <w:jc w:val="left"/>
      </w:pPr>
      <w:r>
        <w:rPr/>
        <w:t>□ 适用 √</w:t>
      </w:r>
      <w:r>
        <w:rPr>
          <w:spacing w:val="3"/>
        </w:rPr>
        <w:t> </w:t>
      </w:r>
      <w:r>
        <w:rPr/>
        <w:t>不适用</w:t>
      </w:r>
      <w:r>
        <w:rPr/>
        <w:t> 公司报告期不存在控股股东及其关联方对上市公司的非经营性占用资金。</w:t>
      </w:r>
    </w:p>
    <w:p>
      <w:pPr>
        <w:spacing w:line="240" w:lineRule="auto" w:before="9"/>
        <w:rPr>
          <w:rFonts w:ascii="宋体" w:hAnsi="宋体" w:cs="宋体" w:eastAsia="宋体" w:hint="default"/>
          <w:sz w:val="20"/>
          <w:szCs w:val="20"/>
        </w:rPr>
      </w:pPr>
    </w:p>
    <w:p>
      <w:pPr>
        <w:pStyle w:val="Heading2"/>
        <w:spacing w:line="312" w:lineRule="exact"/>
        <w:ind w:right="1116"/>
        <w:jc w:val="left"/>
        <w:rPr>
          <w:b w:val="0"/>
          <w:bCs w:val="0"/>
        </w:rPr>
      </w:pPr>
      <w:bookmarkStart w:name="五、董事会、监事会、独立董事（如有）对会计师事务所本报告期“非标准审计报告”的说" w:id="72"/>
      <w:bookmarkEnd w:id="72"/>
      <w:r>
        <w:rPr>
          <w:b w:val="0"/>
          <w:bCs w:val="0"/>
        </w:rPr>
      </w:r>
      <w:r>
        <w:rPr/>
        <w:t>五、董事会、监事会、独立董事（如有）对会计师事务所本报告期“非标准审计报告”的说</w:t>
      </w:r>
      <w:r>
        <w:rPr>
          <w:w w:val="99"/>
        </w:rPr>
        <w:t> </w:t>
      </w:r>
      <w:r>
        <w:rPr/>
        <w:t>明</w:t>
      </w:r>
      <w:r>
        <w:rPr>
          <w:b w:val="0"/>
          <w:bCs w:val="0"/>
        </w:rPr>
      </w:r>
    </w:p>
    <w:p>
      <w:pPr>
        <w:spacing w:line="240" w:lineRule="auto" w:before="4"/>
        <w:rPr>
          <w:rFonts w:ascii="宋体" w:hAnsi="宋体" w:cs="宋体" w:eastAsia="宋体" w:hint="default"/>
          <w:b/>
          <w:bCs/>
          <w:sz w:val="24"/>
          <w:szCs w:val="24"/>
        </w:rPr>
      </w:pPr>
    </w:p>
    <w:p>
      <w:pPr>
        <w:pStyle w:val="BodyText"/>
        <w:spacing w:line="240" w:lineRule="auto" w:before="0"/>
        <w:ind w:right="986"/>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bookmarkStart w:name="六、与上年度财务报告相比，会计政策、会计估计和核算方法发生变化的情况说明" w:id="73"/>
      <w:bookmarkEnd w:id="73"/>
      <w:r>
        <w:rPr>
          <w:b w:val="0"/>
          <w:bCs w:val="0"/>
        </w:rPr>
      </w:r>
      <w:r>
        <w:rPr/>
        <w:t>六、与上年度财务报告相比，会计政策、会计估计和核算方法发生变化的情况说明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pStyle w:val="BodyText"/>
        <w:spacing w:line="240" w:lineRule="auto" w:before="115"/>
        <w:ind w:right="986"/>
        <w:jc w:val="left"/>
      </w:pPr>
      <w:r>
        <w:rPr>
          <w:rFonts w:ascii="宋体" w:hAnsi="宋体" w:cs="宋体" w:eastAsia="宋体" w:hint="default"/>
          <w:spacing w:val="1"/>
        </w:rPr>
        <w:t>1</w:t>
      </w:r>
      <w:r>
        <w:rPr>
          <w:spacing w:val="-27"/>
        </w:rPr>
        <w:t>）</w:t>
      </w:r>
      <w:r>
        <w:rPr/>
        <w:t>根据财政部于</w:t>
      </w:r>
      <w:r>
        <w:rPr>
          <w:spacing w:val="-1"/>
        </w:rPr>
        <w:t> </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rPr>
        <w:t>9 </w:t>
      </w:r>
      <w:r>
        <w:rPr/>
        <w:t>年</w:t>
      </w:r>
      <w:r>
        <w:rPr>
          <w:spacing w:val="-2"/>
        </w:rPr>
        <w:t> </w:t>
      </w:r>
      <w:r>
        <w:rPr>
          <w:rFonts w:ascii="宋体" w:hAnsi="宋体" w:cs="宋体" w:eastAsia="宋体" w:hint="default"/>
        </w:rPr>
        <w:t>4 </w:t>
      </w:r>
      <w:r>
        <w:rPr/>
        <w:t>月</w:t>
      </w:r>
      <w:r>
        <w:rPr>
          <w:spacing w:val="1"/>
        </w:rPr>
        <w:t> </w:t>
      </w:r>
      <w:r>
        <w:rPr>
          <w:rFonts w:ascii="宋体" w:hAnsi="宋体" w:cs="宋体" w:eastAsia="宋体" w:hint="default"/>
          <w:spacing w:val="1"/>
        </w:rPr>
        <w:t>3</w:t>
      </w:r>
      <w:r>
        <w:rPr>
          <w:rFonts w:ascii="宋体" w:hAnsi="宋体" w:cs="宋体" w:eastAsia="宋体" w:hint="default"/>
        </w:rPr>
        <w:t>0 </w:t>
      </w:r>
      <w:r>
        <w:rPr/>
        <w:t>日颁布</w:t>
      </w:r>
      <w:r>
        <w:rPr>
          <w:spacing w:val="-27"/>
        </w:rPr>
        <w:t>了</w:t>
      </w:r>
      <w:r>
        <w:rPr/>
        <w:t>《关于修订</w:t>
      </w:r>
      <w:r>
        <w:rPr>
          <w:spacing w:val="-3"/>
        </w:rPr>
        <w:t>印</w:t>
      </w:r>
      <w:r>
        <w:rPr/>
        <w:t>发</w:t>
      </w:r>
      <w:r>
        <w:rPr>
          <w:spacing w:val="1"/>
        </w:rPr>
        <w:t> </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rPr>
        <w:t>9 </w:t>
      </w:r>
      <w:r>
        <w:rPr/>
        <w:t>年度一般企业财务</w:t>
      </w:r>
      <w:r>
        <w:rPr>
          <w:spacing w:val="-3"/>
        </w:rPr>
        <w:t>报</w:t>
      </w:r>
      <w:r>
        <w:rPr/>
        <w:t>表格式的通知</w:t>
      </w:r>
      <w:r>
        <w:rPr>
          <w:spacing w:val="-118"/>
        </w:rPr>
        <w:t>》</w:t>
      </w:r>
      <w:r>
        <w:rPr/>
        <w:t>（财会</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spacing w:val="-2"/>
        </w:rPr>
        <w:t>9</w:t>
      </w:r>
      <w:r>
        <w:rPr>
          <w:rFonts w:ascii="宋体" w:hAnsi="宋体" w:cs="宋体" w:eastAsia="宋体" w:hint="default"/>
          <w:spacing w:val="1"/>
        </w:rPr>
        <w:t>]</w:t>
      </w:r>
      <w:r>
        <w:rPr>
          <w:rFonts w:ascii="宋体" w:hAnsi="宋体" w:cs="宋体" w:eastAsia="宋体" w:hint="default"/>
        </w:rPr>
        <w:t>6</w:t>
      </w:r>
      <w:r>
        <w:rPr>
          <w:rFonts w:ascii="宋体" w:hAnsi="宋体" w:cs="宋体" w:eastAsia="宋体" w:hint="default"/>
          <w:spacing w:val="-2"/>
        </w:rPr>
        <w:t> </w:t>
      </w:r>
      <w:r>
        <w:rPr/>
        <w:t>号）</w:t>
      </w:r>
    </w:p>
    <w:p>
      <w:pPr>
        <w:pStyle w:val="BodyText"/>
        <w:spacing w:line="316" w:lineRule="auto" w:before="76"/>
        <w:ind w:right="1124"/>
        <w:jc w:val="left"/>
      </w:pPr>
      <w:r>
        <w:rPr/>
        <w:t>（以下简</w:t>
      </w:r>
      <w:r>
        <w:rPr>
          <w:spacing w:val="-77"/>
        </w:rPr>
        <w:t>称</w:t>
      </w:r>
      <w:r>
        <w:rPr>
          <w:spacing w:val="-92"/>
        </w:rPr>
        <w:t>“</w:t>
      </w:r>
      <w:r>
        <w:rPr/>
        <w:t>《修订通知</w:t>
      </w:r>
      <w:r>
        <w:rPr>
          <w:spacing w:val="-92"/>
        </w:rPr>
        <w:t>》</w:t>
      </w:r>
      <w:r>
        <w:rPr>
          <w:spacing w:val="-89"/>
        </w:rPr>
        <w:t>”</w:t>
      </w:r>
      <w:r>
        <w:rPr>
          <w:spacing w:val="-92"/>
        </w:rPr>
        <w:t>）</w:t>
      </w:r>
      <w:r>
        <w:rPr>
          <w:spacing w:val="-77"/>
        </w:rPr>
        <w:t>，</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9</w:t>
      </w:r>
      <w:r>
        <w:rPr/>
        <w:t>年</w:t>
      </w:r>
      <w:r>
        <w:rPr>
          <w:rFonts w:ascii="宋体" w:hAnsi="宋体" w:cs="宋体" w:eastAsia="宋体" w:hint="default"/>
          <w:spacing w:val="1"/>
        </w:rPr>
        <w:t>9</w:t>
      </w:r>
      <w:r>
        <w:rPr/>
        <w:t>月</w:t>
      </w:r>
      <w:r>
        <w:rPr>
          <w:rFonts w:ascii="宋体" w:hAnsi="宋体" w:cs="宋体" w:eastAsia="宋体" w:hint="default"/>
          <w:spacing w:val="-2"/>
        </w:rPr>
        <w:t>1</w:t>
      </w:r>
      <w:r>
        <w:rPr>
          <w:rFonts w:ascii="宋体" w:hAnsi="宋体" w:cs="宋体" w:eastAsia="宋体" w:hint="default"/>
          <w:spacing w:val="1"/>
        </w:rPr>
        <w:t>9</w:t>
      </w:r>
      <w:r>
        <w:rPr/>
        <w:t>日</w:t>
      </w:r>
      <w:r>
        <w:rPr>
          <w:spacing w:val="-77"/>
        </w:rPr>
        <w:t>，</w:t>
      </w:r>
      <w:r>
        <w:rPr/>
        <w:t>财政部发布</w:t>
      </w:r>
      <w:r>
        <w:rPr>
          <w:spacing w:val="-80"/>
        </w:rPr>
        <w:t>了</w:t>
      </w:r>
      <w:r>
        <w:rPr/>
        <w:t>《</w:t>
      </w:r>
      <w:r>
        <w:rPr>
          <w:spacing w:val="-3"/>
        </w:rPr>
        <w:t>关</w:t>
      </w:r>
      <w:r>
        <w:rPr/>
        <w:t>于修订印发合并财务报表格</w:t>
      </w:r>
      <w:r>
        <w:rPr>
          <w:spacing w:val="-77"/>
        </w:rPr>
        <w:t>式</w:t>
      </w:r>
      <w:r>
        <w:rPr/>
        <w:t>（</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9</w:t>
      </w:r>
      <w:r>
        <w:rPr/>
        <w:t>版</w:t>
      </w:r>
      <w:r>
        <w:rPr>
          <w:spacing w:val="-77"/>
        </w:rPr>
        <w:t>）</w:t>
      </w:r>
      <w:r>
        <w:rPr/>
        <w:t>的通知</w:t>
      </w:r>
      <w:r>
        <w:rPr>
          <w:spacing w:val="-168"/>
        </w:rPr>
        <w:t>》</w:t>
      </w:r>
      <w:r>
        <w:rPr/>
        <w:t>（财</w:t>
      </w:r>
      <w:r>
        <w:rPr>
          <w:spacing w:val="-80"/>
        </w:rPr>
        <w:t>会</w:t>
      </w:r>
      <w:r>
        <w:rPr/>
        <w:t>〔</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9</w:t>
      </w:r>
      <w:r>
        <w:rPr/>
        <w:t>〕 </w:t>
      </w:r>
      <w:r>
        <w:rPr>
          <w:rFonts w:ascii="宋体" w:hAnsi="宋体" w:cs="宋体" w:eastAsia="宋体" w:hint="default"/>
          <w:spacing w:val="1"/>
        </w:rPr>
        <w:t>16</w:t>
      </w:r>
      <w:r>
        <w:rPr/>
        <w:t>号</w:t>
      </w:r>
      <w:r>
        <w:rPr>
          <w:spacing w:val="-92"/>
        </w:rPr>
        <w:t>）</w:t>
      </w:r>
      <w:r>
        <w:rPr/>
        <w:t>。对一般企业财务报表格式等有关内容进行了修订，要求执行企业会计准则的非金融企业按照企业会计准则和《修订</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ind w:right="1117"/>
        <w:jc w:val="left"/>
      </w:pPr>
      <w:r>
        <w:rPr>
          <w:spacing w:val="-6"/>
        </w:rPr>
        <w:t>通知》的要求编制 </w:t>
      </w:r>
      <w:r>
        <w:rPr>
          <w:rFonts w:ascii="宋体" w:hAnsi="宋体" w:cs="宋体" w:eastAsia="宋体" w:hint="default"/>
        </w:rPr>
        <w:t>2019</w:t>
      </w:r>
      <w:r>
        <w:rPr>
          <w:rFonts w:ascii="宋体" w:hAnsi="宋体" w:cs="宋体" w:eastAsia="宋体" w:hint="default"/>
          <w:spacing w:val="-29"/>
        </w:rPr>
        <w:t> </w:t>
      </w:r>
      <w:r>
        <w:rPr/>
        <w:t>年度中期财务报表和年度财务报表以及以后期间的财务报表。公司属于已执行新金融准则但未执行 新收入准则和新租赁准则的企业，结合《修订通知》的要求对财务报表格式及部分科目列报进行相应调整。 </w:t>
      </w:r>
      <w:r>
        <w:rPr>
          <w:rFonts w:ascii="宋体" w:hAnsi="宋体" w:cs="宋体" w:eastAsia="宋体" w:hint="default"/>
          <w:spacing w:val="-3"/>
        </w:rPr>
        <w:t>2</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9</w:t>
      </w:r>
      <w:r>
        <w:rPr>
          <w:spacing w:val="-3"/>
        </w:rPr>
        <w:t>日，财政部发布了《关于印发修订</w:t>
      </w:r>
      <w:r>
        <w:rPr>
          <w:rFonts w:ascii="宋体" w:hAnsi="宋体" w:cs="宋体" w:eastAsia="宋体" w:hint="default"/>
          <w:spacing w:val="-3"/>
        </w:rPr>
        <w:t>&lt;</w:t>
      </w:r>
      <w:r>
        <w:rPr>
          <w:spacing w:val="-3"/>
        </w:rPr>
        <w:t>企业会计准则第</w:t>
      </w:r>
      <w:r>
        <w:rPr>
          <w:rFonts w:ascii="宋体" w:hAnsi="宋体" w:cs="宋体" w:eastAsia="宋体" w:hint="default"/>
          <w:spacing w:val="-3"/>
        </w:rPr>
        <w:t>7</w:t>
      </w:r>
      <w:r>
        <w:rPr>
          <w:spacing w:val="-3"/>
        </w:rPr>
        <w:t>号—非货币性资产交换</w:t>
      </w:r>
      <w:r>
        <w:rPr>
          <w:rFonts w:ascii="宋体" w:hAnsi="宋体" w:cs="宋体" w:eastAsia="宋体" w:hint="default"/>
          <w:spacing w:val="-3"/>
        </w:rPr>
        <w:t>&gt;</w:t>
      </w:r>
      <w:r>
        <w:rPr>
          <w:spacing w:val="-3"/>
        </w:rPr>
        <w:t>的通知》（财会【</w:t>
      </w:r>
      <w:r>
        <w:rPr>
          <w:rFonts w:ascii="宋体" w:hAnsi="宋体" w:cs="宋体" w:eastAsia="宋体" w:hint="default"/>
          <w:spacing w:val="-3"/>
        </w:rPr>
        <w:t>2019</w:t>
      </w:r>
      <w:r>
        <w:rPr>
          <w:spacing w:val="-3"/>
        </w:rPr>
        <w:t>】</w:t>
      </w:r>
      <w:r>
        <w:rPr>
          <w:rFonts w:ascii="宋体" w:hAnsi="宋体" w:cs="宋体" w:eastAsia="宋体" w:hint="default"/>
          <w:spacing w:val="-3"/>
        </w:rPr>
        <w:t>8</w:t>
      </w:r>
      <w:r>
        <w:rPr>
          <w:spacing w:val="-3"/>
        </w:rPr>
        <w:t>号），</w:t>
      </w:r>
      <w:r>
        <w:rPr>
          <w:spacing w:val="-88"/>
        </w:rPr>
        <w:t> </w:t>
      </w:r>
      <w:r>
        <w:rPr>
          <w:spacing w:val="-88"/>
        </w:rPr>
      </w:r>
      <w:r>
        <w:rPr/>
        <w:t>对非货币性资产交换的确认、计量和披露做出修订。</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日至该准则施行日</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10</w:t>
      </w:r>
      <w:r>
        <w:rPr/>
        <w:t>日之间发生的非货币性资产 交换，应根据该准则的规定进行调整；</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日之前发生的非货币性资产交换，不需进行追溯调整。 </w:t>
      </w:r>
      <w:r>
        <w:rPr>
          <w:rFonts w:ascii="宋体" w:hAnsi="宋体" w:cs="宋体" w:eastAsia="宋体" w:hint="default"/>
          <w:spacing w:val="-3"/>
        </w:rPr>
        <w:t>3</w:t>
      </w:r>
      <w:r>
        <w:rPr>
          <w:spacing w:val="-3"/>
        </w:rPr>
        <w:t>）</w:t>
      </w:r>
      <w:r>
        <w:rPr>
          <w:rFonts w:ascii="宋体" w:hAnsi="宋体" w:cs="宋体" w:eastAsia="宋体" w:hint="default"/>
          <w:spacing w:val="-3"/>
        </w:rPr>
        <w:t>2019</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16</w:t>
      </w:r>
      <w:r>
        <w:rPr>
          <w:spacing w:val="-3"/>
        </w:rPr>
        <w:t>日，财政部发布了《关于印发修订</w:t>
      </w:r>
      <w:r>
        <w:rPr>
          <w:rFonts w:ascii="宋体" w:hAnsi="宋体" w:cs="宋体" w:eastAsia="宋体" w:hint="default"/>
          <w:spacing w:val="-3"/>
        </w:rPr>
        <w:t>&lt;</w:t>
      </w:r>
      <w:r>
        <w:rPr>
          <w:spacing w:val="-3"/>
        </w:rPr>
        <w:t>企业会计准则第</w:t>
      </w:r>
      <w:r>
        <w:rPr>
          <w:rFonts w:ascii="宋体" w:hAnsi="宋体" w:cs="宋体" w:eastAsia="宋体" w:hint="default"/>
          <w:spacing w:val="-3"/>
        </w:rPr>
        <w:t>12</w:t>
      </w:r>
      <w:r>
        <w:rPr>
          <w:spacing w:val="-3"/>
        </w:rPr>
        <w:t>号—债务重组</w:t>
      </w:r>
      <w:r>
        <w:rPr>
          <w:rFonts w:ascii="宋体" w:hAnsi="宋体" w:cs="宋体" w:eastAsia="宋体" w:hint="default"/>
          <w:spacing w:val="-3"/>
        </w:rPr>
        <w:t>&gt;</w:t>
      </w:r>
      <w:r>
        <w:rPr>
          <w:spacing w:val="-3"/>
        </w:rPr>
        <w:t>的通知》（财会【</w:t>
      </w:r>
      <w:r>
        <w:rPr>
          <w:rFonts w:ascii="宋体" w:hAnsi="宋体" w:cs="宋体" w:eastAsia="宋体" w:hint="default"/>
          <w:spacing w:val="-3"/>
        </w:rPr>
        <w:t>2019</w:t>
      </w:r>
      <w:r>
        <w:rPr>
          <w:spacing w:val="-3"/>
        </w:rPr>
        <w:t>】</w:t>
      </w:r>
      <w:r>
        <w:rPr>
          <w:rFonts w:ascii="宋体" w:hAnsi="宋体" w:cs="宋体" w:eastAsia="宋体" w:hint="default"/>
          <w:spacing w:val="-3"/>
        </w:rPr>
        <w:t>9</w:t>
      </w:r>
      <w:r>
        <w:rPr>
          <w:spacing w:val="-3"/>
        </w:rPr>
        <w:t>号），对债务</w:t>
      </w:r>
      <w:r>
        <w:rPr>
          <w:spacing w:val="-86"/>
        </w:rPr>
        <w:t> </w:t>
      </w:r>
      <w:r>
        <w:rPr>
          <w:spacing w:val="-86"/>
        </w:rPr>
      </w:r>
      <w:r>
        <w:rPr/>
        <w:t>重组的确认、计量和披露做出修订。</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日至该准则施行日</w:t>
      </w:r>
      <w:r>
        <w:rPr>
          <w:rFonts w:ascii="宋体" w:hAnsi="宋体" w:cs="宋体" w:eastAsia="宋体" w:hint="default"/>
        </w:rPr>
        <w:t>2019</w:t>
      </w:r>
      <w:r>
        <w:rPr/>
        <w:t>年</w:t>
      </w:r>
      <w:r>
        <w:rPr>
          <w:rFonts w:ascii="宋体" w:hAnsi="宋体" w:cs="宋体" w:eastAsia="宋体" w:hint="default"/>
        </w:rPr>
        <w:t>6</w:t>
      </w:r>
      <w:r>
        <w:rPr/>
        <w:t>月</w:t>
      </w:r>
      <w:r>
        <w:rPr>
          <w:rFonts w:ascii="宋体" w:hAnsi="宋体" w:cs="宋体" w:eastAsia="宋体" w:hint="default"/>
        </w:rPr>
        <w:t>17</w:t>
      </w:r>
      <w:r>
        <w:rPr/>
        <w:t>日之间发生的债务重组，应根据该准则的规 定进行调整；</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日之前发生的债务重组，不需进行追溯调整。</w:t>
      </w:r>
    </w:p>
    <w:p>
      <w:pPr>
        <w:pStyle w:val="BodyText"/>
        <w:spacing w:line="316" w:lineRule="auto" w:before="19"/>
        <w:ind w:right="1124"/>
        <w:jc w:val="left"/>
      </w:pPr>
      <w:r>
        <w:rPr>
          <w:rFonts w:ascii="宋体" w:hAnsi="宋体" w:cs="宋体" w:eastAsia="宋体" w:hint="default"/>
        </w:rPr>
        <w:t>4</w:t>
      </w:r>
      <w:r>
        <w:rPr/>
        <w:t>）财政部于 </w:t>
      </w:r>
      <w:r>
        <w:rPr>
          <w:rFonts w:ascii="宋体" w:hAnsi="宋体" w:cs="宋体" w:eastAsia="宋体" w:hint="default"/>
          <w:spacing w:val="-1"/>
        </w:rPr>
        <w:t>2017</w:t>
      </w:r>
      <w:r>
        <w:rPr>
          <w:rFonts w:ascii="宋体" w:hAnsi="宋体" w:cs="宋体" w:eastAsia="宋体" w:hint="default"/>
        </w:rPr>
        <w:t> </w:t>
      </w:r>
      <w:r>
        <w:rPr>
          <w:spacing w:val="-1"/>
        </w:rPr>
        <w:t>年陆续发布了修订后的《企业会计准则第</w:t>
      </w:r>
      <w:r>
        <w:rPr/>
        <w:t> </w:t>
      </w:r>
      <w:r>
        <w:rPr>
          <w:rFonts w:ascii="宋体" w:hAnsi="宋体" w:cs="宋体" w:eastAsia="宋体" w:hint="default"/>
        </w:rPr>
        <w:t>22 </w:t>
      </w:r>
      <w:r>
        <w:rPr>
          <w:spacing w:val="-9"/>
        </w:rPr>
        <w:t>号—金融工具确认和计量》、《企业会计准则第</w:t>
      </w:r>
      <w:r>
        <w:rPr/>
        <w:t> </w:t>
      </w:r>
      <w:r>
        <w:rPr>
          <w:rFonts w:ascii="宋体" w:hAnsi="宋体" w:cs="宋体" w:eastAsia="宋体" w:hint="default"/>
        </w:rPr>
        <w:t>23</w:t>
      </w:r>
      <w:r>
        <w:rPr>
          <w:rFonts w:ascii="宋体" w:hAnsi="宋体" w:cs="宋体" w:eastAsia="宋体" w:hint="default"/>
          <w:spacing w:val="30"/>
        </w:rPr>
        <w:t> </w:t>
      </w:r>
      <w:r>
        <w:rPr/>
        <w:t>号—金 </w:t>
      </w:r>
      <w:r>
        <w:rPr>
          <w:spacing w:val="-16"/>
        </w:rPr>
        <w:t>融资产转移》、《企业会计准则第</w:t>
      </w:r>
      <w:r>
        <w:rPr/>
        <w:t> </w:t>
      </w:r>
      <w:r>
        <w:rPr>
          <w:rFonts w:ascii="宋体" w:hAnsi="宋体" w:cs="宋体" w:eastAsia="宋体" w:hint="default"/>
          <w:spacing w:val="-6"/>
        </w:rPr>
        <w:t>24</w:t>
      </w:r>
      <w:r>
        <w:rPr>
          <w:spacing w:val="-6"/>
        </w:rPr>
        <w:t>号—套期会计》及《企业会计准则第</w:t>
      </w:r>
      <w:r>
        <w:rPr/>
        <w:t> </w:t>
      </w:r>
      <w:r>
        <w:rPr>
          <w:rFonts w:ascii="宋体" w:hAnsi="宋体" w:cs="宋体" w:eastAsia="宋体" w:hint="default"/>
        </w:rPr>
        <w:t>37</w:t>
      </w:r>
      <w:r>
        <w:rPr>
          <w:rFonts w:ascii="宋体" w:hAnsi="宋体" w:cs="宋体" w:eastAsia="宋体" w:hint="default"/>
          <w:spacing w:val="19"/>
        </w:rPr>
        <w:t> </w:t>
      </w:r>
      <w:r>
        <w:rPr>
          <w:spacing w:val="-17"/>
        </w:rPr>
        <w:t>号—金融工具列报》（统称“新金融工具准则”），</w:t>
      </w:r>
      <w:r>
        <w:rPr/>
        <w:t> 根据上述文件要求，公司需对原采用的相关会计政策进行相应调整。 公司本期更换了会计师事务所，会计师事务所已就相关事项与前任会计师事务所进行了必要沟通。</w:t>
      </w:r>
    </w:p>
    <w:p>
      <w:pPr>
        <w:spacing w:line="240" w:lineRule="auto" w:before="12"/>
        <w:rPr>
          <w:rFonts w:ascii="宋体" w:hAnsi="宋体" w:cs="宋体" w:eastAsia="宋体" w:hint="default"/>
          <w:sz w:val="20"/>
          <w:szCs w:val="20"/>
        </w:rPr>
      </w:pPr>
    </w:p>
    <w:p>
      <w:pPr>
        <w:pStyle w:val="Heading2"/>
        <w:spacing w:line="240" w:lineRule="auto"/>
        <w:ind w:right="986"/>
        <w:jc w:val="left"/>
        <w:rPr>
          <w:b w:val="0"/>
          <w:bCs w:val="0"/>
        </w:rPr>
      </w:pPr>
      <w:bookmarkStart w:name="七、报告期内发生重大会计差错更正需追溯重述的情况说明" w:id="74"/>
      <w:bookmarkEnd w:id="74"/>
      <w:r>
        <w:rPr>
          <w:b w:val="0"/>
          <w:bCs w:val="0"/>
        </w:rPr>
      </w:r>
      <w:r>
        <w:rPr/>
        <w:t>七、报告期内发生重大会计差错更正需追溯重述的情况说明</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986"/>
        <w:jc w:val="left"/>
      </w:pPr>
      <w:r>
        <w:rPr/>
        <w:t>√ 适用 □</w:t>
      </w:r>
      <w:r>
        <w:rPr>
          <w:spacing w:val="3"/>
        </w:rPr>
        <w:t> </w:t>
      </w:r>
      <w:r>
        <w:rPr/>
        <w:t>不适用</w:t>
      </w:r>
      <w:r>
        <w:rPr/>
        <w:t> </w:t>
      </w:r>
      <w:r>
        <w:rPr>
          <w:spacing w:val="-2"/>
        </w:rPr>
        <w:t>因消除</w:t>
      </w:r>
      <w:r>
        <w:rPr>
          <w:rFonts w:ascii="宋体" w:hAnsi="宋体" w:cs="宋体" w:eastAsia="宋体" w:hint="default"/>
          <w:spacing w:val="-2"/>
        </w:rPr>
        <w:t>2018</w:t>
      </w:r>
      <w:r>
        <w:rPr>
          <w:spacing w:val="-2"/>
        </w:rPr>
        <w:t>年审计报告中保留意见事项需要，公司对</w:t>
      </w:r>
      <w:r>
        <w:rPr>
          <w:rFonts w:ascii="宋体" w:hAnsi="宋体" w:cs="宋体" w:eastAsia="宋体" w:hint="default"/>
          <w:spacing w:val="-2"/>
        </w:rPr>
        <w:t>2018</w:t>
      </w:r>
      <w:r>
        <w:rPr>
          <w:spacing w:val="-2"/>
        </w:rPr>
        <w:t>年末商誉重新进行了减值测试，同时对在商誉减值测试过程中发现</w:t>
      </w:r>
      <w:r>
        <w:rPr>
          <w:spacing w:val="-60"/>
        </w:rPr>
        <w:t> </w:t>
      </w:r>
      <w:r>
        <w:rPr>
          <w:spacing w:val="-60"/>
        </w:rPr>
      </w:r>
      <w:r>
        <w:rPr>
          <w:spacing w:val="-2"/>
        </w:rPr>
        <w:t>的与商誉相关的冉十科技资产组中可能存在减值迹象的无形资产、母公司对视科传媒和冉十科技的长期股权投资也重新进行</w:t>
      </w:r>
    </w:p>
    <w:p>
      <w:pPr>
        <w:pStyle w:val="BodyText"/>
        <w:spacing w:line="316" w:lineRule="auto" w:before="2"/>
        <w:ind w:right="1214"/>
        <w:jc w:val="left"/>
      </w:pPr>
      <w:r>
        <w:rPr/>
        <w:t>了减值测试，对重新测试发现的前期会计差错予以更正，上述调整减少</w:t>
      </w:r>
      <w:r>
        <w:rPr>
          <w:rFonts w:ascii="宋体" w:hAnsi="宋体" w:cs="宋体" w:eastAsia="宋体" w:hint="default"/>
        </w:rPr>
        <w:t>2018</w:t>
      </w:r>
      <w:r>
        <w:rPr/>
        <w:t>年归属于上市公司股东净利润</w:t>
      </w:r>
      <w:r>
        <w:rPr>
          <w:rFonts w:ascii="宋体" w:hAnsi="宋体" w:cs="宋体" w:eastAsia="宋体" w:hint="default"/>
        </w:rPr>
        <w:t>199,906,297.79 </w:t>
      </w:r>
      <w:r>
        <w:rPr/>
        <w:t>元。详细情况见第十二节第十六、</w:t>
      </w:r>
      <w:r>
        <w:rPr>
          <w:rFonts w:ascii="宋体" w:hAnsi="宋体" w:cs="宋体" w:eastAsia="宋体" w:hint="default"/>
        </w:rPr>
        <w:t>1</w:t>
      </w:r>
      <w:r>
        <w:rPr/>
        <w:t>“前期会计差错更正”有关内容。 公司本期更换了会计师事务所，会计师事务所已就相关事项与前任会计师事务所进行了必要沟通。</w:t>
      </w:r>
    </w:p>
    <w:p>
      <w:pPr>
        <w:spacing w:line="240" w:lineRule="auto" w:before="11"/>
        <w:rPr>
          <w:rFonts w:ascii="宋体" w:hAnsi="宋体" w:cs="宋体" w:eastAsia="宋体" w:hint="default"/>
          <w:sz w:val="20"/>
          <w:szCs w:val="20"/>
        </w:rPr>
      </w:pPr>
    </w:p>
    <w:p>
      <w:pPr>
        <w:pStyle w:val="Heading2"/>
        <w:spacing w:line="240" w:lineRule="auto"/>
        <w:ind w:right="986"/>
        <w:jc w:val="left"/>
        <w:rPr>
          <w:b w:val="0"/>
          <w:bCs w:val="0"/>
        </w:rPr>
      </w:pPr>
      <w:bookmarkStart w:name="八、与上年度财务报告相比，合并报表范围发生变化的情况说明" w:id="75"/>
      <w:bookmarkEnd w:id="75"/>
      <w:r>
        <w:rPr>
          <w:b w:val="0"/>
          <w:bCs w:val="0"/>
        </w:rPr>
      </w:r>
      <w:r>
        <w:rPr/>
        <w:t>八、与上年度财务报告相比，合并报表范围发生变化的情况说明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986"/>
        <w:jc w:val="left"/>
      </w:pPr>
      <w:r>
        <w:rPr/>
        <w:t>√ 适用 □</w:t>
      </w:r>
      <w:r>
        <w:rPr>
          <w:spacing w:val="3"/>
        </w:rPr>
        <w:t> </w:t>
      </w:r>
      <w:r>
        <w:rPr/>
        <w:t>不适用</w:t>
      </w:r>
      <w:r>
        <w:rPr/>
        <w:t> </w:t>
      </w:r>
      <w:r>
        <w:rPr>
          <w:spacing w:val="-2"/>
        </w:rPr>
        <w:t>本公司</w:t>
      </w:r>
      <w:r>
        <w:rPr>
          <w:rFonts w:ascii="宋体" w:hAnsi="宋体" w:cs="宋体" w:eastAsia="宋体" w:hint="default"/>
          <w:spacing w:val="-2"/>
        </w:rPr>
        <w:t>2019</w:t>
      </w:r>
      <w:r>
        <w:rPr>
          <w:spacing w:val="-2"/>
        </w:rPr>
        <w:t>年度纳入合并范围的子公司共</w:t>
      </w:r>
      <w:r>
        <w:rPr>
          <w:rFonts w:ascii="宋体" w:hAnsi="宋体" w:cs="宋体" w:eastAsia="宋体" w:hint="default"/>
          <w:spacing w:val="-2"/>
        </w:rPr>
        <w:t>20</w:t>
      </w:r>
      <w:r>
        <w:rPr>
          <w:spacing w:val="-2"/>
        </w:rPr>
        <w:t>家，详见附注九“在其他主体中的权益”。与上年度相比，本公司本年度合并范</w:t>
      </w:r>
      <w:r>
        <w:rPr>
          <w:spacing w:val="-69"/>
        </w:rPr>
        <w:t> </w:t>
      </w:r>
      <w:r>
        <w:rPr>
          <w:spacing w:val="-69"/>
        </w:rPr>
      </w:r>
      <w:r>
        <w:rPr>
          <w:spacing w:val="-4"/>
        </w:rPr>
        <w:t>围增加</w:t>
      </w:r>
      <w:r>
        <w:rPr>
          <w:rFonts w:ascii="宋体" w:hAnsi="宋体" w:cs="宋体" w:eastAsia="宋体" w:hint="default"/>
          <w:spacing w:val="-4"/>
        </w:rPr>
        <w:t>6</w:t>
      </w:r>
      <w:r>
        <w:rPr>
          <w:spacing w:val="-4"/>
        </w:rPr>
        <w:t>家，减少</w:t>
      </w:r>
      <w:r>
        <w:rPr>
          <w:rFonts w:ascii="宋体" w:hAnsi="宋体" w:cs="宋体" w:eastAsia="宋体" w:hint="default"/>
          <w:spacing w:val="-4"/>
        </w:rPr>
        <w:t>11</w:t>
      </w:r>
      <w:r>
        <w:rPr>
          <w:spacing w:val="-4"/>
        </w:rPr>
        <w:t>家</w:t>
      </w:r>
      <w:r>
        <w:rPr>
          <w:rFonts w:ascii="宋体" w:hAnsi="宋体" w:cs="宋体" w:eastAsia="宋体" w:hint="default"/>
          <w:spacing w:val="-4"/>
        </w:rPr>
        <w:t>,</w:t>
      </w:r>
      <w:r>
        <w:rPr>
          <w:spacing w:val="-4"/>
        </w:rPr>
        <w:t>详见本附注八“合并范围的变更”。</w:t>
      </w:r>
    </w:p>
    <w:p>
      <w:pPr>
        <w:spacing w:line="240" w:lineRule="auto" w:before="8"/>
        <w:rPr>
          <w:rFonts w:ascii="宋体" w:hAnsi="宋体" w:cs="宋体" w:eastAsia="宋体" w:hint="default"/>
          <w:sz w:val="19"/>
          <w:szCs w:val="19"/>
        </w:rPr>
      </w:pPr>
    </w:p>
    <w:p>
      <w:pPr>
        <w:pStyle w:val="Heading2"/>
        <w:spacing w:line="240" w:lineRule="auto"/>
        <w:ind w:right="986"/>
        <w:jc w:val="left"/>
        <w:rPr>
          <w:b w:val="0"/>
          <w:bCs w:val="0"/>
        </w:rPr>
      </w:pPr>
      <w:bookmarkStart w:name="九、聘任、解聘会计师事务所情况" w:id="76"/>
      <w:bookmarkEnd w:id="76"/>
      <w:r>
        <w:rPr>
          <w:b w:val="0"/>
          <w:bCs w:val="0"/>
        </w:rPr>
      </w:r>
      <w:r>
        <w:rPr/>
        <w:t>九、聘任、解聘会计师事务所情况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6"/>
        <w:jc w:val="left"/>
      </w:pPr>
      <w:r>
        <w:rPr/>
        <w:t>现聘任的会计师事务所</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中兴财光华会计师事务所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150</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齐正华、王雅栋</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w:t>
            </w:r>
          </w:p>
        </w:tc>
      </w:tr>
    </w:tbl>
    <w:p>
      <w:pPr>
        <w:pStyle w:val="BodyText"/>
        <w:spacing w:line="240" w:lineRule="auto" w:before="49"/>
        <w:ind w:right="986"/>
        <w:jc w:val="left"/>
      </w:pPr>
      <w:r>
        <w:rPr/>
        <w:t>当期是否改聘会计师事务所</w:t>
      </w:r>
    </w:p>
    <w:p>
      <w:pPr>
        <w:pStyle w:val="BodyText"/>
        <w:spacing w:line="357" w:lineRule="auto" w:before="117"/>
        <w:ind w:right="6254"/>
        <w:jc w:val="left"/>
      </w:pPr>
      <w:r>
        <w:rPr/>
        <w:t>□ 是 √</w:t>
      </w:r>
      <w:r>
        <w:rPr>
          <w:spacing w:val="3"/>
        </w:rPr>
        <w:t> </w:t>
      </w:r>
      <w:r>
        <w:rPr/>
        <w:t>否</w:t>
      </w:r>
      <w:r>
        <w:rPr/>
        <w:t> 聘请内部控制审计会计师事务所、财务顾问或保荐人情况</w:t>
      </w:r>
    </w:p>
    <w:p>
      <w:pPr>
        <w:pStyle w:val="BodyText"/>
        <w:spacing w:line="360" w:lineRule="auto" w:before="29"/>
        <w:ind w:right="3734"/>
        <w:jc w:val="left"/>
      </w:pPr>
      <w:r>
        <w:rPr/>
        <w:t>√ 适用 □</w:t>
      </w:r>
      <w:r>
        <w:rPr>
          <w:spacing w:val="3"/>
        </w:rPr>
        <w:t> </w:t>
      </w:r>
      <w:r>
        <w:rPr/>
        <w:t>不适用</w:t>
      </w:r>
      <w:r>
        <w:rPr/>
        <w:t> 公司聘请中兴财光华会计师事务所</w:t>
      </w:r>
      <w:r>
        <w:rPr>
          <w:rFonts w:ascii="宋体" w:hAnsi="宋体" w:cs="宋体" w:eastAsia="宋体" w:hint="default"/>
        </w:rPr>
        <w:t>(</w:t>
      </w:r>
      <w:r>
        <w:rPr/>
        <w:t>特殊普通合伙</w:t>
      </w:r>
      <w:r>
        <w:rPr>
          <w:rFonts w:ascii="宋体" w:hAnsi="宋体" w:cs="宋体" w:eastAsia="宋体" w:hint="default"/>
        </w:rPr>
        <w:t>)</w:t>
      </w:r>
      <w:r>
        <w:rPr/>
        <w:t>为公司</w:t>
      </w:r>
      <w:r>
        <w:rPr>
          <w:rFonts w:ascii="宋体" w:hAnsi="宋体" w:cs="宋体" w:eastAsia="宋体" w:hint="default"/>
        </w:rPr>
        <w:t>2019</w:t>
      </w:r>
      <w:r>
        <w:rPr/>
        <w:t>年内控审计会计师事务所。</w:t>
      </w:r>
    </w:p>
    <w:p>
      <w:pPr>
        <w:spacing w:after="0" w:line="360" w:lineRule="auto"/>
        <w:jc w:val="left"/>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986"/>
        <w:jc w:val="left"/>
        <w:rPr>
          <w:b w:val="0"/>
          <w:bCs w:val="0"/>
        </w:rPr>
      </w:pPr>
      <w:bookmarkStart w:name="十、年度报告披露后面临暂停上市和终止上市情况" w:id="77"/>
      <w:bookmarkEnd w:id="77"/>
      <w:r>
        <w:rPr>
          <w:b w:val="0"/>
          <w:bCs w:val="0"/>
        </w:rPr>
      </w:r>
      <w:r>
        <w:rPr/>
        <w:t>十、年度报告披露后面临暂停上市和终止上市情况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986"/>
        <w:jc w:val="left"/>
        <w:rPr>
          <w:b w:val="0"/>
          <w:bCs w:val="0"/>
        </w:rPr>
      </w:pPr>
      <w:bookmarkStart w:name="十一、破产重整相关事项" w:id="78"/>
      <w:bookmarkEnd w:id="78"/>
      <w:r>
        <w:rPr>
          <w:b w:val="0"/>
          <w:bCs w:val="0"/>
        </w:rPr>
      </w:r>
      <w:r>
        <w:rPr/>
        <w:t>十一、破产重整相关事项</w:t>
      </w:r>
      <w:r>
        <w:rPr>
          <w:b w:val="0"/>
          <w:bCs w:val="0"/>
        </w:rPr>
      </w:r>
    </w:p>
    <w:p>
      <w:pPr>
        <w:spacing w:line="240" w:lineRule="auto" w:before="6"/>
        <w:rPr>
          <w:rFonts w:ascii="宋体" w:hAnsi="宋体" w:cs="宋体" w:eastAsia="宋体" w:hint="default"/>
          <w:b/>
          <w:bCs/>
          <w:sz w:val="26"/>
          <w:szCs w:val="26"/>
        </w:rPr>
      </w:pPr>
    </w:p>
    <w:p>
      <w:pPr>
        <w:pStyle w:val="BodyText"/>
        <w:spacing w:line="360" w:lineRule="auto" w:before="0"/>
        <w:ind w:right="7694"/>
        <w:jc w:val="left"/>
      </w:pPr>
      <w:r>
        <w:rPr/>
        <w:t>□ 适用 √</w:t>
      </w:r>
      <w:r>
        <w:rPr>
          <w:spacing w:val="3"/>
        </w:rPr>
        <w:t> </w:t>
      </w:r>
      <w:r>
        <w:rPr/>
        <w:t>不适用</w:t>
      </w:r>
      <w:r>
        <w:rPr/>
        <w:t> 公司报告期未发生破产重整相关事项。</w:t>
      </w:r>
    </w:p>
    <w:p>
      <w:pPr>
        <w:spacing w:line="240" w:lineRule="auto" w:before="2"/>
        <w:rPr>
          <w:rFonts w:ascii="宋体" w:hAnsi="宋体" w:cs="宋体" w:eastAsia="宋体" w:hint="default"/>
          <w:sz w:val="18"/>
          <w:szCs w:val="18"/>
        </w:rPr>
      </w:pPr>
    </w:p>
    <w:p>
      <w:pPr>
        <w:pStyle w:val="Heading2"/>
        <w:spacing w:line="240" w:lineRule="auto"/>
        <w:ind w:right="986"/>
        <w:jc w:val="left"/>
        <w:rPr>
          <w:b w:val="0"/>
          <w:bCs w:val="0"/>
        </w:rPr>
      </w:pPr>
      <w:bookmarkStart w:name="十二、重大诉讼、仲裁事项" w:id="79"/>
      <w:bookmarkEnd w:id="79"/>
      <w:r>
        <w:rPr>
          <w:b w:val="0"/>
          <w:bCs w:val="0"/>
        </w:rPr>
      </w:r>
      <w:r>
        <w:rPr/>
        <w:t>十二、重大诉讼、仲裁事项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446"/>
        <w:gridCol w:w="970"/>
        <w:gridCol w:w="996"/>
        <w:gridCol w:w="893"/>
        <w:gridCol w:w="1368"/>
        <w:gridCol w:w="1237"/>
        <w:gridCol w:w="595"/>
        <w:gridCol w:w="1066"/>
      </w:tblGrid>
      <w:tr>
        <w:trPr>
          <w:trHeight w:val="713" w:hRule="exact"/>
        </w:trPr>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7"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12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4" w:right="131"/>
              <w:jc w:val="left"/>
              <w:rPr>
                <w:rFonts w:ascii="宋体" w:hAnsi="宋体" w:cs="宋体" w:eastAsia="宋体" w:hint="default"/>
                <w:sz w:val="18"/>
                <w:szCs w:val="18"/>
              </w:rPr>
            </w:pPr>
            <w:r>
              <w:rPr>
                <w:rFonts w:ascii="宋体" w:hAnsi="宋体" w:cs="宋体" w:eastAsia="宋体" w:hint="default"/>
                <w:sz w:val="18"/>
                <w:szCs w:val="18"/>
              </w:rPr>
              <w:t>是否形成 预计负债</w:t>
            </w:r>
          </w:p>
        </w:tc>
        <w:tc>
          <w:tcPr>
            <w:tcW w:w="8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41" w:right="14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 裁</w:t>
            </w:r>
            <w:r>
              <w:rPr>
                <w:rFonts w:ascii="Times New Roman" w:hAnsi="Times New Roman" w:cs="Times New Roman" w:eastAsia="Times New Roman" w:hint="default"/>
                <w:sz w:val="18"/>
                <w:szCs w:val="18"/>
              </w:rPr>
              <w:t>)</w:t>
            </w:r>
            <w:r>
              <w:rPr>
                <w:rFonts w:ascii="宋体" w:hAnsi="宋体" w:cs="宋体" w:eastAsia="宋体" w:hint="default"/>
                <w:sz w:val="18"/>
                <w:szCs w:val="18"/>
              </w:rPr>
              <w:t>进展</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39" w:right="137" w:firstLine="31"/>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 理结果及影响</w:t>
            </w:r>
          </w:p>
        </w:tc>
        <w:tc>
          <w:tcPr>
            <w:tcW w:w="12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63" w:right="101" w:hanging="6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 决执行情况</w:t>
            </w:r>
          </w:p>
        </w:tc>
        <w:tc>
          <w:tcPr>
            <w:tcW w:w="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5" w:right="108"/>
              <w:jc w:val="left"/>
              <w:rPr>
                <w:rFonts w:ascii="宋体" w:hAnsi="宋体" w:cs="宋体" w:eastAsia="宋体" w:hint="default"/>
                <w:sz w:val="18"/>
                <w:szCs w:val="18"/>
              </w:rPr>
            </w:pPr>
            <w:r>
              <w:rPr>
                <w:rFonts w:ascii="宋体" w:hAnsi="宋体" w:cs="宋体" w:eastAsia="宋体" w:hint="default"/>
                <w:sz w:val="18"/>
                <w:szCs w:val="18"/>
              </w:rPr>
              <w:t>披露 日期</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3836"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70"/>
              <w:jc w:val="left"/>
              <w:rPr>
                <w:rFonts w:ascii="宋体" w:hAnsi="宋体" w:cs="宋体" w:eastAsia="宋体" w:hint="default"/>
                <w:sz w:val="18"/>
                <w:szCs w:val="18"/>
              </w:rPr>
            </w:pPr>
            <w:r>
              <w:rPr>
                <w:rFonts w:ascii="宋体" w:hAnsi="宋体" w:cs="宋体" w:eastAsia="宋体" w:hint="default"/>
                <w:sz w:val="18"/>
                <w:szCs w:val="18"/>
              </w:rPr>
              <w:t>深大通公司起诉夏东明、朱 兰英、罗承、修涞贵、蒋纪 平、黄艳红、龚莉蓉、杭州 淳安嘉源企业管理咨询有限 公司，申请判令被告向原告 支付业绩承诺补偿金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19,553 </w:t>
            </w:r>
            <w:r>
              <w:rPr>
                <w:rFonts w:ascii="宋体" w:hAnsi="宋体" w:cs="宋体" w:eastAsia="宋体" w:hint="default"/>
                <w:sz w:val="18"/>
                <w:szCs w:val="18"/>
              </w:rPr>
              <w:t>万元；公司起诉天津天和福 远投资有限公司，申请判令 被告对夏东明、罗承、宁波 华夏嘉源管理咨询有限公司 应付款项承担连带清偿责 任。</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0"/>
              <w:ind w:right="98"/>
              <w:jc w:val="right"/>
              <w:rPr>
                <w:rFonts w:ascii="Times New Roman" w:hAnsi="Times New Roman" w:cs="Times New Roman" w:eastAsia="Times New Roman" w:hint="default"/>
                <w:sz w:val="18"/>
                <w:szCs w:val="18"/>
              </w:rPr>
            </w:pPr>
            <w:r>
              <w:rPr>
                <w:rFonts w:ascii="Times New Roman"/>
                <w:spacing w:val="-1"/>
                <w:sz w:val="18"/>
              </w:rPr>
              <w:t>19,553</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已采取 保全措 </w:t>
            </w:r>
            <w:r>
              <w:rPr>
                <w:rFonts w:ascii="宋体" w:hAnsi="宋体" w:cs="宋体" w:eastAsia="宋体" w:hint="default"/>
                <w:spacing w:val="-11"/>
                <w:sz w:val="18"/>
                <w:szCs w:val="18"/>
              </w:rPr>
              <w:t>施，尚未</w:t>
            </w:r>
            <w:r>
              <w:rPr>
                <w:rFonts w:ascii="宋体" w:hAnsi="宋体" w:cs="宋体" w:eastAsia="宋体" w:hint="default"/>
                <w:sz w:val="18"/>
                <w:szCs w:val="18"/>
              </w:rPr>
              <w:t> 开庭审 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105" w:right="350"/>
              <w:jc w:val="left"/>
              <w:rPr>
                <w:rFonts w:ascii="宋体" w:hAnsi="宋体" w:cs="宋体" w:eastAsia="宋体" w:hint="default"/>
                <w:sz w:val="18"/>
                <w:szCs w:val="18"/>
              </w:rPr>
            </w:pPr>
            <w:r>
              <w:rPr>
                <w:rFonts w:ascii="宋体" w:hAnsi="宋体" w:cs="宋体" w:eastAsia="宋体" w:hint="default"/>
                <w:sz w:val="18"/>
                <w:szCs w:val="18"/>
              </w:rPr>
              <w:t>尚未开庭审 理。</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4" w:lineRule="auto"/>
              <w:ind w:left="103" w:right="221"/>
              <w:jc w:val="left"/>
              <w:rPr>
                <w:rFonts w:ascii="宋体" w:hAnsi="宋体" w:cs="宋体" w:eastAsia="宋体" w:hint="default"/>
                <w:sz w:val="18"/>
                <w:szCs w:val="18"/>
              </w:rPr>
            </w:pPr>
            <w:r>
              <w:rPr>
                <w:rFonts w:ascii="宋体" w:hAnsi="宋体" w:cs="宋体" w:eastAsia="宋体" w:hint="default"/>
                <w:sz w:val="18"/>
                <w:szCs w:val="18"/>
              </w:rPr>
              <w:t>尚未开庭审 理。</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2019-067</w:t>
            </w:r>
          </w:p>
          <w:p>
            <w:pPr>
              <w:pStyle w:val="TableParagraph"/>
              <w:spacing w:line="316" w:lineRule="auto" w:before="60"/>
              <w:ind w:left="105" w:right="101"/>
              <w:jc w:val="left"/>
              <w:rPr>
                <w:rFonts w:ascii="宋体" w:hAnsi="宋体" w:cs="宋体" w:eastAsia="宋体" w:hint="default"/>
                <w:sz w:val="18"/>
                <w:szCs w:val="18"/>
              </w:rPr>
            </w:pPr>
            <w:r>
              <w:rPr>
                <w:rFonts w:ascii="宋体" w:hAnsi="宋体" w:cs="宋体" w:eastAsia="宋体" w:hint="default"/>
                <w:sz w:val="18"/>
                <w:szCs w:val="18"/>
              </w:rPr>
              <w:t>《关于重 大诉讼的 </w:t>
            </w:r>
            <w:r>
              <w:rPr>
                <w:rFonts w:ascii="宋体" w:hAnsi="宋体" w:cs="宋体" w:eastAsia="宋体" w:hint="default"/>
                <w:spacing w:val="-11"/>
                <w:sz w:val="18"/>
                <w:szCs w:val="18"/>
              </w:rPr>
              <w:t>公告》巨潮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资讯网</w:t>
            </w:r>
          </w:p>
        </w:tc>
      </w:tr>
      <w:tr>
        <w:trPr>
          <w:trHeight w:val="3833"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8"/>
              <w:jc w:val="left"/>
              <w:rPr>
                <w:rFonts w:ascii="宋体" w:hAnsi="宋体" w:cs="宋体" w:eastAsia="宋体" w:hint="default"/>
                <w:sz w:val="18"/>
                <w:szCs w:val="18"/>
              </w:rPr>
            </w:pPr>
            <w:r>
              <w:rPr>
                <w:rFonts w:ascii="宋体" w:hAnsi="宋体" w:cs="宋体" w:eastAsia="宋体" w:hint="default"/>
                <w:sz w:val="18"/>
                <w:szCs w:val="18"/>
              </w:rPr>
              <w:t>深大通公司起诉夏东明、朱 兰英、罗承、修涞贵、蒋纪 平、黄艳红、龚莉蓉、杭州 淳安嘉源企业管理咨询有限 公司，申请判令被告向公司 支付应收账款承诺补偿金 </w:t>
            </w: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万元；公司起诉天津 天和福远投资有限公司申请 判令被告对夏东明、罗承、 宁波华夏嘉源管理咨询有限 公司应承担款项承担连带清 偿责任。</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98"/>
              <w:jc w:val="right"/>
              <w:rPr>
                <w:rFonts w:ascii="Times New Roman" w:hAnsi="Times New Roman" w:cs="Times New Roman" w:eastAsia="Times New Roman" w:hint="default"/>
                <w:sz w:val="18"/>
                <w:szCs w:val="18"/>
              </w:rPr>
            </w:pPr>
            <w:r>
              <w:rPr>
                <w:rFonts w:ascii="Times New Roman"/>
                <w:spacing w:val="-1"/>
                <w:sz w:val="18"/>
              </w:rPr>
              <w:t>20,000</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已采取 保全措 </w:t>
            </w:r>
            <w:r>
              <w:rPr>
                <w:rFonts w:ascii="宋体" w:hAnsi="宋体" w:cs="宋体" w:eastAsia="宋体" w:hint="default"/>
                <w:spacing w:val="-11"/>
                <w:sz w:val="18"/>
                <w:szCs w:val="18"/>
              </w:rPr>
              <w:t>施，尚未</w:t>
            </w:r>
            <w:r>
              <w:rPr>
                <w:rFonts w:ascii="宋体" w:hAnsi="宋体" w:cs="宋体" w:eastAsia="宋体" w:hint="default"/>
                <w:sz w:val="18"/>
                <w:szCs w:val="18"/>
              </w:rPr>
              <w:t> 开庭审 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05" w:right="350"/>
              <w:jc w:val="left"/>
              <w:rPr>
                <w:rFonts w:ascii="宋体" w:hAnsi="宋体" w:cs="宋体" w:eastAsia="宋体" w:hint="default"/>
                <w:sz w:val="18"/>
                <w:szCs w:val="18"/>
              </w:rPr>
            </w:pPr>
            <w:r>
              <w:rPr>
                <w:rFonts w:ascii="宋体" w:hAnsi="宋体" w:cs="宋体" w:eastAsia="宋体" w:hint="default"/>
                <w:sz w:val="18"/>
                <w:szCs w:val="18"/>
              </w:rPr>
              <w:t>尚未开庭审 理。</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103" w:right="221"/>
              <w:jc w:val="left"/>
              <w:rPr>
                <w:rFonts w:ascii="宋体" w:hAnsi="宋体" w:cs="宋体" w:eastAsia="宋体" w:hint="default"/>
                <w:sz w:val="18"/>
                <w:szCs w:val="18"/>
              </w:rPr>
            </w:pPr>
            <w:r>
              <w:rPr>
                <w:rFonts w:ascii="宋体" w:hAnsi="宋体" w:cs="宋体" w:eastAsia="宋体" w:hint="default"/>
                <w:sz w:val="18"/>
                <w:szCs w:val="18"/>
              </w:rPr>
              <w:t>尚未开庭审 理。</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2019-067</w:t>
            </w:r>
          </w:p>
          <w:p>
            <w:pPr>
              <w:pStyle w:val="TableParagraph"/>
              <w:spacing w:line="316" w:lineRule="auto" w:before="63"/>
              <w:ind w:left="105" w:right="101"/>
              <w:jc w:val="left"/>
              <w:rPr>
                <w:rFonts w:ascii="宋体" w:hAnsi="宋体" w:cs="宋体" w:eastAsia="宋体" w:hint="default"/>
                <w:sz w:val="18"/>
                <w:szCs w:val="18"/>
              </w:rPr>
            </w:pPr>
            <w:r>
              <w:rPr>
                <w:rFonts w:ascii="宋体" w:hAnsi="宋体" w:cs="宋体" w:eastAsia="宋体" w:hint="default"/>
                <w:sz w:val="18"/>
                <w:szCs w:val="18"/>
              </w:rPr>
              <w:t>《关于重 大诉讼的 </w:t>
            </w:r>
            <w:r>
              <w:rPr>
                <w:rFonts w:ascii="宋体" w:hAnsi="宋体" w:cs="宋体" w:eastAsia="宋体" w:hint="default"/>
                <w:spacing w:val="-11"/>
                <w:sz w:val="18"/>
                <w:szCs w:val="18"/>
              </w:rPr>
              <w:t>公告》巨潮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资讯网</w:t>
            </w:r>
          </w:p>
        </w:tc>
      </w:tr>
      <w:tr>
        <w:trPr>
          <w:trHeight w:val="1651"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70"/>
              <w:ind w:left="103" w:right="98"/>
              <w:jc w:val="left"/>
              <w:rPr>
                <w:rFonts w:ascii="宋体" w:hAnsi="宋体" w:cs="宋体" w:eastAsia="宋体" w:hint="default"/>
                <w:sz w:val="18"/>
                <w:szCs w:val="18"/>
              </w:rPr>
            </w:pPr>
            <w:r>
              <w:rPr>
                <w:rFonts w:ascii="宋体" w:hAnsi="宋体" w:cs="宋体" w:eastAsia="宋体" w:hint="default"/>
                <w:sz w:val="18"/>
                <w:szCs w:val="18"/>
              </w:rPr>
              <w:t>深大通公司起诉曹林芳、李 勇、莫清雅，申请被告向公 司连带支付业绩承诺补偿金 </w:t>
            </w:r>
            <w:r>
              <w:rPr>
                <w:rFonts w:ascii="Times New Roman" w:hAnsi="Times New Roman" w:cs="Times New Roman" w:eastAsia="Times New Roman" w:hint="default"/>
                <w:sz w:val="18"/>
                <w:szCs w:val="18"/>
              </w:rPr>
              <w:t>2,178.21</w:t>
            </w:r>
            <w:r>
              <w:rPr>
                <w:rFonts w:ascii="Times New Roman" w:hAnsi="Times New Roman" w:cs="Times New Roman" w:eastAsia="Times New Roman" w:hint="default"/>
                <w:spacing w:val="6"/>
                <w:sz w:val="18"/>
                <w:szCs w:val="18"/>
              </w:rPr>
              <w:t> </w:t>
            </w:r>
            <w:r>
              <w:rPr>
                <w:rFonts w:ascii="宋体" w:hAnsi="宋体" w:cs="宋体" w:eastAsia="宋体" w:hint="default"/>
                <w:spacing w:val="-8"/>
                <w:sz w:val="18"/>
                <w:szCs w:val="18"/>
              </w:rPr>
              <w:t>万元；申请判令被告</w:t>
            </w:r>
            <w:r>
              <w:rPr>
                <w:rFonts w:ascii="宋体" w:hAnsi="宋体" w:cs="宋体" w:eastAsia="宋体" w:hint="default"/>
                <w:sz w:val="18"/>
                <w:szCs w:val="18"/>
              </w:rPr>
              <w:t> 向原告连带支付应收账款和</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20,178.21</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已采取 保全措 </w:t>
            </w:r>
            <w:r>
              <w:rPr>
                <w:rFonts w:ascii="宋体" w:hAnsi="宋体" w:cs="宋体" w:eastAsia="宋体" w:hint="default"/>
                <w:spacing w:val="-11"/>
                <w:sz w:val="18"/>
                <w:szCs w:val="18"/>
              </w:rPr>
              <w:t>施，尚未</w:t>
            </w:r>
            <w:r>
              <w:rPr>
                <w:rFonts w:ascii="宋体" w:hAnsi="宋体" w:cs="宋体" w:eastAsia="宋体" w:hint="default"/>
                <w:sz w:val="18"/>
                <w:szCs w:val="18"/>
              </w:rPr>
              <w:t> 开庭审 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105" w:right="350"/>
              <w:jc w:val="left"/>
              <w:rPr>
                <w:rFonts w:ascii="宋体" w:hAnsi="宋体" w:cs="宋体" w:eastAsia="宋体" w:hint="default"/>
                <w:sz w:val="18"/>
                <w:szCs w:val="18"/>
              </w:rPr>
            </w:pPr>
            <w:r>
              <w:rPr>
                <w:rFonts w:ascii="宋体" w:hAnsi="宋体" w:cs="宋体" w:eastAsia="宋体" w:hint="default"/>
                <w:sz w:val="18"/>
                <w:szCs w:val="18"/>
              </w:rPr>
              <w:t>尚未开庭审 理。</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4" w:lineRule="auto"/>
              <w:ind w:left="103" w:right="221"/>
              <w:jc w:val="left"/>
              <w:rPr>
                <w:rFonts w:ascii="宋体" w:hAnsi="宋体" w:cs="宋体" w:eastAsia="宋体" w:hint="default"/>
                <w:sz w:val="18"/>
                <w:szCs w:val="18"/>
              </w:rPr>
            </w:pPr>
            <w:r>
              <w:rPr>
                <w:rFonts w:ascii="宋体" w:hAnsi="宋体" w:cs="宋体" w:eastAsia="宋体" w:hint="default"/>
                <w:sz w:val="18"/>
                <w:szCs w:val="18"/>
              </w:rPr>
              <w:t>尚未开庭审 理。</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Times New Roman"/>
                <w:sz w:val="18"/>
              </w:rPr>
              <w:t>07</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2019-067</w:t>
            </w:r>
          </w:p>
          <w:p>
            <w:pPr>
              <w:pStyle w:val="TableParagraph"/>
              <w:spacing w:line="316" w:lineRule="auto" w:before="60"/>
              <w:ind w:left="105" w:right="101"/>
              <w:jc w:val="left"/>
              <w:rPr>
                <w:rFonts w:ascii="宋体" w:hAnsi="宋体" w:cs="宋体" w:eastAsia="宋体" w:hint="default"/>
                <w:sz w:val="18"/>
                <w:szCs w:val="18"/>
              </w:rPr>
            </w:pPr>
            <w:r>
              <w:rPr>
                <w:rFonts w:ascii="宋体" w:hAnsi="宋体" w:cs="宋体" w:eastAsia="宋体" w:hint="default"/>
                <w:sz w:val="18"/>
                <w:szCs w:val="18"/>
              </w:rPr>
              <w:t>《关于重 大诉讼的 </w:t>
            </w:r>
            <w:r>
              <w:rPr>
                <w:rFonts w:ascii="宋体" w:hAnsi="宋体" w:cs="宋体" w:eastAsia="宋体" w:hint="default"/>
                <w:spacing w:val="-11"/>
                <w:sz w:val="18"/>
                <w:szCs w:val="18"/>
              </w:rPr>
              <w:t>公告》巨潮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资讯网</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446"/>
        <w:gridCol w:w="970"/>
        <w:gridCol w:w="996"/>
        <w:gridCol w:w="893"/>
        <w:gridCol w:w="1368"/>
        <w:gridCol w:w="1237"/>
        <w:gridCol w:w="595"/>
        <w:gridCol w:w="1066"/>
      </w:tblGrid>
      <w:tr>
        <w:trPr>
          <w:trHeight w:val="1611"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103" w:right="170"/>
              <w:jc w:val="both"/>
              <w:rPr>
                <w:rFonts w:ascii="宋体" w:hAnsi="宋体" w:cs="宋体" w:eastAsia="宋体" w:hint="default"/>
                <w:sz w:val="18"/>
                <w:szCs w:val="18"/>
              </w:rPr>
            </w:pPr>
            <w:r>
              <w:rPr>
                <w:rFonts w:ascii="宋体" w:hAnsi="宋体" w:cs="宋体" w:eastAsia="宋体" w:hint="default"/>
                <w:sz w:val="18"/>
                <w:szCs w:val="18"/>
              </w:rPr>
              <w:t>资产减值补偿人民币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18,000 </w:t>
            </w:r>
            <w:r>
              <w:rPr>
                <w:rFonts w:ascii="宋体" w:hAnsi="宋体" w:cs="宋体" w:eastAsia="宋体" w:hint="default"/>
                <w:sz w:val="18"/>
                <w:szCs w:val="18"/>
              </w:rPr>
              <w:t>万元；公司向曹建发提起诉 讼，申请判令被告曹建发对 曹林芳在上述诉讼请求中的 债务承担连带责任。</w:t>
            </w:r>
          </w:p>
        </w:tc>
        <w:tc>
          <w:tcPr>
            <w:tcW w:w="970" w:type="dxa"/>
            <w:tcBorders>
              <w:top w:val="single" w:sz="4" w:space="0" w:color="000000"/>
              <w:left w:val="single" w:sz="4" w:space="0" w:color="000000"/>
              <w:bottom w:val="single" w:sz="4" w:space="0" w:color="000000"/>
              <w:right w:val="single" w:sz="4" w:space="0" w:color="000000"/>
            </w:tcBorders>
          </w:tcPr>
          <w:p>
            <w:pPr/>
          </w:p>
        </w:tc>
        <w:tc>
          <w:tcPr>
            <w:tcW w:w="996"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237" w:type="dxa"/>
            <w:tcBorders>
              <w:top w:val="single" w:sz="4" w:space="0" w:color="000000"/>
              <w:left w:val="single" w:sz="4" w:space="0" w:color="000000"/>
              <w:bottom w:val="single" w:sz="4" w:space="0" w:color="000000"/>
              <w:right w:val="single" w:sz="4" w:space="0" w:color="000000"/>
            </w:tcBorders>
          </w:tcPr>
          <w:p>
            <w:pP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5705"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82"/>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月山东省金融资产 管理股份有限公司与苏州大 通智远投资有限公司、青岛 亚星实业有限公司就共同设 立并购基金并通过该基金投 资南京大通企业孵化器管理 有限公司等事宜签署《苏州 大通箐鹰投资合伙企业（有 </w:t>
            </w:r>
            <w:r>
              <w:rPr>
                <w:rFonts w:ascii="宋体" w:hAnsi="宋体" w:cs="宋体" w:eastAsia="宋体" w:hint="default"/>
                <w:spacing w:val="-9"/>
                <w:sz w:val="18"/>
                <w:szCs w:val="18"/>
              </w:rPr>
              <w:t>限合伙）之合伙协议》。深圳</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大通实业股份有限公司与山 东省金融资产管理股份有限 </w:t>
            </w:r>
            <w:r>
              <w:rPr>
                <w:rFonts w:ascii="宋体" w:hAnsi="宋体" w:cs="宋体" w:eastAsia="宋体" w:hint="default"/>
                <w:spacing w:val="-8"/>
                <w:sz w:val="18"/>
                <w:szCs w:val="18"/>
              </w:rPr>
              <w:t>公司签署《差额补足协议》。</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现山东省金融资产管理股份 有限公司在协议未到期的情 况下，就相关合同履行事宜 向青岛市中级人民法院提起 诉讼，公司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32,971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万元资金 被冻结。</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right="99"/>
              <w:jc w:val="right"/>
              <w:rPr>
                <w:rFonts w:ascii="Times New Roman" w:hAnsi="Times New Roman" w:cs="Times New Roman" w:eastAsia="Times New Roman" w:hint="default"/>
                <w:sz w:val="18"/>
                <w:szCs w:val="18"/>
              </w:rPr>
            </w:pPr>
            <w:r>
              <w:rPr>
                <w:rFonts w:ascii="Times New Roman"/>
                <w:spacing w:val="-1"/>
                <w:sz w:val="18"/>
              </w:rPr>
              <w:t>30,317.77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03" w:right="58"/>
              <w:jc w:val="left"/>
              <w:rPr>
                <w:rFonts w:ascii="宋体" w:hAnsi="宋体" w:cs="宋体" w:eastAsia="宋体" w:hint="default"/>
                <w:sz w:val="18"/>
                <w:szCs w:val="18"/>
              </w:rPr>
            </w:pPr>
            <w:r>
              <w:rPr>
                <w:rFonts w:ascii="宋体" w:hAnsi="宋体" w:cs="宋体" w:eastAsia="宋体" w:hint="default"/>
                <w:sz w:val="18"/>
                <w:szCs w:val="18"/>
              </w:rPr>
              <w:t>尚未开 庭审理。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05" w:right="350"/>
              <w:jc w:val="left"/>
              <w:rPr>
                <w:rFonts w:ascii="宋体" w:hAnsi="宋体" w:cs="宋体" w:eastAsia="宋体" w:hint="default"/>
                <w:sz w:val="18"/>
                <w:szCs w:val="18"/>
              </w:rPr>
            </w:pPr>
            <w:r>
              <w:rPr>
                <w:rFonts w:ascii="宋体" w:hAnsi="宋体" w:cs="宋体" w:eastAsia="宋体" w:hint="default"/>
                <w:sz w:val="18"/>
                <w:szCs w:val="18"/>
              </w:rPr>
              <w:t>尚未开庭审 理。</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03" w:right="221"/>
              <w:jc w:val="left"/>
              <w:rPr>
                <w:rFonts w:ascii="宋体" w:hAnsi="宋体" w:cs="宋体" w:eastAsia="宋体" w:hint="default"/>
                <w:sz w:val="18"/>
                <w:szCs w:val="18"/>
              </w:rPr>
            </w:pPr>
            <w:r>
              <w:rPr>
                <w:rFonts w:ascii="宋体" w:hAnsi="宋体" w:cs="宋体" w:eastAsia="宋体" w:hint="default"/>
                <w:sz w:val="18"/>
                <w:szCs w:val="18"/>
              </w:rPr>
              <w:t>尚未开庭审 理。</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年</w:t>
            </w:r>
          </w:p>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Times New Roman"/>
                <w:sz w:val="18"/>
              </w:rPr>
              <w:t>08</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Times New Roman"/>
                <w:sz w:val="18"/>
              </w:rPr>
              <w:t>07</w:t>
            </w:r>
          </w:p>
          <w:p>
            <w:pPr>
              <w:pStyle w:val="TableParagraph"/>
              <w:spacing w:line="240" w:lineRule="auto" w:before="63"/>
              <w:ind w:left="105"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7"/>
                <w:szCs w:val="17"/>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2019-067</w:t>
            </w:r>
          </w:p>
          <w:p>
            <w:pPr>
              <w:pStyle w:val="TableParagraph"/>
              <w:spacing w:line="316" w:lineRule="auto" w:before="63"/>
              <w:ind w:left="105" w:right="101"/>
              <w:jc w:val="left"/>
              <w:rPr>
                <w:rFonts w:ascii="宋体" w:hAnsi="宋体" w:cs="宋体" w:eastAsia="宋体" w:hint="default"/>
                <w:sz w:val="18"/>
                <w:szCs w:val="18"/>
              </w:rPr>
            </w:pPr>
            <w:r>
              <w:rPr>
                <w:rFonts w:ascii="宋体" w:hAnsi="宋体" w:cs="宋体" w:eastAsia="宋体" w:hint="default"/>
                <w:sz w:val="18"/>
                <w:szCs w:val="18"/>
              </w:rPr>
              <w:t>《关于重 大诉讼的 </w:t>
            </w:r>
            <w:r>
              <w:rPr>
                <w:rFonts w:ascii="宋体" w:hAnsi="宋体" w:cs="宋体" w:eastAsia="宋体" w:hint="default"/>
                <w:spacing w:val="-11"/>
                <w:sz w:val="18"/>
                <w:szCs w:val="18"/>
              </w:rPr>
              <w:t>公告》巨潮</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资讯网</w:t>
            </w:r>
          </w:p>
        </w:tc>
      </w:tr>
      <w:tr>
        <w:trPr>
          <w:trHeight w:val="1340" w:hRule="exact"/>
        </w:trPr>
        <w:tc>
          <w:tcPr>
            <w:tcW w:w="2446"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103" w:right="7"/>
              <w:jc w:val="left"/>
              <w:rPr>
                <w:rFonts w:ascii="宋体" w:hAnsi="宋体" w:cs="宋体" w:eastAsia="宋体" w:hint="default"/>
                <w:sz w:val="18"/>
                <w:szCs w:val="18"/>
              </w:rPr>
            </w:pPr>
            <w:r>
              <w:rPr>
                <w:rFonts w:ascii="宋体" w:hAnsi="宋体" w:cs="宋体" w:eastAsia="宋体" w:hint="default"/>
                <w:sz w:val="18"/>
                <w:szCs w:val="18"/>
              </w:rPr>
              <w:t>小额未决诉讼案件共计</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起， 主要系与公司日常生产经营 相关的广告发布合同纠纷、 </w:t>
            </w:r>
            <w:r>
              <w:rPr>
                <w:rFonts w:ascii="宋体" w:hAnsi="宋体" w:cs="宋体" w:eastAsia="宋体" w:hint="default"/>
                <w:spacing w:val="-2"/>
                <w:sz w:val="18"/>
                <w:szCs w:val="18"/>
              </w:rPr>
              <w:t>著作权纠纷、名誉权纠纷等。</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418.17</w:t>
            </w:r>
          </w:p>
        </w:tc>
        <w:tc>
          <w:tcPr>
            <w:tcW w:w="9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58"/>
              <w:jc w:val="left"/>
              <w:rPr>
                <w:rFonts w:ascii="宋体" w:hAnsi="宋体" w:cs="宋体" w:eastAsia="宋体" w:hint="default"/>
                <w:sz w:val="18"/>
                <w:szCs w:val="18"/>
              </w:rPr>
            </w:pPr>
            <w:r>
              <w:rPr>
                <w:rFonts w:ascii="宋体" w:hAnsi="宋体" w:cs="宋体" w:eastAsia="宋体" w:hint="default"/>
                <w:sz w:val="18"/>
                <w:szCs w:val="18"/>
              </w:rPr>
              <w:t>尚未开 庭审理。</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5" w:right="350"/>
              <w:jc w:val="left"/>
              <w:rPr>
                <w:rFonts w:ascii="宋体" w:hAnsi="宋体" w:cs="宋体" w:eastAsia="宋体" w:hint="default"/>
                <w:sz w:val="18"/>
                <w:szCs w:val="18"/>
              </w:rPr>
            </w:pPr>
            <w:r>
              <w:rPr>
                <w:rFonts w:ascii="宋体" w:hAnsi="宋体" w:cs="宋体" w:eastAsia="宋体" w:hint="default"/>
                <w:sz w:val="18"/>
                <w:szCs w:val="18"/>
              </w:rPr>
              <w:t>尚未开庭审 理。</w:t>
            </w:r>
          </w:p>
        </w:tc>
        <w:tc>
          <w:tcPr>
            <w:tcW w:w="12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3" w:right="221"/>
              <w:jc w:val="left"/>
              <w:rPr>
                <w:rFonts w:ascii="宋体" w:hAnsi="宋体" w:cs="宋体" w:eastAsia="宋体" w:hint="default"/>
                <w:sz w:val="18"/>
                <w:szCs w:val="18"/>
              </w:rPr>
            </w:pPr>
            <w:r>
              <w:rPr>
                <w:rFonts w:ascii="宋体" w:hAnsi="宋体" w:cs="宋体" w:eastAsia="宋体" w:hint="default"/>
                <w:sz w:val="18"/>
                <w:szCs w:val="18"/>
              </w:rPr>
              <w:t>尚未开庭审 理。</w:t>
            </w:r>
          </w:p>
        </w:tc>
        <w:tc>
          <w:tcPr>
            <w:tcW w:w="595"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986"/>
        <w:jc w:val="left"/>
        <w:rPr>
          <w:b w:val="0"/>
          <w:bCs w:val="0"/>
        </w:rPr>
      </w:pPr>
      <w:bookmarkStart w:name="十三、处罚及整改情况" w:id="80"/>
      <w:bookmarkEnd w:id="80"/>
      <w:r>
        <w:rPr>
          <w:b w:val="0"/>
          <w:bCs w:val="0"/>
        </w:rPr>
      </w:r>
      <w:r>
        <w:rPr/>
        <w:t>十三、处罚及整改情况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643"/>
        <w:gridCol w:w="1712"/>
        <w:gridCol w:w="1455"/>
        <w:gridCol w:w="1661"/>
        <w:gridCol w:w="1366"/>
        <w:gridCol w:w="1368"/>
      </w:tblGrid>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宋体" w:hAnsi="宋体" w:cs="宋体" w:eastAsia="宋体" w:hint="default"/>
                <w:sz w:val="18"/>
                <w:szCs w:val="18"/>
              </w:rPr>
              <w:t>名称</w:t>
            </w:r>
            <w:r>
              <w:rPr>
                <w:rFonts w:ascii="Times New Roman" w:hAnsi="Times New Roman" w:cs="Times New Roman" w:eastAsia="Times New Roman" w:hint="default"/>
                <w:sz w:val="18"/>
                <w:szCs w:val="18"/>
              </w:rPr>
              <w:t>/</w:t>
            </w:r>
            <w:r>
              <w:rPr>
                <w:rFonts w:ascii="宋体" w:hAnsi="宋体" w:cs="宋体" w:eastAsia="宋体" w:hint="default"/>
                <w:sz w:val="18"/>
                <w:szCs w:val="18"/>
              </w:rPr>
              <w:t>姓名</w:t>
            </w:r>
          </w:p>
        </w:tc>
        <w:tc>
          <w:tcPr>
            <w:tcW w:w="6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原因</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调查处罚类型</w:t>
            </w:r>
          </w:p>
        </w:tc>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8" w:right="0"/>
              <w:jc w:val="left"/>
              <w:rPr>
                <w:rFonts w:ascii="宋体" w:hAnsi="宋体" w:cs="宋体" w:eastAsia="宋体" w:hint="default"/>
                <w:sz w:val="18"/>
                <w:szCs w:val="18"/>
              </w:rPr>
            </w:pPr>
            <w:r>
              <w:rPr>
                <w:rFonts w:ascii="宋体" w:hAnsi="宋体" w:cs="宋体" w:eastAsia="宋体" w:hint="default"/>
                <w:sz w:val="18"/>
                <w:szCs w:val="18"/>
              </w:rPr>
              <w:t>结论（如有）</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196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中国证监会行 政处罚决定书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60"/>
              <w:jc w:val="center"/>
              <w:rPr>
                <w:rFonts w:ascii="宋体" w:hAnsi="宋体" w:cs="宋体" w:eastAsia="宋体" w:hint="default"/>
                <w:sz w:val="18"/>
                <w:szCs w:val="18"/>
              </w:rPr>
            </w:pPr>
            <w:r>
              <w:rPr>
                <w:rFonts w:ascii="宋体" w:hAnsi="宋体" w:cs="宋体" w:eastAsia="宋体" w:hint="default"/>
                <w:sz w:val="18"/>
                <w:szCs w:val="18"/>
              </w:rPr>
              <w:t>其他</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58"/>
              <w:jc w:val="both"/>
              <w:rPr>
                <w:rFonts w:ascii="宋体" w:hAnsi="宋体" w:cs="宋体" w:eastAsia="宋体" w:hint="default"/>
                <w:sz w:val="18"/>
                <w:szCs w:val="18"/>
              </w:rPr>
            </w:pPr>
            <w:r>
              <w:rPr>
                <w:rFonts w:ascii="宋体" w:hAnsi="宋体" w:cs="宋体" w:eastAsia="宋体" w:hint="default"/>
                <w:sz w:val="18"/>
                <w:szCs w:val="18"/>
              </w:rPr>
              <w:t>因公司在证监会依 法履行职责过程中 未予配合，涉嫌违 反相关证券法律、 法规。</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261"/>
              <w:jc w:val="both"/>
              <w:rPr>
                <w:rFonts w:ascii="宋体" w:hAnsi="宋体" w:cs="宋体" w:eastAsia="宋体" w:hint="default"/>
                <w:sz w:val="18"/>
                <w:szCs w:val="18"/>
              </w:rPr>
            </w:pPr>
            <w:r>
              <w:rPr>
                <w:rFonts w:ascii="宋体" w:hAnsi="宋体" w:cs="宋体" w:eastAsia="宋体" w:hint="default"/>
                <w:sz w:val="18"/>
                <w:szCs w:val="18"/>
              </w:rPr>
              <w:t>被中国证监会 立案调查或行 政处罚</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07" w:lineRule="auto"/>
              <w:ind w:left="105" w:right="103"/>
              <w:jc w:val="left"/>
              <w:rPr>
                <w:rFonts w:ascii="宋体" w:hAnsi="宋体" w:cs="宋体" w:eastAsia="宋体" w:hint="default"/>
                <w:sz w:val="18"/>
                <w:szCs w:val="18"/>
              </w:rPr>
            </w:pPr>
            <w:r>
              <w:rPr>
                <w:rFonts w:ascii="宋体" w:hAnsi="宋体" w:cs="宋体" w:eastAsia="宋体" w:hint="default"/>
                <w:sz w:val="18"/>
                <w:szCs w:val="18"/>
              </w:rPr>
              <w:t>对公司给予警告， 并处以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万元罚 款。</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2019-099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深大</w:t>
            </w:r>
          </w:p>
          <w:p>
            <w:pPr>
              <w:pStyle w:val="TableParagraph"/>
              <w:spacing w:line="316" w:lineRule="auto" w:before="63"/>
              <w:ind w:left="105" w:right="168"/>
              <w:jc w:val="both"/>
              <w:rPr>
                <w:rFonts w:ascii="宋体" w:hAnsi="宋体" w:cs="宋体" w:eastAsia="宋体" w:hint="default"/>
                <w:sz w:val="18"/>
                <w:szCs w:val="18"/>
              </w:rPr>
            </w:pPr>
            <w:r>
              <w:rPr>
                <w:rFonts w:ascii="宋体" w:hAnsi="宋体" w:cs="宋体" w:eastAsia="宋体" w:hint="default"/>
                <w:sz w:val="18"/>
                <w:szCs w:val="18"/>
              </w:rPr>
              <w:t>通：关于收到 中国证监会行 政处罚决定书 的公告</w:t>
            </w:r>
            <w:r>
              <w:rPr>
                <w:rFonts w:ascii="宋体" w:hAnsi="宋体" w:cs="宋体" w:eastAsia="宋体" w:hint="default"/>
                <w:spacing w:val="2"/>
                <w:sz w:val="18"/>
                <w:szCs w:val="18"/>
              </w:rPr>
              <w:t> </w:t>
            </w:r>
            <w:r>
              <w:rPr>
                <w:rFonts w:ascii="宋体" w:hAnsi="宋体" w:cs="宋体" w:eastAsia="宋体" w:hint="default"/>
                <w:sz w:val="18"/>
                <w:szCs w:val="18"/>
              </w:rPr>
              <w:t>巨潮</w:t>
            </w:r>
            <w:r>
              <w:rPr>
                <w:rFonts w:ascii="宋体" w:hAnsi="宋体" w:cs="宋体" w:eastAsia="宋体" w:hint="default"/>
                <w:sz w:val="18"/>
                <w:szCs w:val="18"/>
              </w:rPr>
              <w:t> 资讯网</w:t>
            </w:r>
          </w:p>
        </w:tc>
      </w:tr>
      <w:tr>
        <w:trPr>
          <w:trHeight w:val="161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6" w:lineRule="auto"/>
              <w:ind w:left="103" w:right="173"/>
              <w:jc w:val="left"/>
              <w:rPr>
                <w:rFonts w:ascii="宋体" w:hAnsi="宋体" w:cs="宋体" w:eastAsia="宋体" w:hint="default"/>
                <w:sz w:val="18"/>
                <w:szCs w:val="18"/>
              </w:rPr>
            </w:pPr>
            <w:r>
              <w:rPr>
                <w:rFonts w:ascii="宋体" w:hAnsi="宋体" w:cs="宋体" w:eastAsia="宋体" w:hint="default"/>
                <w:sz w:val="18"/>
                <w:szCs w:val="18"/>
              </w:rPr>
              <w:t>中国证监会市 场禁入决定书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董事</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316" w:lineRule="auto"/>
              <w:ind w:left="103" w:right="14"/>
              <w:jc w:val="left"/>
              <w:rPr>
                <w:rFonts w:ascii="宋体" w:hAnsi="宋体" w:cs="宋体" w:eastAsia="宋体" w:hint="default"/>
                <w:sz w:val="18"/>
                <w:szCs w:val="18"/>
              </w:rPr>
            </w:pPr>
            <w:r>
              <w:rPr>
                <w:rFonts w:ascii="宋体" w:hAnsi="宋体" w:cs="宋体" w:eastAsia="宋体" w:hint="default"/>
                <w:sz w:val="18"/>
                <w:szCs w:val="18"/>
              </w:rPr>
              <w:t>因在证监会依法履 行职责过程中未予 配合，涉嫌违反相 </w:t>
            </w:r>
            <w:r>
              <w:rPr>
                <w:rFonts w:ascii="宋体" w:hAnsi="宋体" w:cs="宋体" w:eastAsia="宋体" w:hint="default"/>
                <w:spacing w:val="-4"/>
                <w:sz w:val="18"/>
                <w:szCs w:val="18"/>
              </w:rPr>
              <w:t>关证券法律、法规。</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316" w:lineRule="auto"/>
              <w:ind w:left="103" w:right="261"/>
              <w:jc w:val="left"/>
              <w:rPr>
                <w:rFonts w:ascii="宋体" w:hAnsi="宋体" w:cs="宋体" w:eastAsia="宋体" w:hint="default"/>
                <w:sz w:val="18"/>
                <w:szCs w:val="18"/>
              </w:rPr>
            </w:pPr>
            <w:r>
              <w:rPr>
                <w:rFonts w:ascii="宋体" w:hAnsi="宋体" w:cs="宋体" w:eastAsia="宋体" w:hint="default"/>
                <w:sz w:val="18"/>
                <w:szCs w:val="18"/>
              </w:rPr>
              <w:t>被采取市场禁 入</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5" w:right="101"/>
              <w:jc w:val="left"/>
              <w:rPr>
                <w:rFonts w:ascii="宋体" w:hAnsi="宋体" w:cs="宋体" w:eastAsia="宋体" w:hint="default"/>
                <w:sz w:val="18"/>
                <w:szCs w:val="18"/>
              </w:rPr>
            </w:pPr>
            <w:r>
              <w:rPr>
                <w:rFonts w:ascii="宋体" w:hAnsi="宋体" w:cs="宋体" w:eastAsia="宋体" w:hint="default"/>
                <w:sz w:val="18"/>
                <w:szCs w:val="18"/>
              </w:rPr>
              <w:t>对姜剑采取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 证券市场禁入措 施，对李雪燕、黄 卫华、牛超分别采 取</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年证券市场禁</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2019-099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深大</w:t>
            </w:r>
          </w:p>
          <w:p>
            <w:pPr>
              <w:pStyle w:val="TableParagraph"/>
              <w:spacing w:line="316" w:lineRule="auto" w:before="63"/>
              <w:ind w:left="105" w:right="168"/>
              <w:jc w:val="both"/>
              <w:rPr>
                <w:rFonts w:ascii="宋体" w:hAnsi="宋体" w:cs="宋体" w:eastAsia="宋体" w:hint="default"/>
                <w:sz w:val="18"/>
                <w:szCs w:val="18"/>
              </w:rPr>
            </w:pPr>
            <w:r>
              <w:rPr>
                <w:rFonts w:ascii="宋体" w:hAnsi="宋体" w:cs="宋体" w:eastAsia="宋体" w:hint="default"/>
                <w:sz w:val="18"/>
                <w:szCs w:val="18"/>
              </w:rPr>
              <w:t>通：关于收到 中国证监会行 政处罚决定书 的公告 </w:t>
            </w:r>
            <w:r>
              <w:rPr>
                <w:rFonts w:ascii="宋体" w:hAnsi="宋体" w:cs="宋体" w:eastAsia="宋体" w:hint="default"/>
                <w:spacing w:val="2"/>
                <w:sz w:val="18"/>
                <w:szCs w:val="18"/>
              </w:rPr>
              <w:t> </w:t>
            </w:r>
            <w:r>
              <w:rPr>
                <w:rFonts w:ascii="宋体" w:hAnsi="宋体" w:cs="宋体" w:eastAsia="宋体" w:hint="default"/>
                <w:sz w:val="18"/>
                <w:szCs w:val="18"/>
              </w:rPr>
              <w:t>巨潮</w:t>
            </w:r>
          </w:p>
        </w:tc>
      </w:tr>
    </w:tbl>
    <w:p>
      <w:pPr>
        <w:spacing w:after="0" w:line="316" w:lineRule="auto"/>
        <w:jc w:val="both"/>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8"/>
        <w:gridCol w:w="643"/>
        <w:gridCol w:w="1712"/>
        <w:gridCol w:w="1455"/>
        <w:gridCol w:w="1661"/>
        <w:gridCol w:w="1366"/>
        <w:gridCol w:w="1368"/>
      </w:tblGrid>
      <w:tr>
        <w:trPr>
          <w:trHeight w:val="363" w:hRule="exact"/>
        </w:trPr>
        <w:tc>
          <w:tcPr>
            <w:tcW w:w="1368"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1712" w:type="dxa"/>
            <w:tcBorders>
              <w:top w:val="single" w:sz="4" w:space="0" w:color="000000"/>
              <w:left w:val="single" w:sz="4" w:space="0" w:color="000000"/>
              <w:bottom w:val="single" w:sz="4" w:space="0" w:color="000000"/>
              <w:right w:val="single" w:sz="4" w:space="0" w:color="000000"/>
            </w:tcBorders>
          </w:tcPr>
          <w:p>
            <w:pPr/>
          </w:p>
        </w:tc>
        <w:tc>
          <w:tcPr>
            <w:tcW w:w="1455"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入措施。</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5" w:right="0"/>
              <w:jc w:val="left"/>
              <w:rPr>
                <w:rFonts w:ascii="宋体" w:hAnsi="宋体" w:cs="宋体" w:eastAsia="宋体" w:hint="default"/>
                <w:sz w:val="18"/>
                <w:szCs w:val="18"/>
              </w:rPr>
            </w:pPr>
            <w:r>
              <w:rPr>
                <w:rFonts w:ascii="宋体" w:hAnsi="宋体" w:cs="宋体" w:eastAsia="宋体" w:hint="default"/>
                <w:sz w:val="18"/>
                <w:szCs w:val="18"/>
              </w:rPr>
              <w:t>资讯网</w:t>
            </w:r>
          </w:p>
        </w:tc>
      </w:tr>
      <w:tr>
        <w:trPr>
          <w:trHeight w:val="258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73"/>
              <w:jc w:val="both"/>
              <w:rPr>
                <w:rFonts w:ascii="宋体" w:hAnsi="宋体" w:cs="宋体" w:eastAsia="宋体" w:hint="default"/>
                <w:sz w:val="18"/>
                <w:szCs w:val="18"/>
              </w:rPr>
            </w:pPr>
            <w:r>
              <w:rPr>
                <w:rFonts w:ascii="宋体" w:hAnsi="宋体" w:cs="宋体" w:eastAsia="宋体" w:hint="default"/>
                <w:sz w:val="18"/>
                <w:szCs w:val="18"/>
              </w:rPr>
              <w:t>深圳证券交易 所关于对深圳 大通实业股份 有限公司及相 关当事人给予 公开谴责处分 的决定</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董事</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2" w:lineRule="auto"/>
              <w:ind w:left="103" w:right="98"/>
              <w:jc w:val="both"/>
              <w:rPr>
                <w:rFonts w:ascii="宋体" w:hAnsi="宋体" w:cs="宋体" w:eastAsia="宋体" w:hint="default"/>
                <w:sz w:val="18"/>
                <w:szCs w:val="18"/>
              </w:rPr>
            </w:pPr>
            <w:r>
              <w:rPr>
                <w:rFonts w:ascii="宋体" w:hAnsi="宋体" w:cs="宋体" w:eastAsia="宋体" w:hint="default"/>
                <w:sz w:val="18"/>
                <w:szCs w:val="18"/>
              </w:rPr>
              <w:t>公司</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年度业绩 预告修正严重滞后 且修正前后存在重 大差异。</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81"/>
              <w:jc w:val="left"/>
              <w:rPr>
                <w:rFonts w:ascii="宋体" w:hAnsi="宋体" w:cs="宋体" w:eastAsia="宋体" w:hint="default"/>
                <w:sz w:val="18"/>
                <w:szCs w:val="18"/>
              </w:rPr>
            </w:pPr>
            <w:r>
              <w:rPr>
                <w:rFonts w:ascii="宋体" w:hAnsi="宋体" w:cs="宋体" w:eastAsia="宋体" w:hint="default"/>
                <w:sz w:val="18"/>
                <w:szCs w:val="18"/>
              </w:rPr>
              <w:t>被环保、安监、 税务等其他行 政管理部门给 予重大行政处 罚以及被证券 交易所公开谴 责的情形</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03"/>
              <w:jc w:val="both"/>
              <w:rPr>
                <w:rFonts w:ascii="宋体" w:hAnsi="宋体" w:cs="宋体" w:eastAsia="宋体" w:hint="default"/>
                <w:sz w:val="18"/>
                <w:szCs w:val="18"/>
              </w:rPr>
            </w:pPr>
            <w:r>
              <w:rPr>
                <w:rFonts w:ascii="宋体" w:hAnsi="宋体" w:cs="宋体" w:eastAsia="宋体" w:hint="default"/>
                <w:sz w:val="18"/>
                <w:szCs w:val="18"/>
              </w:rPr>
              <w:t>对公司给予公开谴 责的处分；对公司 时任董事长袁娜、 时任董事曹建发、 时任执行总经理黄 卫华、时任财务总 监刘海滨给予公开 谴责的处分。</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05" w:right="170"/>
              <w:jc w:val="left"/>
              <w:rPr>
                <w:rFonts w:ascii="宋体" w:hAnsi="宋体" w:cs="宋体" w:eastAsia="宋体" w:hint="default"/>
                <w:sz w:val="18"/>
                <w:szCs w:val="18"/>
              </w:rPr>
            </w:pPr>
            <w:r>
              <w:rPr>
                <w:rFonts w:ascii="宋体" w:hAnsi="宋体" w:cs="宋体" w:eastAsia="宋体" w:hint="default"/>
                <w:sz w:val="18"/>
                <w:szCs w:val="18"/>
              </w:rPr>
              <w:t>深圳证券交易 所官方网站</w:t>
            </w:r>
          </w:p>
        </w:tc>
      </w:tr>
      <w:tr>
        <w:trPr>
          <w:trHeight w:val="227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103" w:right="173"/>
              <w:jc w:val="both"/>
              <w:rPr>
                <w:rFonts w:ascii="宋体" w:hAnsi="宋体" w:cs="宋体" w:eastAsia="宋体" w:hint="default"/>
                <w:sz w:val="18"/>
                <w:szCs w:val="18"/>
              </w:rPr>
            </w:pPr>
            <w:r>
              <w:rPr>
                <w:rFonts w:ascii="宋体" w:hAnsi="宋体" w:cs="宋体" w:eastAsia="宋体" w:hint="default"/>
                <w:sz w:val="18"/>
                <w:szCs w:val="18"/>
              </w:rPr>
              <w:t>深圳证监局行 政监管措施决 定书</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60"/>
              <w:jc w:val="center"/>
              <w:rPr>
                <w:rFonts w:ascii="宋体" w:hAnsi="宋体" w:cs="宋体" w:eastAsia="宋体" w:hint="default"/>
                <w:sz w:val="18"/>
                <w:szCs w:val="18"/>
              </w:rPr>
            </w:pPr>
            <w:r>
              <w:rPr>
                <w:rFonts w:ascii="宋体" w:hAnsi="宋体" w:cs="宋体" w:eastAsia="宋体" w:hint="default"/>
                <w:sz w:val="18"/>
                <w:szCs w:val="18"/>
              </w:rPr>
              <w:t>其他</w:t>
            </w:r>
          </w:p>
        </w:tc>
        <w:tc>
          <w:tcPr>
            <w:tcW w:w="17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58"/>
              <w:jc w:val="both"/>
              <w:rPr>
                <w:rFonts w:ascii="宋体" w:hAnsi="宋体" w:cs="宋体" w:eastAsia="宋体" w:hint="default"/>
                <w:sz w:val="18"/>
                <w:szCs w:val="18"/>
              </w:rPr>
            </w:pPr>
            <w:r>
              <w:rPr>
                <w:rFonts w:ascii="宋体" w:hAnsi="宋体" w:cs="宋体" w:eastAsia="宋体" w:hint="default"/>
                <w:sz w:val="18"/>
                <w:szCs w:val="18"/>
              </w:rPr>
              <w:t>公司及相关工作人 员拒绝、阻碍调查 人员依法履职。公 司上述行为违反了</w:t>
            </w:r>
          </w:p>
          <w:p>
            <w:pPr>
              <w:pStyle w:val="TableParagraph"/>
              <w:spacing w:line="316" w:lineRule="auto" w:before="17"/>
              <w:ind w:left="103" w:right="158"/>
              <w:jc w:val="both"/>
              <w:rPr>
                <w:rFonts w:ascii="宋体" w:hAnsi="宋体" w:cs="宋体" w:eastAsia="宋体" w:hint="default"/>
                <w:sz w:val="18"/>
                <w:szCs w:val="18"/>
              </w:rPr>
            </w:pPr>
            <w:r>
              <w:rPr>
                <w:rFonts w:ascii="宋体" w:hAnsi="宋体" w:cs="宋体" w:eastAsia="宋体" w:hint="default"/>
                <w:sz w:val="18"/>
                <w:szCs w:val="18"/>
              </w:rPr>
              <w:t>《中华人民共和国 证券法》第一百八 十三条的规定。</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105" w:right="103"/>
              <w:jc w:val="left"/>
              <w:rPr>
                <w:rFonts w:ascii="宋体" w:hAnsi="宋体" w:cs="宋体" w:eastAsia="宋体" w:hint="default"/>
                <w:sz w:val="18"/>
                <w:szCs w:val="18"/>
              </w:rPr>
            </w:pPr>
            <w:r>
              <w:rPr>
                <w:rFonts w:ascii="宋体" w:hAnsi="宋体" w:cs="宋体" w:eastAsia="宋体" w:hint="default"/>
                <w:sz w:val="18"/>
                <w:szCs w:val="18"/>
              </w:rPr>
              <w:t>出具警示函的行政 监管措施</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2019-046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深大</w:t>
            </w:r>
          </w:p>
          <w:p>
            <w:pPr>
              <w:pStyle w:val="TableParagraph"/>
              <w:spacing w:line="319" w:lineRule="auto" w:before="63"/>
              <w:ind w:left="105" w:right="170"/>
              <w:jc w:val="left"/>
              <w:rPr>
                <w:rFonts w:ascii="宋体" w:hAnsi="宋体" w:cs="宋体" w:eastAsia="宋体" w:hint="default"/>
                <w:sz w:val="18"/>
                <w:szCs w:val="18"/>
              </w:rPr>
            </w:pPr>
            <w:r>
              <w:rPr>
                <w:rFonts w:ascii="宋体" w:hAnsi="宋体" w:cs="宋体" w:eastAsia="宋体" w:hint="default"/>
                <w:sz w:val="18"/>
                <w:szCs w:val="18"/>
              </w:rPr>
              <w:t>通：关于收到 深圳证监局行 政监管措施决 定书的公告 巨潮资讯网</w:t>
            </w:r>
          </w:p>
        </w:tc>
      </w:tr>
    </w:tbl>
    <w:p>
      <w:pPr>
        <w:pStyle w:val="BodyText"/>
        <w:spacing w:line="240" w:lineRule="auto" w:before="49"/>
        <w:ind w:right="986"/>
        <w:jc w:val="left"/>
      </w:pPr>
      <w:r>
        <w:rPr/>
        <w:t>整改情况说明</w:t>
      </w:r>
    </w:p>
    <w:p>
      <w:pPr>
        <w:pStyle w:val="BodyText"/>
        <w:spacing w:line="338" w:lineRule="auto" w:before="115"/>
        <w:ind w:right="2384"/>
        <w:jc w:val="left"/>
      </w:pPr>
      <w:r>
        <w:rPr/>
        <w:t>√ 适用 □</w:t>
      </w:r>
      <w:r>
        <w:rPr>
          <w:spacing w:val="3"/>
        </w:rPr>
        <w:t> </w:t>
      </w:r>
      <w:r>
        <w:rPr/>
        <w:t>不适用</w:t>
      </w:r>
      <w:r>
        <w:rPr/>
        <w:t> 公司于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26</w:t>
      </w:r>
      <w:r>
        <w:rPr/>
        <w:t>日召开紧急董事会专项会议，经深刻反思及检讨，采取如下整改措施： </w:t>
      </w:r>
      <w:r>
        <w:rPr>
          <w:rFonts w:ascii="宋体" w:hAnsi="宋体" w:cs="宋体" w:eastAsia="宋体" w:hint="default"/>
        </w:rPr>
        <w:t>1</w:t>
      </w:r>
      <w:r>
        <w:rPr/>
        <w:t>、全体董监高认真反思、深刻检讨，并承诺积极配合监管部门的调查，诚恳接受监管部门的批评与处理。</w:t>
      </w:r>
    </w:p>
    <w:p>
      <w:pPr>
        <w:pStyle w:val="BodyText"/>
        <w:spacing w:line="240" w:lineRule="auto" w:before="2"/>
        <w:ind w:right="986"/>
        <w:jc w:val="left"/>
      </w:pPr>
      <w:r>
        <w:rPr>
          <w:rFonts w:ascii="宋体" w:hAnsi="宋体" w:cs="宋体" w:eastAsia="宋体" w:hint="default"/>
        </w:rPr>
        <w:t>2</w:t>
      </w:r>
      <w:r>
        <w:rPr/>
        <w:t>、立即辞退相关三名涉事人员。</w:t>
      </w:r>
    </w:p>
    <w:p>
      <w:pPr>
        <w:pStyle w:val="BodyText"/>
        <w:spacing w:line="240" w:lineRule="auto" w:before="76"/>
        <w:ind w:right="986"/>
        <w:jc w:val="left"/>
      </w:pPr>
      <w:r>
        <w:rPr>
          <w:rFonts w:ascii="宋体" w:hAnsi="宋体" w:cs="宋体" w:eastAsia="宋体" w:hint="default"/>
        </w:rPr>
        <w:t>3</w:t>
      </w:r>
      <w:r>
        <w:rPr/>
        <w:t>、免除涉事人员所属深圳大通致远供应链管理有限公司董事长的职务。</w:t>
      </w:r>
    </w:p>
    <w:p>
      <w:pPr>
        <w:pStyle w:val="BodyText"/>
        <w:spacing w:line="240" w:lineRule="auto" w:before="76"/>
        <w:ind w:right="986"/>
        <w:jc w:val="left"/>
      </w:pPr>
      <w:r>
        <w:rPr>
          <w:rFonts w:ascii="宋体" w:hAnsi="宋体" w:cs="宋体" w:eastAsia="宋体" w:hint="default"/>
        </w:rPr>
        <w:t>4</w:t>
      </w:r>
      <w:r>
        <w:rPr/>
        <w:t>、公司董事长引咎辞职，辞职后仍将积极配合调查工作。</w:t>
      </w:r>
    </w:p>
    <w:p>
      <w:pPr>
        <w:pStyle w:val="BodyText"/>
        <w:spacing w:line="316" w:lineRule="auto" w:before="77"/>
        <w:ind w:right="1129"/>
        <w:jc w:val="left"/>
      </w:pPr>
      <w:r>
        <w:rPr>
          <w:rFonts w:ascii="宋体" w:hAnsi="宋体" w:cs="宋体" w:eastAsia="宋体" w:hint="default"/>
        </w:rPr>
        <w:t>5</w:t>
      </w:r>
      <w:r>
        <w:rPr/>
        <w:t>、公司开展全员培训整顿，强化规范运作意识，尽快消除不良影响，切实提高治理水平。 </w:t>
      </w:r>
      <w:r>
        <w:rPr>
          <w:spacing w:val="-5"/>
        </w:rPr>
        <w:t>全体董监高将带头集体学习相关证券法律法规，切实提高法治意识，谨记和坚持“四个敬畏”的要求，敬畏市场、敬畏法治、</w:t>
      </w:r>
      <w:r>
        <w:rPr>
          <w:spacing w:val="-82"/>
        </w:rPr>
        <w:t> </w:t>
      </w:r>
      <w:r>
        <w:rPr>
          <w:spacing w:val="-82"/>
        </w:rPr>
      </w:r>
      <w:r>
        <w:rPr/>
        <w:t>敬畏专业、敬畏投资者，坚守四条底线，坚决杜绝类似行为再次发生。</w:t>
      </w:r>
    </w:p>
    <w:p>
      <w:pPr>
        <w:spacing w:line="240" w:lineRule="auto" w:before="11"/>
        <w:rPr>
          <w:rFonts w:ascii="宋体" w:hAnsi="宋体" w:cs="宋体" w:eastAsia="宋体" w:hint="default"/>
          <w:sz w:val="20"/>
          <w:szCs w:val="20"/>
        </w:rPr>
      </w:pPr>
    </w:p>
    <w:p>
      <w:pPr>
        <w:pStyle w:val="Heading2"/>
        <w:spacing w:line="240" w:lineRule="auto"/>
        <w:ind w:right="986"/>
        <w:jc w:val="left"/>
        <w:rPr>
          <w:b w:val="0"/>
          <w:bCs w:val="0"/>
        </w:rPr>
      </w:pPr>
      <w:bookmarkStart w:name="十四、公司及其控股股东、实际控制人的诚信状况" w:id="81"/>
      <w:bookmarkEnd w:id="81"/>
      <w:r>
        <w:rPr>
          <w:b w:val="0"/>
          <w:bCs w:val="0"/>
        </w:rPr>
      </w:r>
      <w:r>
        <w:rPr/>
        <w:t>十四、公司及其控股股东、实际控制人的诚信状况</w:t>
      </w:r>
      <w:r>
        <w:rPr>
          <w:b w:val="0"/>
          <w:bCs w:val="0"/>
        </w:rPr>
      </w:r>
    </w:p>
    <w:p>
      <w:pPr>
        <w:spacing w:line="240" w:lineRule="auto" w:before="6"/>
        <w:rPr>
          <w:rFonts w:ascii="宋体" w:hAnsi="宋体" w:cs="宋体" w:eastAsia="宋体" w:hint="default"/>
          <w:b/>
          <w:bCs/>
          <w:sz w:val="26"/>
          <w:szCs w:val="26"/>
        </w:rPr>
      </w:pPr>
    </w:p>
    <w:p>
      <w:pPr>
        <w:pStyle w:val="BodyText"/>
        <w:spacing w:line="357" w:lineRule="auto" w:before="0"/>
        <w:ind w:right="1394"/>
        <w:jc w:val="left"/>
      </w:pPr>
      <w:r>
        <w:rPr/>
        <w:t>√ 适用 □</w:t>
      </w:r>
      <w:r>
        <w:rPr>
          <w:spacing w:val="3"/>
        </w:rPr>
        <w:t> </w:t>
      </w:r>
      <w:r>
        <w:rPr/>
        <w:t>不适用</w:t>
      </w:r>
      <w:r>
        <w:rPr/>
        <w:t> 报告期内公司及其控股股东、实际控制人的诚信状况良好，不存在未履行法院生效判决、较大到期未清偿债务等情况。</w:t>
      </w:r>
    </w:p>
    <w:p>
      <w:pPr>
        <w:spacing w:line="240" w:lineRule="auto" w:before="7"/>
        <w:rPr>
          <w:rFonts w:ascii="宋体" w:hAnsi="宋体" w:cs="宋体" w:eastAsia="宋体" w:hint="default"/>
          <w:sz w:val="18"/>
          <w:szCs w:val="18"/>
        </w:rPr>
      </w:pPr>
    </w:p>
    <w:p>
      <w:pPr>
        <w:pStyle w:val="Heading2"/>
        <w:spacing w:line="240" w:lineRule="auto"/>
        <w:ind w:right="986"/>
        <w:jc w:val="left"/>
        <w:rPr>
          <w:b w:val="0"/>
          <w:bCs w:val="0"/>
        </w:rPr>
      </w:pPr>
      <w:bookmarkStart w:name="十五、公司股权激励计划、员工持股计划或其他员工激励措施的实施情况" w:id="82"/>
      <w:bookmarkEnd w:id="82"/>
      <w:r>
        <w:rPr>
          <w:b w:val="0"/>
          <w:bCs w:val="0"/>
        </w:rPr>
      </w:r>
      <w:r>
        <w:rPr/>
        <w:t>十五、公司股权激励计划、员工持股计划或其他员工激励措施的实施情况</w:t>
      </w:r>
      <w:r>
        <w:rPr>
          <w:b w:val="0"/>
          <w:bCs w:val="0"/>
        </w:rPr>
      </w:r>
    </w:p>
    <w:p>
      <w:pPr>
        <w:spacing w:line="240" w:lineRule="auto" w:before="7"/>
        <w:rPr>
          <w:rFonts w:ascii="宋体" w:hAnsi="宋体" w:cs="宋体" w:eastAsia="宋体" w:hint="default"/>
          <w:b/>
          <w:bCs/>
          <w:sz w:val="26"/>
          <w:szCs w:val="26"/>
        </w:rPr>
      </w:pPr>
    </w:p>
    <w:p>
      <w:pPr>
        <w:pStyle w:val="BodyText"/>
        <w:spacing w:line="338" w:lineRule="auto" w:before="0"/>
        <w:ind w:right="1124"/>
        <w:jc w:val="left"/>
      </w:pPr>
      <w:r>
        <w:rPr/>
        <w:t>√ 适用 □</w:t>
      </w:r>
      <w:r>
        <w:rPr>
          <w:spacing w:val="3"/>
        </w:rPr>
        <w:t> </w:t>
      </w:r>
      <w:r>
        <w:rPr/>
        <w:t>不适用</w:t>
      </w:r>
      <w:r>
        <w:rPr/>
        <w:t> 公司于</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29</w:t>
      </w:r>
      <w:r>
        <w:rPr/>
        <w:t>日召开第九届董事会第十九次会议、</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16</w:t>
      </w:r>
      <w:r>
        <w:rPr/>
        <w:t>日召开</w:t>
      </w:r>
      <w:r>
        <w:rPr>
          <w:rFonts w:ascii="宋体" w:hAnsi="宋体" w:cs="宋体" w:eastAsia="宋体" w:hint="default"/>
        </w:rPr>
        <w:t>2017</w:t>
      </w:r>
      <w:r>
        <w:rPr/>
        <w:t>年第五次临时股东大会审议通过了《关于 </w:t>
      </w:r>
      <w:r>
        <w:rPr>
          <w:spacing w:val="-5"/>
        </w:rPr>
        <w:t>员工持股计划（草案）及摘要的议案》及相关议案。本期员工持股计划设立后委托信托公司成立集合资金信托计划予以实施。</w:t>
      </w:r>
    </w:p>
    <w:p>
      <w:pPr>
        <w:pStyle w:val="BodyText"/>
        <w:spacing w:line="316" w:lineRule="auto" w:before="2"/>
        <w:ind w:right="1034"/>
        <w:jc w:val="left"/>
      </w:pPr>
      <w:r>
        <w:rPr>
          <w:spacing w:val="-2"/>
        </w:rPr>
        <w:t>集合资金信托计划份额规模为</w:t>
      </w:r>
      <w:r>
        <w:rPr>
          <w:rFonts w:ascii="宋体" w:hAnsi="宋体" w:cs="宋体" w:eastAsia="宋体" w:hint="default"/>
          <w:spacing w:val="-2"/>
        </w:rPr>
        <w:t>12,500</w:t>
      </w:r>
      <w:r>
        <w:rPr>
          <w:spacing w:val="-2"/>
        </w:rPr>
        <w:t>万份，每份</w:t>
      </w:r>
      <w:r>
        <w:rPr>
          <w:rFonts w:ascii="宋体" w:hAnsi="宋体" w:cs="宋体" w:eastAsia="宋体" w:hint="default"/>
          <w:spacing w:val="-2"/>
        </w:rPr>
        <w:t>1</w:t>
      </w:r>
      <w:r>
        <w:rPr>
          <w:spacing w:val="-2"/>
        </w:rPr>
        <w:t>元，按照</w:t>
      </w:r>
      <w:r>
        <w:rPr>
          <w:rFonts w:ascii="宋体" w:hAnsi="宋体" w:cs="宋体" w:eastAsia="宋体" w:hint="default"/>
          <w:spacing w:val="-2"/>
        </w:rPr>
        <w:t>1.5:1</w:t>
      </w:r>
      <w:r>
        <w:rPr>
          <w:spacing w:val="-2"/>
        </w:rPr>
        <w:t>设立优先级份额和劣后级份额，本期员工持股计划筹集资金</w:t>
      </w:r>
      <w:r>
        <w:rPr>
          <w:spacing w:val="-56"/>
        </w:rPr>
        <w:t> </w:t>
      </w:r>
      <w:r>
        <w:rPr>
          <w:spacing w:val="-56"/>
        </w:rPr>
      </w:r>
      <w:r>
        <w:rPr/>
        <w:t>全额认购集合资金信托计划的劣后级份额。截止</w:t>
      </w:r>
      <w:r>
        <w:rPr>
          <w:rFonts w:ascii="宋体" w:hAnsi="宋体" w:cs="宋体" w:eastAsia="宋体" w:hint="default"/>
        </w:rPr>
        <w:t>2018</w:t>
      </w:r>
      <w:r>
        <w:rPr/>
        <w:t>年</w:t>
      </w:r>
      <w:r>
        <w:rPr>
          <w:rFonts w:ascii="宋体" w:hAnsi="宋体" w:cs="宋体" w:eastAsia="宋体" w:hint="default"/>
        </w:rPr>
        <w:t>4</w:t>
      </w:r>
      <w:r>
        <w:rPr/>
        <w:t>月</w:t>
      </w:r>
      <w:r>
        <w:rPr>
          <w:rFonts w:ascii="宋体" w:hAnsi="宋体" w:cs="宋体" w:eastAsia="宋体" w:hint="default"/>
        </w:rPr>
        <w:t>13</w:t>
      </w:r>
      <w:r>
        <w:rPr/>
        <w:t>日，公司员工持股计划通过深圳证券交易所交易系统竞价交易 方式已买入公司股票</w:t>
      </w:r>
      <w:r>
        <w:rPr>
          <w:rFonts w:ascii="宋体" w:hAnsi="宋体" w:cs="宋体" w:eastAsia="宋体" w:hint="default"/>
        </w:rPr>
        <w:t>5,969,078</w:t>
      </w:r>
      <w:r>
        <w:rPr/>
        <w:t>股，约占公司已发行总股本的</w:t>
      </w:r>
      <w:r>
        <w:rPr>
          <w:rFonts w:ascii="宋体" w:hAnsi="宋体" w:cs="宋体" w:eastAsia="宋体" w:hint="default"/>
        </w:rPr>
        <w:t>1.14%</w:t>
      </w:r>
      <w:r>
        <w:rPr/>
        <w:t>，成交金额为</w:t>
      </w:r>
      <w:r>
        <w:rPr>
          <w:rFonts w:ascii="宋体" w:hAnsi="宋体" w:cs="宋体" w:eastAsia="宋体" w:hint="default"/>
        </w:rPr>
        <w:t>11,204.7</w:t>
      </w:r>
      <w:r>
        <w:rPr/>
        <w:t>万元，成交均价约为</w:t>
      </w:r>
      <w:r>
        <w:rPr>
          <w:rFonts w:ascii="宋体" w:hAnsi="宋体" w:cs="宋体" w:eastAsia="宋体" w:hint="default"/>
        </w:rPr>
        <w:t>18.77</w:t>
      </w:r>
      <w:r>
        <w:rPr/>
        <w:t>元</w:t>
      </w:r>
      <w:r>
        <w:rPr>
          <w:rFonts w:ascii="宋体" w:hAnsi="宋体" w:cs="宋体" w:eastAsia="宋体" w:hint="default"/>
        </w:rPr>
        <w:t>/</w:t>
      </w:r>
      <w:r>
        <w:rPr/>
        <w:t>股。</w:t>
      </w:r>
      <w:r>
        <w:rPr>
          <w:spacing w:val="2"/>
        </w:rPr>
        <w:t> </w:t>
      </w:r>
      <w:r>
        <w:rPr>
          <w:spacing w:val="-2"/>
        </w:rPr>
        <w:t>公司已完成本期员工持股计划标的股票的购买。根据相关规定，本次员工持股计划所购买的股票锁定期为员工持股计划完成</w:t>
      </w:r>
      <w:r>
        <w:rPr>
          <w:spacing w:val="-64"/>
        </w:rPr>
        <w:t> </w:t>
      </w:r>
      <w:r>
        <w:rPr>
          <w:spacing w:val="-64"/>
        </w:rPr>
      </w:r>
      <w:r>
        <w:rPr/>
        <w:t>股票购买的公告披露之日起</w:t>
      </w:r>
      <w:r>
        <w:rPr>
          <w:rFonts w:ascii="宋体" w:hAnsi="宋体" w:cs="宋体" w:eastAsia="宋体" w:hint="default"/>
        </w:rPr>
        <w:t>12</w:t>
      </w:r>
      <w:r>
        <w:rPr/>
        <w:t>个月。</w:t>
      </w:r>
    </w:p>
    <w:p>
      <w:pPr>
        <w:pStyle w:val="BodyText"/>
        <w:spacing w:line="240" w:lineRule="auto" w:before="19"/>
        <w:ind w:right="986"/>
        <w:jc w:val="left"/>
      </w:pP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7</w:t>
      </w:r>
      <w:r>
        <w:rPr/>
        <w:t>年</w:t>
      </w:r>
      <w:r>
        <w:rPr>
          <w:rFonts w:ascii="宋体" w:hAnsi="宋体" w:cs="宋体" w:eastAsia="宋体" w:hint="default"/>
          <w:spacing w:val="-2"/>
        </w:rPr>
        <w:t>1</w:t>
      </w:r>
      <w:r>
        <w:rPr>
          <w:rFonts w:ascii="宋体" w:hAnsi="宋体" w:cs="宋体" w:eastAsia="宋体" w:hint="default"/>
          <w:spacing w:val="1"/>
        </w:rPr>
        <w:t>0</w:t>
      </w:r>
      <w:r>
        <w:rPr>
          <w:spacing w:val="-1"/>
        </w:rPr>
        <w:t>月</w:t>
      </w:r>
      <w:r>
        <w:rPr>
          <w:rFonts w:ascii="宋体" w:hAnsi="宋体" w:cs="宋体" w:eastAsia="宋体" w:hint="default"/>
          <w:spacing w:val="-2"/>
        </w:rPr>
        <w:t>1</w:t>
      </w:r>
      <w:r>
        <w:rPr>
          <w:rFonts w:ascii="宋体" w:hAnsi="宋体" w:cs="宋体" w:eastAsia="宋体" w:hint="default"/>
          <w:spacing w:val="1"/>
        </w:rPr>
        <w:t>7</w:t>
      </w:r>
      <w:r>
        <w:rPr/>
        <w:t>日公司在巨潮</w:t>
      </w:r>
      <w:r>
        <w:rPr>
          <w:spacing w:val="-3"/>
        </w:rPr>
        <w:t>资</w:t>
      </w:r>
      <w:r>
        <w:rPr/>
        <w:t>讯网披露的《第一期员工持股计划</w:t>
      </w:r>
      <w:r>
        <w:rPr>
          <w:spacing w:val="-92"/>
        </w:rPr>
        <w:t>》</w:t>
      </w:r>
      <w:r>
        <w:rPr/>
        <w:t>；</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ind w:right="986"/>
        <w:jc w:val="left"/>
      </w:pP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7</w:t>
      </w:r>
      <w:r>
        <w:rPr/>
        <w:t>年</w:t>
      </w:r>
      <w:r>
        <w:rPr>
          <w:rFonts w:ascii="宋体" w:hAnsi="宋体" w:cs="宋体" w:eastAsia="宋体" w:hint="default"/>
          <w:spacing w:val="-2"/>
        </w:rPr>
        <w:t>1</w:t>
      </w:r>
      <w:r>
        <w:rPr>
          <w:rFonts w:ascii="宋体" w:hAnsi="宋体" w:cs="宋体" w:eastAsia="宋体" w:hint="default"/>
          <w:spacing w:val="1"/>
        </w:rPr>
        <w:t>2</w:t>
      </w:r>
      <w:r>
        <w:rPr>
          <w:spacing w:val="-1"/>
        </w:rPr>
        <w:t>月</w:t>
      </w:r>
      <w:r>
        <w:rPr>
          <w:rFonts w:ascii="宋体" w:hAnsi="宋体" w:cs="宋体" w:eastAsia="宋体" w:hint="default"/>
          <w:spacing w:val="-2"/>
        </w:rPr>
        <w:t>2</w:t>
      </w:r>
      <w:r>
        <w:rPr>
          <w:rFonts w:ascii="宋体" w:hAnsi="宋体" w:cs="宋体" w:eastAsia="宋体" w:hint="default"/>
          <w:spacing w:val="1"/>
        </w:rPr>
        <w:t>0</w:t>
      </w:r>
      <w:r>
        <w:rPr/>
        <w:t>日公司在巨潮</w:t>
      </w:r>
      <w:r>
        <w:rPr>
          <w:spacing w:val="-3"/>
        </w:rPr>
        <w:t>资</w:t>
      </w:r>
      <w:r>
        <w:rPr/>
        <w:t>讯网披露的《关于员工持股计划进展的公告</w:t>
      </w:r>
      <w:r>
        <w:rPr>
          <w:spacing w:val="-92"/>
        </w:rPr>
        <w:t>》</w:t>
      </w:r>
      <w:r>
        <w:rPr>
          <w:spacing w:val="1"/>
        </w:rPr>
        <w:t>（</w:t>
      </w:r>
      <w:r>
        <w:rPr>
          <w:rFonts w:ascii="宋体" w:hAnsi="宋体" w:cs="宋体" w:eastAsia="宋体" w:hint="default"/>
          <w:spacing w:val="1"/>
        </w:rPr>
        <w:t>201</w:t>
      </w:r>
      <w:r>
        <w:rPr>
          <w:rFonts w:ascii="宋体" w:hAnsi="宋体" w:cs="宋体" w:eastAsia="宋体" w:hint="default"/>
          <w:spacing w:val="-2"/>
        </w:rPr>
        <w:t>7</w:t>
      </w:r>
      <w:r>
        <w:rPr>
          <w:rFonts w:ascii="宋体" w:hAnsi="宋体" w:cs="宋体" w:eastAsia="宋体" w:hint="default"/>
          <w:spacing w:val="1"/>
        </w:rPr>
        <w:t>-</w:t>
      </w:r>
      <w:r>
        <w:rPr>
          <w:rFonts w:ascii="宋体" w:hAnsi="宋体" w:cs="宋体" w:eastAsia="宋体" w:hint="default"/>
          <w:spacing w:val="-2"/>
        </w:rPr>
        <w:t>1</w:t>
      </w:r>
      <w:r>
        <w:rPr>
          <w:rFonts w:ascii="宋体" w:hAnsi="宋体" w:cs="宋体" w:eastAsia="宋体" w:hint="default"/>
          <w:spacing w:val="1"/>
        </w:rPr>
        <w:t>53</w:t>
      </w:r>
      <w:r>
        <w:rPr>
          <w:spacing w:val="-92"/>
        </w:rPr>
        <w:t>）；</w:t>
      </w:r>
      <w:r>
        <w:rPr/>
      </w:r>
    </w:p>
    <w:p>
      <w:pPr>
        <w:pStyle w:val="BodyText"/>
        <w:spacing w:line="240" w:lineRule="auto" w:before="77"/>
        <w:ind w:right="986"/>
        <w:jc w:val="left"/>
      </w:pP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7</w:t>
      </w:r>
      <w:r>
        <w:rPr/>
        <w:t>年</w:t>
      </w:r>
      <w:r>
        <w:rPr>
          <w:rFonts w:ascii="宋体" w:hAnsi="宋体" w:cs="宋体" w:eastAsia="宋体" w:hint="default"/>
          <w:spacing w:val="-2"/>
        </w:rPr>
        <w:t>1</w:t>
      </w:r>
      <w:r>
        <w:rPr>
          <w:rFonts w:ascii="宋体" w:hAnsi="宋体" w:cs="宋体" w:eastAsia="宋体" w:hint="default"/>
          <w:spacing w:val="1"/>
        </w:rPr>
        <w:t>2</w:t>
      </w:r>
      <w:r>
        <w:rPr>
          <w:spacing w:val="-1"/>
        </w:rPr>
        <w:t>月</w:t>
      </w:r>
      <w:r>
        <w:rPr>
          <w:rFonts w:ascii="宋体" w:hAnsi="宋体" w:cs="宋体" w:eastAsia="宋体" w:hint="default"/>
          <w:spacing w:val="-2"/>
        </w:rPr>
        <w:t>3</w:t>
      </w:r>
      <w:r>
        <w:rPr>
          <w:rFonts w:ascii="宋体" w:hAnsi="宋体" w:cs="宋体" w:eastAsia="宋体" w:hint="default"/>
          <w:spacing w:val="1"/>
        </w:rPr>
        <w:t>0</w:t>
      </w:r>
      <w:r>
        <w:rPr/>
        <w:t>日公司在巨潮</w:t>
      </w:r>
      <w:r>
        <w:rPr>
          <w:spacing w:val="-3"/>
        </w:rPr>
        <w:t>资</w:t>
      </w:r>
      <w:r>
        <w:rPr/>
        <w:t>讯网披露的《关于员工持股计划进展的公告</w:t>
      </w:r>
      <w:r>
        <w:rPr>
          <w:spacing w:val="-92"/>
        </w:rPr>
        <w:t>》</w:t>
      </w:r>
      <w:r>
        <w:rPr>
          <w:spacing w:val="1"/>
        </w:rPr>
        <w:t>（</w:t>
      </w:r>
      <w:r>
        <w:rPr>
          <w:rFonts w:ascii="宋体" w:hAnsi="宋体" w:cs="宋体" w:eastAsia="宋体" w:hint="default"/>
          <w:spacing w:val="1"/>
        </w:rPr>
        <w:t>201</w:t>
      </w:r>
      <w:r>
        <w:rPr>
          <w:rFonts w:ascii="宋体" w:hAnsi="宋体" w:cs="宋体" w:eastAsia="宋体" w:hint="default"/>
          <w:spacing w:val="-2"/>
        </w:rPr>
        <w:t>7</w:t>
      </w:r>
      <w:r>
        <w:rPr>
          <w:rFonts w:ascii="宋体" w:hAnsi="宋体" w:cs="宋体" w:eastAsia="宋体" w:hint="default"/>
          <w:spacing w:val="1"/>
        </w:rPr>
        <w:t>-</w:t>
      </w:r>
      <w:r>
        <w:rPr>
          <w:rFonts w:ascii="宋体" w:hAnsi="宋体" w:cs="宋体" w:eastAsia="宋体" w:hint="default"/>
          <w:spacing w:val="-2"/>
        </w:rPr>
        <w:t>1</w:t>
      </w:r>
      <w:r>
        <w:rPr>
          <w:rFonts w:ascii="宋体" w:hAnsi="宋体" w:cs="宋体" w:eastAsia="宋体" w:hint="default"/>
          <w:spacing w:val="1"/>
        </w:rPr>
        <w:t>55</w:t>
      </w:r>
      <w:r>
        <w:rPr>
          <w:spacing w:val="-92"/>
        </w:rPr>
        <w:t>）；</w:t>
      </w:r>
      <w:r>
        <w:rPr/>
      </w:r>
    </w:p>
    <w:p>
      <w:pPr>
        <w:pStyle w:val="BodyText"/>
        <w:spacing w:line="240" w:lineRule="auto" w:before="76"/>
        <w:ind w:right="986"/>
        <w:jc w:val="left"/>
      </w:pP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8</w:t>
      </w:r>
      <w:r>
        <w:rPr/>
        <w:t>年</w:t>
      </w:r>
      <w:r>
        <w:rPr>
          <w:rFonts w:ascii="宋体" w:hAnsi="宋体" w:cs="宋体" w:eastAsia="宋体" w:hint="default"/>
          <w:spacing w:val="1"/>
        </w:rPr>
        <w:t>2</w:t>
      </w:r>
      <w:r>
        <w:rPr>
          <w:spacing w:val="-3"/>
        </w:rPr>
        <w:t>月</w:t>
      </w:r>
      <w:r>
        <w:rPr>
          <w:rFonts w:ascii="宋体" w:hAnsi="宋体" w:cs="宋体" w:eastAsia="宋体" w:hint="default"/>
          <w:spacing w:val="1"/>
        </w:rPr>
        <w:t>1</w:t>
      </w:r>
      <w:r>
        <w:rPr/>
        <w:t>日公司在巨潮资</w:t>
      </w:r>
      <w:r>
        <w:rPr>
          <w:spacing w:val="-3"/>
        </w:rPr>
        <w:t>讯</w:t>
      </w:r>
      <w:r>
        <w:rPr/>
        <w:t>网披露的《关于员工持股计划实施的进展公告</w:t>
      </w:r>
      <w:r>
        <w:rPr>
          <w:spacing w:val="-92"/>
        </w:rPr>
        <w:t>》</w:t>
      </w:r>
      <w:r>
        <w:rPr>
          <w:spacing w:val="1"/>
        </w:rPr>
        <w:t>（</w:t>
      </w:r>
      <w:r>
        <w:rPr>
          <w:rFonts w:ascii="宋体" w:hAnsi="宋体" w:cs="宋体" w:eastAsia="宋体" w:hint="default"/>
          <w:spacing w:val="1"/>
        </w:rPr>
        <w:t>201</w:t>
      </w:r>
      <w:r>
        <w:rPr>
          <w:rFonts w:ascii="宋体" w:hAnsi="宋体" w:cs="宋体" w:eastAsia="宋体" w:hint="default"/>
          <w:spacing w:val="-2"/>
        </w:rPr>
        <w:t>8</w:t>
      </w:r>
      <w:r>
        <w:rPr>
          <w:rFonts w:ascii="宋体" w:hAnsi="宋体" w:cs="宋体" w:eastAsia="宋体" w:hint="default"/>
          <w:spacing w:val="1"/>
        </w:rPr>
        <w:t>-</w:t>
      </w:r>
      <w:r>
        <w:rPr>
          <w:rFonts w:ascii="宋体" w:hAnsi="宋体" w:cs="宋体" w:eastAsia="宋体" w:hint="default"/>
          <w:spacing w:val="-2"/>
        </w:rPr>
        <w:t>0</w:t>
      </w:r>
      <w:r>
        <w:rPr>
          <w:rFonts w:ascii="宋体" w:hAnsi="宋体" w:cs="宋体" w:eastAsia="宋体" w:hint="default"/>
          <w:spacing w:val="1"/>
        </w:rPr>
        <w:t>07</w:t>
      </w:r>
      <w:r>
        <w:rPr>
          <w:spacing w:val="-94"/>
        </w:rPr>
        <w:t>）；</w:t>
      </w:r>
      <w:r>
        <w:rPr/>
      </w:r>
    </w:p>
    <w:p>
      <w:pPr>
        <w:pStyle w:val="BodyText"/>
        <w:spacing w:line="240" w:lineRule="auto" w:before="76"/>
        <w:ind w:right="986"/>
        <w:jc w:val="left"/>
      </w:pP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8</w:t>
      </w:r>
      <w:r>
        <w:rPr/>
        <w:t>年</w:t>
      </w:r>
      <w:r>
        <w:rPr>
          <w:rFonts w:ascii="宋体" w:hAnsi="宋体" w:cs="宋体" w:eastAsia="宋体" w:hint="default"/>
          <w:spacing w:val="1"/>
        </w:rPr>
        <w:t>3</w:t>
      </w:r>
      <w:r>
        <w:rPr>
          <w:spacing w:val="-3"/>
        </w:rPr>
        <w:t>月</w:t>
      </w:r>
      <w:r>
        <w:rPr>
          <w:rFonts w:ascii="宋体" w:hAnsi="宋体" w:cs="宋体" w:eastAsia="宋体" w:hint="default"/>
          <w:spacing w:val="1"/>
        </w:rPr>
        <w:t>1</w:t>
      </w:r>
      <w:r>
        <w:rPr/>
        <w:t>日公司在巨潮资</w:t>
      </w:r>
      <w:r>
        <w:rPr>
          <w:spacing w:val="-3"/>
        </w:rPr>
        <w:t>讯</w:t>
      </w:r>
      <w:r>
        <w:rPr/>
        <w:t>网披露的《关于员工持股计划实施的进展公告</w:t>
      </w:r>
      <w:r>
        <w:rPr>
          <w:spacing w:val="-92"/>
        </w:rPr>
        <w:t>》</w:t>
      </w:r>
      <w:r>
        <w:rPr>
          <w:spacing w:val="1"/>
        </w:rPr>
        <w:t>（</w:t>
      </w:r>
      <w:r>
        <w:rPr>
          <w:rFonts w:ascii="宋体" w:hAnsi="宋体" w:cs="宋体" w:eastAsia="宋体" w:hint="default"/>
          <w:spacing w:val="1"/>
        </w:rPr>
        <w:t>201</w:t>
      </w:r>
      <w:r>
        <w:rPr>
          <w:rFonts w:ascii="宋体" w:hAnsi="宋体" w:cs="宋体" w:eastAsia="宋体" w:hint="default"/>
          <w:spacing w:val="-2"/>
        </w:rPr>
        <w:t>8</w:t>
      </w:r>
      <w:r>
        <w:rPr>
          <w:rFonts w:ascii="宋体" w:hAnsi="宋体" w:cs="宋体" w:eastAsia="宋体" w:hint="default"/>
          <w:spacing w:val="1"/>
        </w:rPr>
        <w:t>-</w:t>
      </w:r>
      <w:r>
        <w:rPr>
          <w:rFonts w:ascii="宋体" w:hAnsi="宋体" w:cs="宋体" w:eastAsia="宋体" w:hint="default"/>
          <w:spacing w:val="-2"/>
        </w:rPr>
        <w:t>0</w:t>
      </w:r>
      <w:r>
        <w:rPr>
          <w:rFonts w:ascii="宋体" w:hAnsi="宋体" w:cs="宋体" w:eastAsia="宋体" w:hint="default"/>
          <w:spacing w:val="1"/>
        </w:rPr>
        <w:t>12</w:t>
      </w:r>
      <w:r>
        <w:rPr>
          <w:spacing w:val="-94"/>
        </w:rPr>
        <w:t>）；</w:t>
      </w:r>
      <w:r>
        <w:rPr/>
      </w:r>
    </w:p>
    <w:p>
      <w:pPr>
        <w:pStyle w:val="BodyText"/>
        <w:spacing w:line="240" w:lineRule="auto" w:before="76"/>
        <w:ind w:right="986"/>
        <w:jc w:val="left"/>
      </w:pP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8</w:t>
      </w:r>
      <w:r>
        <w:rPr/>
        <w:t>年</w:t>
      </w:r>
      <w:r>
        <w:rPr>
          <w:rFonts w:ascii="宋体" w:hAnsi="宋体" w:cs="宋体" w:eastAsia="宋体" w:hint="default"/>
          <w:spacing w:val="1"/>
        </w:rPr>
        <w:t>4</w:t>
      </w:r>
      <w:r>
        <w:rPr>
          <w:spacing w:val="-3"/>
        </w:rPr>
        <w:t>月</w:t>
      </w:r>
      <w:r>
        <w:rPr>
          <w:rFonts w:ascii="宋体" w:hAnsi="宋体" w:cs="宋体" w:eastAsia="宋体" w:hint="default"/>
          <w:spacing w:val="1"/>
        </w:rPr>
        <w:t>1</w:t>
      </w:r>
      <w:r>
        <w:rPr/>
        <w:t>日公司在巨潮资</w:t>
      </w:r>
      <w:r>
        <w:rPr>
          <w:spacing w:val="-3"/>
        </w:rPr>
        <w:t>讯</w:t>
      </w:r>
      <w:r>
        <w:rPr/>
        <w:t>网披露的《关于员工持股计划实施的进展公告</w:t>
      </w:r>
      <w:r>
        <w:rPr>
          <w:spacing w:val="-92"/>
        </w:rPr>
        <w:t>》</w:t>
      </w:r>
      <w:r>
        <w:rPr>
          <w:spacing w:val="1"/>
        </w:rPr>
        <w:t>（</w:t>
      </w:r>
      <w:r>
        <w:rPr>
          <w:rFonts w:ascii="宋体" w:hAnsi="宋体" w:cs="宋体" w:eastAsia="宋体" w:hint="default"/>
          <w:spacing w:val="1"/>
        </w:rPr>
        <w:t>201</w:t>
      </w:r>
      <w:r>
        <w:rPr>
          <w:rFonts w:ascii="宋体" w:hAnsi="宋体" w:cs="宋体" w:eastAsia="宋体" w:hint="default"/>
          <w:spacing w:val="-2"/>
        </w:rPr>
        <w:t>8</w:t>
      </w:r>
      <w:r>
        <w:rPr>
          <w:rFonts w:ascii="宋体" w:hAnsi="宋体" w:cs="宋体" w:eastAsia="宋体" w:hint="default"/>
          <w:spacing w:val="1"/>
        </w:rPr>
        <w:t>-</w:t>
      </w:r>
      <w:r>
        <w:rPr>
          <w:rFonts w:ascii="宋体" w:hAnsi="宋体" w:cs="宋体" w:eastAsia="宋体" w:hint="default"/>
          <w:spacing w:val="-2"/>
        </w:rPr>
        <w:t>0</w:t>
      </w:r>
      <w:r>
        <w:rPr>
          <w:rFonts w:ascii="宋体" w:hAnsi="宋体" w:cs="宋体" w:eastAsia="宋体" w:hint="default"/>
          <w:spacing w:val="1"/>
        </w:rPr>
        <w:t>26</w:t>
      </w:r>
      <w:r>
        <w:rPr>
          <w:spacing w:val="-94"/>
        </w:rPr>
        <w:t>）；</w:t>
      </w:r>
      <w:r>
        <w:rPr/>
      </w:r>
    </w:p>
    <w:p>
      <w:pPr>
        <w:pStyle w:val="BodyText"/>
        <w:spacing w:line="240" w:lineRule="auto" w:before="76"/>
        <w:ind w:right="986"/>
        <w:jc w:val="left"/>
      </w:pP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8</w:t>
      </w:r>
      <w:r>
        <w:rPr/>
        <w:t>年</w:t>
      </w:r>
      <w:r>
        <w:rPr>
          <w:rFonts w:ascii="宋体" w:hAnsi="宋体" w:cs="宋体" w:eastAsia="宋体" w:hint="default"/>
          <w:spacing w:val="1"/>
        </w:rPr>
        <w:t>4</w:t>
      </w:r>
      <w:r>
        <w:rPr>
          <w:spacing w:val="-3"/>
        </w:rPr>
        <w:t>月</w:t>
      </w:r>
      <w:r>
        <w:rPr>
          <w:rFonts w:ascii="宋体" w:hAnsi="宋体" w:cs="宋体" w:eastAsia="宋体" w:hint="default"/>
          <w:spacing w:val="1"/>
        </w:rPr>
        <w:t>14</w:t>
      </w:r>
      <w:r>
        <w:rPr/>
        <w:t>日公司在巨潮资</w:t>
      </w:r>
      <w:r>
        <w:rPr>
          <w:spacing w:val="-3"/>
        </w:rPr>
        <w:t>讯</w:t>
      </w:r>
      <w:r>
        <w:rPr/>
        <w:t>网披露的《关于员工持股计划完成股票购买的公告</w:t>
      </w:r>
      <w:r>
        <w:rPr>
          <w:spacing w:val="-92"/>
        </w:rPr>
        <w:t>》</w:t>
      </w:r>
      <w:r>
        <w:rPr>
          <w:spacing w:val="1"/>
        </w:rPr>
        <w:t>（</w:t>
      </w:r>
      <w:r>
        <w:rPr>
          <w:rFonts w:ascii="宋体" w:hAnsi="宋体" w:cs="宋体" w:eastAsia="宋体" w:hint="default"/>
          <w:spacing w:val="1"/>
        </w:rPr>
        <w:t>201</w:t>
      </w:r>
      <w:r>
        <w:rPr>
          <w:rFonts w:ascii="宋体" w:hAnsi="宋体" w:cs="宋体" w:eastAsia="宋体" w:hint="default"/>
          <w:spacing w:val="-2"/>
        </w:rPr>
        <w:t>8</w:t>
      </w:r>
      <w:r>
        <w:rPr>
          <w:rFonts w:ascii="宋体" w:hAnsi="宋体" w:cs="宋体" w:eastAsia="宋体" w:hint="default"/>
          <w:spacing w:val="1"/>
        </w:rPr>
        <w:t>-</w:t>
      </w:r>
      <w:r>
        <w:rPr>
          <w:rFonts w:ascii="宋体" w:hAnsi="宋体" w:cs="宋体" w:eastAsia="宋体" w:hint="default"/>
          <w:spacing w:val="-2"/>
        </w:rPr>
        <w:t>0</w:t>
      </w:r>
      <w:r>
        <w:rPr>
          <w:rFonts w:ascii="宋体" w:hAnsi="宋体" w:cs="宋体" w:eastAsia="宋体" w:hint="default"/>
          <w:spacing w:val="1"/>
        </w:rPr>
        <w:t>30</w:t>
      </w:r>
      <w:r>
        <w:rPr>
          <w:spacing w:val="-92"/>
        </w:rPr>
        <w:t>）。</w:t>
      </w:r>
      <w:r>
        <w:rPr/>
      </w: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bookmarkStart w:name="十六、重大关联交易" w:id="83"/>
      <w:bookmarkEnd w:id="83"/>
      <w:r>
        <w:rPr>
          <w:b w:val="0"/>
          <w:bCs w:val="0"/>
        </w:rPr>
      </w:r>
      <w:r>
        <w:rPr/>
        <w:t>十六、重大关联交易</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与日常经营相关的关联交易" w:id="84"/>
      <w:bookmarkEnd w:id="84"/>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6794"/>
        <w:jc w:val="left"/>
      </w:pPr>
      <w:r>
        <w:rPr/>
        <w:t>□ 适用 √</w:t>
      </w:r>
      <w:r>
        <w:rPr>
          <w:spacing w:val="3"/>
        </w:rPr>
        <w:t> </w:t>
      </w:r>
      <w:r>
        <w:rPr/>
        <w:t>不适用</w:t>
      </w:r>
      <w:r>
        <w:rPr/>
        <w:t> 公司报告期未发生与日常经营相关的关联交易。</w:t>
      </w:r>
    </w:p>
    <w:p>
      <w:pPr>
        <w:spacing w:line="240" w:lineRule="auto" w:before="2"/>
        <w:rPr>
          <w:rFonts w:ascii="宋体" w:hAnsi="宋体" w:cs="宋体" w:eastAsia="宋体" w:hint="default"/>
          <w:sz w:val="20"/>
          <w:szCs w:val="20"/>
        </w:rPr>
      </w:pPr>
    </w:p>
    <w:p>
      <w:pPr>
        <w:pStyle w:val="Heading4"/>
        <w:spacing w:line="240" w:lineRule="auto"/>
        <w:ind w:right="986"/>
        <w:jc w:val="left"/>
        <w:rPr>
          <w:b w:val="0"/>
          <w:bCs w:val="0"/>
        </w:rPr>
      </w:pPr>
      <w:bookmarkStart w:name="2、资产或股权收购、出售发生的关联交易" w:id="85"/>
      <w:bookmarkEnd w:id="85"/>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6434"/>
        <w:jc w:val="left"/>
      </w:pPr>
      <w:r>
        <w:rPr/>
        <w:t>□ 适用 √</w:t>
      </w:r>
      <w:r>
        <w:rPr>
          <w:spacing w:val="3"/>
        </w:rPr>
        <w:t> </w:t>
      </w:r>
      <w:r>
        <w:rPr/>
        <w:t>不适用</w:t>
      </w:r>
      <w:r>
        <w:rPr/>
        <w:t> 公司报告期未发生资产或股权收购、出售的关联交易。</w:t>
      </w:r>
    </w:p>
    <w:p>
      <w:pPr>
        <w:spacing w:line="240" w:lineRule="auto" w:before="4"/>
        <w:rPr>
          <w:rFonts w:ascii="宋体" w:hAnsi="宋体" w:cs="宋体" w:eastAsia="宋体" w:hint="default"/>
          <w:sz w:val="20"/>
          <w:szCs w:val="20"/>
        </w:rPr>
      </w:pPr>
    </w:p>
    <w:p>
      <w:pPr>
        <w:pStyle w:val="Heading4"/>
        <w:spacing w:line="240" w:lineRule="auto"/>
        <w:ind w:right="986"/>
        <w:jc w:val="left"/>
        <w:rPr>
          <w:b w:val="0"/>
          <w:bCs w:val="0"/>
        </w:rPr>
      </w:pPr>
      <w:bookmarkStart w:name="3、共同对外投资的关联交易" w:id="86"/>
      <w:bookmarkEnd w:id="86"/>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7154"/>
        <w:jc w:val="left"/>
      </w:pPr>
      <w:r>
        <w:rPr/>
        <w:t>□ 适用 √</w:t>
      </w:r>
      <w:r>
        <w:rPr>
          <w:spacing w:val="3"/>
        </w:rPr>
        <w:t> </w:t>
      </w:r>
      <w:r>
        <w:rPr/>
        <w:t>不适用</w:t>
      </w:r>
      <w:r>
        <w:rPr/>
        <w:t> 公司报告期未发生共同对外投资的关联交易。</w:t>
      </w:r>
    </w:p>
    <w:p>
      <w:pPr>
        <w:spacing w:line="240" w:lineRule="auto" w:before="4"/>
        <w:rPr>
          <w:rFonts w:ascii="宋体" w:hAnsi="宋体" w:cs="宋体" w:eastAsia="宋体" w:hint="default"/>
          <w:sz w:val="20"/>
          <w:szCs w:val="20"/>
        </w:rPr>
      </w:pPr>
    </w:p>
    <w:p>
      <w:pPr>
        <w:pStyle w:val="Heading4"/>
        <w:spacing w:line="240" w:lineRule="auto"/>
        <w:ind w:right="986"/>
        <w:jc w:val="left"/>
        <w:rPr>
          <w:b w:val="0"/>
          <w:bCs w:val="0"/>
        </w:rPr>
      </w:pPr>
      <w:bookmarkStart w:name="4、关联债权债务往来" w:id="87"/>
      <w:bookmarkEnd w:id="87"/>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7694"/>
        <w:jc w:val="left"/>
      </w:pPr>
      <w:r>
        <w:rPr/>
        <w:t>□ 适用 √</w:t>
      </w:r>
      <w:r>
        <w:rPr>
          <w:spacing w:val="3"/>
        </w:rPr>
        <w:t> </w:t>
      </w:r>
      <w:r>
        <w:rPr/>
        <w:t>不适用</w:t>
      </w:r>
      <w:r>
        <w:rPr/>
        <w:t> 公司报告期不存在关联债权债务往来。</w:t>
      </w:r>
    </w:p>
    <w:p>
      <w:pPr>
        <w:spacing w:line="240" w:lineRule="auto" w:before="6"/>
        <w:rPr>
          <w:rFonts w:ascii="宋体" w:hAnsi="宋体" w:cs="宋体" w:eastAsia="宋体" w:hint="default"/>
          <w:sz w:val="20"/>
          <w:szCs w:val="20"/>
        </w:rPr>
      </w:pPr>
    </w:p>
    <w:p>
      <w:pPr>
        <w:pStyle w:val="Heading4"/>
        <w:spacing w:line="240" w:lineRule="auto"/>
        <w:ind w:right="986"/>
        <w:jc w:val="left"/>
        <w:rPr>
          <w:b w:val="0"/>
          <w:bCs w:val="0"/>
        </w:rPr>
      </w:pPr>
      <w:bookmarkStart w:name="5、其他重大关联交易" w:id="88"/>
      <w:bookmarkEnd w:id="88"/>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8054"/>
        <w:jc w:val="left"/>
      </w:pPr>
      <w:r>
        <w:rPr/>
        <w:t>□ 适用 √</w:t>
      </w:r>
      <w:r>
        <w:rPr>
          <w:spacing w:val="3"/>
        </w:rPr>
        <w:t> </w:t>
      </w:r>
      <w:r>
        <w:rPr/>
        <w:t>不适用</w:t>
      </w:r>
      <w:r>
        <w:rPr/>
        <w:t> 公司报告期无其他重大关联交易。</w:t>
      </w:r>
    </w:p>
    <w:p>
      <w:pPr>
        <w:spacing w:line="240" w:lineRule="auto" w:before="2"/>
        <w:rPr>
          <w:rFonts w:ascii="宋体" w:hAnsi="宋体" w:cs="宋体" w:eastAsia="宋体" w:hint="default"/>
          <w:sz w:val="18"/>
          <w:szCs w:val="18"/>
        </w:rPr>
      </w:pPr>
    </w:p>
    <w:p>
      <w:pPr>
        <w:pStyle w:val="Heading2"/>
        <w:spacing w:line="240" w:lineRule="auto"/>
        <w:ind w:right="986"/>
        <w:jc w:val="left"/>
        <w:rPr>
          <w:b w:val="0"/>
          <w:bCs w:val="0"/>
        </w:rPr>
      </w:pPr>
      <w:bookmarkStart w:name="十七、重大合同及其履行情况" w:id="89"/>
      <w:bookmarkEnd w:id="89"/>
      <w:r>
        <w:rPr>
          <w:b w:val="0"/>
          <w:bCs w:val="0"/>
        </w:rPr>
      </w:r>
      <w:r>
        <w:rPr/>
        <w:t>十七、重大合同及其履行情况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托管、承包、租赁事项情况" w:id="90"/>
      <w:bookmarkEnd w:id="90"/>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托管情况" w:id="91"/>
      <w:bookmarkEnd w:id="91"/>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8414"/>
        <w:jc w:val="left"/>
      </w:pPr>
      <w:r>
        <w:rPr/>
        <w:t>□ 适用 √</w:t>
      </w:r>
      <w:r>
        <w:rPr>
          <w:spacing w:val="3"/>
        </w:rPr>
        <w:t> </w:t>
      </w:r>
      <w:r>
        <w:rPr/>
        <w:t>不适用</w:t>
      </w:r>
      <w:r>
        <w:rPr/>
        <w:t> 公司报告期不存在托管情况。</w:t>
      </w:r>
    </w:p>
    <w:p>
      <w:pPr>
        <w:spacing w:after="0" w:line="36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2）承包情况" w:id="92"/>
      <w:bookmarkEnd w:id="92"/>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357" w:lineRule="auto" w:before="0"/>
        <w:ind w:right="8414"/>
        <w:jc w:val="left"/>
      </w:pPr>
      <w:r>
        <w:rPr/>
        <w:t>□ 适用 √</w:t>
      </w:r>
      <w:r>
        <w:rPr>
          <w:spacing w:val="3"/>
        </w:rPr>
        <w:t> </w:t>
      </w:r>
      <w:r>
        <w:rPr/>
        <w:t>不适用</w:t>
      </w:r>
      <w:r>
        <w:rPr/>
        <w:t> 公司报告期不存在承包情况。</w:t>
      </w:r>
    </w:p>
    <w:p>
      <w:pPr>
        <w:spacing w:line="240" w:lineRule="auto" w:before="6"/>
        <w:rPr>
          <w:rFonts w:ascii="宋体" w:hAnsi="宋体" w:cs="宋体" w:eastAsia="宋体" w:hint="default"/>
          <w:sz w:val="20"/>
          <w:szCs w:val="20"/>
        </w:rPr>
      </w:pPr>
    </w:p>
    <w:p>
      <w:pPr>
        <w:pStyle w:val="Heading4"/>
        <w:spacing w:line="240" w:lineRule="auto"/>
        <w:ind w:right="986"/>
        <w:jc w:val="left"/>
        <w:rPr>
          <w:b w:val="0"/>
          <w:bCs w:val="0"/>
        </w:rPr>
      </w:pPr>
      <w:bookmarkStart w:name="（3）租赁情况" w:id="93"/>
      <w:bookmarkEnd w:id="93"/>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8414"/>
        <w:jc w:val="left"/>
      </w:pPr>
      <w:r>
        <w:rPr/>
        <w:t>□ 适用 √</w:t>
      </w:r>
      <w:r>
        <w:rPr>
          <w:spacing w:val="3"/>
        </w:rPr>
        <w:t> </w:t>
      </w:r>
      <w:r>
        <w:rPr/>
        <w:t>不适用</w:t>
      </w:r>
      <w:r>
        <w:rPr/>
        <w:t> 公司报告期不存在租赁情况。</w:t>
      </w:r>
    </w:p>
    <w:p>
      <w:pPr>
        <w:spacing w:line="240" w:lineRule="auto" w:before="6"/>
        <w:rPr>
          <w:rFonts w:ascii="宋体" w:hAnsi="宋体" w:cs="宋体" w:eastAsia="宋体" w:hint="default"/>
          <w:sz w:val="20"/>
          <w:szCs w:val="20"/>
        </w:rPr>
      </w:pPr>
    </w:p>
    <w:p>
      <w:pPr>
        <w:pStyle w:val="Heading4"/>
        <w:spacing w:line="240" w:lineRule="auto"/>
        <w:ind w:right="986"/>
        <w:jc w:val="left"/>
        <w:rPr>
          <w:b w:val="0"/>
          <w:bCs w:val="0"/>
        </w:rPr>
      </w:pPr>
      <w:bookmarkStart w:name="2、重大担保" w:id="94"/>
      <w:bookmarkEnd w:id="94"/>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1）担保情况" w:id="95"/>
      <w:bookmarkEnd w:id="95"/>
      <w:r>
        <w:rPr>
          <w:b w:val="0"/>
          <w:bCs w:val="0"/>
        </w:rPr>
      </w:r>
      <w:r>
        <w:rPr/>
        <w:t>（</w:t>
      </w:r>
      <w:r>
        <w:rPr>
          <w:rFonts w:ascii="Times New Roman" w:hAnsi="Times New Roman" w:cs="Times New Roman" w:eastAsia="Times New Roman" w:hint="default"/>
        </w:rPr>
        <w:t>1</w:t>
      </w:r>
      <w:r>
        <w:rPr/>
        <w:t>）担保情况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709"/>
        <w:gridCol w:w="1107"/>
        <w:gridCol w:w="744"/>
        <w:gridCol w:w="1294"/>
        <w:gridCol w:w="1064"/>
        <w:gridCol w:w="1032"/>
        <w:gridCol w:w="1048"/>
        <w:gridCol w:w="793"/>
        <w:gridCol w:w="780"/>
      </w:tblGrid>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30" w:right="0"/>
              <w:jc w:val="left"/>
              <w:rPr>
                <w:rFonts w:ascii="宋体" w:hAnsi="宋体" w:cs="宋体" w:eastAsia="宋体" w:hint="default"/>
                <w:sz w:val="18"/>
                <w:szCs w:val="18"/>
              </w:rPr>
            </w:pPr>
            <w:r>
              <w:rPr>
                <w:rFonts w:ascii="宋体" w:hAnsi="宋体" w:cs="宋体" w:eastAsia="宋体" w:hint="default"/>
                <w:sz w:val="18"/>
                <w:szCs w:val="18"/>
              </w:rPr>
              <w:t>公司及其子公司对外担保情况（不包括对子公司的担保）</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7" w:right="1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87" w:right="185"/>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552" w:right="191" w:hanging="360"/>
              <w:jc w:val="left"/>
              <w:rPr>
                <w:rFonts w:ascii="宋体" w:hAnsi="宋体" w:cs="宋体" w:eastAsia="宋体" w:hint="default"/>
                <w:sz w:val="18"/>
                <w:szCs w:val="18"/>
              </w:rPr>
            </w:pPr>
            <w:r>
              <w:rPr>
                <w:rFonts w:ascii="宋体" w:hAnsi="宋体" w:cs="宋体" w:eastAsia="宋体" w:hint="default"/>
                <w:sz w:val="18"/>
                <w:szCs w:val="18"/>
              </w:rPr>
              <w:t>实际发生日 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348" w:right="165" w:hanging="181"/>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4"/>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25" w:right="115"/>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110"/>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6"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4"/>
              <w:jc w:val="left"/>
              <w:rPr>
                <w:rFonts w:ascii="宋体" w:hAnsi="宋体" w:cs="宋体" w:eastAsia="宋体" w:hint="default"/>
                <w:sz w:val="18"/>
                <w:szCs w:val="18"/>
              </w:rPr>
            </w:pPr>
            <w:r>
              <w:rPr>
                <w:rFonts w:ascii="宋体" w:hAnsi="宋体" w:cs="宋体" w:eastAsia="宋体" w:hint="default"/>
                <w:sz w:val="18"/>
                <w:szCs w:val="18"/>
              </w:rPr>
              <w:t>杭州通育投资合伙 企业（有限合伙）</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63,618</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.5</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63,618.5</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7"/>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4"/>
              <w:jc w:val="both"/>
              <w:rPr>
                <w:rFonts w:ascii="宋体" w:hAnsi="宋体" w:cs="宋体" w:eastAsia="宋体" w:hint="default"/>
                <w:sz w:val="18"/>
                <w:szCs w:val="18"/>
              </w:rPr>
            </w:pPr>
            <w:r>
              <w:rPr>
                <w:rFonts w:ascii="宋体" w:hAnsi="宋体" w:cs="宋体" w:eastAsia="宋体" w:hint="default"/>
                <w:sz w:val="18"/>
                <w:szCs w:val="18"/>
              </w:rPr>
              <w:t>苏州大通箐鹰投资 合伙企业（有限合 伙）</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37,650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37,650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03" w:right="197"/>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54"/>
              <w:jc w:val="left"/>
              <w:rPr>
                <w:rFonts w:ascii="宋体" w:hAnsi="宋体" w:cs="宋体" w:eastAsia="宋体" w:hint="default"/>
                <w:sz w:val="18"/>
                <w:szCs w:val="18"/>
              </w:rPr>
            </w:pPr>
            <w:r>
              <w:rPr>
                <w:rFonts w:ascii="宋体" w:hAnsi="宋体" w:cs="宋体" w:eastAsia="宋体" w:hint="default"/>
                <w:sz w:val="18"/>
                <w:szCs w:val="18"/>
              </w:rPr>
              <w:t>杭州通锐投资合伙 企业（有限合伙）</w:t>
            </w:r>
          </w:p>
        </w:tc>
        <w:tc>
          <w:tcPr>
            <w:tcW w:w="11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110,10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0</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55,050</w:t>
            </w:r>
          </w:p>
        </w:tc>
        <w:tc>
          <w:tcPr>
            <w:tcW w:w="10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97"/>
              <w:jc w:val="left"/>
              <w:rPr>
                <w:rFonts w:ascii="宋体" w:hAnsi="宋体" w:cs="宋体" w:eastAsia="宋体" w:hint="default"/>
                <w:sz w:val="18"/>
                <w:szCs w:val="18"/>
              </w:rPr>
            </w:pPr>
            <w:r>
              <w:rPr>
                <w:rFonts w:ascii="宋体" w:hAnsi="宋体" w:cs="宋体" w:eastAsia="宋体" w:hint="default"/>
                <w:sz w:val="18"/>
                <w:szCs w:val="18"/>
              </w:rPr>
              <w:t>连带责任 保证</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5</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9"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28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181"/>
              <w:jc w:val="left"/>
              <w:rPr>
                <w:rFonts w:ascii="宋体" w:hAnsi="宋体" w:cs="宋体" w:eastAsia="宋体" w:hint="default"/>
                <w:sz w:val="18"/>
                <w:szCs w:val="18"/>
              </w:rPr>
            </w:pPr>
            <w:r>
              <w:rPr>
                <w:rFonts w:ascii="宋体" w:hAnsi="宋体" w:cs="宋体" w:eastAsia="宋体" w:hint="default"/>
                <w:sz w:val="18"/>
                <w:szCs w:val="18"/>
              </w:rPr>
              <w:t>报告期内审批的对外担保额度合 计（</w:t>
            </w:r>
            <w:r>
              <w:rPr>
                <w:rFonts w:ascii="Times New Roman" w:hAnsi="Times New Roman" w:cs="Times New Roman" w:eastAsia="Times New Roman" w:hint="default"/>
                <w:sz w:val="18"/>
                <w:szCs w:val="18"/>
              </w:rPr>
              <w:t>A1</w:t>
            </w:r>
            <w:r>
              <w:rPr>
                <w:rFonts w:ascii="宋体" w:hAnsi="宋体" w:cs="宋体" w:eastAsia="宋体" w:hint="default"/>
                <w:sz w:val="18"/>
                <w:szCs w:val="18"/>
              </w:rPr>
              <w:t>）</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5" w:right="178"/>
              <w:jc w:val="left"/>
              <w:rPr>
                <w:rFonts w:ascii="宋体" w:hAnsi="宋体" w:cs="宋体" w:eastAsia="宋体" w:hint="default"/>
                <w:sz w:val="18"/>
                <w:szCs w:val="18"/>
              </w:rPr>
            </w:pPr>
            <w:r>
              <w:rPr>
                <w:rFonts w:ascii="宋体" w:hAnsi="宋体" w:cs="宋体" w:eastAsia="宋体" w:hint="default"/>
                <w:sz w:val="18"/>
                <w:szCs w:val="18"/>
              </w:rPr>
              <w:t>报告期内对外担保实际 发生额合计（</w:t>
            </w:r>
            <w:r>
              <w:rPr>
                <w:rFonts w:ascii="Times New Roman" w:hAnsi="Times New Roman" w:cs="Times New Roman" w:eastAsia="Times New Roman" w:hint="default"/>
                <w:sz w:val="18"/>
                <w:szCs w:val="18"/>
              </w:rPr>
              <w:t>A2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28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81"/>
              <w:jc w:val="left"/>
              <w:rPr>
                <w:rFonts w:ascii="宋体" w:hAnsi="宋体" w:cs="宋体" w:eastAsia="宋体" w:hint="default"/>
                <w:sz w:val="18"/>
                <w:szCs w:val="18"/>
              </w:rPr>
            </w:pPr>
            <w:r>
              <w:rPr>
                <w:rFonts w:ascii="宋体" w:hAnsi="宋体" w:cs="宋体" w:eastAsia="宋体" w:hint="default"/>
                <w:sz w:val="18"/>
                <w:szCs w:val="18"/>
              </w:rPr>
              <w:t>报告期末已审批的对外担保额度 合计（</w:t>
            </w:r>
            <w:r>
              <w:rPr>
                <w:rFonts w:ascii="Times New Roman" w:hAnsi="Times New Roman" w:cs="Times New Roman" w:eastAsia="Times New Roman" w:hint="default"/>
                <w:sz w:val="18"/>
                <w:szCs w:val="18"/>
              </w:rPr>
              <w:t>A3</w:t>
            </w:r>
            <w:r>
              <w:rPr>
                <w:rFonts w:ascii="宋体" w:hAnsi="宋体" w:cs="宋体" w:eastAsia="宋体" w:hint="default"/>
                <w:sz w:val="18"/>
                <w:szCs w:val="18"/>
              </w:rPr>
              <w:t>）</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12" w:right="0"/>
              <w:jc w:val="left"/>
              <w:rPr>
                <w:rFonts w:ascii="Times New Roman" w:hAnsi="Times New Roman" w:cs="Times New Roman" w:eastAsia="Times New Roman" w:hint="default"/>
                <w:sz w:val="18"/>
                <w:szCs w:val="18"/>
              </w:rPr>
            </w:pPr>
            <w:r>
              <w:rPr>
                <w:rFonts w:ascii="Times New Roman"/>
                <w:sz w:val="18"/>
              </w:rPr>
              <w:t>211,368.5</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78"/>
              <w:jc w:val="left"/>
              <w:rPr>
                <w:rFonts w:ascii="宋体" w:hAnsi="宋体" w:cs="宋体" w:eastAsia="宋体" w:hint="default"/>
                <w:sz w:val="18"/>
                <w:szCs w:val="18"/>
              </w:rPr>
            </w:pPr>
            <w:r>
              <w:rPr>
                <w:rFonts w:ascii="宋体" w:hAnsi="宋体" w:cs="宋体" w:eastAsia="宋体" w:hint="default"/>
                <w:sz w:val="18"/>
                <w:szCs w:val="18"/>
              </w:rPr>
              <w:t>报告期末实际对外担保 余额合计（</w:t>
            </w:r>
            <w:r>
              <w:rPr>
                <w:rFonts w:ascii="Times New Roman" w:hAnsi="Times New Roman" w:cs="Times New Roman" w:eastAsia="Times New Roman" w:hint="default"/>
                <w:sz w:val="18"/>
                <w:szCs w:val="18"/>
              </w:rPr>
              <w:t>A4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156,318.5</w:t>
            </w:r>
          </w:p>
        </w:tc>
      </w:tr>
      <w:tr>
        <w:trPr>
          <w:trHeight w:val="396"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022"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1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7" w:right="188"/>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87" w:right="185"/>
              <w:jc w:val="left"/>
              <w:rPr>
                <w:rFonts w:ascii="宋体" w:hAnsi="宋体" w:cs="宋体" w:eastAsia="宋体" w:hint="default"/>
                <w:sz w:val="18"/>
                <w:szCs w:val="18"/>
              </w:rPr>
            </w:pPr>
            <w:r>
              <w:rPr>
                <w:rFonts w:ascii="宋体" w:hAnsi="宋体" w:cs="宋体" w:eastAsia="宋体" w:hint="default"/>
                <w:sz w:val="18"/>
                <w:szCs w:val="18"/>
              </w:rPr>
              <w:t>担保 额度</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52" w:right="191" w:hanging="360"/>
              <w:jc w:val="left"/>
              <w:rPr>
                <w:rFonts w:ascii="宋体" w:hAnsi="宋体" w:cs="宋体" w:eastAsia="宋体" w:hint="default"/>
                <w:sz w:val="18"/>
                <w:szCs w:val="18"/>
              </w:rPr>
            </w:pPr>
            <w:r>
              <w:rPr>
                <w:rFonts w:ascii="宋体" w:hAnsi="宋体" w:cs="宋体" w:eastAsia="宋体" w:hint="default"/>
                <w:sz w:val="18"/>
                <w:szCs w:val="18"/>
              </w:rPr>
              <w:t>实际发生日 期</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8" w:right="165" w:hanging="181"/>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47"/>
              <w:jc w:val="right"/>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1" w:right="120"/>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7" w:right="110"/>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8" w:hRule="exact"/>
        </w:trPr>
        <w:tc>
          <w:tcPr>
            <w:tcW w:w="28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03" w:right="18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3"/>
              <w:ind w:left="105" w:right="146"/>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28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8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78"/>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子公司对子公司的担保情况</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709"/>
        <w:gridCol w:w="914"/>
        <w:gridCol w:w="193"/>
        <w:gridCol w:w="725"/>
        <w:gridCol w:w="1313"/>
        <w:gridCol w:w="1044"/>
        <w:gridCol w:w="1051"/>
        <w:gridCol w:w="1045"/>
        <w:gridCol w:w="787"/>
        <w:gridCol w:w="790"/>
      </w:tblGrid>
      <w:tr>
        <w:trPr>
          <w:trHeight w:val="1338" w:hRule="exact"/>
        </w:trPr>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310" w:right="0"/>
              <w:jc w:val="left"/>
              <w:rPr>
                <w:rFonts w:ascii="宋体" w:hAnsi="宋体" w:cs="宋体" w:eastAsia="宋体" w:hint="default"/>
                <w:sz w:val="18"/>
                <w:szCs w:val="18"/>
              </w:rPr>
            </w:pPr>
            <w:r>
              <w:rPr>
                <w:rFonts w:ascii="宋体" w:hAnsi="宋体" w:cs="宋体" w:eastAsia="宋体" w:hint="default"/>
                <w:sz w:val="18"/>
                <w:szCs w:val="18"/>
              </w:rPr>
              <w:t>担保对象名称</w:t>
            </w:r>
          </w:p>
        </w:tc>
        <w:tc>
          <w:tcPr>
            <w:tcW w:w="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180"/>
              <w:jc w:val="both"/>
              <w:rPr>
                <w:rFonts w:ascii="宋体" w:hAnsi="宋体" w:cs="宋体" w:eastAsia="宋体" w:hint="default"/>
                <w:sz w:val="18"/>
                <w:szCs w:val="18"/>
              </w:rPr>
            </w:pPr>
            <w:r>
              <w:rPr>
                <w:rFonts w:ascii="宋体" w:hAnsi="宋体" w:cs="宋体" w:eastAsia="宋体" w:hint="default"/>
                <w:sz w:val="18"/>
                <w:szCs w:val="18"/>
              </w:rPr>
              <w:t>担保额 度相关 公告披 露日期</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65" w:right="180"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实际发生日期</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38" w:right="154" w:hanging="181"/>
              <w:jc w:val="left"/>
              <w:rPr>
                <w:rFonts w:ascii="宋体" w:hAnsi="宋体" w:cs="宋体" w:eastAsia="宋体" w:hint="default"/>
                <w:sz w:val="18"/>
                <w:szCs w:val="18"/>
              </w:rPr>
            </w:pPr>
            <w:r>
              <w:rPr>
                <w:rFonts w:ascii="宋体" w:hAnsi="宋体" w:cs="宋体" w:eastAsia="宋体" w:hint="default"/>
                <w:sz w:val="18"/>
                <w:szCs w:val="18"/>
              </w:rPr>
              <w:t>实际担保 金额</w:t>
            </w:r>
          </w:p>
        </w:tc>
        <w:tc>
          <w:tcPr>
            <w:tcW w:w="1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担保期</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0" w:right="115"/>
              <w:jc w:val="left"/>
              <w:rPr>
                <w:rFonts w:ascii="宋体" w:hAnsi="宋体" w:cs="宋体" w:eastAsia="宋体" w:hint="default"/>
                <w:sz w:val="18"/>
                <w:szCs w:val="18"/>
              </w:rPr>
            </w:pPr>
            <w:r>
              <w:rPr>
                <w:rFonts w:ascii="宋体" w:hAnsi="宋体" w:cs="宋体" w:eastAsia="宋体" w:hint="default"/>
                <w:sz w:val="18"/>
                <w:szCs w:val="18"/>
              </w:rPr>
              <w:t>是否履 行完毕</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9" w:right="119"/>
              <w:jc w:val="both"/>
              <w:rPr>
                <w:rFonts w:ascii="宋体" w:hAnsi="宋体" w:cs="宋体" w:eastAsia="宋体" w:hint="default"/>
                <w:sz w:val="18"/>
                <w:szCs w:val="18"/>
              </w:rPr>
            </w:pPr>
            <w:r>
              <w:rPr>
                <w:rFonts w:ascii="宋体" w:hAnsi="宋体" w:cs="宋体" w:eastAsia="宋体" w:hint="default"/>
                <w:sz w:val="18"/>
                <w:szCs w:val="18"/>
              </w:rPr>
              <w:t>是否为 关联方 担保</w:t>
            </w:r>
          </w:p>
        </w:tc>
      </w:tr>
      <w:tr>
        <w:trPr>
          <w:trHeight w:val="714" w:hRule="exact"/>
        </w:trPr>
        <w:tc>
          <w:tcPr>
            <w:tcW w:w="28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3" w:right="181"/>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 合计（</w:t>
            </w:r>
            <w:r>
              <w:rPr>
                <w:rFonts w:ascii="Times New Roman" w:hAnsi="Times New Roman" w:cs="Times New Roman" w:eastAsia="Times New Roman" w:hint="default"/>
                <w:sz w:val="18"/>
                <w:szCs w:val="18"/>
              </w:rPr>
              <w:t>C1</w:t>
            </w:r>
            <w:r>
              <w:rPr>
                <w:rFonts w:ascii="宋体" w:hAnsi="宋体" w:cs="宋体" w:eastAsia="宋体" w:hint="default"/>
                <w:sz w:val="18"/>
                <w:szCs w:val="18"/>
              </w:rPr>
              <w:t>）</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5" w:right="146"/>
              <w:jc w:val="left"/>
              <w:rPr>
                <w:rFonts w:ascii="宋体" w:hAnsi="宋体" w:cs="宋体" w:eastAsia="宋体" w:hint="default"/>
                <w:sz w:val="18"/>
                <w:szCs w:val="18"/>
              </w:rPr>
            </w:pPr>
            <w:r>
              <w:rPr>
                <w:rFonts w:ascii="宋体" w:hAnsi="宋体" w:cs="宋体" w:eastAsia="宋体" w:hint="default"/>
                <w:sz w:val="18"/>
                <w:szCs w:val="18"/>
              </w:rPr>
              <w:t>报告期内对子公司担保 实际发生额合计（</w:t>
            </w:r>
            <w:r>
              <w:rPr>
                <w:rFonts w:ascii="Times New Roman" w:hAnsi="Times New Roman" w:cs="Times New Roman" w:eastAsia="Times New Roman" w:hint="default"/>
                <w:sz w:val="18"/>
                <w:szCs w:val="18"/>
              </w:rPr>
              <w:t>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720" w:hRule="exact"/>
        </w:trPr>
        <w:tc>
          <w:tcPr>
            <w:tcW w:w="28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81"/>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 额度合计（</w:t>
            </w:r>
            <w:r>
              <w:rPr>
                <w:rFonts w:ascii="Times New Roman" w:hAnsi="Times New Roman" w:cs="Times New Roman" w:eastAsia="Times New Roman" w:hint="default"/>
                <w:sz w:val="18"/>
                <w:szCs w:val="18"/>
              </w:rPr>
              <w:t>C3</w:t>
            </w:r>
            <w:r>
              <w:rPr>
                <w:rFonts w:ascii="宋体" w:hAnsi="宋体" w:cs="宋体" w:eastAsia="宋体" w:hint="default"/>
                <w:sz w:val="18"/>
                <w:szCs w:val="18"/>
              </w:rPr>
              <w:t>）</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5" w:right="178"/>
              <w:jc w:val="left"/>
              <w:rPr>
                <w:rFonts w:ascii="宋体" w:hAnsi="宋体" w:cs="宋体" w:eastAsia="宋体" w:hint="default"/>
                <w:sz w:val="18"/>
                <w:szCs w:val="18"/>
              </w:rPr>
            </w:pPr>
            <w:r>
              <w:rPr>
                <w:rFonts w:ascii="宋体" w:hAnsi="宋体" w:cs="宋体" w:eastAsia="宋体" w:hint="default"/>
                <w:sz w:val="18"/>
                <w:szCs w:val="18"/>
              </w:rPr>
              <w:t>报告期末对子公司实际 担保余额合计（</w:t>
            </w:r>
            <w:r>
              <w:rPr>
                <w:rFonts w:ascii="Times New Roman" w:hAnsi="Times New Roman" w:cs="Times New Roman" w:eastAsia="Times New Roman" w:hint="default"/>
                <w:sz w:val="18"/>
                <w:szCs w:val="18"/>
              </w:rPr>
              <w:t>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91"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公司担保总额（即前三大项的合计）</w:t>
            </w:r>
          </w:p>
        </w:tc>
      </w:tr>
      <w:tr>
        <w:trPr>
          <w:trHeight w:val="719" w:hRule="exact"/>
        </w:trPr>
        <w:tc>
          <w:tcPr>
            <w:tcW w:w="28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A1+B1+C1</w:t>
            </w:r>
            <w:r>
              <w:rPr>
                <w:rFonts w:ascii="宋体" w:hAnsi="宋体" w:cs="宋体" w:eastAsia="宋体" w:hint="default"/>
                <w:sz w:val="18"/>
                <w:szCs w:val="18"/>
              </w:rPr>
              <w:t>）</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05" w:right="178"/>
              <w:jc w:val="left"/>
              <w:rPr>
                <w:rFonts w:ascii="宋体" w:hAnsi="宋体" w:cs="宋体" w:eastAsia="宋体" w:hint="default"/>
                <w:sz w:val="18"/>
                <w:szCs w:val="18"/>
              </w:rPr>
            </w:pPr>
            <w:r>
              <w:rPr>
                <w:rFonts w:ascii="宋体" w:hAnsi="宋体" w:cs="宋体" w:eastAsia="宋体" w:hint="default"/>
                <w:sz w:val="18"/>
                <w:szCs w:val="18"/>
              </w:rPr>
              <w:t>报告期内担保实际发生 额合计（</w:t>
            </w:r>
            <w:r>
              <w:rPr>
                <w:rFonts w:ascii="Times New Roman" w:hAnsi="Times New Roman" w:cs="Times New Roman" w:eastAsia="Times New Roman" w:hint="default"/>
                <w:sz w:val="18"/>
                <w:szCs w:val="18"/>
              </w:rPr>
              <w:t>A2+B2+C2</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281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A3+B3+C3</w:t>
            </w:r>
            <w:r>
              <w:rPr>
                <w:rFonts w:ascii="宋体" w:hAnsi="宋体" w:cs="宋体" w:eastAsia="宋体" w:hint="default"/>
                <w:sz w:val="18"/>
                <w:szCs w:val="18"/>
              </w:rPr>
              <w:t>）</w:t>
            </w:r>
          </w:p>
        </w:tc>
        <w:tc>
          <w:tcPr>
            <w:tcW w:w="203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left="1212" w:right="0"/>
              <w:jc w:val="left"/>
              <w:rPr>
                <w:rFonts w:ascii="Times New Roman" w:hAnsi="Times New Roman" w:cs="Times New Roman" w:eastAsia="Times New Roman" w:hint="default"/>
                <w:sz w:val="18"/>
                <w:szCs w:val="18"/>
              </w:rPr>
            </w:pPr>
            <w:r>
              <w:rPr>
                <w:rFonts w:ascii="Times New Roman"/>
                <w:sz w:val="18"/>
              </w:rPr>
              <w:t>211,368.5</w:t>
            </w:r>
          </w:p>
        </w:tc>
        <w:tc>
          <w:tcPr>
            <w:tcW w:w="20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5" w:right="178"/>
              <w:jc w:val="left"/>
              <w:rPr>
                <w:rFonts w:ascii="宋体" w:hAnsi="宋体" w:cs="宋体" w:eastAsia="宋体" w:hint="default"/>
                <w:sz w:val="18"/>
                <w:szCs w:val="18"/>
              </w:rPr>
            </w:pPr>
            <w:r>
              <w:rPr>
                <w:rFonts w:ascii="宋体" w:hAnsi="宋体" w:cs="宋体" w:eastAsia="宋体" w:hint="default"/>
                <w:sz w:val="18"/>
                <w:szCs w:val="18"/>
              </w:rPr>
              <w:t>报告期末实际担保余额 合计（</w:t>
            </w:r>
            <w:r>
              <w:rPr>
                <w:rFonts w:ascii="Times New Roman" w:hAnsi="Times New Roman" w:cs="Times New Roman" w:eastAsia="Times New Roman" w:hint="default"/>
                <w:sz w:val="18"/>
                <w:szCs w:val="18"/>
              </w:rPr>
              <w:t>A4+B4+C4</w:t>
            </w:r>
            <w:r>
              <w:rPr>
                <w:rFonts w:ascii="宋体" w:hAnsi="宋体" w:cs="宋体" w:eastAsia="宋体" w:hint="default"/>
                <w:sz w:val="18"/>
                <w:szCs w:val="18"/>
              </w:rPr>
              <w:t>）</w:t>
            </w:r>
          </w:p>
        </w:tc>
        <w:tc>
          <w:tcPr>
            <w:tcW w:w="262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156,318.5</w:t>
            </w:r>
          </w:p>
        </w:tc>
      </w:tr>
      <w:tr>
        <w:trPr>
          <w:trHeight w:val="408" w:hRule="exact"/>
        </w:trPr>
        <w:tc>
          <w:tcPr>
            <w:tcW w:w="48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A4+B4+C4</w:t>
            </w:r>
            <w:r>
              <w:rPr>
                <w:rFonts w:ascii="宋体" w:hAnsi="宋体" w:cs="宋体" w:eastAsia="宋体" w:hint="default"/>
                <w:sz w:val="18"/>
                <w:szCs w:val="18"/>
              </w:rPr>
              <w:t>）占公司净资产的比例</w:t>
            </w:r>
          </w:p>
        </w:tc>
        <w:tc>
          <w:tcPr>
            <w:tcW w:w="47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56.73%</w:t>
            </w:r>
          </w:p>
        </w:tc>
      </w:tr>
      <w:tr>
        <w:trPr>
          <w:trHeight w:val="391"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为股东、实际控制人及其关联方提供担保的余额（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47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8"/>
              <w:jc w:val="right"/>
              <w:rPr>
                <w:rFonts w:ascii="Times New Roman" w:hAnsi="Times New Roman" w:cs="Times New Roman" w:eastAsia="Times New Roman" w:hint="default"/>
                <w:sz w:val="18"/>
                <w:szCs w:val="18"/>
              </w:rPr>
            </w:pPr>
            <w:r>
              <w:rPr>
                <w:rFonts w:ascii="Times New Roman"/>
                <w:spacing w:val="-1"/>
                <w:sz w:val="18"/>
              </w:rPr>
              <w:t>92,700</w:t>
            </w:r>
          </w:p>
        </w:tc>
      </w:tr>
      <w:tr>
        <w:trPr>
          <w:trHeight w:val="714" w:hRule="exact"/>
        </w:trPr>
        <w:tc>
          <w:tcPr>
            <w:tcW w:w="48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03" w:right="221"/>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 务担保余额（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47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F</w:t>
            </w:r>
            <w:r>
              <w:rPr>
                <w:rFonts w:ascii="宋体" w:hAnsi="宋体" w:cs="宋体" w:eastAsia="宋体" w:hint="default"/>
                <w:sz w:val="18"/>
                <w:szCs w:val="18"/>
              </w:rPr>
              <w:t>）</w:t>
            </w:r>
          </w:p>
        </w:tc>
        <w:tc>
          <w:tcPr>
            <w:tcW w:w="47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18,621.89</w:t>
            </w:r>
          </w:p>
        </w:tc>
      </w:tr>
      <w:tr>
        <w:trPr>
          <w:trHeight w:val="402" w:hRule="exact"/>
        </w:trPr>
        <w:tc>
          <w:tcPr>
            <w:tcW w:w="48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D+E+F</w:t>
            </w:r>
            <w:r>
              <w:rPr>
                <w:rFonts w:ascii="宋体" w:hAnsi="宋体" w:cs="宋体" w:eastAsia="宋体" w:hint="default"/>
                <w:sz w:val="18"/>
                <w:szCs w:val="18"/>
              </w:rPr>
              <w:t>）</w:t>
            </w:r>
          </w:p>
        </w:tc>
        <w:tc>
          <w:tcPr>
            <w:tcW w:w="47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2"/>
                <w:sz w:val="18"/>
              </w:rPr>
              <w:t>111,321.89</w:t>
            </w:r>
          </w:p>
        </w:tc>
      </w:tr>
      <w:tr>
        <w:trPr>
          <w:trHeight w:val="714" w:hRule="exact"/>
        </w:trPr>
        <w:tc>
          <w:tcPr>
            <w:tcW w:w="48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2"/>
              <w:jc w:val="left"/>
              <w:rPr>
                <w:rFonts w:ascii="宋体" w:hAnsi="宋体" w:cs="宋体" w:eastAsia="宋体" w:hint="default"/>
                <w:sz w:val="18"/>
                <w:szCs w:val="18"/>
              </w:rPr>
            </w:pPr>
            <w:r>
              <w:rPr>
                <w:rFonts w:ascii="宋体" w:hAnsi="宋体" w:cs="宋体" w:eastAsia="宋体" w:hint="default"/>
                <w:spacing w:val="-2"/>
                <w:sz w:val="18"/>
                <w:szCs w:val="18"/>
              </w:rPr>
              <w:t>对未到期担保，报告期内已发生担保责任或可能承担连带清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偿责任的情况说明（如有）</w:t>
            </w:r>
          </w:p>
        </w:tc>
        <w:tc>
          <w:tcPr>
            <w:tcW w:w="47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48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违反规定程序对外提供担保的说明（如有）</w:t>
            </w:r>
          </w:p>
        </w:tc>
        <w:tc>
          <w:tcPr>
            <w:tcW w:w="471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986"/>
        <w:jc w:val="left"/>
      </w:pPr>
      <w:r>
        <w:rPr/>
        <w:t>采用复合方式担保的具体情况说明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违规对外担保情况" w:id="96"/>
      <w:bookmarkEnd w:id="96"/>
      <w:r>
        <w:rPr>
          <w:b w:val="0"/>
          <w:bCs w:val="0"/>
        </w:rPr>
      </w:r>
      <w:r>
        <w:rPr/>
        <w:t>（</w:t>
      </w:r>
      <w:r>
        <w:rPr>
          <w:rFonts w:ascii="Times New Roman" w:hAnsi="Times New Roman" w:cs="Times New Roman" w:eastAsia="Times New Roman" w:hint="default"/>
        </w:rPr>
        <w:t>2</w:t>
      </w:r>
      <w:r>
        <w:rPr/>
        <w:t>）违规对外担保情况</w:t>
      </w:r>
      <w:r>
        <w:rPr>
          <w:b w:val="0"/>
          <w:bCs w:val="0"/>
        </w:rPr>
      </w:r>
    </w:p>
    <w:p>
      <w:pPr>
        <w:spacing w:line="240" w:lineRule="auto" w:before="4"/>
        <w:rPr>
          <w:rFonts w:ascii="宋体" w:hAnsi="宋体" w:cs="宋体" w:eastAsia="宋体" w:hint="default"/>
          <w:b/>
          <w:bCs/>
          <w:sz w:val="26"/>
          <w:szCs w:val="26"/>
        </w:rPr>
      </w:pPr>
    </w:p>
    <w:p>
      <w:pPr>
        <w:pStyle w:val="BodyText"/>
        <w:spacing w:line="360" w:lineRule="auto" w:before="0"/>
        <w:ind w:right="6794"/>
        <w:jc w:val="left"/>
      </w:pPr>
      <w:r>
        <w:rPr/>
        <w:t>□ 适用 √</w:t>
      </w:r>
      <w:r>
        <w:rPr>
          <w:spacing w:val="3"/>
        </w:rPr>
        <w:t> </w:t>
      </w:r>
      <w:r>
        <w:rPr/>
        <w:t>不适用</w:t>
      </w:r>
      <w:r>
        <w:rPr/>
        <w:t> 公司报告期无违规对外担保情况。</w:t>
      </w:r>
    </w:p>
    <w:p>
      <w:pPr>
        <w:spacing w:line="240" w:lineRule="auto" w:before="4"/>
        <w:rPr>
          <w:rFonts w:ascii="宋体" w:hAnsi="宋体" w:cs="宋体" w:eastAsia="宋体" w:hint="default"/>
          <w:sz w:val="20"/>
          <w:szCs w:val="20"/>
        </w:rPr>
      </w:pPr>
    </w:p>
    <w:p>
      <w:pPr>
        <w:pStyle w:val="Heading4"/>
        <w:spacing w:line="240" w:lineRule="auto"/>
        <w:ind w:right="986"/>
        <w:jc w:val="left"/>
        <w:rPr>
          <w:b w:val="0"/>
          <w:bCs w:val="0"/>
        </w:rPr>
      </w:pPr>
      <w:bookmarkStart w:name="3、委托他人进行现金资产管理情况" w:id="97"/>
      <w:bookmarkEnd w:id="97"/>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委托理财情况" w:id="98"/>
      <w:bookmarkEnd w:id="98"/>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8414"/>
        <w:jc w:val="left"/>
      </w:pPr>
      <w:r>
        <w:rPr/>
        <w:t>□ 适用 √</w:t>
      </w:r>
      <w:r>
        <w:rPr>
          <w:spacing w:val="3"/>
        </w:rPr>
        <w:t> </w:t>
      </w:r>
      <w:r>
        <w:rPr/>
        <w:t>不适用</w:t>
      </w:r>
      <w:r>
        <w:rPr/>
        <w:t> 公司报告期不存在委托理财。</w:t>
      </w:r>
    </w:p>
    <w:p>
      <w:pPr>
        <w:spacing w:line="240" w:lineRule="auto" w:before="2"/>
        <w:rPr>
          <w:rFonts w:ascii="宋体" w:hAnsi="宋体" w:cs="宋体" w:eastAsia="宋体" w:hint="default"/>
          <w:sz w:val="20"/>
          <w:szCs w:val="20"/>
        </w:rPr>
      </w:pPr>
    </w:p>
    <w:p>
      <w:pPr>
        <w:pStyle w:val="Heading4"/>
        <w:spacing w:line="240" w:lineRule="auto"/>
        <w:ind w:right="986"/>
        <w:jc w:val="left"/>
        <w:rPr>
          <w:b w:val="0"/>
          <w:bCs w:val="0"/>
        </w:rPr>
      </w:pPr>
      <w:bookmarkStart w:name="（2）委托贷款情况" w:id="99"/>
      <w:bookmarkEnd w:id="99"/>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ind w:right="986"/>
        <w:jc w:val="left"/>
      </w:pPr>
      <w:r>
        <w:rPr/>
        <w:t>公司报告期不存在委托贷款。</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4、其他重大合同" w:id="100"/>
      <w:bookmarkEnd w:id="100"/>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8054"/>
        <w:jc w:val="left"/>
      </w:pPr>
      <w:r>
        <w:rPr/>
        <w:t>□ 适用 √</w:t>
      </w:r>
      <w:r>
        <w:rPr>
          <w:spacing w:val="3"/>
        </w:rPr>
        <w:t> </w:t>
      </w:r>
      <w:r>
        <w:rPr/>
        <w:t>不适用</w:t>
      </w:r>
      <w:r>
        <w:rPr/>
        <w:t> 公司报告期不存在其他重大合同。</w:t>
      </w:r>
    </w:p>
    <w:p>
      <w:pPr>
        <w:spacing w:line="240" w:lineRule="auto" w:before="7"/>
        <w:rPr>
          <w:rFonts w:ascii="宋体" w:hAnsi="宋体" w:cs="宋体" w:eastAsia="宋体" w:hint="default"/>
          <w:sz w:val="18"/>
          <w:szCs w:val="18"/>
        </w:rPr>
      </w:pPr>
    </w:p>
    <w:p>
      <w:pPr>
        <w:pStyle w:val="Heading2"/>
        <w:spacing w:line="240" w:lineRule="auto"/>
        <w:ind w:right="986"/>
        <w:jc w:val="left"/>
        <w:rPr>
          <w:b w:val="0"/>
          <w:bCs w:val="0"/>
        </w:rPr>
      </w:pPr>
      <w:bookmarkStart w:name="十八、社会责任情况" w:id="101"/>
      <w:bookmarkEnd w:id="101"/>
      <w:r>
        <w:rPr>
          <w:b w:val="0"/>
          <w:bCs w:val="0"/>
        </w:rPr>
      </w:r>
      <w:r>
        <w:rPr/>
        <w:t>十八、社会责任情况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履行社会责任情况" w:id="102"/>
      <w:bookmarkEnd w:id="102"/>
      <w:r>
        <w:rPr>
          <w:b w:val="0"/>
          <w:bCs w:val="0"/>
        </w:rPr>
      </w:r>
      <w:r>
        <w:rPr/>
        <w:t>履行社会责任情况</w:t>
      </w:r>
      <w:r>
        <w:rPr>
          <w:b w:val="0"/>
          <w:bCs w:val="0"/>
        </w:rPr>
      </w:r>
    </w:p>
    <w:p>
      <w:pPr>
        <w:spacing w:line="240" w:lineRule="auto" w:before="5"/>
        <w:rPr>
          <w:rFonts w:ascii="宋体" w:hAnsi="宋体" w:cs="宋体" w:eastAsia="宋体" w:hint="default"/>
          <w:b/>
          <w:bCs/>
          <w:sz w:val="27"/>
          <w:szCs w:val="27"/>
        </w:rPr>
      </w:pPr>
    </w:p>
    <w:p>
      <w:pPr>
        <w:pStyle w:val="BodyText"/>
        <w:spacing w:line="319" w:lineRule="auto" w:before="0"/>
        <w:ind w:right="1133"/>
        <w:jc w:val="both"/>
      </w:pPr>
      <w:r>
        <w:rPr>
          <w:spacing w:val="-9"/>
        </w:rPr>
        <w:t>报告期内，公司严格按照《公司法》、《证券法》、《股票上市规则》等法律法规、部门规章、规范性文件和公司《章程》的规</w:t>
      </w:r>
      <w:r>
        <w:rPr>
          <w:spacing w:val="-36"/>
        </w:rPr>
        <w:t> </w:t>
      </w:r>
      <w:r>
        <w:rPr>
          <w:spacing w:val="-36"/>
        </w:rPr>
      </w:r>
      <w:r>
        <w:rPr>
          <w:spacing w:val="-2"/>
        </w:rPr>
        <w:t>定，在追求经济效益的同时，注重认真履行对股东、员工、债权人、消费者等方面应尽的责任和义务。努力做到经济效益与</w:t>
      </w:r>
      <w:r>
        <w:rPr>
          <w:spacing w:val="-68"/>
        </w:rPr>
        <w:t> </w:t>
      </w:r>
      <w:r>
        <w:rPr>
          <w:spacing w:val="-68"/>
        </w:rPr>
      </w:r>
      <w:r>
        <w:rPr/>
        <w:t>社会效益、自身发展与社会发展相互协调，实现公司与社会、公司与员工的健康和谐发展。</w:t>
      </w:r>
    </w:p>
    <w:p>
      <w:pPr>
        <w:spacing w:line="240" w:lineRule="auto" w:before="9"/>
        <w:rPr>
          <w:rFonts w:ascii="宋体" w:hAnsi="宋体" w:cs="宋体" w:eastAsia="宋体" w:hint="default"/>
          <w:sz w:val="20"/>
          <w:szCs w:val="20"/>
        </w:rPr>
      </w:pPr>
    </w:p>
    <w:p>
      <w:pPr>
        <w:pStyle w:val="Heading2"/>
        <w:spacing w:line="240" w:lineRule="auto"/>
        <w:ind w:right="986"/>
        <w:jc w:val="left"/>
        <w:rPr>
          <w:b w:val="0"/>
          <w:bCs w:val="0"/>
        </w:rPr>
      </w:pPr>
      <w:bookmarkStart w:name="十九、其他重大事项的说明" w:id="103"/>
      <w:bookmarkEnd w:id="103"/>
      <w:r>
        <w:rPr>
          <w:b w:val="0"/>
          <w:bCs w:val="0"/>
        </w:rPr>
      </w:r>
      <w:r>
        <w:rPr/>
        <w:t>十九、其他重大事项的说明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pStyle w:val="BodyText"/>
        <w:spacing w:line="240" w:lineRule="auto" w:before="115"/>
        <w:ind w:right="986"/>
        <w:jc w:val="left"/>
      </w:pPr>
      <w:r>
        <w:rPr>
          <w:rFonts w:ascii="宋体" w:hAnsi="宋体" w:cs="宋体" w:eastAsia="宋体" w:hint="default"/>
          <w:spacing w:val="1"/>
        </w:rPr>
        <w:t>1</w:t>
      </w:r>
      <w:r>
        <w:rPr>
          <w:spacing w:val="-92"/>
        </w:rPr>
        <w:t>、</w:t>
      </w:r>
      <w:r>
        <w:rPr/>
        <w:t>《关于公司控股股东及其一致行动人增持股份进展暨完成增持计划的公告</w:t>
      </w:r>
      <w:r>
        <w:rPr>
          <w:spacing w:val="-92"/>
        </w:rPr>
        <w:t>》</w:t>
      </w:r>
      <w:r>
        <w:rPr>
          <w:spacing w:val="1"/>
        </w:rPr>
        <w:t>（</w:t>
      </w:r>
      <w:r>
        <w:rPr>
          <w:rFonts w:ascii="宋体" w:hAnsi="宋体" w:cs="宋体" w:eastAsia="宋体" w:hint="default"/>
          <w:spacing w:val="1"/>
        </w:rPr>
        <w:t>201</w:t>
      </w:r>
      <w:r>
        <w:rPr>
          <w:rFonts w:ascii="宋体" w:hAnsi="宋体" w:cs="宋体" w:eastAsia="宋体" w:hint="default"/>
          <w:spacing w:val="-2"/>
        </w:rPr>
        <w:t>9</w:t>
      </w:r>
      <w:r>
        <w:rPr>
          <w:rFonts w:ascii="宋体" w:hAnsi="宋体" w:cs="宋体" w:eastAsia="宋体" w:hint="default"/>
          <w:spacing w:val="1"/>
        </w:rPr>
        <w:t>-</w:t>
      </w:r>
      <w:r>
        <w:rPr>
          <w:rFonts w:ascii="宋体" w:hAnsi="宋体" w:cs="宋体" w:eastAsia="宋体" w:hint="default"/>
          <w:spacing w:val="-2"/>
        </w:rPr>
        <w:t>0</w:t>
      </w:r>
      <w:r>
        <w:rPr>
          <w:rFonts w:ascii="宋体" w:hAnsi="宋体" w:cs="宋体" w:eastAsia="宋体" w:hint="default"/>
          <w:spacing w:val="1"/>
        </w:rPr>
        <w:t>02</w:t>
      </w:r>
      <w:r>
        <w:rPr>
          <w:spacing w:val="-3"/>
        </w:rPr>
        <w:t>）</w:t>
      </w:r>
      <w:r>
        <w:rPr/>
        <w:t>巨潮资讯网 </w:t>
      </w:r>
      <w:r>
        <w:rPr>
          <w:spacing w:val="2"/>
        </w:rPr>
        <w:t> </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9</w:t>
      </w:r>
      <w:r>
        <w:rPr/>
        <w:t>年</w:t>
      </w:r>
      <w:r>
        <w:rPr>
          <w:rFonts w:ascii="宋体" w:hAnsi="宋体" w:cs="宋体" w:eastAsia="宋体" w:hint="default"/>
          <w:spacing w:val="1"/>
        </w:rPr>
        <w:t>1</w:t>
      </w:r>
      <w:r>
        <w:rPr>
          <w:spacing w:val="-3"/>
        </w:rPr>
        <w:t>月</w:t>
      </w:r>
      <w:r>
        <w:rPr>
          <w:rFonts w:ascii="宋体" w:hAnsi="宋体" w:cs="宋体" w:eastAsia="宋体" w:hint="default"/>
          <w:spacing w:val="1"/>
        </w:rPr>
        <w:t>3</w:t>
      </w:r>
      <w:r>
        <w:rPr/>
        <w:t>日；</w:t>
      </w:r>
    </w:p>
    <w:p>
      <w:pPr>
        <w:pStyle w:val="BodyText"/>
        <w:spacing w:line="240" w:lineRule="auto" w:before="76"/>
        <w:ind w:right="986"/>
        <w:jc w:val="left"/>
      </w:pPr>
      <w:r>
        <w:rPr>
          <w:rFonts w:ascii="宋体" w:hAnsi="宋体" w:cs="宋体" w:eastAsia="宋体" w:hint="default"/>
          <w:spacing w:val="1"/>
        </w:rPr>
        <w:t>2</w:t>
      </w:r>
      <w:r>
        <w:rPr>
          <w:spacing w:val="-92"/>
        </w:rPr>
        <w:t>、</w:t>
      </w:r>
      <w:r>
        <w:rPr/>
        <w:t>《关于持股</w:t>
      </w:r>
      <w:r>
        <w:rPr>
          <w:rFonts w:ascii="宋体" w:hAnsi="宋体" w:cs="宋体" w:eastAsia="宋体" w:hint="default"/>
          <w:spacing w:val="1"/>
        </w:rPr>
        <w:t>5%</w:t>
      </w:r>
      <w:r>
        <w:rPr/>
        <w:t>以上股东减</w:t>
      </w:r>
      <w:r>
        <w:rPr>
          <w:spacing w:val="-3"/>
        </w:rPr>
        <w:t>持</w:t>
      </w:r>
      <w:r>
        <w:rPr/>
        <w:t>计划期满未实施减持的公告</w:t>
      </w:r>
      <w:r>
        <w:rPr>
          <w:spacing w:val="-92"/>
        </w:rPr>
        <w:t>》</w:t>
      </w:r>
      <w:r>
        <w:rPr>
          <w:spacing w:val="2"/>
        </w:rPr>
        <w:t>（</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9</w:t>
      </w:r>
      <w:r>
        <w:rPr>
          <w:rFonts w:ascii="宋体" w:hAnsi="宋体" w:cs="宋体" w:eastAsia="宋体" w:hint="default"/>
          <w:spacing w:val="-1"/>
        </w:rPr>
        <w:t>-</w:t>
      </w:r>
      <w:r>
        <w:rPr>
          <w:rFonts w:ascii="宋体" w:hAnsi="宋体" w:cs="宋体" w:eastAsia="宋体" w:hint="default"/>
          <w:spacing w:val="1"/>
        </w:rPr>
        <w:t>0</w:t>
      </w:r>
      <w:r>
        <w:rPr>
          <w:rFonts w:ascii="宋体" w:hAnsi="宋体" w:cs="宋体" w:eastAsia="宋体" w:hint="default"/>
          <w:spacing w:val="-2"/>
        </w:rPr>
        <w:t>0</w:t>
      </w:r>
      <w:r>
        <w:rPr>
          <w:rFonts w:ascii="宋体" w:hAnsi="宋体" w:cs="宋体" w:eastAsia="宋体" w:hint="default"/>
          <w:spacing w:val="1"/>
        </w:rPr>
        <w:t>4</w:t>
      </w:r>
      <w:r>
        <w:rPr/>
        <w:t>）巨潮资讯网  </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9</w:t>
      </w:r>
      <w:r>
        <w:rPr/>
        <w:t>年</w:t>
      </w:r>
      <w:r>
        <w:rPr>
          <w:rFonts w:ascii="宋体" w:hAnsi="宋体" w:cs="宋体" w:eastAsia="宋体" w:hint="default"/>
          <w:spacing w:val="1"/>
        </w:rPr>
        <w:t>1</w:t>
      </w:r>
      <w:r>
        <w:rPr/>
        <w:t>月</w:t>
      </w:r>
      <w:r>
        <w:rPr>
          <w:rFonts w:ascii="宋体" w:hAnsi="宋体" w:cs="宋体" w:eastAsia="宋体" w:hint="default"/>
          <w:spacing w:val="1"/>
        </w:rPr>
        <w:t>8</w:t>
      </w:r>
      <w:r>
        <w:rPr/>
        <w:t>日；</w:t>
      </w:r>
    </w:p>
    <w:p>
      <w:pPr>
        <w:pStyle w:val="BodyText"/>
        <w:spacing w:line="240" w:lineRule="auto" w:before="76"/>
        <w:ind w:right="986"/>
        <w:jc w:val="left"/>
      </w:pPr>
      <w:r>
        <w:rPr>
          <w:rFonts w:ascii="宋体" w:hAnsi="宋体" w:cs="宋体" w:eastAsia="宋体" w:hint="default"/>
          <w:spacing w:val="1"/>
        </w:rPr>
        <w:t>3</w:t>
      </w:r>
      <w:r>
        <w:rPr>
          <w:spacing w:val="-92"/>
        </w:rPr>
        <w:t>、</w:t>
      </w:r>
      <w:r>
        <w:rPr/>
        <w:t>《</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8</w:t>
      </w:r>
      <w:r>
        <w:rPr/>
        <w:t>年度业绩预告</w:t>
      </w:r>
      <w:r>
        <w:rPr>
          <w:spacing w:val="-92"/>
        </w:rPr>
        <w:t>》</w:t>
      </w:r>
      <w:r>
        <w:rPr>
          <w:spacing w:val="-1"/>
        </w:rPr>
        <w:t>（</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spacing w:val="-1"/>
        </w:rPr>
        <w:t>9</w:t>
      </w:r>
      <w:r>
        <w:rPr>
          <w:rFonts w:ascii="宋体" w:hAnsi="宋体" w:cs="宋体" w:eastAsia="宋体" w:hint="default"/>
          <w:spacing w:val="1"/>
        </w:rPr>
        <w:t>-0</w:t>
      </w:r>
      <w:r>
        <w:rPr>
          <w:rFonts w:ascii="宋体" w:hAnsi="宋体" w:cs="宋体" w:eastAsia="宋体" w:hint="default"/>
          <w:spacing w:val="-2"/>
        </w:rPr>
        <w:t>0</w:t>
      </w:r>
      <w:r>
        <w:rPr>
          <w:rFonts w:ascii="宋体" w:hAnsi="宋体" w:cs="宋体" w:eastAsia="宋体" w:hint="default"/>
          <w:spacing w:val="1"/>
        </w:rPr>
        <w:t>5</w:t>
      </w:r>
      <w:r>
        <w:rPr/>
        <w:t>）巨潮资讯网  </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9</w:t>
      </w:r>
      <w:r>
        <w:rPr/>
        <w:t>年</w:t>
      </w:r>
      <w:r>
        <w:rPr>
          <w:rFonts w:ascii="宋体" w:hAnsi="宋体" w:cs="宋体" w:eastAsia="宋体" w:hint="default"/>
          <w:spacing w:val="1"/>
        </w:rPr>
        <w:t>1</w:t>
      </w:r>
      <w:r>
        <w:rPr>
          <w:spacing w:val="-3"/>
        </w:rPr>
        <w:t>月</w:t>
      </w:r>
      <w:r>
        <w:rPr>
          <w:rFonts w:ascii="宋体" w:hAnsi="宋体" w:cs="宋体" w:eastAsia="宋体" w:hint="default"/>
          <w:spacing w:val="1"/>
        </w:rPr>
        <w:t>31</w:t>
      </w:r>
      <w:r>
        <w:rPr/>
        <w:t>日；</w:t>
      </w:r>
    </w:p>
    <w:p>
      <w:pPr>
        <w:pStyle w:val="BodyText"/>
        <w:spacing w:line="240" w:lineRule="auto" w:before="76"/>
        <w:ind w:right="986"/>
        <w:jc w:val="left"/>
      </w:pPr>
      <w:r>
        <w:rPr>
          <w:rFonts w:ascii="宋体" w:hAnsi="宋体" w:cs="宋体" w:eastAsia="宋体" w:hint="default"/>
          <w:spacing w:val="1"/>
        </w:rPr>
        <w:t>4</w:t>
      </w:r>
      <w:r>
        <w:rPr>
          <w:spacing w:val="-92"/>
        </w:rPr>
        <w:t>、</w:t>
      </w:r>
      <w:r>
        <w:rPr/>
        <w:t>《关于公司控股股东及其一致行动人增持计划的公告</w:t>
      </w:r>
      <w:r>
        <w:rPr>
          <w:spacing w:val="-92"/>
        </w:rPr>
        <w:t>》</w:t>
      </w:r>
      <w:r>
        <w:rPr>
          <w:spacing w:val="1"/>
        </w:rPr>
        <w:t>（</w:t>
      </w:r>
      <w:r>
        <w:rPr>
          <w:rFonts w:ascii="宋体" w:hAnsi="宋体" w:cs="宋体" w:eastAsia="宋体" w:hint="default"/>
          <w:spacing w:val="1"/>
        </w:rPr>
        <w:t>2019</w:t>
      </w:r>
      <w:r>
        <w:rPr>
          <w:rFonts w:ascii="宋体" w:hAnsi="宋体" w:cs="宋体" w:eastAsia="宋体" w:hint="default"/>
          <w:spacing w:val="-2"/>
        </w:rPr>
        <w:t>-</w:t>
      </w:r>
      <w:r>
        <w:rPr>
          <w:rFonts w:ascii="宋体" w:hAnsi="宋体" w:cs="宋体" w:eastAsia="宋体" w:hint="default"/>
          <w:spacing w:val="1"/>
        </w:rPr>
        <w:t>0</w:t>
      </w:r>
      <w:r>
        <w:rPr>
          <w:rFonts w:ascii="宋体" w:hAnsi="宋体" w:cs="宋体" w:eastAsia="宋体" w:hint="default"/>
          <w:spacing w:val="-2"/>
        </w:rPr>
        <w:t>0</w:t>
      </w:r>
      <w:r>
        <w:rPr>
          <w:rFonts w:ascii="宋体" w:hAnsi="宋体" w:cs="宋体" w:eastAsia="宋体" w:hint="default"/>
          <w:spacing w:val="1"/>
        </w:rPr>
        <w:t>6</w:t>
      </w:r>
      <w:r>
        <w:rPr/>
        <w:t>）巨潮资讯网  </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9</w:t>
      </w:r>
      <w:r>
        <w:rPr/>
        <w:t>年</w:t>
      </w:r>
      <w:r>
        <w:rPr>
          <w:rFonts w:ascii="宋体" w:hAnsi="宋体" w:cs="宋体" w:eastAsia="宋体" w:hint="default"/>
          <w:spacing w:val="-2"/>
        </w:rPr>
        <w:t>1</w:t>
      </w:r>
      <w:r>
        <w:rPr/>
        <w:t>月</w:t>
      </w:r>
      <w:r>
        <w:rPr>
          <w:rFonts w:ascii="宋体" w:hAnsi="宋体" w:cs="宋体" w:eastAsia="宋体" w:hint="default"/>
          <w:spacing w:val="1"/>
        </w:rPr>
        <w:t>31</w:t>
      </w:r>
      <w:r>
        <w:rPr/>
        <w:t>日；</w:t>
      </w:r>
    </w:p>
    <w:p>
      <w:pPr>
        <w:pStyle w:val="BodyText"/>
        <w:spacing w:line="240" w:lineRule="auto" w:before="76"/>
        <w:ind w:right="986"/>
        <w:jc w:val="left"/>
      </w:pPr>
      <w:r>
        <w:rPr>
          <w:rFonts w:ascii="宋体" w:hAnsi="宋体" w:cs="宋体" w:eastAsia="宋体" w:hint="default"/>
          <w:spacing w:val="1"/>
        </w:rPr>
        <w:t>5</w:t>
      </w:r>
      <w:r>
        <w:rPr>
          <w:spacing w:val="-92"/>
        </w:rPr>
        <w:t>、</w:t>
      </w:r>
      <w:r>
        <w:rPr/>
        <w:t>《控股股东及其一致行动人增持计划进展公告</w:t>
      </w:r>
      <w:r>
        <w:rPr>
          <w:spacing w:val="-92"/>
        </w:rPr>
        <w:t>》</w:t>
      </w:r>
      <w:r>
        <w:rPr>
          <w:spacing w:val="1"/>
        </w:rPr>
        <w:t>（</w:t>
      </w:r>
      <w:r>
        <w:rPr>
          <w:rFonts w:ascii="宋体" w:hAnsi="宋体" w:cs="宋体" w:eastAsia="宋体" w:hint="default"/>
          <w:spacing w:val="1"/>
        </w:rPr>
        <w:t>201</w:t>
      </w:r>
      <w:r>
        <w:rPr>
          <w:rFonts w:ascii="宋体" w:hAnsi="宋体" w:cs="宋体" w:eastAsia="宋体" w:hint="default"/>
          <w:spacing w:val="-2"/>
        </w:rPr>
        <w:t>9</w:t>
      </w:r>
      <w:r>
        <w:rPr>
          <w:rFonts w:ascii="宋体" w:hAnsi="宋体" w:cs="宋体" w:eastAsia="宋体" w:hint="default"/>
          <w:spacing w:val="1"/>
        </w:rPr>
        <w:t>-</w:t>
      </w:r>
      <w:r>
        <w:rPr>
          <w:rFonts w:ascii="宋体" w:hAnsi="宋体" w:cs="宋体" w:eastAsia="宋体" w:hint="default"/>
          <w:spacing w:val="-2"/>
        </w:rPr>
        <w:t>0</w:t>
      </w:r>
      <w:r>
        <w:rPr>
          <w:rFonts w:ascii="宋体" w:hAnsi="宋体" w:cs="宋体" w:eastAsia="宋体" w:hint="default"/>
          <w:spacing w:val="1"/>
        </w:rPr>
        <w:t>0</w:t>
      </w:r>
      <w:r>
        <w:rPr>
          <w:rFonts w:ascii="宋体" w:hAnsi="宋体" w:cs="宋体" w:eastAsia="宋体" w:hint="default"/>
          <w:spacing w:val="-2"/>
        </w:rPr>
        <w:t>7</w:t>
      </w:r>
      <w:r>
        <w:rPr/>
        <w:t>）巨潮资讯网 </w:t>
      </w:r>
      <w:r>
        <w:rPr>
          <w:spacing w:val="2"/>
        </w:rPr>
        <w:t> </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9</w:t>
      </w:r>
      <w:r>
        <w:rPr/>
        <w:t>年</w:t>
      </w:r>
      <w:r>
        <w:rPr>
          <w:rFonts w:ascii="宋体" w:hAnsi="宋体" w:cs="宋体" w:eastAsia="宋体" w:hint="default"/>
          <w:spacing w:val="1"/>
        </w:rPr>
        <w:t>2</w:t>
      </w:r>
      <w:r>
        <w:rPr>
          <w:spacing w:val="-3"/>
        </w:rPr>
        <w:t>月</w:t>
      </w:r>
      <w:r>
        <w:rPr>
          <w:rFonts w:ascii="宋体" w:hAnsi="宋体" w:cs="宋体" w:eastAsia="宋体" w:hint="default"/>
          <w:spacing w:val="1"/>
        </w:rPr>
        <w:t>1</w:t>
      </w:r>
      <w:r>
        <w:rPr>
          <w:spacing w:val="-3"/>
        </w:rPr>
        <w:t>日；</w:t>
      </w:r>
      <w:r>
        <w:rPr/>
      </w:r>
    </w:p>
    <w:p>
      <w:pPr>
        <w:pStyle w:val="BodyText"/>
        <w:spacing w:line="240" w:lineRule="auto" w:before="76"/>
        <w:ind w:right="986"/>
        <w:jc w:val="left"/>
      </w:pPr>
      <w:r>
        <w:rPr>
          <w:rFonts w:ascii="宋体" w:hAnsi="宋体" w:cs="宋体" w:eastAsia="宋体" w:hint="default"/>
          <w:spacing w:val="1"/>
        </w:rPr>
        <w:t>6</w:t>
      </w:r>
      <w:r>
        <w:rPr>
          <w:spacing w:val="-92"/>
        </w:rPr>
        <w:t>、</w:t>
      </w:r>
      <w:r>
        <w:rPr/>
        <w:t>《关于公司控股股东及其一致行动人增持股份进展暨完成增持计划的公告</w:t>
      </w:r>
      <w:r>
        <w:rPr>
          <w:spacing w:val="-92"/>
        </w:rPr>
        <w:t>》</w:t>
      </w:r>
      <w:r>
        <w:rPr>
          <w:spacing w:val="1"/>
        </w:rPr>
        <w:t>（</w:t>
      </w:r>
      <w:r>
        <w:rPr>
          <w:rFonts w:ascii="宋体" w:hAnsi="宋体" w:cs="宋体" w:eastAsia="宋体" w:hint="default"/>
          <w:spacing w:val="1"/>
        </w:rPr>
        <w:t>201</w:t>
      </w:r>
      <w:r>
        <w:rPr>
          <w:rFonts w:ascii="宋体" w:hAnsi="宋体" w:cs="宋体" w:eastAsia="宋体" w:hint="default"/>
          <w:spacing w:val="-2"/>
        </w:rPr>
        <w:t>9</w:t>
      </w:r>
      <w:r>
        <w:rPr>
          <w:rFonts w:ascii="宋体" w:hAnsi="宋体" w:cs="宋体" w:eastAsia="宋体" w:hint="default"/>
          <w:spacing w:val="1"/>
        </w:rPr>
        <w:t>-</w:t>
      </w:r>
      <w:r>
        <w:rPr>
          <w:rFonts w:ascii="宋体" w:hAnsi="宋体" w:cs="宋体" w:eastAsia="宋体" w:hint="default"/>
          <w:spacing w:val="-2"/>
        </w:rPr>
        <w:t>0</w:t>
      </w:r>
      <w:r>
        <w:rPr>
          <w:rFonts w:ascii="宋体" w:hAnsi="宋体" w:cs="宋体" w:eastAsia="宋体" w:hint="default"/>
          <w:spacing w:val="1"/>
        </w:rPr>
        <w:t>08</w:t>
      </w:r>
      <w:r>
        <w:rPr>
          <w:spacing w:val="-3"/>
        </w:rPr>
        <w:t>）</w:t>
      </w:r>
      <w:r>
        <w:rPr/>
        <w:t>巨潮资讯网 </w:t>
      </w:r>
      <w:r>
        <w:rPr>
          <w:spacing w:val="2"/>
        </w:rPr>
        <w:t> </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9</w:t>
      </w:r>
      <w:r>
        <w:rPr/>
        <w:t>年</w:t>
      </w:r>
      <w:r>
        <w:rPr>
          <w:rFonts w:ascii="宋体" w:hAnsi="宋体" w:cs="宋体" w:eastAsia="宋体" w:hint="default"/>
          <w:spacing w:val="1"/>
        </w:rPr>
        <w:t>2</w:t>
      </w:r>
      <w:r>
        <w:rPr>
          <w:spacing w:val="-3"/>
        </w:rPr>
        <w:t>月</w:t>
      </w:r>
      <w:r>
        <w:rPr>
          <w:rFonts w:ascii="宋体" w:hAnsi="宋体" w:cs="宋体" w:eastAsia="宋体" w:hint="default"/>
          <w:spacing w:val="1"/>
        </w:rPr>
        <w:t>2</w:t>
      </w:r>
      <w:r>
        <w:rPr/>
        <w:t>日；</w:t>
      </w:r>
    </w:p>
    <w:p>
      <w:pPr>
        <w:pStyle w:val="BodyText"/>
        <w:spacing w:line="240" w:lineRule="auto" w:before="77"/>
        <w:ind w:right="986"/>
        <w:jc w:val="left"/>
      </w:pPr>
      <w:r>
        <w:rPr>
          <w:rFonts w:ascii="宋体" w:hAnsi="宋体" w:cs="宋体" w:eastAsia="宋体" w:hint="default"/>
          <w:spacing w:val="1"/>
        </w:rPr>
        <w:t>7</w:t>
      </w:r>
      <w:r>
        <w:rPr>
          <w:spacing w:val="-92"/>
        </w:rPr>
        <w:t>、</w:t>
      </w:r>
      <w:r>
        <w:rPr/>
        <w:t>《非公开发行限售股上市流通的提示性公告</w:t>
      </w:r>
      <w:r>
        <w:rPr>
          <w:spacing w:val="-92"/>
        </w:rPr>
        <w:t>》</w:t>
      </w:r>
      <w:r>
        <w:rPr>
          <w:spacing w:val="1"/>
        </w:rPr>
        <w:t>（</w:t>
      </w:r>
      <w:r>
        <w:rPr>
          <w:rFonts w:ascii="宋体" w:hAnsi="宋体" w:cs="宋体" w:eastAsia="宋体" w:hint="default"/>
          <w:spacing w:val="1"/>
        </w:rPr>
        <w:t>201</w:t>
      </w:r>
      <w:r>
        <w:rPr>
          <w:rFonts w:ascii="宋体" w:hAnsi="宋体" w:cs="宋体" w:eastAsia="宋体" w:hint="default"/>
          <w:spacing w:val="-2"/>
        </w:rPr>
        <w:t>9</w:t>
      </w:r>
      <w:r>
        <w:rPr>
          <w:rFonts w:ascii="宋体" w:hAnsi="宋体" w:cs="宋体" w:eastAsia="宋体" w:hint="default"/>
          <w:spacing w:val="1"/>
        </w:rPr>
        <w:t>-</w:t>
      </w:r>
      <w:r>
        <w:rPr>
          <w:rFonts w:ascii="宋体" w:hAnsi="宋体" w:cs="宋体" w:eastAsia="宋体" w:hint="default"/>
          <w:spacing w:val="-2"/>
        </w:rPr>
        <w:t>0</w:t>
      </w:r>
      <w:r>
        <w:rPr>
          <w:rFonts w:ascii="宋体" w:hAnsi="宋体" w:cs="宋体" w:eastAsia="宋体" w:hint="default"/>
          <w:spacing w:val="1"/>
        </w:rPr>
        <w:t>13</w:t>
      </w:r>
      <w:r>
        <w:rPr>
          <w:spacing w:val="-3"/>
        </w:rPr>
        <w:t>）</w:t>
      </w:r>
      <w:r>
        <w:rPr/>
        <w:t>巨潮资讯网 </w:t>
      </w:r>
      <w:r>
        <w:rPr>
          <w:spacing w:val="2"/>
        </w:rPr>
        <w:t> </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9</w:t>
      </w:r>
      <w:r>
        <w:rPr/>
        <w:t>年</w:t>
      </w:r>
      <w:r>
        <w:rPr>
          <w:rFonts w:ascii="宋体" w:hAnsi="宋体" w:cs="宋体" w:eastAsia="宋体" w:hint="default"/>
          <w:spacing w:val="1"/>
        </w:rPr>
        <w:t>3</w:t>
      </w:r>
      <w:r>
        <w:rPr>
          <w:spacing w:val="-3"/>
        </w:rPr>
        <w:t>月</w:t>
      </w:r>
      <w:r>
        <w:rPr>
          <w:rFonts w:ascii="宋体" w:hAnsi="宋体" w:cs="宋体" w:eastAsia="宋体" w:hint="default"/>
          <w:spacing w:val="1"/>
        </w:rPr>
        <w:t>14</w:t>
      </w:r>
      <w:r>
        <w:rPr/>
        <w:t>日；</w:t>
      </w:r>
    </w:p>
    <w:p>
      <w:pPr>
        <w:pStyle w:val="BodyText"/>
        <w:spacing w:line="240" w:lineRule="auto" w:before="76"/>
        <w:ind w:right="986"/>
        <w:jc w:val="left"/>
      </w:pPr>
      <w:r>
        <w:rPr>
          <w:rFonts w:ascii="宋体" w:hAnsi="宋体" w:cs="宋体" w:eastAsia="宋体" w:hint="default"/>
          <w:spacing w:val="1"/>
        </w:rPr>
        <w:t>8</w:t>
      </w:r>
      <w:r>
        <w:rPr>
          <w:spacing w:val="-92"/>
        </w:rPr>
        <w:t>、</w:t>
      </w:r>
      <w:r>
        <w:rPr/>
        <w:t>《关于持股</w:t>
      </w:r>
      <w:r>
        <w:rPr>
          <w:spacing w:val="1"/>
        </w:rPr>
        <w:t> </w:t>
      </w:r>
      <w:r>
        <w:rPr>
          <w:rFonts w:ascii="宋体" w:hAnsi="宋体" w:cs="宋体" w:eastAsia="宋体" w:hint="default"/>
          <w:spacing w:val="1"/>
        </w:rPr>
        <w:t>5%</w:t>
      </w:r>
      <w:r>
        <w:rPr/>
        <w:t>以上股东减</w:t>
      </w:r>
      <w:r>
        <w:rPr>
          <w:spacing w:val="-3"/>
        </w:rPr>
        <w:t>持</w:t>
      </w:r>
      <w:r>
        <w:rPr/>
        <w:t>股份进展公告</w:t>
      </w:r>
      <w:r>
        <w:rPr>
          <w:spacing w:val="-92"/>
        </w:rPr>
        <w:t>》</w:t>
      </w:r>
      <w:r>
        <w:rPr/>
        <w:t>（</w:t>
      </w:r>
      <w:r>
        <w:rPr>
          <w:rFonts w:ascii="宋体" w:hAnsi="宋体" w:cs="宋体" w:eastAsia="宋体" w:hint="default"/>
          <w:spacing w:val="1"/>
        </w:rPr>
        <w:t>201</w:t>
      </w:r>
      <w:r>
        <w:rPr>
          <w:rFonts w:ascii="宋体" w:hAnsi="宋体" w:cs="宋体" w:eastAsia="宋体" w:hint="default"/>
          <w:spacing w:val="-2"/>
        </w:rPr>
        <w:t>9</w:t>
      </w:r>
      <w:r>
        <w:rPr>
          <w:rFonts w:ascii="宋体" w:hAnsi="宋体" w:cs="宋体" w:eastAsia="宋体" w:hint="default"/>
          <w:spacing w:val="1"/>
        </w:rPr>
        <w:t>-</w:t>
      </w:r>
      <w:r>
        <w:rPr>
          <w:rFonts w:ascii="宋体" w:hAnsi="宋体" w:cs="宋体" w:eastAsia="宋体" w:hint="default"/>
          <w:spacing w:val="-2"/>
        </w:rPr>
        <w:t>0</w:t>
      </w:r>
      <w:r>
        <w:rPr>
          <w:rFonts w:ascii="宋体" w:hAnsi="宋体" w:cs="宋体" w:eastAsia="宋体" w:hint="default"/>
          <w:spacing w:val="1"/>
        </w:rPr>
        <w:t>15</w:t>
      </w:r>
      <w:r>
        <w:rPr/>
        <w:t>）</w:t>
      </w:r>
      <w:r>
        <w:rPr>
          <w:spacing w:val="-3"/>
        </w:rPr>
        <w:t>巨</w:t>
      </w:r>
      <w:r>
        <w:rPr/>
        <w:t>潮资讯网 </w:t>
      </w:r>
      <w:r>
        <w:rPr>
          <w:spacing w:val="2"/>
        </w:rPr>
        <w:t> </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9</w:t>
      </w:r>
      <w:r>
        <w:rPr/>
        <w:t>年</w:t>
      </w:r>
      <w:r>
        <w:rPr>
          <w:rFonts w:ascii="宋体" w:hAnsi="宋体" w:cs="宋体" w:eastAsia="宋体" w:hint="default"/>
          <w:spacing w:val="1"/>
        </w:rPr>
        <w:t>3</w:t>
      </w:r>
      <w:r>
        <w:rPr>
          <w:spacing w:val="-3"/>
        </w:rPr>
        <w:t>月</w:t>
      </w:r>
      <w:r>
        <w:rPr>
          <w:rFonts w:ascii="宋体" w:hAnsi="宋体" w:cs="宋体" w:eastAsia="宋体" w:hint="default"/>
          <w:spacing w:val="1"/>
        </w:rPr>
        <w:t>26</w:t>
      </w:r>
      <w:r>
        <w:rPr/>
        <w:t>日；</w:t>
      </w:r>
    </w:p>
    <w:p>
      <w:pPr>
        <w:pStyle w:val="BodyText"/>
        <w:spacing w:line="240" w:lineRule="auto" w:before="76"/>
        <w:ind w:right="986"/>
        <w:jc w:val="left"/>
      </w:pPr>
      <w:r>
        <w:rPr>
          <w:rFonts w:ascii="宋体" w:hAnsi="宋体" w:cs="宋体" w:eastAsia="宋体" w:hint="default"/>
          <w:spacing w:val="1"/>
        </w:rPr>
        <w:t>9</w:t>
      </w:r>
      <w:r>
        <w:rPr>
          <w:spacing w:val="-92"/>
        </w:rPr>
        <w:t>、</w:t>
      </w:r>
      <w:r>
        <w:rPr/>
        <w:t>《关于曹林芳、李勇、莫清雅的股份被司法冻结的公告</w:t>
      </w:r>
      <w:r>
        <w:rPr>
          <w:spacing w:val="-92"/>
        </w:rPr>
        <w:t>》</w:t>
      </w:r>
      <w:r>
        <w:rPr>
          <w:spacing w:val="3"/>
        </w:rPr>
        <w:t>（</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9</w:t>
      </w:r>
      <w:r>
        <w:rPr>
          <w:rFonts w:ascii="宋体" w:hAnsi="宋体" w:cs="宋体" w:eastAsia="宋体" w:hint="default"/>
          <w:spacing w:val="-1"/>
        </w:rPr>
        <w:t>-</w:t>
      </w:r>
      <w:r>
        <w:rPr>
          <w:rFonts w:ascii="宋体" w:hAnsi="宋体" w:cs="宋体" w:eastAsia="宋体" w:hint="default"/>
          <w:spacing w:val="1"/>
        </w:rPr>
        <w:t>0</w:t>
      </w:r>
      <w:r>
        <w:rPr>
          <w:rFonts w:ascii="宋体" w:hAnsi="宋体" w:cs="宋体" w:eastAsia="宋体" w:hint="default"/>
          <w:spacing w:val="-2"/>
        </w:rPr>
        <w:t>3</w:t>
      </w:r>
      <w:r>
        <w:rPr>
          <w:rFonts w:ascii="宋体" w:hAnsi="宋体" w:cs="宋体" w:eastAsia="宋体" w:hint="default"/>
          <w:spacing w:val="1"/>
        </w:rPr>
        <w:t>8</w:t>
      </w:r>
      <w:r>
        <w:rPr/>
        <w:t>）巨潮资讯网  </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9</w:t>
      </w:r>
      <w:r>
        <w:rPr/>
        <w:t>年</w:t>
      </w:r>
      <w:r>
        <w:rPr>
          <w:rFonts w:ascii="宋体" w:hAnsi="宋体" w:cs="宋体" w:eastAsia="宋体" w:hint="default"/>
          <w:spacing w:val="1"/>
        </w:rPr>
        <w:t>5</w:t>
      </w:r>
      <w:r>
        <w:rPr/>
        <w:t>月</w:t>
      </w:r>
      <w:r>
        <w:rPr>
          <w:rFonts w:ascii="宋体" w:hAnsi="宋体" w:cs="宋体" w:eastAsia="宋体" w:hint="default"/>
          <w:spacing w:val="1"/>
        </w:rPr>
        <w:t>13</w:t>
      </w:r>
      <w:r>
        <w:rPr/>
        <w:t>日；</w:t>
      </w:r>
    </w:p>
    <w:p>
      <w:pPr>
        <w:pStyle w:val="BodyText"/>
        <w:spacing w:line="240" w:lineRule="auto" w:before="76"/>
        <w:ind w:right="986"/>
        <w:jc w:val="left"/>
      </w:pPr>
      <w:r>
        <w:rPr>
          <w:rFonts w:ascii="宋体" w:hAnsi="宋体" w:cs="宋体" w:eastAsia="宋体" w:hint="default"/>
          <w:spacing w:val="1"/>
        </w:rPr>
        <w:t>10</w:t>
      </w:r>
      <w:r>
        <w:rPr>
          <w:spacing w:val="-92"/>
        </w:rPr>
        <w:t>、</w:t>
      </w:r>
      <w:r>
        <w:rPr/>
        <w:t>《关于公司控股股东及其一致行动人增持计划的公告</w:t>
      </w:r>
      <w:r>
        <w:rPr>
          <w:spacing w:val="-92"/>
        </w:rPr>
        <w:t>》</w:t>
      </w:r>
      <w:r>
        <w:rPr/>
        <w:t>（</w:t>
      </w:r>
      <w:r>
        <w:rPr>
          <w:rFonts w:ascii="宋体" w:hAnsi="宋体" w:cs="宋体" w:eastAsia="宋体" w:hint="default"/>
          <w:spacing w:val="1"/>
        </w:rPr>
        <w:t>2019</w:t>
      </w:r>
      <w:r>
        <w:rPr>
          <w:rFonts w:ascii="宋体" w:hAnsi="宋体" w:cs="宋体" w:eastAsia="宋体" w:hint="default"/>
          <w:spacing w:val="-2"/>
        </w:rPr>
        <w:t>-</w:t>
      </w:r>
      <w:r>
        <w:rPr>
          <w:rFonts w:ascii="宋体" w:hAnsi="宋体" w:cs="宋体" w:eastAsia="宋体" w:hint="default"/>
          <w:spacing w:val="1"/>
        </w:rPr>
        <w:t>0</w:t>
      </w:r>
      <w:r>
        <w:rPr>
          <w:rFonts w:ascii="宋体" w:hAnsi="宋体" w:cs="宋体" w:eastAsia="宋体" w:hint="default"/>
          <w:spacing w:val="-2"/>
        </w:rPr>
        <w:t>4</w:t>
      </w:r>
      <w:r>
        <w:rPr>
          <w:rFonts w:ascii="宋体" w:hAnsi="宋体" w:cs="宋体" w:eastAsia="宋体" w:hint="default"/>
          <w:spacing w:val="1"/>
        </w:rPr>
        <w:t>5</w:t>
      </w:r>
      <w:r>
        <w:rPr/>
        <w:t>）巨潮资讯网  </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9</w:t>
      </w:r>
      <w:r>
        <w:rPr/>
        <w:t>年</w:t>
      </w:r>
      <w:r>
        <w:rPr>
          <w:rFonts w:ascii="宋体" w:hAnsi="宋体" w:cs="宋体" w:eastAsia="宋体" w:hint="default"/>
          <w:spacing w:val="-2"/>
        </w:rPr>
        <w:t>5</w:t>
      </w:r>
      <w:r>
        <w:rPr/>
        <w:t>月</w:t>
      </w:r>
      <w:r>
        <w:rPr>
          <w:rFonts w:ascii="宋体" w:hAnsi="宋体" w:cs="宋体" w:eastAsia="宋体" w:hint="default"/>
          <w:spacing w:val="1"/>
        </w:rPr>
        <w:t>24</w:t>
      </w:r>
      <w:r>
        <w:rPr/>
        <w:t>日；</w:t>
      </w:r>
    </w:p>
    <w:p>
      <w:pPr>
        <w:pStyle w:val="BodyText"/>
        <w:spacing w:line="240" w:lineRule="auto" w:before="76"/>
        <w:ind w:right="986"/>
        <w:jc w:val="left"/>
      </w:pPr>
      <w:r>
        <w:rPr>
          <w:rFonts w:ascii="宋体" w:hAnsi="宋体" w:cs="宋体" w:eastAsia="宋体" w:hint="default"/>
          <w:spacing w:val="1"/>
        </w:rPr>
        <w:t>11</w:t>
      </w:r>
      <w:r>
        <w:rPr>
          <w:spacing w:val="-92"/>
        </w:rPr>
        <w:t>、</w:t>
      </w:r>
      <w:r>
        <w:rPr/>
        <w:t>《关于收到深圳证监局行政监管措施决定书的公告</w:t>
      </w:r>
      <w:r>
        <w:rPr>
          <w:spacing w:val="-92"/>
        </w:rPr>
        <w:t>》</w:t>
      </w:r>
      <w:r>
        <w:rPr/>
        <w:t>（</w:t>
      </w:r>
      <w:r>
        <w:rPr>
          <w:rFonts w:ascii="宋体" w:hAnsi="宋体" w:cs="宋体" w:eastAsia="宋体" w:hint="default"/>
          <w:spacing w:val="1"/>
        </w:rPr>
        <w:t>201</w:t>
      </w:r>
      <w:r>
        <w:rPr>
          <w:rFonts w:ascii="宋体" w:hAnsi="宋体" w:cs="宋体" w:eastAsia="宋体" w:hint="default"/>
          <w:spacing w:val="-2"/>
        </w:rPr>
        <w:t>9</w:t>
      </w:r>
      <w:r>
        <w:rPr>
          <w:rFonts w:ascii="宋体" w:hAnsi="宋体" w:cs="宋体" w:eastAsia="宋体" w:hint="default"/>
          <w:spacing w:val="1"/>
        </w:rPr>
        <w:t>-0</w:t>
      </w:r>
      <w:r>
        <w:rPr>
          <w:rFonts w:ascii="宋体" w:hAnsi="宋体" w:cs="宋体" w:eastAsia="宋体" w:hint="default"/>
          <w:spacing w:val="-2"/>
        </w:rPr>
        <w:t>4</w:t>
      </w:r>
      <w:r>
        <w:rPr>
          <w:rFonts w:ascii="宋体" w:hAnsi="宋体" w:cs="宋体" w:eastAsia="宋体" w:hint="default"/>
          <w:spacing w:val="1"/>
        </w:rPr>
        <w:t>6</w:t>
      </w:r>
      <w:r>
        <w:rPr/>
        <w:t>）巨潮资讯网  </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9</w:t>
      </w:r>
      <w:r>
        <w:rPr/>
        <w:t>年</w:t>
      </w:r>
      <w:r>
        <w:rPr>
          <w:rFonts w:ascii="宋体" w:hAnsi="宋体" w:cs="宋体" w:eastAsia="宋体" w:hint="default"/>
          <w:spacing w:val="1"/>
        </w:rPr>
        <w:t>5</w:t>
      </w:r>
      <w:r>
        <w:rPr>
          <w:spacing w:val="-3"/>
        </w:rPr>
        <w:t>月</w:t>
      </w:r>
      <w:r>
        <w:rPr>
          <w:rFonts w:ascii="宋体" w:hAnsi="宋体" w:cs="宋体" w:eastAsia="宋体" w:hint="default"/>
          <w:spacing w:val="1"/>
        </w:rPr>
        <w:t>25</w:t>
      </w:r>
      <w:r>
        <w:rPr/>
        <w:t>日；</w:t>
      </w:r>
    </w:p>
    <w:p>
      <w:pPr>
        <w:pStyle w:val="BodyText"/>
        <w:spacing w:line="240" w:lineRule="auto" w:before="76"/>
        <w:ind w:right="986"/>
        <w:jc w:val="left"/>
      </w:pPr>
      <w:r>
        <w:rPr>
          <w:rFonts w:ascii="宋体" w:hAnsi="宋体" w:cs="宋体" w:eastAsia="宋体" w:hint="default"/>
          <w:spacing w:val="1"/>
        </w:rPr>
        <w:t>12</w:t>
      </w:r>
      <w:r>
        <w:rPr>
          <w:spacing w:val="-92"/>
        </w:rPr>
        <w:t>、</w:t>
      </w:r>
      <w:r>
        <w:rPr/>
        <w:t>《控股股东及其一致行动人增持计划进展公告</w:t>
      </w:r>
      <w:r>
        <w:rPr>
          <w:spacing w:val="-92"/>
        </w:rPr>
        <w:t>》</w:t>
      </w:r>
      <w:r>
        <w:rPr/>
        <w:t>（</w:t>
      </w:r>
      <w:r>
        <w:rPr>
          <w:rFonts w:ascii="宋体" w:hAnsi="宋体" w:cs="宋体" w:eastAsia="宋体" w:hint="default"/>
          <w:spacing w:val="1"/>
        </w:rPr>
        <w:t>201</w:t>
      </w:r>
      <w:r>
        <w:rPr>
          <w:rFonts w:ascii="宋体" w:hAnsi="宋体" w:cs="宋体" w:eastAsia="宋体" w:hint="default"/>
          <w:spacing w:val="-2"/>
        </w:rPr>
        <w:t>9</w:t>
      </w:r>
      <w:r>
        <w:rPr>
          <w:rFonts w:ascii="宋体" w:hAnsi="宋体" w:cs="宋体" w:eastAsia="宋体" w:hint="default"/>
          <w:spacing w:val="1"/>
        </w:rPr>
        <w:t>-</w:t>
      </w:r>
      <w:r>
        <w:rPr>
          <w:rFonts w:ascii="宋体" w:hAnsi="宋体" w:cs="宋体" w:eastAsia="宋体" w:hint="default"/>
          <w:spacing w:val="-2"/>
        </w:rPr>
        <w:t>0</w:t>
      </w:r>
      <w:r>
        <w:rPr>
          <w:rFonts w:ascii="宋体" w:hAnsi="宋体" w:cs="宋体" w:eastAsia="宋体" w:hint="default"/>
          <w:spacing w:val="1"/>
        </w:rPr>
        <w:t>5</w:t>
      </w:r>
      <w:r>
        <w:rPr>
          <w:rFonts w:ascii="宋体" w:hAnsi="宋体" w:cs="宋体" w:eastAsia="宋体" w:hint="default"/>
          <w:spacing w:val="-2"/>
        </w:rPr>
        <w:t>0</w:t>
      </w:r>
      <w:r>
        <w:rPr/>
        <w:t>）巨潮资讯网 </w:t>
      </w:r>
      <w:r>
        <w:rPr>
          <w:spacing w:val="2"/>
        </w:rPr>
        <w:t> </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9</w:t>
      </w:r>
      <w:r>
        <w:rPr/>
        <w:t>年</w:t>
      </w:r>
      <w:r>
        <w:rPr>
          <w:rFonts w:ascii="宋体" w:hAnsi="宋体" w:cs="宋体" w:eastAsia="宋体" w:hint="default"/>
          <w:spacing w:val="1"/>
        </w:rPr>
        <w:t>5</w:t>
      </w:r>
      <w:r>
        <w:rPr>
          <w:spacing w:val="-3"/>
        </w:rPr>
        <w:t>月</w:t>
      </w:r>
      <w:r>
        <w:rPr>
          <w:rFonts w:ascii="宋体" w:hAnsi="宋体" w:cs="宋体" w:eastAsia="宋体" w:hint="default"/>
          <w:spacing w:val="1"/>
        </w:rPr>
        <w:t>30</w:t>
      </w:r>
      <w:r>
        <w:rPr>
          <w:spacing w:val="-3"/>
        </w:rPr>
        <w:t>日；</w:t>
      </w:r>
      <w:r>
        <w:rPr/>
      </w:r>
    </w:p>
    <w:p>
      <w:pPr>
        <w:pStyle w:val="BodyText"/>
        <w:spacing w:line="240" w:lineRule="auto" w:before="76"/>
        <w:ind w:right="986"/>
        <w:jc w:val="left"/>
      </w:pPr>
      <w:r>
        <w:rPr>
          <w:rFonts w:ascii="宋体" w:hAnsi="宋体" w:cs="宋体" w:eastAsia="宋体" w:hint="default"/>
          <w:spacing w:val="1"/>
        </w:rPr>
        <w:t>13</w:t>
      </w:r>
      <w:r>
        <w:rPr>
          <w:spacing w:val="-92"/>
        </w:rPr>
        <w:t>、</w:t>
      </w:r>
      <w:r>
        <w:rPr/>
        <w:t>《关于控股股东及其一致行动人增持计划进展暨完成增持计划的公告</w:t>
      </w:r>
      <w:r>
        <w:rPr>
          <w:spacing w:val="2"/>
        </w:rPr>
        <w:t> </w:t>
      </w:r>
      <w:r>
        <w:rPr>
          <w:spacing w:val="-92"/>
        </w:rPr>
        <w:t>》</w:t>
      </w:r>
      <w:r>
        <w:rPr/>
        <w:t>（</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9</w:t>
      </w:r>
      <w:r>
        <w:rPr>
          <w:rFonts w:ascii="宋体" w:hAnsi="宋体" w:cs="宋体" w:eastAsia="宋体" w:hint="default"/>
          <w:spacing w:val="-2"/>
        </w:rPr>
        <w:t>-</w:t>
      </w:r>
      <w:r>
        <w:rPr>
          <w:rFonts w:ascii="宋体" w:hAnsi="宋体" w:cs="宋体" w:eastAsia="宋体" w:hint="default"/>
          <w:spacing w:val="1"/>
        </w:rPr>
        <w:t>0</w:t>
      </w:r>
      <w:r>
        <w:rPr>
          <w:rFonts w:ascii="宋体" w:hAnsi="宋体" w:cs="宋体" w:eastAsia="宋体" w:hint="default"/>
          <w:spacing w:val="-2"/>
        </w:rPr>
        <w:t>5</w:t>
      </w:r>
      <w:r>
        <w:rPr>
          <w:rFonts w:ascii="宋体" w:hAnsi="宋体" w:cs="宋体" w:eastAsia="宋体" w:hint="default"/>
          <w:spacing w:val="1"/>
        </w:rPr>
        <w:t>7</w:t>
      </w:r>
      <w:r>
        <w:rPr/>
        <w:t>）</w:t>
      </w:r>
      <w:r>
        <w:rPr>
          <w:spacing w:val="-3"/>
        </w:rPr>
        <w:t>巨</w:t>
      </w:r>
      <w:r>
        <w:rPr/>
        <w:t>潮资讯网 </w:t>
      </w:r>
      <w:r>
        <w:rPr>
          <w:spacing w:val="2"/>
        </w:rPr>
        <w:t> </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1</w:t>
      </w:r>
      <w:r>
        <w:rPr>
          <w:rFonts w:ascii="宋体" w:hAnsi="宋体" w:cs="宋体" w:eastAsia="宋体" w:hint="default"/>
          <w:spacing w:val="1"/>
        </w:rPr>
        <w:t>9</w:t>
      </w:r>
      <w:r>
        <w:rPr/>
        <w:t>年</w:t>
      </w:r>
      <w:r>
        <w:rPr>
          <w:rFonts w:ascii="宋体" w:hAnsi="宋体" w:cs="宋体" w:eastAsia="宋体" w:hint="default"/>
          <w:spacing w:val="1"/>
        </w:rPr>
        <w:t>6</w:t>
      </w:r>
      <w:r>
        <w:rPr>
          <w:spacing w:val="-3"/>
        </w:rPr>
        <w:t>月</w:t>
      </w:r>
      <w:r>
        <w:rPr>
          <w:rFonts w:ascii="宋体" w:hAnsi="宋体" w:cs="宋体" w:eastAsia="宋体" w:hint="default"/>
          <w:spacing w:val="1"/>
        </w:rPr>
        <w:t>22</w:t>
      </w:r>
      <w:r>
        <w:rPr/>
        <w:t>日；</w:t>
      </w:r>
    </w:p>
    <w:p>
      <w:pPr>
        <w:pStyle w:val="BodyText"/>
        <w:spacing w:line="240" w:lineRule="auto" w:before="76"/>
        <w:ind w:right="986"/>
        <w:jc w:val="left"/>
      </w:pPr>
      <w:r>
        <w:rPr>
          <w:rFonts w:ascii="宋体" w:hAnsi="宋体" w:cs="宋体" w:eastAsia="宋体" w:hint="default"/>
          <w:spacing w:val="1"/>
        </w:rPr>
        <w:t>14</w:t>
      </w:r>
      <w:r>
        <w:rPr>
          <w:spacing w:val="-92"/>
        </w:rPr>
        <w:t>、</w:t>
      </w:r>
      <w:r>
        <w:rPr/>
        <w:t>《关于收购云南诚邦富吉生物科技有限公司股权的公告</w:t>
      </w:r>
      <w:r>
        <w:rPr>
          <w:spacing w:val="-92"/>
        </w:rPr>
        <w:t>》</w:t>
      </w:r>
      <w:r>
        <w:rPr>
          <w:spacing w:val="3"/>
        </w:rPr>
        <w:t>（</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9</w:t>
      </w:r>
      <w:r>
        <w:rPr>
          <w:rFonts w:ascii="宋体" w:hAnsi="宋体" w:cs="宋体" w:eastAsia="宋体" w:hint="default"/>
          <w:spacing w:val="-2"/>
        </w:rPr>
        <w:t>-</w:t>
      </w:r>
      <w:r>
        <w:rPr>
          <w:rFonts w:ascii="宋体" w:hAnsi="宋体" w:cs="宋体" w:eastAsia="宋体" w:hint="default"/>
          <w:spacing w:val="1"/>
        </w:rPr>
        <w:t>0</w:t>
      </w:r>
      <w:r>
        <w:rPr>
          <w:rFonts w:ascii="宋体" w:hAnsi="宋体" w:cs="宋体" w:eastAsia="宋体" w:hint="default"/>
          <w:spacing w:val="-2"/>
        </w:rPr>
        <w:t>8</w:t>
      </w:r>
      <w:r>
        <w:rPr>
          <w:rFonts w:ascii="宋体" w:hAnsi="宋体" w:cs="宋体" w:eastAsia="宋体" w:hint="default"/>
          <w:spacing w:val="1"/>
        </w:rPr>
        <w:t>9</w:t>
      </w:r>
      <w:r>
        <w:rPr/>
        <w:t>）</w:t>
      </w:r>
      <w:r>
        <w:rPr>
          <w:spacing w:val="1"/>
        </w:rPr>
        <w:t> </w:t>
      </w:r>
      <w:r>
        <w:rPr/>
        <w:t>巨潮资讯网 </w:t>
      </w:r>
      <w:r>
        <w:rPr>
          <w:spacing w:val="-3"/>
        </w:rPr>
        <w:t> </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w:t>
      </w:r>
      <w:r>
        <w:rPr>
          <w:rFonts w:ascii="宋体" w:hAnsi="宋体" w:cs="宋体" w:eastAsia="宋体" w:hint="default"/>
          <w:spacing w:val="-1"/>
        </w:rPr>
        <w:t>9</w:t>
      </w:r>
      <w:r>
        <w:rPr/>
        <w:t>年</w:t>
      </w:r>
      <w:r>
        <w:rPr>
          <w:rFonts w:ascii="宋体" w:hAnsi="宋体" w:cs="宋体" w:eastAsia="宋体" w:hint="default"/>
          <w:spacing w:val="1"/>
        </w:rPr>
        <w:t>11</w:t>
      </w:r>
      <w:r>
        <w:rPr/>
        <w:t>月</w:t>
      </w:r>
      <w:r>
        <w:rPr>
          <w:rFonts w:ascii="宋体" w:hAnsi="宋体" w:cs="宋体" w:eastAsia="宋体" w:hint="default"/>
          <w:spacing w:val="-2"/>
        </w:rPr>
        <w:t>1</w:t>
      </w:r>
      <w:r>
        <w:rPr>
          <w:rFonts w:ascii="宋体" w:hAnsi="宋体" w:cs="宋体" w:eastAsia="宋体" w:hint="default"/>
          <w:spacing w:val="1"/>
        </w:rPr>
        <w:t>9</w:t>
      </w:r>
      <w:r>
        <w:rPr/>
        <w:t>日；</w:t>
      </w:r>
    </w:p>
    <w:p>
      <w:pPr>
        <w:pStyle w:val="BodyText"/>
        <w:spacing w:line="240" w:lineRule="auto" w:before="76"/>
        <w:ind w:right="986"/>
        <w:jc w:val="left"/>
      </w:pPr>
      <w:r>
        <w:rPr>
          <w:rFonts w:ascii="宋体" w:hAnsi="宋体" w:cs="宋体" w:eastAsia="宋体" w:hint="default"/>
          <w:spacing w:val="1"/>
        </w:rPr>
        <w:t>15</w:t>
      </w:r>
      <w:r>
        <w:rPr>
          <w:spacing w:val="-92"/>
        </w:rPr>
        <w:t>、</w:t>
      </w:r>
      <w:r>
        <w:rPr/>
        <w:t>《关于</w:t>
      </w:r>
      <w:r>
        <w:rPr>
          <w:rFonts w:ascii="宋体" w:hAnsi="宋体" w:cs="宋体" w:eastAsia="宋体" w:hint="default"/>
          <w:spacing w:val="1"/>
        </w:rPr>
        <w:t>2</w:t>
      </w:r>
      <w:r>
        <w:rPr>
          <w:rFonts w:ascii="宋体" w:hAnsi="宋体" w:cs="宋体" w:eastAsia="宋体" w:hint="default"/>
          <w:spacing w:val="-2"/>
        </w:rPr>
        <w:t>0</w:t>
      </w:r>
      <w:r>
        <w:rPr>
          <w:rFonts w:ascii="宋体" w:hAnsi="宋体" w:cs="宋体" w:eastAsia="宋体" w:hint="default"/>
          <w:spacing w:val="1"/>
        </w:rPr>
        <w:t>18</w:t>
      </w:r>
      <w:r>
        <w:rPr/>
        <w:t>年度审计报告</w:t>
      </w:r>
      <w:r>
        <w:rPr>
          <w:spacing w:val="-3"/>
        </w:rPr>
        <w:t>保</w:t>
      </w:r>
      <w:r>
        <w:rPr/>
        <w:t>留意见所涉及部分事项的重大影响予以消除的说明</w:t>
      </w:r>
      <w:r>
        <w:rPr>
          <w:spacing w:val="-92"/>
        </w:rPr>
        <w:t>》</w:t>
      </w:r>
      <w:r>
        <w:rPr>
          <w:spacing w:val="1"/>
        </w:rPr>
        <w:t>（</w:t>
      </w:r>
      <w:r>
        <w:rPr>
          <w:rFonts w:ascii="宋体" w:hAnsi="宋体" w:cs="宋体" w:eastAsia="宋体" w:hint="default"/>
          <w:spacing w:val="1"/>
        </w:rPr>
        <w:t>202</w:t>
      </w:r>
      <w:r>
        <w:rPr>
          <w:rFonts w:ascii="宋体" w:hAnsi="宋体" w:cs="宋体" w:eastAsia="宋体" w:hint="default"/>
          <w:spacing w:val="-2"/>
        </w:rPr>
        <w:t>0</w:t>
      </w:r>
      <w:r>
        <w:rPr>
          <w:rFonts w:ascii="宋体" w:hAnsi="宋体" w:cs="宋体" w:eastAsia="宋体" w:hint="default"/>
          <w:spacing w:val="1"/>
        </w:rPr>
        <w:t>-</w:t>
      </w:r>
      <w:r>
        <w:rPr>
          <w:rFonts w:ascii="宋体" w:hAnsi="宋体" w:cs="宋体" w:eastAsia="宋体" w:hint="default"/>
          <w:spacing w:val="-2"/>
        </w:rPr>
        <w:t>0</w:t>
      </w:r>
      <w:r>
        <w:rPr>
          <w:rFonts w:ascii="宋体" w:hAnsi="宋体" w:cs="宋体" w:eastAsia="宋体" w:hint="default"/>
          <w:spacing w:val="1"/>
        </w:rPr>
        <w:t>03</w:t>
      </w:r>
      <w:r>
        <w:rPr/>
        <w:t>）  巨潮资讯网  </w:t>
      </w:r>
      <w:r>
        <w:rPr>
          <w:rFonts w:ascii="宋体" w:hAnsi="宋体" w:cs="宋体" w:eastAsia="宋体" w:hint="default"/>
          <w:spacing w:val="-2"/>
        </w:rPr>
        <w:t>2</w:t>
      </w:r>
      <w:r>
        <w:rPr>
          <w:rFonts w:ascii="宋体" w:hAnsi="宋体" w:cs="宋体" w:eastAsia="宋体" w:hint="default"/>
          <w:spacing w:val="1"/>
        </w:rPr>
        <w:t>0</w:t>
      </w:r>
      <w:r>
        <w:rPr>
          <w:rFonts w:ascii="宋体" w:hAnsi="宋体" w:cs="宋体" w:eastAsia="宋体" w:hint="default"/>
          <w:spacing w:val="-2"/>
        </w:rPr>
        <w:t>2</w:t>
      </w:r>
      <w:r>
        <w:rPr>
          <w:rFonts w:ascii="宋体" w:hAnsi="宋体" w:cs="宋体" w:eastAsia="宋体" w:hint="default"/>
          <w:spacing w:val="1"/>
        </w:rPr>
        <w:t>0</w:t>
      </w:r>
      <w:r>
        <w:rPr/>
        <w:t>年</w:t>
      </w:r>
      <w:r>
        <w:rPr>
          <w:rFonts w:ascii="宋体" w:hAnsi="宋体" w:cs="宋体" w:eastAsia="宋体" w:hint="default"/>
          <w:spacing w:val="1"/>
        </w:rPr>
        <w:t>1</w:t>
      </w:r>
      <w:r>
        <w:rPr/>
        <w:t>月</w:t>
      </w:r>
    </w:p>
    <w:p>
      <w:pPr>
        <w:pStyle w:val="BodyText"/>
        <w:spacing w:line="316" w:lineRule="auto" w:before="76"/>
        <w:ind w:right="1131"/>
        <w:jc w:val="left"/>
      </w:pPr>
      <w:r>
        <w:rPr>
          <w:rFonts w:ascii="宋体" w:hAnsi="宋体" w:cs="宋体" w:eastAsia="宋体" w:hint="default"/>
          <w:spacing w:val="-2"/>
        </w:rPr>
        <w:t>23</w:t>
      </w:r>
      <w:r>
        <w:rPr>
          <w:spacing w:val="-2"/>
        </w:rPr>
        <w:t>日，主要内容为：公司</w:t>
      </w:r>
      <w:r>
        <w:rPr>
          <w:rFonts w:ascii="宋体" w:hAnsi="宋体" w:cs="宋体" w:eastAsia="宋体" w:hint="default"/>
          <w:spacing w:val="-2"/>
        </w:rPr>
        <w:t>2018</w:t>
      </w:r>
      <w:r>
        <w:rPr>
          <w:spacing w:val="-2"/>
        </w:rPr>
        <w:t>年度审计报告被会计师就视科传媒部分不能收回的应收款全额计提坏账准备、部分已签署合同</w:t>
      </w:r>
      <w:r>
        <w:rPr>
          <w:spacing w:val="-63"/>
        </w:rPr>
        <w:t> </w:t>
      </w:r>
      <w:r>
        <w:rPr>
          <w:spacing w:val="-63"/>
        </w:rPr>
      </w:r>
      <w:r>
        <w:rPr>
          <w:spacing w:val="-2"/>
        </w:rPr>
        <w:t>及提供服务的项目未确认收入、收购视科传媒和冉十科技形成的商誉计提减值准备出具了保留意见，公司聘请了评估师及会</w:t>
      </w:r>
      <w:r>
        <w:rPr>
          <w:spacing w:val="-64"/>
        </w:rPr>
        <w:t> </w:t>
      </w:r>
      <w:r>
        <w:rPr>
          <w:spacing w:val="-64"/>
        </w:rPr>
      </w:r>
      <w:r>
        <w:rPr/>
        <w:t>计师就上述保留意见进行了减值测试及审核，消除了未确认收入及商誉计提减值的保留意见。 </w:t>
      </w:r>
      <w:r>
        <w:rPr>
          <w:rFonts w:ascii="宋体" w:hAnsi="宋体" w:cs="宋体" w:eastAsia="宋体" w:hint="default"/>
          <w:spacing w:val="-8"/>
        </w:rPr>
        <w:t>16</w:t>
      </w:r>
      <w:r>
        <w:rPr>
          <w:spacing w:val="-8"/>
        </w:rPr>
        <w:t>、《关于前期会计差错更正的公告》（</w:t>
      </w:r>
      <w:r>
        <w:rPr>
          <w:rFonts w:ascii="宋体" w:hAnsi="宋体" w:cs="宋体" w:eastAsia="宋体" w:hint="default"/>
          <w:spacing w:val="-8"/>
        </w:rPr>
        <w:t>2020-004</w:t>
      </w:r>
      <w:r>
        <w:rPr>
          <w:spacing w:val="-8"/>
        </w:rPr>
        <w:t>）</w:t>
      </w:r>
      <w:r>
        <w:rPr/>
        <w:t> </w:t>
      </w:r>
      <w:r>
        <w:rPr>
          <w:spacing w:val="-1"/>
        </w:rPr>
        <w:t>巨潮资讯网</w:t>
      </w:r>
      <w:r>
        <w:rPr/>
        <w:t> </w:t>
      </w:r>
      <w:r>
        <w:rPr>
          <w:rFonts w:ascii="宋体" w:hAnsi="宋体" w:cs="宋体" w:eastAsia="宋体" w:hint="default"/>
          <w:spacing w:val="-1"/>
        </w:rPr>
        <w:t>2020</w:t>
      </w:r>
      <w:r>
        <w:rPr>
          <w:spacing w:val="-1"/>
        </w:rPr>
        <w:t>年</w:t>
      </w:r>
      <w:r>
        <w:rPr>
          <w:rFonts w:ascii="宋体" w:hAnsi="宋体" w:cs="宋体" w:eastAsia="宋体" w:hint="default"/>
          <w:spacing w:val="-1"/>
        </w:rPr>
        <w:t>1</w:t>
      </w:r>
      <w:r>
        <w:rPr>
          <w:spacing w:val="-1"/>
        </w:rPr>
        <w:t>月</w:t>
      </w:r>
      <w:r>
        <w:rPr>
          <w:rFonts w:ascii="宋体" w:hAnsi="宋体" w:cs="宋体" w:eastAsia="宋体" w:hint="default"/>
          <w:spacing w:val="-1"/>
        </w:rPr>
        <w:t>23</w:t>
      </w:r>
      <w:r>
        <w:rPr>
          <w:spacing w:val="-1"/>
        </w:rPr>
        <w:t>日</w:t>
      </w:r>
      <w:r>
        <w:rPr>
          <w:spacing w:val="5"/>
        </w:rPr>
        <w:t> </w:t>
      </w:r>
      <w:r>
        <w:rPr>
          <w:spacing w:val="-2"/>
        </w:rPr>
        <w:t>，主要内容为：因消除</w:t>
      </w:r>
      <w:r>
        <w:rPr>
          <w:rFonts w:ascii="宋体" w:hAnsi="宋体" w:cs="宋体" w:eastAsia="宋体" w:hint="default"/>
          <w:spacing w:val="-2"/>
        </w:rPr>
        <w:t>2018</w:t>
      </w:r>
      <w:r>
        <w:rPr>
          <w:spacing w:val="-2"/>
        </w:rPr>
        <w:t>年审计报告中</w:t>
      </w:r>
      <w:r>
        <w:rPr/>
        <w:t> </w:t>
      </w:r>
      <w:r>
        <w:rPr>
          <w:spacing w:val="-2"/>
        </w:rPr>
        <w:t>保留意见事项需要，公司对</w:t>
      </w:r>
      <w:r>
        <w:rPr>
          <w:rFonts w:ascii="宋体" w:hAnsi="宋体" w:cs="宋体" w:eastAsia="宋体" w:hint="default"/>
          <w:spacing w:val="-2"/>
        </w:rPr>
        <w:t>2018</w:t>
      </w:r>
      <w:r>
        <w:rPr>
          <w:spacing w:val="-2"/>
        </w:rPr>
        <w:t>年末商誉重新进行了减值测试，同时对在商誉减值测试过程中发现的与商誉相关的冉十科技</w:t>
      </w:r>
      <w:r>
        <w:rPr>
          <w:spacing w:val="-62"/>
        </w:rPr>
        <w:t> </w:t>
      </w:r>
      <w:r>
        <w:rPr>
          <w:spacing w:val="-62"/>
        </w:rPr>
      </w:r>
      <w:r>
        <w:rPr>
          <w:spacing w:val="-2"/>
        </w:rPr>
        <w:t>资产组中可能存在减值迹象的无形资产、母公司对视科传媒和冉十科技的长期股权投资也重新进行了减值测试，对重新测试</w:t>
      </w:r>
      <w:r>
        <w:rPr>
          <w:spacing w:val="-64"/>
        </w:rPr>
        <w:t> </w:t>
      </w:r>
      <w:r>
        <w:rPr>
          <w:spacing w:val="-64"/>
        </w:rPr>
      </w:r>
      <w:r>
        <w:rPr>
          <w:spacing w:val="-2"/>
        </w:rPr>
        <w:t>发现的前期会计差错予以更正，上述调整减少</w:t>
      </w:r>
      <w:r>
        <w:rPr>
          <w:rFonts w:ascii="宋体" w:hAnsi="宋体" w:cs="宋体" w:eastAsia="宋体" w:hint="default"/>
          <w:spacing w:val="-2"/>
        </w:rPr>
        <w:t>2018</w:t>
      </w:r>
      <w:r>
        <w:rPr>
          <w:spacing w:val="-2"/>
        </w:rPr>
        <w:t>年归属于上市公司股东净利润</w:t>
      </w:r>
      <w:r>
        <w:rPr>
          <w:rFonts w:ascii="宋体" w:hAnsi="宋体" w:cs="宋体" w:eastAsia="宋体" w:hint="default"/>
          <w:spacing w:val="-2"/>
        </w:rPr>
        <w:t>199,906,297.79</w:t>
      </w:r>
      <w:r>
        <w:rPr>
          <w:spacing w:val="-2"/>
        </w:rPr>
        <w:t>元。详细情况见第十二节第</w:t>
      </w:r>
      <w:r>
        <w:rPr>
          <w:spacing w:val="-53"/>
        </w:rPr>
        <w:t> </w:t>
      </w:r>
      <w:r>
        <w:rPr>
          <w:spacing w:val="-53"/>
        </w:rPr>
      </w:r>
      <w:r>
        <w:rPr/>
        <w:t>十六、</w:t>
      </w:r>
      <w:r>
        <w:rPr>
          <w:rFonts w:ascii="宋体" w:hAnsi="宋体" w:cs="宋体" w:eastAsia="宋体" w:hint="default"/>
        </w:rPr>
        <w:t>1</w:t>
      </w:r>
      <w:r>
        <w:rPr/>
        <w:t>“前期会计差错更正”有关内容；</w:t>
      </w:r>
    </w:p>
    <w:p>
      <w:pPr>
        <w:spacing w:after="0" w:line="316" w:lineRule="auto"/>
        <w:jc w:val="left"/>
        <w:sectPr>
          <w:pgSz w:w="11910" w:h="16840"/>
          <w:pgMar w:header="906" w:footer="1021" w:top="1100" w:bottom="1220" w:left="1020" w:right="0"/>
        </w:sectPr>
      </w:pPr>
    </w:p>
    <w:p>
      <w:pPr>
        <w:spacing w:line="240" w:lineRule="auto" w:before="9"/>
        <w:rPr>
          <w:rFonts w:ascii="宋体" w:hAnsi="宋体" w:cs="宋体" w:eastAsia="宋体" w:hint="default"/>
          <w:sz w:val="20"/>
          <w:szCs w:val="20"/>
        </w:rPr>
      </w:pPr>
    </w:p>
    <w:p>
      <w:pPr>
        <w:pStyle w:val="Heading2"/>
        <w:spacing w:line="240" w:lineRule="auto" w:before="26"/>
        <w:ind w:right="986"/>
        <w:jc w:val="left"/>
        <w:rPr>
          <w:b w:val="0"/>
          <w:bCs w:val="0"/>
        </w:rPr>
      </w:pPr>
      <w:bookmarkStart w:name="二十、公司子公司重大事项" w:id="104"/>
      <w:bookmarkEnd w:id="104"/>
      <w:r>
        <w:rPr>
          <w:b w:val="0"/>
          <w:bCs w:val="0"/>
        </w:rPr>
      </w:r>
      <w:r>
        <w:rPr/>
        <w:t>二十、公司子公司重大事项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005" w:right="986"/>
        <w:jc w:val="left"/>
        <w:rPr>
          <w:b w:val="0"/>
          <w:bCs w:val="0"/>
        </w:rPr>
      </w:pPr>
      <w:bookmarkStart w:name="第六节股份变动及股东情况" w:id="105"/>
      <w:bookmarkEnd w:id="105"/>
      <w:r>
        <w:rPr>
          <w:b w:val="0"/>
          <w:bCs w:val="0"/>
        </w:rPr>
      </w:r>
      <w:bookmarkStart w:name="_bookmark5" w:id="106"/>
      <w:bookmarkEnd w:id="106"/>
      <w:r>
        <w:rPr>
          <w:b w:val="0"/>
          <w:bCs w:val="0"/>
        </w:rPr>
      </w:r>
      <w:r>
        <w:rPr/>
        <w:t>第六节股份变动及股东情况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6"/>
        <w:jc w:val="left"/>
        <w:rPr>
          <w:b w:val="0"/>
          <w:bCs w:val="0"/>
        </w:rPr>
      </w:pPr>
      <w:bookmarkStart w:name="一、股份变动情况" w:id="107"/>
      <w:bookmarkEnd w:id="107"/>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1、股份变动情况" w:id="108"/>
      <w:bookmarkEnd w:id="108"/>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单位：股</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820"/>
        <w:gridCol w:w="1124"/>
        <w:gridCol w:w="754"/>
        <w:gridCol w:w="996"/>
        <w:gridCol w:w="588"/>
        <w:gridCol w:w="1147"/>
        <w:gridCol w:w="734"/>
        <w:gridCol w:w="824"/>
        <w:gridCol w:w="794"/>
        <w:gridCol w:w="792"/>
      </w:tblGrid>
      <w:tr>
        <w:trPr>
          <w:trHeight w:val="403" w:hRule="exact"/>
        </w:trPr>
        <w:tc>
          <w:tcPr>
            <w:tcW w:w="1820" w:type="dxa"/>
            <w:vMerge w:val="restart"/>
            <w:tcBorders>
              <w:top w:val="single" w:sz="4" w:space="0" w:color="000000"/>
              <w:left w:val="single" w:sz="4" w:space="0" w:color="000000"/>
              <w:right w:val="single" w:sz="4" w:space="0" w:color="000000"/>
            </w:tcBorders>
            <w:shd w:val="clear" w:color="auto" w:fill="D2D2D2"/>
          </w:tcPr>
          <w:p>
            <w:pPr/>
          </w:p>
        </w:tc>
        <w:tc>
          <w:tcPr>
            <w:tcW w:w="18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4"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9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401" w:hRule="exact"/>
        </w:trPr>
        <w:tc>
          <w:tcPr>
            <w:tcW w:w="1820" w:type="dxa"/>
            <w:vMerge/>
            <w:tcBorders>
              <w:left w:val="single" w:sz="4" w:space="0" w:color="000000"/>
              <w:bottom w:val="single" w:sz="4" w:space="0" w:color="000000"/>
              <w:right w:val="single" w:sz="4" w:space="0" w:color="000000"/>
            </w:tcBorders>
            <w:shd w:val="clear" w:color="auto" w:fill="D2D2D2"/>
          </w:tcPr>
          <w:p>
            <w:pP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7"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716"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344,632,928</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65.92</w:t>
            </w:r>
          </w:p>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-53,93</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2,306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-53,932,</w:t>
            </w:r>
          </w:p>
          <w:p>
            <w:pPr>
              <w:pStyle w:val="TableParagraph"/>
              <w:spacing w:line="240" w:lineRule="auto" w:before="105"/>
              <w:ind w:left="6" w:right="0"/>
              <w:jc w:val="center"/>
              <w:rPr>
                <w:rFonts w:ascii="Times New Roman" w:hAnsi="Times New Roman" w:cs="Times New Roman" w:eastAsia="Times New Roman" w:hint="default"/>
                <w:sz w:val="18"/>
                <w:szCs w:val="18"/>
              </w:rPr>
            </w:pPr>
            <w:r>
              <w:rPr>
                <w:rFonts w:ascii="Times New Roman"/>
                <w:sz w:val="18"/>
              </w:rPr>
              <w:t>306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290,70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0,622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55.61%</w:t>
            </w:r>
          </w:p>
        </w:tc>
      </w:tr>
      <w:tr>
        <w:trPr>
          <w:trHeight w:val="71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344,632,928</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65.92</w:t>
            </w:r>
          </w:p>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-53,93</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2,306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-53,932,</w:t>
            </w:r>
          </w:p>
          <w:p>
            <w:pPr>
              <w:pStyle w:val="TableParagraph"/>
              <w:spacing w:line="240" w:lineRule="auto" w:before="105"/>
              <w:ind w:left="6" w:right="0"/>
              <w:jc w:val="center"/>
              <w:rPr>
                <w:rFonts w:ascii="Times New Roman" w:hAnsi="Times New Roman" w:cs="Times New Roman" w:eastAsia="Times New Roman" w:hint="default"/>
                <w:sz w:val="18"/>
                <w:szCs w:val="18"/>
              </w:rPr>
            </w:pPr>
            <w:r>
              <w:rPr>
                <w:rFonts w:ascii="Times New Roman"/>
                <w:sz w:val="18"/>
              </w:rPr>
              <w:t>306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290,70</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0,622</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55.61%</w:t>
            </w:r>
          </w:p>
        </w:tc>
      </w:tr>
      <w:tr>
        <w:trPr>
          <w:trHeight w:val="715"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37,091,147</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7.10%</w:t>
            </w:r>
          </w:p>
        </w:tc>
        <w:tc>
          <w:tcPr>
            <w:tcW w:w="99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-10,18</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6,089</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-10,186,</w:t>
            </w:r>
          </w:p>
          <w:p>
            <w:pPr>
              <w:pStyle w:val="TableParagraph"/>
              <w:spacing w:line="240" w:lineRule="auto" w:before="105"/>
              <w:ind w:left="6" w:right="0"/>
              <w:jc w:val="center"/>
              <w:rPr>
                <w:rFonts w:ascii="Times New Roman" w:hAnsi="Times New Roman" w:cs="Times New Roman" w:eastAsia="Times New Roman" w:hint="default"/>
                <w:sz w:val="18"/>
                <w:szCs w:val="18"/>
              </w:rPr>
            </w:pPr>
            <w:r>
              <w:rPr>
                <w:rFonts w:ascii="Times New Roman"/>
                <w:sz w:val="18"/>
              </w:rPr>
              <w:t>089</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26,905,</w:t>
            </w:r>
          </w:p>
          <w:p>
            <w:pPr>
              <w:pStyle w:val="TableParagraph"/>
              <w:spacing w:line="240" w:lineRule="auto" w:before="105"/>
              <w:ind w:left="2" w:right="0"/>
              <w:jc w:val="center"/>
              <w:rPr>
                <w:rFonts w:ascii="Times New Roman" w:hAnsi="Times New Roman" w:cs="Times New Roman" w:eastAsia="Times New Roman" w:hint="default"/>
                <w:sz w:val="18"/>
                <w:szCs w:val="18"/>
              </w:rPr>
            </w:pPr>
            <w:r>
              <w:rPr>
                <w:rFonts w:ascii="Times New Roman"/>
                <w:sz w:val="18"/>
              </w:rPr>
              <w:t>058</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5.15%</w:t>
            </w:r>
          </w:p>
        </w:tc>
      </w:tr>
      <w:tr>
        <w:trPr>
          <w:trHeight w:val="71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境内自然人持股</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307,541,781</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58.83</w:t>
            </w:r>
          </w:p>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1" w:right="0"/>
              <w:jc w:val="left"/>
              <w:rPr>
                <w:rFonts w:ascii="Times New Roman" w:hAnsi="Times New Roman" w:cs="Times New Roman" w:eastAsia="Times New Roman" w:hint="default"/>
                <w:sz w:val="18"/>
                <w:szCs w:val="18"/>
              </w:rPr>
            </w:pPr>
            <w:r>
              <w:rPr>
                <w:rFonts w:ascii="Times New Roman"/>
                <w:sz w:val="18"/>
              </w:rPr>
              <w:t>-43,74</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6,217</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-43,746,</w:t>
            </w:r>
          </w:p>
          <w:p>
            <w:pPr>
              <w:pStyle w:val="TableParagraph"/>
              <w:spacing w:line="240" w:lineRule="auto" w:before="105"/>
              <w:ind w:left="6" w:right="0"/>
              <w:jc w:val="center"/>
              <w:rPr>
                <w:rFonts w:ascii="Times New Roman" w:hAnsi="Times New Roman" w:cs="Times New Roman" w:eastAsia="Times New Roman" w:hint="default"/>
                <w:sz w:val="18"/>
                <w:szCs w:val="18"/>
              </w:rPr>
            </w:pPr>
            <w:r>
              <w:rPr>
                <w:rFonts w:ascii="Times New Roman"/>
                <w:sz w:val="18"/>
              </w:rPr>
              <w:t>217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263,79</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5,564</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50.46%</w:t>
            </w:r>
          </w:p>
        </w:tc>
      </w:tr>
      <w:tr>
        <w:trPr>
          <w:trHeight w:val="715"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178,144,491</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34.08</w:t>
            </w:r>
          </w:p>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53,932</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,306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53,932,</w:t>
            </w:r>
          </w:p>
          <w:p>
            <w:pPr>
              <w:pStyle w:val="TableParagraph"/>
              <w:spacing w:line="240" w:lineRule="auto" w:before="105"/>
              <w:ind w:left="6" w:right="0"/>
              <w:jc w:val="center"/>
              <w:rPr>
                <w:rFonts w:ascii="Times New Roman" w:hAnsi="Times New Roman" w:cs="Times New Roman" w:eastAsia="Times New Roman" w:hint="default"/>
                <w:sz w:val="18"/>
                <w:szCs w:val="18"/>
              </w:rPr>
            </w:pPr>
            <w:r>
              <w:rPr>
                <w:rFonts w:ascii="Times New Roman"/>
                <w:sz w:val="18"/>
              </w:rPr>
              <w:t>306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232,07</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6,797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44.39%</w:t>
            </w:r>
          </w:p>
        </w:tc>
      </w:tr>
      <w:tr>
        <w:trPr>
          <w:trHeight w:val="713"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178,144,491</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34.08</w:t>
            </w:r>
          </w:p>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53,932</w:t>
            </w:r>
          </w:p>
          <w:p>
            <w:pPr>
              <w:pStyle w:val="TableParagraph"/>
              <w:spacing w:line="240" w:lineRule="auto" w:before="105"/>
              <w:ind w:left="206" w:right="0"/>
              <w:jc w:val="left"/>
              <w:rPr>
                <w:rFonts w:ascii="Times New Roman" w:hAnsi="Times New Roman" w:cs="Times New Roman" w:eastAsia="Times New Roman" w:hint="default"/>
                <w:sz w:val="18"/>
                <w:szCs w:val="18"/>
              </w:rPr>
            </w:pPr>
            <w:r>
              <w:rPr>
                <w:rFonts w:ascii="Times New Roman"/>
                <w:sz w:val="18"/>
              </w:rPr>
              <w:t>,306</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53,932,</w:t>
            </w:r>
          </w:p>
          <w:p>
            <w:pPr>
              <w:pStyle w:val="TableParagraph"/>
              <w:spacing w:line="240" w:lineRule="auto" w:before="105"/>
              <w:ind w:left="6" w:right="0"/>
              <w:jc w:val="center"/>
              <w:rPr>
                <w:rFonts w:ascii="Times New Roman" w:hAnsi="Times New Roman" w:cs="Times New Roman" w:eastAsia="Times New Roman" w:hint="default"/>
                <w:sz w:val="18"/>
                <w:szCs w:val="18"/>
              </w:rPr>
            </w:pPr>
            <w:r>
              <w:rPr>
                <w:rFonts w:ascii="Times New Roman"/>
                <w:sz w:val="18"/>
              </w:rPr>
              <w:t>306</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232,07</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6,797</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44.39%</w:t>
            </w:r>
          </w:p>
        </w:tc>
      </w:tr>
      <w:tr>
        <w:trPr>
          <w:trHeight w:val="715" w:hRule="exact"/>
        </w:trPr>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三、股份总数</w:t>
            </w:r>
          </w:p>
        </w:tc>
        <w:tc>
          <w:tcPr>
            <w:tcW w:w="1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522,777,419</w:t>
            </w:r>
          </w:p>
        </w:tc>
        <w:tc>
          <w:tcPr>
            <w:tcW w:w="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5"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96"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0</w:t>
            </w:r>
          </w:p>
        </w:tc>
        <w:tc>
          <w:tcPr>
            <w:tcW w:w="8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3" w:right="0"/>
              <w:jc w:val="left"/>
              <w:rPr>
                <w:rFonts w:ascii="Times New Roman" w:hAnsi="Times New Roman" w:cs="Times New Roman" w:eastAsia="Times New Roman" w:hint="default"/>
                <w:sz w:val="18"/>
                <w:szCs w:val="18"/>
              </w:rPr>
            </w:pPr>
            <w:r>
              <w:rPr>
                <w:rFonts w:ascii="Times New Roman"/>
                <w:sz w:val="18"/>
              </w:rPr>
              <w:t>522,77</w:t>
            </w:r>
          </w:p>
          <w:p>
            <w:pPr>
              <w:pStyle w:val="TableParagraph"/>
              <w:spacing w:line="240" w:lineRule="auto" w:before="105"/>
              <w:ind w:left="189" w:right="0"/>
              <w:jc w:val="left"/>
              <w:rPr>
                <w:rFonts w:ascii="Times New Roman" w:hAnsi="Times New Roman" w:cs="Times New Roman" w:eastAsia="Times New Roman" w:hint="default"/>
                <w:sz w:val="18"/>
                <w:szCs w:val="18"/>
              </w:rPr>
            </w:pPr>
            <w:r>
              <w:rPr>
                <w:rFonts w:ascii="Times New Roman"/>
                <w:sz w:val="18"/>
              </w:rPr>
              <w:t>7,419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49"/>
        <w:ind w:right="986"/>
        <w:jc w:val="left"/>
      </w:pPr>
      <w:r>
        <w:rPr/>
        <w:t>股份变动的原因</w:t>
      </w:r>
    </w:p>
    <w:p>
      <w:pPr>
        <w:pStyle w:val="BodyText"/>
        <w:spacing w:line="360" w:lineRule="auto" w:before="115"/>
        <w:ind w:right="2834"/>
        <w:jc w:val="left"/>
      </w:pPr>
      <w:r>
        <w:rPr/>
        <w:t>√ 适用 □</w:t>
      </w:r>
      <w:r>
        <w:rPr>
          <w:spacing w:val="3"/>
        </w:rPr>
        <w:t> </w:t>
      </w:r>
      <w:r>
        <w:rPr/>
        <w:t>不适用</w:t>
      </w:r>
      <w:r>
        <w:rPr/>
        <w:t> 报告期办理了部分股东解除限售手续，合计</w:t>
      </w:r>
      <w:r>
        <w:rPr>
          <w:rFonts w:ascii="宋体" w:hAnsi="宋体" w:cs="宋体" w:eastAsia="宋体" w:hint="default"/>
        </w:rPr>
        <w:t>38,732,683</w:t>
      </w:r>
      <w:r>
        <w:rPr/>
        <w:t>股，另外高管锁定股解除锁定</w:t>
      </w:r>
      <w:r>
        <w:rPr>
          <w:rFonts w:ascii="宋体" w:hAnsi="宋体" w:cs="宋体" w:eastAsia="宋体" w:hint="default"/>
        </w:rPr>
        <w:t>15,199,623</w:t>
      </w:r>
      <w:r>
        <w:rPr/>
        <w:t>股。 股份变动的批准情况</w:t>
      </w:r>
    </w:p>
    <w:p>
      <w:pPr>
        <w:pStyle w:val="BodyText"/>
        <w:spacing w:line="360" w:lineRule="auto" w:before="25"/>
        <w:ind w:right="9134"/>
        <w:jc w:val="left"/>
      </w:pPr>
      <w:r>
        <w:rPr/>
        <w:t>□ 适用 √</w:t>
      </w:r>
      <w:r>
        <w:rPr>
          <w:spacing w:val="3"/>
        </w:rPr>
        <w:t> </w:t>
      </w:r>
      <w:r>
        <w:rPr/>
        <w:t>不适用</w:t>
      </w:r>
      <w:r>
        <w:rPr/>
        <w:t> 股份变动的过户情况</w:t>
      </w:r>
    </w:p>
    <w:p>
      <w:pPr>
        <w:pStyle w:val="BodyText"/>
        <w:spacing w:line="357" w:lineRule="auto" w:before="28"/>
        <w:ind w:right="8774"/>
        <w:jc w:val="left"/>
      </w:pPr>
      <w:r>
        <w:rPr/>
        <w:t>□ 适用 √</w:t>
      </w:r>
      <w:r>
        <w:rPr>
          <w:spacing w:val="3"/>
        </w:rPr>
        <w:t> </w:t>
      </w:r>
      <w:r>
        <w:rPr/>
        <w:t>不适用</w:t>
      </w:r>
      <w:r>
        <w:rPr/>
        <w:t> 股份回购的实施进展情况</w:t>
      </w:r>
    </w:p>
    <w:p>
      <w:pPr>
        <w:pStyle w:val="BodyText"/>
        <w:spacing w:line="360" w:lineRule="auto" w:before="29"/>
        <w:ind w:right="6974"/>
        <w:jc w:val="left"/>
      </w:pPr>
      <w:r>
        <w:rPr/>
        <w:t>□ 适用 √</w:t>
      </w:r>
      <w:r>
        <w:rPr>
          <w:spacing w:val="3"/>
        </w:rPr>
        <w:t> </w:t>
      </w:r>
      <w:r>
        <w:rPr/>
        <w:t>不适用</w:t>
      </w:r>
      <w:r>
        <w:rPr/>
        <w:t> 采用集中竞价方式减持回购股份的实施进展情况</w:t>
      </w:r>
    </w:p>
    <w:p>
      <w:pPr>
        <w:pStyle w:val="BodyText"/>
        <w:spacing w:line="360" w:lineRule="auto" w:before="25"/>
        <w:ind w:right="1394"/>
        <w:jc w:val="left"/>
      </w:pPr>
      <w:r>
        <w:rPr/>
        <w:t>□ 适用 √</w:t>
      </w:r>
      <w:r>
        <w:rPr>
          <w:spacing w:val="3"/>
        </w:rPr>
        <w:t> </w:t>
      </w:r>
      <w:r>
        <w:rPr/>
        <w:t>不适用</w:t>
      </w:r>
      <w:r>
        <w:rPr/>
        <w:t> 股份变动对最近一年和最近一期基本每股收益和稀释每股收益、归属于公司普通股股东的每股净资产等财务指标的影响</w:t>
      </w:r>
    </w:p>
    <w:p>
      <w:pPr>
        <w:pStyle w:val="BodyText"/>
        <w:spacing w:line="357" w:lineRule="auto" w:before="27"/>
        <w:ind w:right="6794"/>
        <w:jc w:val="left"/>
      </w:pPr>
      <w:r>
        <w:rPr/>
        <w:t>□ 适用 √</w:t>
      </w:r>
      <w:r>
        <w:rPr>
          <w:spacing w:val="3"/>
        </w:rPr>
        <w:t> </w:t>
      </w:r>
      <w:r>
        <w:rPr/>
        <w:t>不适用</w:t>
      </w:r>
      <w:r>
        <w:rPr/>
        <w:t> 公司认为必要或证券监管机构要求披露的其他内容</w:t>
      </w:r>
    </w:p>
    <w:p>
      <w:pPr>
        <w:spacing w:after="0" w:line="357"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限售股份变动情况" w:id="109"/>
      <w:bookmarkEnd w:id="109"/>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 适用 □</w:t>
      </w:r>
      <w:r>
        <w:rPr>
          <w:spacing w:val="3"/>
        </w:rPr>
        <w:t> </w:t>
      </w:r>
      <w:r>
        <w:rPr/>
        <w:t>不适用</w:t>
      </w:r>
    </w:p>
    <w:p>
      <w:pPr>
        <w:pStyle w:val="BodyText"/>
        <w:spacing w:line="240" w:lineRule="auto" w:before="115"/>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800"/>
        <w:gridCol w:w="919"/>
        <w:gridCol w:w="1085"/>
        <w:gridCol w:w="1073"/>
        <w:gridCol w:w="982"/>
        <w:gridCol w:w="1469"/>
        <w:gridCol w:w="3243"/>
      </w:tblGrid>
      <w:tr>
        <w:trPr>
          <w:trHeight w:val="71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5" w:right="122" w:hanging="180"/>
              <w:jc w:val="left"/>
              <w:rPr>
                <w:rFonts w:ascii="宋体" w:hAnsi="宋体" w:cs="宋体" w:eastAsia="宋体" w:hint="default"/>
                <w:sz w:val="18"/>
                <w:szCs w:val="18"/>
              </w:rPr>
            </w:pPr>
            <w:r>
              <w:rPr>
                <w:rFonts w:ascii="宋体" w:hAnsi="宋体" w:cs="宋体" w:eastAsia="宋体" w:hint="default"/>
                <w:sz w:val="18"/>
                <w:szCs w:val="18"/>
              </w:rPr>
              <w:t>股东名 称</w:t>
            </w:r>
          </w:p>
        </w:tc>
        <w:tc>
          <w:tcPr>
            <w:tcW w:w="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4" w:right="182"/>
              <w:jc w:val="left"/>
              <w:rPr>
                <w:rFonts w:ascii="宋体" w:hAnsi="宋体" w:cs="宋体" w:eastAsia="宋体" w:hint="default"/>
                <w:sz w:val="18"/>
                <w:szCs w:val="18"/>
              </w:rPr>
            </w:pPr>
            <w:r>
              <w:rPr>
                <w:rFonts w:ascii="宋体" w:hAnsi="宋体" w:cs="宋体" w:eastAsia="宋体" w:hint="default"/>
                <w:sz w:val="18"/>
                <w:szCs w:val="18"/>
              </w:rPr>
              <w:t>期初限 售股数</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7" w:right="176"/>
              <w:jc w:val="left"/>
              <w:rPr>
                <w:rFonts w:ascii="宋体" w:hAnsi="宋体" w:cs="宋体" w:eastAsia="宋体" w:hint="default"/>
                <w:sz w:val="18"/>
                <w:szCs w:val="18"/>
              </w:rPr>
            </w:pPr>
            <w:r>
              <w:rPr>
                <w:rFonts w:ascii="宋体" w:hAnsi="宋体" w:cs="宋体" w:eastAsia="宋体" w:hint="default"/>
                <w:sz w:val="18"/>
                <w:szCs w:val="18"/>
              </w:rPr>
              <w:t>本期增加 限售股数</w:t>
            </w: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170"/>
              <w:jc w:val="left"/>
              <w:rPr>
                <w:rFonts w:ascii="宋体" w:hAnsi="宋体" w:cs="宋体" w:eastAsia="宋体" w:hint="default"/>
                <w:sz w:val="18"/>
                <w:szCs w:val="18"/>
              </w:rPr>
            </w:pPr>
            <w:r>
              <w:rPr>
                <w:rFonts w:ascii="宋体" w:hAnsi="宋体" w:cs="宋体" w:eastAsia="宋体" w:hint="default"/>
                <w:sz w:val="18"/>
                <w:szCs w:val="18"/>
              </w:rPr>
              <w:t>本期解除 限售股数</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7" w:right="122" w:hanging="180"/>
              <w:jc w:val="left"/>
              <w:rPr>
                <w:rFonts w:ascii="宋体" w:hAnsi="宋体" w:cs="宋体" w:eastAsia="宋体" w:hint="default"/>
                <w:sz w:val="18"/>
                <w:szCs w:val="18"/>
              </w:rPr>
            </w:pPr>
            <w:r>
              <w:rPr>
                <w:rFonts w:ascii="宋体" w:hAnsi="宋体" w:cs="宋体" w:eastAsia="宋体" w:hint="default"/>
                <w:sz w:val="18"/>
                <w:szCs w:val="18"/>
              </w:rPr>
              <w:t>期末限售 股数</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72"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3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75" w:right="0"/>
              <w:jc w:val="left"/>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姜剑</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2" w:right="0"/>
              <w:jc w:val="left"/>
              <w:rPr>
                <w:rFonts w:ascii="Times New Roman" w:hAnsi="Times New Roman" w:cs="Times New Roman" w:eastAsia="Times New Roman" w:hint="default"/>
                <w:sz w:val="18"/>
                <w:szCs w:val="18"/>
              </w:rPr>
            </w:pPr>
            <w:r>
              <w:rPr>
                <w:rFonts w:ascii="Times New Roman"/>
                <w:sz w:val="18"/>
              </w:rPr>
              <w:t>112,000,</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000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w w:val="95"/>
                <w:sz w:val="18"/>
              </w:rPr>
              <w:t>112,000,0</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273"/>
              <w:jc w:val="left"/>
              <w:rPr>
                <w:rFonts w:ascii="宋体" w:hAnsi="宋体" w:cs="宋体" w:eastAsia="宋体" w:hint="default"/>
                <w:sz w:val="18"/>
                <w:szCs w:val="18"/>
              </w:rPr>
            </w:pPr>
            <w:r>
              <w:rPr>
                <w:rFonts w:ascii="宋体" w:hAnsi="宋体" w:cs="宋体" w:eastAsia="宋体" w:hint="default"/>
                <w:sz w:val="18"/>
                <w:szCs w:val="18"/>
              </w:rPr>
              <w:t>非公开发行股 份</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日可解除限售股份</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112,000,000</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股。</w:t>
            </w:r>
          </w:p>
        </w:tc>
      </w:tr>
      <w:tr>
        <w:trPr>
          <w:trHeight w:val="1337"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朱兰英</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103,004,</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898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103,004,8</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98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05" w:right="273"/>
              <w:jc w:val="left"/>
              <w:rPr>
                <w:rFonts w:ascii="宋体" w:hAnsi="宋体" w:cs="宋体" w:eastAsia="宋体" w:hint="default"/>
                <w:sz w:val="18"/>
                <w:szCs w:val="18"/>
              </w:rPr>
            </w:pPr>
            <w:r>
              <w:rPr>
                <w:rFonts w:ascii="宋体" w:hAnsi="宋体" w:cs="宋体" w:eastAsia="宋体" w:hint="default"/>
                <w:sz w:val="18"/>
                <w:szCs w:val="18"/>
              </w:rPr>
              <w:t>非公开发行股 份</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日可解除限售股份</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23,443,683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日可解</w:t>
            </w:r>
          </w:p>
          <w:p>
            <w:pPr>
              <w:pStyle w:val="TableParagraph"/>
              <w:spacing w:line="240" w:lineRule="auto" w:before="63"/>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除限售股份</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73,700,294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5,860,921 </w:t>
            </w:r>
            <w:r>
              <w:rPr>
                <w:rFonts w:ascii="宋体" w:hAnsi="宋体" w:cs="宋体" w:eastAsia="宋体" w:hint="default"/>
                <w:sz w:val="18"/>
                <w:szCs w:val="18"/>
              </w:rPr>
              <w:t>股。</w:t>
            </w:r>
          </w:p>
        </w:tc>
      </w:tr>
      <w:tr>
        <w:trPr>
          <w:trHeight w:val="196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曹林芳</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25,915,7</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70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15,549,460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10,366,31</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4" w:lineRule="auto"/>
              <w:ind w:left="105" w:right="273"/>
              <w:jc w:val="left"/>
              <w:rPr>
                <w:rFonts w:ascii="宋体" w:hAnsi="宋体" w:cs="宋体" w:eastAsia="宋体" w:hint="default"/>
                <w:sz w:val="18"/>
                <w:szCs w:val="18"/>
              </w:rPr>
            </w:pPr>
            <w:r>
              <w:rPr>
                <w:rFonts w:ascii="宋体" w:hAnsi="宋体" w:cs="宋体" w:eastAsia="宋体" w:hint="default"/>
                <w:sz w:val="18"/>
                <w:szCs w:val="18"/>
              </w:rPr>
              <w:t>非公开发行股 份</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日已解除限售股份</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6,478,942</w:t>
            </w:r>
            <w:r>
              <w:rPr>
                <w:rFonts w:ascii="Times New Roman" w:hAnsi="Times New Roman" w:cs="Times New Roman" w:eastAsia="Times New Roman" w:hint="default"/>
                <w:spacing w:val="2"/>
                <w:sz w:val="18"/>
                <w:szCs w:val="18"/>
              </w:rPr>
              <w:t> </w:t>
            </w:r>
            <w:r>
              <w:rPr>
                <w:rFonts w:ascii="宋体" w:hAnsi="宋体" w:cs="宋体" w:eastAsia="宋体" w:hint="default"/>
                <w:spacing w:val="-7"/>
                <w:sz w:val="18"/>
                <w:szCs w:val="18"/>
              </w:rPr>
              <w:t>股，</w:t>
            </w:r>
            <w:r>
              <w:rPr>
                <w:rFonts w:ascii="Times New Roman" w:hAnsi="Times New Roman" w:cs="Times New Roman" w:eastAsia="Times New Roman" w:hint="default"/>
                <w:spacing w:val="-7"/>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日已解除</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15,549,460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 </w:t>
            </w:r>
            <w:r>
              <w:rPr>
                <w:rFonts w:ascii="宋体" w:hAnsi="宋体" w:cs="宋体" w:eastAsia="宋体" w:hint="default"/>
                <w:sz w:val="18"/>
                <w:szCs w:val="18"/>
              </w:rPr>
              <w:t>日已解除限售股份</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15,549,460 </w:t>
            </w:r>
            <w:r>
              <w:rPr>
                <w:rFonts w:ascii="宋体" w:hAnsi="宋体" w:cs="宋体" w:eastAsia="宋体" w:hint="default"/>
                <w:sz w:val="18"/>
                <w:szCs w:val="18"/>
              </w:rPr>
              <w:t>股，</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日可解除限售股份</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10,366,310</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股。</w:t>
            </w:r>
          </w:p>
        </w:tc>
      </w:tr>
      <w:tr>
        <w:trPr>
          <w:trHeight w:val="1961"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夏东明</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38,728,6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96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15,200,098</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23,528,59</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05" w:right="214"/>
              <w:jc w:val="left"/>
              <w:rPr>
                <w:rFonts w:ascii="Times New Roman" w:hAnsi="Times New Roman" w:cs="Times New Roman" w:eastAsia="Times New Roman" w:hint="default"/>
                <w:sz w:val="18"/>
                <w:szCs w:val="18"/>
              </w:rPr>
            </w:pPr>
            <w:r>
              <w:rPr>
                <w:rFonts w:ascii="宋体" w:hAnsi="宋体" w:cs="宋体" w:eastAsia="宋体" w:hint="default"/>
                <w:sz w:val="18"/>
                <w:szCs w:val="18"/>
              </w:rPr>
              <w:t>非公开发行股 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17,427,914+</w:t>
            </w:r>
          </w:p>
          <w:p>
            <w:pPr>
              <w:pStyle w:val="TableParagraph"/>
              <w:spacing w:line="233" w:lineRule="exact"/>
              <w:ind w:left="105" w:right="0"/>
              <w:jc w:val="left"/>
              <w:rPr>
                <w:rFonts w:ascii="宋体" w:hAnsi="宋体" w:cs="宋体" w:eastAsia="宋体" w:hint="default"/>
                <w:sz w:val="18"/>
                <w:szCs w:val="18"/>
              </w:rPr>
            </w:pPr>
            <w:r>
              <w:rPr>
                <w:rFonts w:ascii="宋体" w:hAnsi="宋体" w:cs="宋体" w:eastAsia="宋体" w:hint="default"/>
                <w:sz w:val="18"/>
                <w:szCs w:val="18"/>
              </w:rPr>
              <w:t>高管锁定</w:t>
            </w:r>
          </w:p>
          <w:p>
            <w:pPr>
              <w:pStyle w:val="TableParagraph"/>
              <w:spacing w:line="240" w:lineRule="auto" w:before="118"/>
              <w:ind w:left="105" w:right="0"/>
              <w:jc w:val="left"/>
              <w:rPr>
                <w:rFonts w:ascii="Times New Roman" w:hAnsi="Times New Roman" w:cs="Times New Roman" w:eastAsia="Times New Roman" w:hint="default"/>
                <w:sz w:val="18"/>
                <w:szCs w:val="18"/>
              </w:rPr>
            </w:pPr>
            <w:r>
              <w:rPr>
                <w:rFonts w:ascii="Times New Roman"/>
                <w:sz w:val="18"/>
              </w:rPr>
              <w:t>6,100,684</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日已解除限售股份</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5,647,600 </w:t>
            </w:r>
            <w:r>
              <w:rPr>
                <w:rFonts w:ascii="宋体" w:hAnsi="宋体" w:cs="宋体" w:eastAsia="宋体" w:hint="default"/>
                <w:sz w:val="18"/>
                <w:szCs w:val="18"/>
              </w:rPr>
              <w:t>股，</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日已解除</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限售股份</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12,264,622  </w:t>
            </w:r>
            <w:r>
              <w:rPr>
                <w:rFonts w:ascii="宋体" w:hAnsi="宋体" w:cs="宋体" w:eastAsia="宋体" w:hint="default"/>
                <w:sz w:val="18"/>
                <w:szCs w:val="18"/>
              </w:rPr>
              <w:t>股，</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 </w:t>
            </w:r>
            <w:r>
              <w:rPr>
                <w:rFonts w:ascii="宋体" w:hAnsi="宋体" w:cs="宋体" w:eastAsia="宋体" w:hint="default"/>
                <w:sz w:val="18"/>
                <w:szCs w:val="18"/>
              </w:rPr>
              <w:t>日可解除限售股份 </w:t>
            </w:r>
            <w:r>
              <w:rPr>
                <w:rFonts w:ascii="Times New Roman" w:hAnsi="Times New Roman" w:cs="Times New Roman" w:eastAsia="Times New Roman" w:hint="default"/>
                <w:sz w:val="18"/>
                <w:szCs w:val="18"/>
              </w:rPr>
              <w:t>9,682,174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日可解除限售股份</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7,745,740 </w:t>
            </w:r>
            <w:r>
              <w:rPr>
                <w:rFonts w:ascii="宋体" w:hAnsi="宋体" w:cs="宋体" w:eastAsia="宋体" w:hint="default"/>
                <w:sz w:val="18"/>
                <w:szCs w:val="18"/>
              </w:rPr>
              <w:t>股。</w:t>
            </w:r>
          </w:p>
        </w:tc>
      </w:tr>
      <w:tr>
        <w:trPr>
          <w:trHeight w:val="1339"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4"/>
              <w:jc w:val="both"/>
              <w:rPr>
                <w:rFonts w:ascii="宋体" w:hAnsi="宋体" w:cs="宋体" w:eastAsia="宋体" w:hint="default"/>
                <w:sz w:val="18"/>
                <w:szCs w:val="18"/>
              </w:rPr>
            </w:pPr>
            <w:r>
              <w:rPr>
                <w:rFonts w:ascii="宋体" w:hAnsi="宋体" w:cs="宋体" w:eastAsia="宋体" w:hint="default"/>
                <w:sz w:val="18"/>
                <w:szCs w:val="18"/>
              </w:rPr>
              <w:t>方正延 中传媒 有限公 司</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12,419,4</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40</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12,419,44</w:t>
            </w:r>
          </w:p>
          <w:p>
            <w:pPr>
              <w:pStyle w:val="TableParagraph"/>
              <w:spacing w:line="240" w:lineRule="auto" w:before="102"/>
              <w:ind w:right="101"/>
              <w:jc w:val="right"/>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股改限售股</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103" w:right="101"/>
              <w:jc w:val="left"/>
              <w:rPr>
                <w:rFonts w:ascii="宋体" w:hAnsi="宋体" w:cs="宋体" w:eastAsia="宋体" w:hint="default"/>
                <w:sz w:val="18"/>
                <w:szCs w:val="18"/>
              </w:rPr>
            </w:pPr>
            <w:r>
              <w:rPr>
                <w:rFonts w:ascii="宋体" w:hAnsi="宋体" w:cs="宋体" w:eastAsia="宋体" w:hint="default"/>
                <w:spacing w:val="-2"/>
                <w:sz w:val="18"/>
                <w:szCs w:val="18"/>
              </w:rPr>
              <w:t>全部股份已可办理解除限售手续，股东</w:t>
            </w:r>
            <w:r>
              <w:rPr>
                <w:rFonts w:ascii="宋体" w:hAnsi="宋体" w:cs="宋体" w:eastAsia="宋体" w:hint="default"/>
                <w:sz w:val="18"/>
                <w:szCs w:val="18"/>
              </w:rPr>
              <w:t> 尚未提交相关资料。</w:t>
            </w:r>
          </w:p>
        </w:tc>
      </w:tr>
      <w:tr>
        <w:trPr>
          <w:trHeight w:val="713"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邓建宇</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7,835,45</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7,835,454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73"/>
              <w:jc w:val="left"/>
              <w:rPr>
                <w:rFonts w:ascii="宋体" w:hAnsi="宋体" w:cs="宋体" w:eastAsia="宋体" w:hint="default"/>
                <w:sz w:val="18"/>
                <w:szCs w:val="18"/>
              </w:rPr>
            </w:pPr>
            <w:r>
              <w:rPr>
                <w:rFonts w:ascii="宋体" w:hAnsi="宋体" w:cs="宋体" w:eastAsia="宋体" w:hint="default"/>
                <w:sz w:val="18"/>
                <w:szCs w:val="18"/>
              </w:rPr>
              <w:t>非公开发行股 份</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日已解除限售股份</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7,835,454 </w:t>
            </w:r>
            <w:r>
              <w:rPr>
                <w:rFonts w:ascii="宋体" w:hAnsi="宋体" w:cs="宋体" w:eastAsia="宋体" w:hint="default"/>
                <w:sz w:val="18"/>
                <w:szCs w:val="18"/>
              </w:rPr>
              <w:t>股。</w:t>
            </w:r>
          </w:p>
        </w:tc>
      </w:tr>
      <w:tr>
        <w:trPr>
          <w:trHeight w:val="1964"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44"/>
              <w:jc w:val="left"/>
              <w:rPr>
                <w:rFonts w:ascii="宋体" w:hAnsi="宋体" w:cs="宋体" w:eastAsia="宋体" w:hint="default"/>
                <w:sz w:val="18"/>
                <w:szCs w:val="18"/>
              </w:rPr>
            </w:pPr>
            <w:r>
              <w:rPr>
                <w:rFonts w:ascii="宋体" w:hAnsi="宋体" w:cs="宋体" w:eastAsia="宋体" w:hint="default"/>
                <w:sz w:val="18"/>
                <w:szCs w:val="18"/>
              </w:rPr>
              <w:t>孝昌和 泰兴业 投资中 心（有 限合 伙）</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7,835,45</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4</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7,835,454</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05" w:right="273"/>
              <w:jc w:val="left"/>
              <w:rPr>
                <w:rFonts w:ascii="宋体" w:hAnsi="宋体" w:cs="宋体" w:eastAsia="宋体" w:hint="default"/>
                <w:sz w:val="18"/>
                <w:szCs w:val="18"/>
              </w:rPr>
            </w:pPr>
            <w:r>
              <w:rPr>
                <w:rFonts w:ascii="宋体" w:hAnsi="宋体" w:cs="宋体" w:eastAsia="宋体" w:hint="default"/>
                <w:sz w:val="18"/>
                <w:szCs w:val="18"/>
              </w:rPr>
              <w:t>非公开发行股 份</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日已解除限售股份</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7,835,454 </w:t>
            </w:r>
            <w:r>
              <w:rPr>
                <w:rFonts w:ascii="宋体" w:hAnsi="宋体" w:cs="宋体" w:eastAsia="宋体" w:hint="default"/>
                <w:sz w:val="18"/>
                <w:szCs w:val="18"/>
              </w:rPr>
              <w:t>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修涞贵</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5,994,12</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5,994,123</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5" w:right="273"/>
              <w:jc w:val="left"/>
              <w:rPr>
                <w:rFonts w:ascii="宋体" w:hAnsi="宋体" w:cs="宋体" w:eastAsia="宋体" w:hint="default"/>
                <w:sz w:val="18"/>
                <w:szCs w:val="18"/>
              </w:rPr>
            </w:pPr>
            <w:r>
              <w:rPr>
                <w:rFonts w:ascii="宋体" w:hAnsi="宋体" w:cs="宋体" w:eastAsia="宋体" w:hint="default"/>
                <w:sz w:val="18"/>
                <w:szCs w:val="18"/>
              </w:rPr>
              <w:t>非公开发行股 份</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日可解除限售股份</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pacing w:val="1"/>
                <w:sz w:val="18"/>
                <w:szCs w:val="18"/>
              </w:rPr>
              <w:t>95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z w:val="18"/>
                <w:szCs w:val="18"/>
              </w:rPr>
              <w:t>8 </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80"/>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w:t>
            </w:r>
          </w:p>
          <w:p>
            <w:pPr>
              <w:pStyle w:val="TableParagraph"/>
              <w:spacing w:line="240" w:lineRule="auto" w:before="62"/>
              <w:ind w:left="103" w:right="0"/>
              <w:jc w:val="left"/>
              <w:rPr>
                <w:rFonts w:ascii="宋体" w:hAnsi="宋体" w:cs="宋体" w:eastAsia="宋体" w:hint="default"/>
                <w:sz w:val="18"/>
                <w:szCs w:val="18"/>
              </w:rPr>
            </w:pPr>
            <w:r>
              <w:rPr>
                <w:rFonts w:ascii="宋体" w:hAnsi="宋体" w:cs="宋体" w:eastAsia="宋体" w:hint="default"/>
                <w:sz w:val="18"/>
                <w:szCs w:val="18"/>
              </w:rPr>
              <w:t>限售股份 </w:t>
            </w:r>
            <w:r>
              <w:rPr>
                <w:rFonts w:ascii="Times New Roman" w:hAnsi="Times New Roman" w:cs="Times New Roman" w:eastAsia="Times New Roman" w:hint="default"/>
                <w:sz w:val="18"/>
                <w:szCs w:val="18"/>
              </w:rPr>
              <w:t>1,198,825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800"/>
        <w:gridCol w:w="919"/>
        <w:gridCol w:w="1085"/>
        <w:gridCol w:w="1073"/>
        <w:gridCol w:w="982"/>
        <w:gridCol w:w="1469"/>
        <w:gridCol w:w="3243"/>
      </w:tblGrid>
      <w:tr>
        <w:trPr>
          <w:trHeight w:val="258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44"/>
              <w:jc w:val="both"/>
              <w:rPr>
                <w:rFonts w:ascii="宋体" w:hAnsi="宋体" w:cs="宋体" w:eastAsia="宋体" w:hint="default"/>
                <w:sz w:val="18"/>
                <w:szCs w:val="18"/>
              </w:rPr>
            </w:pPr>
            <w:r>
              <w:rPr>
                <w:rFonts w:ascii="宋体" w:hAnsi="宋体" w:cs="宋体" w:eastAsia="宋体" w:hint="default"/>
                <w:sz w:val="18"/>
                <w:szCs w:val="18"/>
              </w:rPr>
              <w:t>华安未 来资管</w:t>
            </w:r>
          </w:p>
          <w:p>
            <w:pPr>
              <w:pStyle w:val="TableParagraph"/>
              <w:spacing w:line="314" w:lineRule="auto" w:before="17"/>
              <w:ind w:left="103" w:right="144"/>
              <w:jc w:val="both"/>
              <w:rPr>
                <w:rFonts w:ascii="宋体" w:hAnsi="宋体" w:cs="宋体" w:eastAsia="宋体" w:hint="default"/>
                <w:sz w:val="18"/>
                <w:szCs w:val="18"/>
              </w:rPr>
            </w:pPr>
            <w:r>
              <w:rPr>
                <w:rFonts w:ascii="宋体" w:hAnsi="宋体" w:cs="宋体" w:eastAsia="宋体" w:hint="default"/>
                <w:sz w:val="18"/>
                <w:szCs w:val="18"/>
              </w:rPr>
              <w:t>－宁波 银行－ 深大通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号资 产管理 计划</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5,484,81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5,484,818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16" w:lineRule="auto"/>
              <w:ind w:left="105" w:right="273"/>
              <w:jc w:val="left"/>
              <w:rPr>
                <w:rFonts w:ascii="宋体" w:hAnsi="宋体" w:cs="宋体" w:eastAsia="宋体" w:hint="default"/>
                <w:sz w:val="18"/>
                <w:szCs w:val="18"/>
              </w:rPr>
            </w:pPr>
            <w:r>
              <w:rPr>
                <w:rFonts w:ascii="宋体" w:hAnsi="宋体" w:cs="宋体" w:eastAsia="宋体" w:hint="default"/>
                <w:sz w:val="18"/>
                <w:szCs w:val="18"/>
              </w:rPr>
              <w:t>非公开发行股 份</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日可解除限售股份</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5,484,818 </w:t>
            </w:r>
            <w:r>
              <w:rPr>
                <w:rFonts w:ascii="宋体" w:hAnsi="宋体" w:cs="宋体" w:eastAsia="宋体" w:hint="default"/>
                <w:sz w:val="18"/>
                <w:szCs w:val="18"/>
              </w:rPr>
              <w:t>股。</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张锦军</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3,917,72</w:t>
            </w:r>
          </w:p>
          <w:p>
            <w:pPr>
              <w:pStyle w:val="TableParagraph"/>
              <w:spacing w:line="240" w:lineRule="auto" w:before="102"/>
              <w:ind w:right="102"/>
              <w:jc w:val="right"/>
              <w:rPr>
                <w:rFonts w:ascii="Times New Roman" w:hAnsi="Times New Roman" w:cs="Times New Roman" w:eastAsia="Times New Roman" w:hint="default"/>
                <w:sz w:val="18"/>
                <w:szCs w:val="18"/>
              </w:rPr>
            </w:pPr>
            <w:r>
              <w:rPr>
                <w:rFonts w:ascii="Times New Roman"/>
                <w:sz w:val="18"/>
              </w:rPr>
              <w:t>6</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z w:val="18"/>
              </w:rPr>
              <w:t>0</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3,917,726</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5" w:right="273"/>
              <w:jc w:val="left"/>
              <w:rPr>
                <w:rFonts w:ascii="宋体" w:hAnsi="宋体" w:cs="宋体" w:eastAsia="宋体" w:hint="default"/>
                <w:sz w:val="18"/>
                <w:szCs w:val="18"/>
              </w:rPr>
            </w:pPr>
            <w:r>
              <w:rPr>
                <w:rFonts w:ascii="宋体" w:hAnsi="宋体" w:cs="宋体" w:eastAsia="宋体" w:hint="default"/>
                <w:sz w:val="18"/>
                <w:szCs w:val="18"/>
              </w:rPr>
              <w:t>非公开发行股 份</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日可解除限售股份</w:t>
            </w:r>
          </w:p>
          <w:p>
            <w:pPr>
              <w:pStyle w:val="TableParagraph"/>
              <w:spacing w:line="240" w:lineRule="auto" w:before="6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3,917,726 </w:t>
            </w:r>
            <w:r>
              <w:rPr>
                <w:rFonts w:ascii="宋体" w:hAnsi="宋体" w:cs="宋体" w:eastAsia="宋体" w:hint="default"/>
                <w:sz w:val="18"/>
                <w:szCs w:val="18"/>
              </w:rPr>
              <w:t>股。</w:t>
            </w:r>
          </w:p>
        </w:tc>
      </w:tr>
      <w:tr>
        <w:trPr>
          <w:trHeight w:val="1025" w:hRule="exact"/>
        </w:trPr>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44"/>
              <w:jc w:val="both"/>
              <w:rPr>
                <w:rFonts w:ascii="宋体" w:hAnsi="宋体" w:cs="宋体" w:eastAsia="宋体" w:hint="default"/>
                <w:sz w:val="18"/>
                <w:szCs w:val="18"/>
              </w:rPr>
            </w:pPr>
            <w:r>
              <w:rPr>
                <w:rFonts w:ascii="宋体" w:hAnsi="宋体" w:cs="宋体" w:eastAsia="宋体" w:hint="default"/>
                <w:sz w:val="18"/>
                <w:szCs w:val="18"/>
              </w:rPr>
              <w:t>其他限 售股股 东</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21,496,5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49</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475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3,594,589</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17,902,43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5" w:right="93"/>
              <w:jc w:val="both"/>
              <w:rPr>
                <w:rFonts w:ascii="宋体" w:hAnsi="宋体" w:cs="宋体" w:eastAsia="宋体" w:hint="default"/>
                <w:sz w:val="18"/>
                <w:szCs w:val="18"/>
              </w:rPr>
            </w:pPr>
            <w:r>
              <w:rPr>
                <w:rFonts w:ascii="宋体" w:hAnsi="宋体" w:cs="宋体" w:eastAsia="宋体" w:hint="default"/>
                <w:sz w:val="18"/>
                <w:szCs w:val="18"/>
              </w:rPr>
              <w:t>股改限售股、非 公开发行股份、 高管锁定股</w:t>
            </w:r>
          </w:p>
        </w:tc>
        <w:tc>
          <w:tcPr>
            <w:tcW w:w="324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101"/>
              <w:jc w:val="left"/>
              <w:rPr>
                <w:rFonts w:ascii="宋体" w:hAnsi="宋体" w:cs="宋体" w:eastAsia="宋体" w:hint="default"/>
                <w:sz w:val="18"/>
                <w:szCs w:val="18"/>
              </w:rPr>
            </w:pPr>
            <w:r>
              <w:rPr>
                <w:rFonts w:ascii="宋体" w:hAnsi="宋体" w:cs="宋体" w:eastAsia="宋体" w:hint="default"/>
                <w:sz w:val="18"/>
                <w:szCs w:val="18"/>
              </w:rPr>
              <w:t>涉及业绩承诺的股东待业绩等补偿完 </w:t>
            </w:r>
            <w:r>
              <w:rPr>
                <w:rFonts w:ascii="宋体" w:hAnsi="宋体" w:cs="宋体" w:eastAsia="宋体" w:hint="default"/>
                <w:spacing w:val="-2"/>
                <w:sz w:val="18"/>
                <w:szCs w:val="18"/>
              </w:rPr>
              <w:t>毕后再定。股改限售股股东尚未提交申</w:t>
            </w:r>
            <w:r>
              <w:rPr>
                <w:rFonts w:ascii="宋体" w:hAnsi="宋体" w:cs="宋体" w:eastAsia="宋体" w:hint="default"/>
                <w:sz w:val="18"/>
                <w:szCs w:val="18"/>
              </w:rPr>
              <w:t> 请材料。</w:t>
            </w:r>
          </w:p>
        </w:tc>
      </w:tr>
      <w:tr>
        <w:trPr>
          <w:trHeight w:val="715"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75" w:right="0"/>
              <w:jc w:val="left"/>
              <w:rPr>
                <w:rFonts w:ascii="Times New Roman" w:hAnsi="Times New Roman" w:cs="Times New Roman" w:eastAsia="Times New Roman" w:hint="default"/>
                <w:sz w:val="18"/>
                <w:szCs w:val="18"/>
              </w:rPr>
            </w:pPr>
            <w:r>
              <w:rPr>
                <w:rFonts w:ascii="Times New Roman"/>
                <w:sz w:val="18"/>
              </w:rPr>
              <w:t>344,632,</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928</w:t>
            </w:r>
          </w:p>
        </w:tc>
        <w:tc>
          <w:tcPr>
            <w:tcW w:w="10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z w:val="18"/>
              </w:rPr>
              <w:t>475</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53,932,781</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290,700,6</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22</w:t>
            </w:r>
          </w:p>
        </w:tc>
        <w:tc>
          <w:tcPr>
            <w:tcW w:w="14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w:t>
            </w:r>
          </w:p>
        </w:tc>
        <w:tc>
          <w:tcPr>
            <w:tcW w:w="3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sz w:val="18"/>
          <w:szCs w:val="18"/>
        </w:rPr>
      </w:pPr>
    </w:p>
    <w:p>
      <w:pPr>
        <w:pStyle w:val="Heading2"/>
        <w:spacing w:line="240" w:lineRule="auto" w:before="26"/>
        <w:ind w:right="986"/>
        <w:jc w:val="left"/>
        <w:rPr>
          <w:b w:val="0"/>
          <w:bCs w:val="0"/>
        </w:rPr>
      </w:pPr>
      <w:bookmarkStart w:name="二、证券发行与上市情况" w:id="110"/>
      <w:bookmarkEnd w:id="110"/>
      <w:r>
        <w:rPr>
          <w:b w:val="0"/>
          <w:bCs w:val="0"/>
        </w:rPr>
      </w:r>
      <w:r>
        <w:rPr/>
        <w:t>二、证券发行与上市情况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报告期内证券发行（不含优先股）情况" w:id="111"/>
      <w:bookmarkEnd w:id="111"/>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公司股份总数及股东结构的变动、公司资产和负债结构的变动情况说明" w:id="112"/>
      <w:bookmarkEnd w:id="112"/>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现存的内部职工股情况" w:id="113"/>
      <w:bookmarkEnd w:id="113"/>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bookmarkStart w:name="三、股东和实际控制人情况" w:id="114"/>
      <w:bookmarkEnd w:id="114"/>
      <w:r>
        <w:rPr>
          <w:b w:val="0"/>
          <w:bCs w:val="0"/>
        </w:rPr>
      </w: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公司股东数量及持股情况" w:id="115"/>
      <w:bookmarkEnd w:id="115"/>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9"/>
        <w:gridCol w:w="1198"/>
        <w:gridCol w:w="1328"/>
        <w:gridCol w:w="1064"/>
        <w:gridCol w:w="1461"/>
        <w:gridCol w:w="1064"/>
        <w:gridCol w:w="1329"/>
        <w:gridCol w:w="926"/>
      </w:tblGrid>
      <w:tr>
        <w:trPr>
          <w:trHeight w:val="1968"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2" w:right="185"/>
              <w:jc w:val="both"/>
              <w:rPr>
                <w:rFonts w:ascii="宋体" w:hAnsi="宋体" w:cs="宋体" w:eastAsia="宋体" w:hint="default"/>
                <w:sz w:val="18"/>
                <w:szCs w:val="18"/>
              </w:rPr>
            </w:pPr>
            <w:r>
              <w:rPr>
                <w:rFonts w:ascii="宋体" w:hAnsi="宋体" w:cs="宋体" w:eastAsia="宋体" w:hint="default"/>
                <w:sz w:val="18"/>
                <w:szCs w:val="18"/>
              </w:rPr>
              <w:t>报告期末普 通股股东总 数</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90" w:right="0"/>
              <w:jc w:val="left"/>
              <w:rPr>
                <w:rFonts w:ascii="Times New Roman" w:hAnsi="Times New Roman" w:cs="Times New Roman" w:eastAsia="Times New Roman" w:hint="default"/>
                <w:sz w:val="18"/>
                <w:szCs w:val="18"/>
              </w:rPr>
            </w:pPr>
            <w:r>
              <w:rPr>
                <w:rFonts w:ascii="Times New Roman"/>
                <w:sz w:val="18"/>
              </w:rPr>
              <w:t>34,317</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34"/>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58" w:right="0"/>
              <w:jc w:val="left"/>
              <w:rPr>
                <w:rFonts w:ascii="Times New Roman" w:hAnsi="Times New Roman" w:cs="Times New Roman" w:eastAsia="Times New Roman" w:hint="default"/>
                <w:sz w:val="18"/>
                <w:szCs w:val="18"/>
              </w:rPr>
            </w:pPr>
            <w:r>
              <w:rPr>
                <w:rFonts w:ascii="Times New Roman"/>
                <w:sz w:val="18"/>
              </w:rPr>
              <w:t>30,194</w:t>
            </w: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1" w:right="41"/>
              <w:jc w:val="left"/>
              <w:rPr>
                <w:rFonts w:ascii="宋体" w:hAnsi="宋体" w:cs="宋体" w:eastAsia="宋体" w:hint="default"/>
                <w:sz w:val="18"/>
                <w:szCs w:val="18"/>
              </w:rPr>
            </w:pPr>
            <w:r>
              <w:rPr>
                <w:rFonts w:ascii="宋体" w:hAnsi="宋体" w:cs="宋体" w:eastAsia="宋体" w:hint="default"/>
                <w:sz w:val="18"/>
                <w:szCs w:val="18"/>
              </w:rPr>
              <w:t>报告期末表决 权恢复的优先 </w:t>
            </w:r>
            <w:r>
              <w:rPr>
                <w:rFonts w:ascii="宋体" w:hAnsi="宋体" w:cs="宋体" w:eastAsia="宋体" w:hint="default"/>
                <w:spacing w:val="-3"/>
                <w:sz w:val="18"/>
                <w:szCs w:val="18"/>
              </w:rPr>
              <w:t>股股东总数（如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16"/>
                <w:sz w:val="18"/>
                <w:szCs w:val="18"/>
              </w:rPr>
              <w:t>有）（参见注</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13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4" w:right="101"/>
              <w:jc w:val="both"/>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22"/>
                <w:sz w:val="18"/>
                <w:szCs w:val="18"/>
              </w:rPr>
              <w:t>数（如有）（参</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8</w:t>
            </w:r>
            <w:r>
              <w:rPr>
                <w:rFonts w:ascii="宋体" w:hAnsi="宋体" w:cs="宋体" w:eastAsia="宋体" w:hint="default"/>
                <w:sz w:val="18"/>
                <w:szCs w:val="18"/>
              </w:rPr>
              <w:t>）</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r>
      <w:tr>
        <w:trPr>
          <w:trHeight w:val="396"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1469"/>
        <w:gridCol w:w="1412"/>
        <w:gridCol w:w="790"/>
        <w:gridCol w:w="785"/>
        <w:gridCol w:w="790"/>
        <w:gridCol w:w="787"/>
        <w:gridCol w:w="840"/>
        <w:gridCol w:w="1349"/>
        <w:gridCol w:w="1349"/>
      </w:tblGrid>
      <w:tr>
        <w:trPr>
          <w:trHeight w:val="402" w:hRule="exact"/>
        </w:trPr>
        <w:tc>
          <w:tcPr>
            <w:tcW w:w="14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7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99" w:right="119" w:hanging="180"/>
              <w:jc w:val="left"/>
              <w:rPr>
                <w:rFonts w:ascii="宋体" w:hAnsi="宋体" w:cs="宋体" w:eastAsia="宋体" w:hint="default"/>
                <w:sz w:val="18"/>
                <w:szCs w:val="18"/>
              </w:rPr>
            </w:pPr>
            <w:r>
              <w:rPr>
                <w:rFonts w:ascii="宋体" w:hAnsi="宋体" w:cs="宋体" w:eastAsia="宋体" w:hint="default"/>
                <w:sz w:val="18"/>
                <w:szCs w:val="18"/>
              </w:rPr>
              <w:t>持股比 例</w:t>
            </w: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117" w:right="115"/>
              <w:jc w:val="both"/>
              <w:rPr>
                <w:rFonts w:ascii="宋体" w:hAnsi="宋体" w:cs="宋体" w:eastAsia="宋体" w:hint="default"/>
                <w:sz w:val="18"/>
                <w:szCs w:val="18"/>
              </w:rPr>
            </w:pPr>
            <w:r>
              <w:rPr>
                <w:rFonts w:ascii="宋体" w:hAnsi="宋体" w:cs="宋体" w:eastAsia="宋体" w:hint="default"/>
                <w:sz w:val="18"/>
                <w:szCs w:val="18"/>
              </w:rPr>
              <w:t>报告期 末持股 数量</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22" w:right="117"/>
              <w:jc w:val="center"/>
              <w:rPr>
                <w:rFonts w:ascii="宋体" w:hAnsi="宋体" w:cs="宋体" w:eastAsia="宋体" w:hint="default"/>
                <w:sz w:val="18"/>
                <w:szCs w:val="18"/>
              </w:rPr>
            </w:pPr>
            <w:r>
              <w:rPr>
                <w:rFonts w:ascii="宋体" w:hAnsi="宋体" w:cs="宋体" w:eastAsia="宋体" w:hint="default"/>
                <w:sz w:val="18"/>
                <w:szCs w:val="18"/>
              </w:rPr>
              <w:t>报告期 内增减 变动情 况</w:t>
            </w:r>
          </w:p>
        </w:tc>
        <w:tc>
          <w:tcPr>
            <w:tcW w:w="78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17" w:right="119"/>
              <w:jc w:val="both"/>
              <w:rPr>
                <w:rFonts w:ascii="宋体" w:hAnsi="宋体" w:cs="宋体" w:eastAsia="宋体" w:hint="default"/>
                <w:sz w:val="18"/>
                <w:szCs w:val="18"/>
              </w:rPr>
            </w:pPr>
            <w:r>
              <w:rPr>
                <w:rFonts w:ascii="宋体" w:hAnsi="宋体" w:cs="宋体" w:eastAsia="宋体" w:hint="default"/>
                <w:sz w:val="18"/>
                <w:szCs w:val="18"/>
              </w:rPr>
              <w:t>持有有 限售条 件的股 份数量</w:t>
            </w:r>
          </w:p>
        </w:tc>
        <w:tc>
          <w:tcPr>
            <w:tcW w:w="84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44" w:right="144"/>
              <w:jc w:val="both"/>
              <w:rPr>
                <w:rFonts w:ascii="宋体" w:hAnsi="宋体" w:cs="宋体" w:eastAsia="宋体" w:hint="default"/>
                <w:sz w:val="18"/>
                <w:szCs w:val="18"/>
              </w:rPr>
            </w:pPr>
            <w:r>
              <w:rPr>
                <w:rFonts w:ascii="宋体" w:hAnsi="宋体" w:cs="宋体" w:eastAsia="宋体" w:hint="default"/>
                <w:sz w:val="18"/>
                <w:szCs w:val="18"/>
              </w:rPr>
              <w:t>持有无 限售条 件的股 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2"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935" w:hRule="exact"/>
        </w:trPr>
        <w:tc>
          <w:tcPr>
            <w:tcW w:w="1469" w:type="dxa"/>
            <w:vMerge/>
            <w:tcBorders>
              <w:left w:val="single" w:sz="4" w:space="0" w:color="000000"/>
              <w:bottom w:val="single" w:sz="4" w:space="0" w:color="000000"/>
              <w:right w:val="single" w:sz="4" w:space="0" w:color="000000"/>
            </w:tcBorders>
            <w:shd w:val="clear" w:color="auto" w:fill="D2D2D2"/>
          </w:tcPr>
          <w:p>
            <w:pPr/>
          </w:p>
        </w:tc>
        <w:tc>
          <w:tcPr>
            <w:tcW w:w="141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787" w:type="dxa"/>
            <w:vMerge/>
            <w:tcBorders>
              <w:left w:val="single" w:sz="4" w:space="0" w:color="000000"/>
              <w:bottom w:val="single" w:sz="4" w:space="0" w:color="000000"/>
              <w:right w:val="single" w:sz="4" w:space="0" w:color="000000"/>
            </w:tcBorders>
            <w:shd w:val="clear" w:color="auto" w:fill="D2D2D2"/>
          </w:tcPr>
          <w:p>
            <w:pPr/>
          </w:p>
        </w:tc>
        <w:tc>
          <w:tcPr>
            <w:tcW w:w="840" w:type="dxa"/>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308"/>
              <w:jc w:val="right"/>
              <w:rPr>
                <w:rFonts w:ascii="宋体" w:hAnsi="宋体" w:cs="宋体" w:eastAsia="宋体" w:hint="default"/>
                <w:sz w:val="18"/>
                <w:szCs w:val="18"/>
              </w:rPr>
            </w:pPr>
            <w:r>
              <w:rPr>
                <w:rFonts w:ascii="宋体" w:hAnsi="宋体" w:cs="宋体" w:eastAsia="宋体" w:hint="default"/>
                <w:sz w:val="18"/>
                <w:szCs w:val="18"/>
              </w:rPr>
              <w:t>股份状态</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姜剑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21.42%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left"/>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2"/>
              <w:ind w:left="268" w:right="0"/>
              <w:jc w:val="left"/>
              <w:rPr>
                <w:rFonts w:ascii="Times New Roman" w:hAnsi="Times New Roman" w:cs="Times New Roman" w:eastAsia="Times New Roman" w:hint="default"/>
                <w:sz w:val="18"/>
                <w:szCs w:val="18"/>
              </w:rPr>
            </w:pPr>
            <w:r>
              <w:rPr>
                <w:rFonts w:ascii="Times New Roman"/>
                <w:sz w:val="18"/>
              </w:rPr>
              <w:t>0,000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7" w:right="0"/>
              <w:jc w:val="left"/>
              <w:rPr>
                <w:rFonts w:ascii="Times New Roman" w:hAnsi="Times New Roman" w:cs="Times New Roman" w:eastAsia="Times New Roman" w:hint="default"/>
                <w:sz w:val="18"/>
                <w:szCs w:val="18"/>
              </w:rPr>
            </w:pPr>
            <w:r>
              <w:rPr>
                <w:rFonts w:ascii="Times New Roman"/>
                <w:sz w:val="18"/>
              </w:rPr>
              <w:t>112,00</w:t>
            </w:r>
          </w:p>
          <w:p>
            <w:pPr>
              <w:pStyle w:val="TableParagraph"/>
              <w:spacing w:line="240" w:lineRule="auto" w:before="102"/>
              <w:ind w:left="268" w:right="0"/>
              <w:jc w:val="left"/>
              <w:rPr>
                <w:rFonts w:ascii="Times New Roman" w:hAnsi="Times New Roman" w:cs="Times New Roman" w:eastAsia="Times New Roman" w:hint="default"/>
                <w:sz w:val="18"/>
                <w:szCs w:val="18"/>
              </w:rPr>
            </w:pPr>
            <w:r>
              <w:rPr>
                <w:rFonts w:ascii="Times New Roman"/>
                <w:sz w:val="18"/>
              </w:rPr>
              <w:t>0,000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112,000,000</w:t>
            </w:r>
          </w:p>
        </w:tc>
      </w:tr>
      <w:tr>
        <w:trPr>
          <w:trHeight w:val="401" w:hRule="exact"/>
        </w:trPr>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朱兰英</w:t>
            </w:r>
          </w:p>
        </w:tc>
        <w:tc>
          <w:tcPr>
            <w:tcW w:w="141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19.70%</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136"/>
              <w:ind w:left="179" w:right="0"/>
              <w:jc w:val="left"/>
              <w:rPr>
                <w:rFonts w:ascii="Times New Roman" w:hAnsi="Times New Roman" w:cs="Times New Roman" w:eastAsia="Times New Roman" w:hint="default"/>
                <w:sz w:val="18"/>
                <w:szCs w:val="18"/>
              </w:rPr>
            </w:pPr>
            <w:r>
              <w:rPr>
                <w:rFonts w:ascii="Times New Roman"/>
                <w:sz w:val="18"/>
              </w:rPr>
              <w:t>103,00</w:t>
            </w:r>
          </w:p>
          <w:p>
            <w:pPr>
              <w:pStyle w:val="TableParagraph"/>
              <w:spacing w:line="240" w:lineRule="auto" w:before="105"/>
              <w:ind w:left="268" w:right="0"/>
              <w:jc w:val="left"/>
              <w:rPr>
                <w:rFonts w:ascii="Times New Roman" w:hAnsi="Times New Roman" w:cs="Times New Roman" w:eastAsia="Times New Roman" w:hint="default"/>
                <w:sz w:val="18"/>
                <w:szCs w:val="18"/>
              </w:rPr>
            </w:pPr>
            <w:r>
              <w:rPr>
                <w:rFonts w:ascii="Times New Roman"/>
                <w:sz w:val="18"/>
              </w:rPr>
              <w:t>4,898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6"/>
              <w:ind w:left="105" w:right="0"/>
              <w:jc w:val="left"/>
              <w:rPr>
                <w:rFonts w:ascii="Times New Roman" w:hAnsi="Times New Roman" w:cs="Times New Roman" w:eastAsia="Times New Roman" w:hint="default"/>
                <w:sz w:val="18"/>
                <w:szCs w:val="18"/>
              </w:rPr>
            </w:pPr>
            <w:r>
              <w:rPr>
                <w:rFonts w:ascii="Times New Roman"/>
                <w:sz w:val="18"/>
              </w:rPr>
              <w:t>-1,301,</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057</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136"/>
              <w:ind w:left="179" w:right="0"/>
              <w:jc w:val="left"/>
              <w:rPr>
                <w:rFonts w:ascii="Times New Roman" w:hAnsi="Times New Roman" w:cs="Times New Roman" w:eastAsia="Times New Roman" w:hint="default"/>
                <w:sz w:val="18"/>
                <w:szCs w:val="18"/>
              </w:rPr>
            </w:pPr>
            <w:r>
              <w:rPr>
                <w:rFonts w:ascii="Times New Roman"/>
                <w:sz w:val="18"/>
              </w:rPr>
              <w:t>103,00</w:t>
            </w:r>
          </w:p>
          <w:p>
            <w:pPr>
              <w:pStyle w:val="TableParagraph"/>
              <w:spacing w:line="240" w:lineRule="auto" w:before="105"/>
              <w:ind w:left="268" w:right="0"/>
              <w:jc w:val="left"/>
              <w:rPr>
                <w:rFonts w:ascii="Times New Roman" w:hAnsi="Times New Roman" w:cs="Times New Roman" w:eastAsia="Times New Roman" w:hint="default"/>
                <w:sz w:val="18"/>
                <w:szCs w:val="18"/>
              </w:rPr>
            </w:pPr>
            <w:r>
              <w:rPr>
                <w:rFonts w:ascii="Times New Roman"/>
                <w:sz w:val="18"/>
              </w:rPr>
              <w:t>4,898</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86,591,996</w:t>
            </w:r>
          </w:p>
        </w:tc>
      </w:tr>
      <w:tr>
        <w:trPr>
          <w:trHeight w:val="403" w:hRule="exact"/>
        </w:trPr>
        <w:tc>
          <w:tcPr>
            <w:tcW w:w="1469"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16,799,997</w:t>
            </w:r>
          </w:p>
        </w:tc>
      </w:tr>
      <w:tr>
        <w:trPr>
          <w:trHeight w:val="401" w:hRule="exact"/>
        </w:trPr>
        <w:tc>
          <w:tcPr>
            <w:tcW w:w="1469" w:type="dxa"/>
            <w:vMerge w:val="restart"/>
            <w:tcBorders>
              <w:top w:val="single" w:sz="4" w:space="0" w:color="000000"/>
              <w:left w:val="single" w:sz="4" w:space="0" w:color="000000"/>
              <w:right w:val="single" w:sz="4" w:space="0" w:color="000000"/>
            </w:tcBorders>
          </w:tcPr>
          <w:p>
            <w:pPr>
              <w:pStyle w:val="TableParagraph"/>
              <w:spacing w:line="316" w:lineRule="auto" w:before="94"/>
              <w:ind w:left="103" w:right="274"/>
              <w:jc w:val="left"/>
              <w:rPr>
                <w:rFonts w:ascii="宋体" w:hAnsi="宋体" w:cs="宋体" w:eastAsia="宋体" w:hint="default"/>
                <w:sz w:val="18"/>
                <w:szCs w:val="18"/>
              </w:rPr>
            </w:pPr>
            <w:r>
              <w:rPr>
                <w:rFonts w:ascii="宋体" w:hAnsi="宋体" w:cs="宋体" w:eastAsia="宋体" w:hint="default"/>
                <w:sz w:val="18"/>
                <w:szCs w:val="18"/>
              </w:rPr>
              <w:t>青岛亚星实业 有限公司</w:t>
            </w:r>
          </w:p>
        </w:tc>
        <w:tc>
          <w:tcPr>
            <w:tcW w:w="1412" w:type="dxa"/>
            <w:vMerge w:val="restart"/>
            <w:tcBorders>
              <w:top w:val="single" w:sz="4" w:space="0" w:color="000000"/>
              <w:left w:val="single" w:sz="4" w:space="0" w:color="000000"/>
              <w:right w:val="single" w:sz="4" w:space="0" w:color="000000"/>
            </w:tcBorders>
          </w:tcPr>
          <w:p>
            <w:pPr>
              <w:pStyle w:val="TableParagraph"/>
              <w:spacing w:line="316" w:lineRule="auto" w:before="94"/>
              <w:ind w:left="105" w:right="21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13.57%</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136"/>
              <w:ind w:left="134" w:right="0"/>
              <w:jc w:val="left"/>
              <w:rPr>
                <w:rFonts w:ascii="Times New Roman" w:hAnsi="Times New Roman" w:cs="Times New Roman" w:eastAsia="Times New Roman" w:hint="default"/>
                <w:sz w:val="18"/>
                <w:szCs w:val="18"/>
              </w:rPr>
            </w:pPr>
            <w:r>
              <w:rPr>
                <w:rFonts w:ascii="Times New Roman"/>
                <w:sz w:val="18"/>
              </w:rPr>
              <w:t>70,955,</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745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0</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136"/>
              <w:ind w:left="187" w:right="0"/>
              <w:jc w:val="left"/>
              <w:rPr>
                <w:rFonts w:ascii="Times New Roman" w:hAnsi="Times New Roman" w:cs="Times New Roman" w:eastAsia="Times New Roman" w:hint="default"/>
                <w:sz w:val="18"/>
                <w:szCs w:val="18"/>
              </w:rPr>
            </w:pPr>
            <w:r>
              <w:rPr>
                <w:rFonts w:ascii="Times New Roman"/>
                <w:sz w:val="18"/>
              </w:rPr>
              <w:t>70,955,</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745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70,955,745</w:t>
            </w:r>
          </w:p>
        </w:tc>
      </w:tr>
      <w:tr>
        <w:trPr>
          <w:trHeight w:val="403" w:hRule="exact"/>
        </w:trPr>
        <w:tc>
          <w:tcPr>
            <w:tcW w:w="1469"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70,955,745</w:t>
            </w:r>
          </w:p>
        </w:tc>
      </w:tr>
      <w:tr>
        <w:trPr>
          <w:trHeight w:val="401" w:hRule="exact"/>
        </w:trPr>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夏东明</w:t>
            </w:r>
          </w:p>
        </w:tc>
        <w:tc>
          <w:tcPr>
            <w:tcW w:w="1412"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5.49%</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137"/>
              <w:ind w:left="134" w:right="0"/>
              <w:jc w:val="left"/>
              <w:rPr>
                <w:rFonts w:ascii="Times New Roman" w:hAnsi="Times New Roman" w:cs="Times New Roman" w:eastAsia="Times New Roman" w:hint="default"/>
                <w:sz w:val="18"/>
                <w:szCs w:val="18"/>
              </w:rPr>
            </w:pPr>
            <w:r>
              <w:rPr>
                <w:rFonts w:ascii="Times New Roman"/>
                <w:sz w:val="18"/>
              </w:rPr>
              <w:t>28,704,</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798</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7"/>
              <w:ind w:left="105" w:right="0"/>
              <w:jc w:val="left"/>
              <w:rPr>
                <w:rFonts w:ascii="Times New Roman" w:hAnsi="Times New Roman" w:cs="Times New Roman" w:eastAsia="Times New Roman" w:hint="default"/>
                <w:sz w:val="18"/>
                <w:szCs w:val="18"/>
              </w:rPr>
            </w:pPr>
            <w:r>
              <w:rPr>
                <w:rFonts w:ascii="Times New Roman"/>
                <w:sz w:val="18"/>
              </w:rPr>
              <w:t>-10,023</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,898</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137"/>
              <w:ind w:left="134" w:right="0"/>
              <w:jc w:val="left"/>
              <w:rPr>
                <w:rFonts w:ascii="Times New Roman" w:hAnsi="Times New Roman" w:cs="Times New Roman" w:eastAsia="Times New Roman" w:hint="default"/>
                <w:sz w:val="18"/>
                <w:szCs w:val="18"/>
              </w:rPr>
            </w:pPr>
            <w:r>
              <w:rPr>
                <w:rFonts w:ascii="Times New Roman"/>
                <w:sz w:val="18"/>
              </w:rPr>
              <w:t>23,528,</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598</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137"/>
              <w:ind w:left="187" w:right="0"/>
              <w:jc w:val="left"/>
              <w:rPr>
                <w:rFonts w:ascii="Times New Roman" w:hAnsi="Times New Roman" w:cs="Times New Roman" w:eastAsia="Times New Roman" w:hint="default"/>
                <w:sz w:val="18"/>
                <w:szCs w:val="18"/>
              </w:rPr>
            </w:pPr>
            <w:r>
              <w:rPr>
                <w:rFonts w:ascii="Times New Roman"/>
                <w:sz w:val="18"/>
              </w:rPr>
              <w:t>5,176,2</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10,507,859</w:t>
            </w:r>
          </w:p>
        </w:tc>
      </w:tr>
      <w:tr>
        <w:trPr>
          <w:trHeight w:val="403" w:hRule="exact"/>
        </w:trPr>
        <w:tc>
          <w:tcPr>
            <w:tcW w:w="1469"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28,704,798</w:t>
            </w:r>
          </w:p>
        </w:tc>
      </w:tr>
      <w:tr>
        <w:trPr>
          <w:trHeight w:val="401" w:hRule="exact"/>
        </w:trPr>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曹林芳</w:t>
            </w:r>
          </w:p>
        </w:tc>
        <w:tc>
          <w:tcPr>
            <w:tcW w:w="141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5.00%</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136"/>
              <w:ind w:left="134" w:right="0"/>
              <w:jc w:val="left"/>
              <w:rPr>
                <w:rFonts w:ascii="Times New Roman" w:hAnsi="Times New Roman" w:cs="Times New Roman" w:eastAsia="Times New Roman" w:hint="default"/>
                <w:sz w:val="18"/>
                <w:szCs w:val="18"/>
              </w:rPr>
            </w:pPr>
            <w:r>
              <w:rPr>
                <w:rFonts w:ascii="Times New Roman"/>
                <w:sz w:val="18"/>
              </w:rPr>
              <w:t>26,138,</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851</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6"/>
              <w:ind w:left="105" w:right="0"/>
              <w:jc w:val="left"/>
              <w:rPr>
                <w:rFonts w:ascii="Times New Roman" w:hAnsi="Times New Roman" w:cs="Times New Roman" w:eastAsia="Times New Roman" w:hint="default"/>
                <w:sz w:val="18"/>
                <w:szCs w:val="18"/>
              </w:rPr>
            </w:pPr>
            <w:r>
              <w:rPr>
                <w:rFonts w:ascii="Times New Roman"/>
                <w:sz w:val="18"/>
              </w:rPr>
              <w:t>-8,740,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675</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136"/>
              <w:ind w:left="134" w:right="0"/>
              <w:jc w:val="left"/>
              <w:rPr>
                <w:rFonts w:ascii="Times New Roman" w:hAnsi="Times New Roman" w:cs="Times New Roman" w:eastAsia="Times New Roman" w:hint="default"/>
                <w:sz w:val="18"/>
                <w:szCs w:val="18"/>
              </w:rPr>
            </w:pPr>
            <w:r>
              <w:rPr>
                <w:rFonts w:ascii="Times New Roman"/>
                <w:sz w:val="18"/>
              </w:rPr>
              <w:t>10,366,</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310</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136"/>
              <w:ind w:left="187" w:right="0"/>
              <w:jc w:val="left"/>
              <w:rPr>
                <w:rFonts w:ascii="Times New Roman" w:hAnsi="Times New Roman" w:cs="Times New Roman" w:eastAsia="Times New Roman" w:hint="default"/>
                <w:sz w:val="18"/>
                <w:szCs w:val="18"/>
              </w:rPr>
            </w:pPr>
            <w:r>
              <w:rPr>
                <w:rFonts w:ascii="Times New Roman"/>
                <w:sz w:val="18"/>
              </w:rPr>
              <w:t>15,772,</w:t>
            </w:r>
          </w:p>
          <w:p>
            <w:pPr>
              <w:pStyle w:val="TableParagraph"/>
              <w:spacing w:line="240" w:lineRule="auto" w:before="105"/>
              <w:ind w:left="456" w:right="0"/>
              <w:jc w:val="left"/>
              <w:rPr>
                <w:rFonts w:ascii="Times New Roman" w:hAnsi="Times New Roman" w:cs="Times New Roman" w:eastAsia="Times New Roman" w:hint="default"/>
                <w:sz w:val="18"/>
                <w:szCs w:val="18"/>
              </w:rPr>
            </w:pPr>
            <w:r>
              <w:rPr>
                <w:rFonts w:ascii="Times New Roman"/>
                <w:sz w:val="18"/>
              </w:rPr>
              <w:t>541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15,298,925</w:t>
            </w:r>
          </w:p>
        </w:tc>
      </w:tr>
      <w:tr>
        <w:trPr>
          <w:trHeight w:val="403" w:hRule="exact"/>
        </w:trPr>
        <w:tc>
          <w:tcPr>
            <w:tcW w:w="1469"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26,138,851</w:t>
            </w:r>
          </w:p>
        </w:tc>
      </w:tr>
      <w:tr>
        <w:trPr>
          <w:trHeight w:val="713"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74"/>
              <w:jc w:val="left"/>
              <w:rPr>
                <w:rFonts w:ascii="宋体" w:hAnsi="宋体" w:cs="宋体" w:eastAsia="宋体" w:hint="default"/>
                <w:sz w:val="18"/>
                <w:szCs w:val="18"/>
              </w:rPr>
            </w:pPr>
            <w:r>
              <w:rPr>
                <w:rFonts w:ascii="宋体" w:hAnsi="宋体" w:cs="宋体" w:eastAsia="宋体" w:hint="default"/>
                <w:sz w:val="18"/>
                <w:szCs w:val="18"/>
              </w:rPr>
              <w:t>方正延中传媒 有限公司</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214"/>
              <w:jc w:val="left"/>
              <w:rPr>
                <w:rFonts w:ascii="宋体" w:hAnsi="宋体" w:cs="宋体" w:eastAsia="宋体" w:hint="default"/>
                <w:sz w:val="18"/>
                <w:szCs w:val="18"/>
              </w:rPr>
            </w:pPr>
            <w:r>
              <w:rPr>
                <w:rFonts w:ascii="宋体" w:hAnsi="宋体" w:cs="宋体" w:eastAsia="宋体" w:hint="default"/>
                <w:sz w:val="18"/>
                <w:szCs w:val="18"/>
              </w:rPr>
              <w:t>境内非国有法 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2.38%</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12,419,</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440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 w:right="0"/>
              <w:jc w:val="left"/>
              <w:rPr>
                <w:rFonts w:ascii="Times New Roman" w:hAnsi="Times New Roman" w:cs="Times New Roman" w:eastAsia="Times New Roman" w:hint="default"/>
                <w:sz w:val="18"/>
                <w:szCs w:val="18"/>
              </w:rPr>
            </w:pPr>
            <w:r>
              <w:rPr>
                <w:rFonts w:ascii="Times New Roman"/>
                <w:sz w:val="18"/>
              </w:rPr>
              <w:t>12,419,</w:t>
            </w:r>
          </w:p>
          <w:p>
            <w:pPr>
              <w:pStyle w:val="TableParagraph"/>
              <w:spacing w:line="240" w:lineRule="auto" w:before="105"/>
              <w:ind w:left="403" w:right="0"/>
              <w:jc w:val="left"/>
              <w:rPr>
                <w:rFonts w:ascii="Times New Roman" w:hAnsi="Times New Roman" w:cs="Times New Roman" w:eastAsia="Times New Roman" w:hint="default"/>
                <w:sz w:val="18"/>
                <w:szCs w:val="18"/>
              </w:rPr>
            </w:pPr>
            <w:r>
              <w:rPr>
                <w:rFonts w:ascii="Times New Roman"/>
                <w:sz w:val="18"/>
              </w:rPr>
              <w:t>440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12,419,440</w:t>
            </w:r>
          </w:p>
        </w:tc>
      </w:tr>
      <w:tr>
        <w:trPr>
          <w:trHeight w:val="715"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修涞贵</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5,994,1</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23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4" w:right="0"/>
              <w:jc w:val="left"/>
              <w:rPr>
                <w:rFonts w:ascii="Times New Roman" w:hAnsi="Times New Roman" w:cs="Times New Roman" w:eastAsia="Times New Roman" w:hint="default"/>
                <w:sz w:val="18"/>
                <w:szCs w:val="18"/>
              </w:rPr>
            </w:pPr>
            <w:r>
              <w:rPr>
                <w:rFonts w:ascii="Times New Roman"/>
                <w:sz w:val="18"/>
              </w:rPr>
              <w:t>5,994,1</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23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5,994,123</w:t>
            </w:r>
          </w:p>
        </w:tc>
      </w:tr>
      <w:tr>
        <w:trPr>
          <w:trHeight w:val="164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74"/>
              <w:jc w:val="both"/>
              <w:rPr>
                <w:rFonts w:ascii="宋体" w:hAnsi="宋体" w:cs="宋体" w:eastAsia="宋体" w:hint="default"/>
                <w:sz w:val="18"/>
                <w:szCs w:val="18"/>
              </w:rPr>
            </w:pPr>
            <w:r>
              <w:rPr>
                <w:rFonts w:ascii="宋体" w:hAnsi="宋体" w:cs="宋体" w:eastAsia="宋体" w:hint="default"/>
                <w:sz w:val="18"/>
                <w:szCs w:val="18"/>
              </w:rPr>
              <w:t>云南国际信托 有限公司－深 大通员工持股 计划集合资金 信托计划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1.14%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34" w:right="0"/>
              <w:jc w:val="left"/>
              <w:rPr>
                <w:rFonts w:ascii="Times New Roman" w:hAnsi="Times New Roman" w:cs="Times New Roman" w:eastAsia="Times New Roman" w:hint="default"/>
                <w:sz w:val="18"/>
                <w:szCs w:val="18"/>
              </w:rPr>
            </w:pPr>
            <w:r>
              <w:rPr>
                <w:rFonts w:ascii="Times New Roman"/>
                <w:sz w:val="18"/>
              </w:rPr>
              <w:t>5,969,0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78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87" w:right="0"/>
              <w:jc w:val="left"/>
              <w:rPr>
                <w:rFonts w:ascii="Times New Roman" w:hAnsi="Times New Roman" w:cs="Times New Roman" w:eastAsia="Times New Roman" w:hint="default"/>
                <w:sz w:val="18"/>
                <w:szCs w:val="18"/>
              </w:rPr>
            </w:pPr>
            <w:r>
              <w:rPr>
                <w:rFonts w:ascii="Times New Roman"/>
                <w:sz w:val="18"/>
              </w:rPr>
              <w:t>5,969,0</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78</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华安未来资管</w:t>
            </w:r>
          </w:p>
          <w:p>
            <w:pPr>
              <w:pStyle w:val="TableParagraph"/>
              <w:spacing w:line="309" w:lineRule="auto" w:before="74"/>
              <w:ind w:left="103" w:right="101"/>
              <w:jc w:val="left"/>
              <w:rPr>
                <w:rFonts w:ascii="宋体" w:hAnsi="宋体" w:cs="宋体" w:eastAsia="宋体" w:hint="default"/>
                <w:sz w:val="18"/>
                <w:szCs w:val="18"/>
              </w:rPr>
            </w:pPr>
            <w:r>
              <w:rPr>
                <w:rFonts w:ascii="宋体" w:hAnsi="宋体" w:cs="宋体" w:eastAsia="宋体" w:hint="default"/>
                <w:sz w:val="18"/>
                <w:szCs w:val="18"/>
              </w:rPr>
              <w:t>－宁波银行－ 深大通</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号资产 管理计划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0"/>
              <w:jc w:val="right"/>
              <w:rPr>
                <w:rFonts w:ascii="Times New Roman" w:hAnsi="Times New Roman" w:cs="Times New Roman" w:eastAsia="Times New Roman" w:hint="default"/>
                <w:sz w:val="18"/>
                <w:szCs w:val="18"/>
              </w:rPr>
            </w:pPr>
            <w:r>
              <w:rPr>
                <w:rFonts w:ascii="Times New Roman"/>
                <w:sz w:val="18"/>
              </w:rPr>
              <w:t>1.05%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5,484,8</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105" w:right="0"/>
              <w:jc w:val="left"/>
              <w:rPr>
                <w:rFonts w:ascii="Times New Roman" w:hAnsi="Times New Roman" w:cs="Times New Roman" w:eastAsia="Times New Roman" w:hint="default"/>
                <w:sz w:val="18"/>
                <w:szCs w:val="18"/>
              </w:rPr>
            </w:pPr>
            <w:r>
              <w:rPr>
                <w:rFonts w:ascii="Times New Roman"/>
                <w:sz w:val="18"/>
              </w:rPr>
              <w:t>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5,484,8</w:t>
            </w:r>
          </w:p>
          <w:p>
            <w:pPr>
              <w:pStyle w:val="TableParagraph"/>
              <w:spacing w:line="240" w:lineRule="auto" w:before="102"/>
              <w:ind w:left="494" w:right="0"/>
              <w:jc w:val="left"/>
              <w:rPr>
                <w:rFonts w:ascii="Times New Roman" w:hAnsi="Times New Roman" w:cs="Times New Roman" w:eastAsia="Times New Roman" w:hint="default"/>
                <w:sz w:val="18"/>
                <w:szCs w:val="18"/>
              </w:rPr>
            </w:pPr>
            <w:r>
              <w:rPr>
                <w:rFonts w:ascii="Times New Roman"/>
                <w:sz w:val="18"/>
              </w:rPr>
              <w:t>18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02"/>
              <w:jc w:val="right"/>
              <w:rPr>
                <w:rFonts w:ascii="Times New Roman" w:hAnsi="Times New Roman" w:cs="Times New Roman" w:eastAsia="Times New Roman" w:hint="default"/>
                <w:sz w:val="18"/>
                <w:szCs w:val="18"/>
              </w:rPr>
            </w:pPr>
            <w:r>
              <w:rPr>
                <w:rFonts w:ascii="Times New Roman"/>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罗承</w:t>
            </w:r>
          </w:p>
        </w:tc>
        <w:tc>
          <w:tcPr>
            <w:tcW w:w="1412"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11" w:right="0"/>
              <w:jc w:val="left"/>
              <w:rPr>
                <w:rFonts w:ascii="Times New Roman" w:hAnsi="Times New Roman" w:cs="Times New Roman" w:eastAsia="Times New Roman" w:hint="default"/>
                <w:sz w:val="18"/>
                <w:szCs w:val="18"/>
              </w:rPr>
            </w:pPr>
            <w:r>
              <w:rPr>
                <w:rFonts w:ascii="Times New Roman"/>
                <w:sz w:val="18"/>
              </w:rPr>
              <w:t>1.02%</w:t>
            </w:r>
          </w:p>
        </w:tc>
        <w:tc>
          <w:tcPr>
            <w:tcW w:w="785" w:type="dxa"/>
            <w:vMerge w:val="restart"/>
            <w:tcBorders>
              <w:top w:val="single" w:sz="4" w:space="0" w:color="000000"/>
              <w:left w:val="single" w:sz="4" w:space="0" w:color="000000"/>
              <w:right w:val="single" w:sz="4" w:space="0" w:color="000000"/>
            </w:tcBorders>
          </w:tcPr>
          <w:p>
            <w:pPr>
              <w:pStyle w:val="TableParagraph"/>
              <w:spacing w:line="240" w:lineRule="auto" w:before="136"/>
              <w:ind w:left="134" w:right="0"/>
              <w:jc w:val="left"/>
              <w:rPr>
                <w:rFonts w:ascii="Times New Roman" w:hAnsi="Times New Roman" w:cs="Times New Roman" w:eastAsia="Times New Roman" w:hint="default"/>
                <w:sz w:val="18"/>
                <w:szCs w:val="18"/>
              </w:rPr>
            </w:pPr>
            <w:r>
              <w:rPr>
                <w:rFonts w:ascii="Times New Roman"/>
                <w:sz w:val="18"/>
              </w:rPr>
              <w:t>5,351,0</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93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136"/>
              <w:ind w:left="105" w:right="0"/>
              <w:jc w:val="left"/>
              <w:rPr>
                <w:rFonts w:ascii="Times New Roman" w:hAnsi="Times New Roman" w:cs="Times New Roman" w:eastAsia="Times New Roman" w:hint="default"/>
                <w:sz w:val="18"/>
                <w:szCs w:val="18"/>
              </w:rPr>
            </w:pPr>
            <w:r>
              <w:rPr>
                <w:rFonts w:ascii="Times New Roman"/>
                <w:sz w:val="18"/>
              </w:rPr>
              <w:t>-804,16</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w:t>
            </w:r>
          </w:p>
        </w:tc>
        <w:tc>
          <w:tcPr>
            <w:tcW w:w="787" w:type="dxa"/>
            <w:vMerge w:val="restart"/>
            <w:tcBorders>
              <w:top w:val="single" w:sz="4" w:space="0" w:color="000000"/>
              <w:left w:val="single" w:sz="4" w:space="0" w:color="000000"/>
              <w:right w:val="single" w:sz="4" w:space="0" w:color="000000"/>
            </w:tcBorders>
          </w:tcPr>
          <w:p>
            <w:pPr>
              <w:pStyle w:val="TableParagraph"/>
              <w:spacing w:line="240" w:lineRule="auto" w:before="136"/>
              <w:ind w:left="134" w:right="0"/>
              <w:jc w:val="left"/>
              <w:rPr>
                <w:rFonts w:ascii="Times New Roman" w:hAnsi="Times New Roman" w:cs="Times New Roman" w:eastAsia="Times New Roman" w:hint="default"/>
                <w:sz w:val="18"/>
                <w:szCs w:val="18"/>
              </w:rPr>
            </w:pPr>
            <w:r>
              <w:rPr>
                <w:rFonts w:ascii="Times New Roman"/>
                <w:sz w:val="18"/>
              </w:rPr>
              <w:t>2,913,1</w:t>
            </w:r>
          </w:p>
          <w:p>
            <w:pPr>
              <w:pStyle w:val="TableParagraph"/>
              <w:spacing w:line="240" w:lineRule="auto" w:before="105"/>
              <w:ind w:left="494" w:right="0"/>
              <w:jc w:val="left"/>
              <w:rPr>
                <w:rFonts w:ascii="Times New Roman" w:hAnsi="Times New Roman" w:cs="Times New Roman" w:eastAsia="Times New Roman" w:hint="default"/>
                <w:sz w:val="18"/>
                <w:szCs w:val="18"/>
              </w:rPr>
            </w:pPr>
            <w:r>
              <w:rPr>
                <w:rFonts w:ascii="Times New Roman"/>
                <w:sz w:val="18"/>
              </w:rPr>
              <w:t>45</w:t>
            </w:r>
          </w:p>
        </w:tc>
        <w:tc>
          <w:tcPr>
            <w:tcW w:w="840" w:type="dxa"/>
            <w:vMerge w:val="restart"/>
            <w:tcBorders>
              <w:top w:val="single" w:sz="4" w:space="0" w:color="000000"/>
              <w:left w:val="single" w:sz="4" w:space="0" w:color="000000"/>
              <w:right w:val="single" w:sz="4" w:space="0" w:color="000000"/>
            </w:tcBorders>
          </w:tcPr>
          <w:p>
            <w:pPr>
              <w:pStyle w:val="TableParagraph"/>
              <w:spacing w:line="240" w:lineRule="auto" w:before="136"/>
              <w:ind w:left="187" w:right="0"/>
              <w:jc w:val="left"/>
              <w:rPr>
                <w:rFonts w:ascii="Times New Roman" w:hAnsi="Times New Roman" w:cs="Times New Roman" w:eastAsia="Times New Roman" w:hint="default"/>
                <w:sz w:val="18"/>
                <w:szCs w:val="18"/>
              </w:rPr>
            </w:pPr>
            <w:r>
              <w:rPr>
                <w:rFonts w:ascii="Times New Roman"/>
                <w:sz w:val="18"/>
              </w:rPr>
              <w:t>2,437,9</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1,942,096</w:t>
            </w:r>
          </w:p>
        </w:tc>
      </w:tr>
      <w:tr>
        <w:trPr>
          <w:trHeight w:val="403" w:hRule="exact"/>
        </w:trPr>
        <w:tc>
          <w:tcPr>
            <w:tcW w:w="1469" w:type="dxa"/>
            <w:vMerge/>
            <w:tcBorders>
              <w:left w:val="single" w:sz="4" w:space="0" w:color="000000"/>
              <w:bottom w:val="single" w:sz="4" w:space="0" w:color="000000"/>
              <w:right w:val="single" w:sz="4" w:space="0" w:color="000000"/>
            </w:tcBorders>
          </w:tcPr>
          <w:p>
            <w:pPr/>
          </w:p>
        </w:tc>
        <w:tc>
          <w:tcPr>
            <w:tcW w:w="141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85"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787"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4,351,093</w:t>
            </w:r>
          </w:p>
        </w:tc>
      </w:tr>
      <w:tr>
        <w:trPr>
          <w:trHeight w:val="1025"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名股东的情况（如有）</w:t>
            </w:r>
          </w:p>
          <w:p>
            <w:pPr>
              <w:pStyle w:val="TableParagraph"/>
              <w:spacing w:line="246" w:lineRule="exact"/>
              <w:ind w:left="103" w:right="0"/>
              <w:jc w:val="left"/>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tc>
        <w:tc>
          <w:tcPr>
            <w:tcW w:w="6690"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103" w:right="2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690" w:type="dxa"/>
            <w:gridSpan w:val="7"/>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5" w:right="99"/>
              <w:jc w:val="both"/>
              <w:rPr>
                <w:rFonts w:ascii="宋体" w:hAnsi="宋体" w:cs="宋体" w:eastAsia="宋体" w:hint="default"/>
                <w:sz w:val="18"/>
                <w:szCs w:val="18"/>
              </w:rPr>
            </w:pPr>
            <w:r>
              <w:rPr>
                <w:rFonts w:ascii="宋体" w:hAnsi="宋体" w:cs="宋体" w:eastAsia="宋体" w:hint="default"/>
                <w:sz w:val="18"/>
                <w:szCs w:val="18"/>
              </w:rPr>
              <w:t>青岛亚星实业有限公司、姜剑、朱兰英系一致行动人，未知其他股东是否存在关联 关系，也未知是否属于《上市公司持股变动情况信息披露管理办法》中规定的一致 行动人。</w:t>
            </w:r>
          </w:p>
        </w:tc>
      </w:tr>
      <w:tr>
        <w:trPr>
          <w:trHeight w:val="402"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88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2"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640"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881" w:type="dxa"/>
            <w:gridSpan w:val="2"/>
            <w:vMerge/>
            <w:tcBorders>
              <w:left w:val="single" w:sz="4" w:space="0" w:color="000000"/>
              <w:bottom w:val="single" w:sz="4" w:space="0" w:color="000000"/>
              <w:right w:val="single" w:sz="4" w:space="0" w:color="000000"/>
            </w:tcBorders>
            <w:shd w:val="clear" w:color="auto" w:fill="D2D2D2"/>
          </w:tcPr>
          <w:p>
            <w:pPr/>
          </w:p>
        </w:tc>
        <w:tc>
          <w:tcPr>
            <w:tcW w:w="3992" w:type="dxa"/>
            <w:gridSpan w:val="5"/>
            <w:vMerge/>
            <w:tcBorders>
              <w:left w:val="single" w:sz="4" w:space="0" w:color="000000"/>
              <w:bottom w:val="single" w:sz="4" w:space="0" w:color="000000"/>
              <w:right w:val="single" w:sz="4" w:space="0" w:color="000000"/>
            </w:tcBorders>
            <w:shd w:val="clear" w:color="auto" w:fill="D2D2D2"/>
          </w:tcPr>
          <w:p>
            <w:pP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08"/>
              <w:jc w:val="righ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881"/>
        <w:gridCol w:w="3992"/>
        <w:gridCol w:w="1349"/>
        <w:gridCol w:w="1349"/>
      </w:tblGrid>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70,955,745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70,955,745</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曹林芳</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15,772,541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15,772,541</w:t>
            </w:r>
          </w:p>
        </w:tc>
      </w:tr>
      <w:tr>
        <w:trPr>
          <w:trHeight w:val="71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46"/>
              <w:jc w:val="left"/>
              <w:rPr>
                <w:rFonts w:ascii="宋体" w:hAnsi="宋体" w:cs="宋体" w:eastAsia="宋体" w:hint="default"/>
                <w:sz w:val="18"/>
                <w:szCs w:val="18"/>
              </w:rPr>
            </w:pPr>
            <w:r>
              <w:rPr>
                <w:rFonts w:ascii="宋体" w:hAnsi="宋体" w:cs="宋体" w:eastAsia="宋体" w:hint="default"/>
                <w:sz w:val="18"/>
                <w:szCs w:val="18"/>
              </w:rPr>
              <w:t>云南国际信托有限公司－深大通 员工持股计划集合资金信托计划</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5,969,078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5,969,078</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夏东明</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5,176,200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5,176,200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郭守明</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4,668,759</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4,668,759</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46"/>
              <w:jc w:val="left"/>
              <w:rPr>
                <w:rFonts w:ascii="宋体" w:hAnsi="宋体" w:cs="宋体" w:eastAsia="宋体" w:hint="default"/>
                <w:sz w:val="18"/>
                <w:szCs w:val="18"/>
              </w:rPr>
            </w:pPr>
            <w:r>
              <w:rPr>
                <w:rFonts w:ascii="宋体" w:hAnsi="宋体" w:cs="宋体" w:eastAsia="宋体" w:hint="default"/>
                <w:sz w:val="18"/>
                <w:szCs w:val="18"/>
              </w:rPr>
              <w:t>孝昌和泰兴业投资中心（有限合 伙）</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3,032,827</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3,032,827</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蒋阳俊</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2,876,836</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2,876,836</w:t>
            </w:r>
          </w:p>
        </w:tc>
      </w:tr>
      <w:tr>
        <w:trPr>
          <w:trHeight w:val="403"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徐雄翔</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2,788,760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2,788,760</w:t>
            </w:r>
          </w:p>
        </w:tc>
      </w:tr>
      <w:tr>
        <w:trPr>
          <w:trHeight w:val="401"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罗承</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2,437,948</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2,437,948</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46"/>
              <w:jc w:val="left"/>
              <w:rPr>
                <w:rFonts w:ascii="宋体" w:hAnsi="宋体" w:cs="宋体" w:eastAsia="宋体" w:hint="default"/>
                <w:sz w:val="18"/>
                <w:szCs w:val="18"/>
              </w:rPr>
            </w:pPr>
            <w:r>
              <w:rPr>
                <w:rFonts w:ascii="宋体" w:hAnsi="宋体" w:cs="宋体" w:eastAsia="宋体" w:hint="default"/>
                <w:sz w:val="18"/>
                <w:szCs w:val="18"/>
              </w:rPr>
              <w:t>华安未来资管－宁波银行－深大 通</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号资产管理计划</w:t>
            </w:r>
          </w:p>
        </w:tc>
        <w:tc>
          <w:tcPr>
            <w:tcW w:w="3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2,350,635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2,350,635</w:t>
            </w:r>
          </w:p>
        </w:tc>
      </w:tr>
      <w:tr>
        <w:trPr>
          <w:trHeight w:val="1337"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103" w:right="154"/>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105" w:right="99"/>
              <w:jc w:val="both"/>
              <w:rPr>
                <w:rFonts w:ascii="宋体" w:hAnsi="宋体" w:cs="宋体" w:eastAsia="宋体" w:hint="default"/>
                <w:sz w:val="18"/>
                <w:szCs w:val="18"/>
              </w:rPr>
            </w:pPr>
            <w:r>
              <w:rPr>
                <w:rFonts w:ascii="宋体" w:hAnsi="宋体" w:cs="宋体" w:eastAsia="宋体" w:hint="default"/>
                <w:sz w:val="18"/>
                <w:szCs w:val="18"/>
              </w:rPr>
              <w:t>青岛亚星实业有限公司、姜剑、朱兰英系一致行动人，未知其他股东是否存在关联 关系，也未知是否属于《上市公司持股变动情况信息披露管理办法》中规定的一致 行动人。</w:t>
            </w:r>
          </w:p>
        </w:tc>
      </w:tr>
      <w:tr>
        <w:trPr>
          <w:trHeight w:val="715" w:hRule="exact"/>
        </w:trPr>
        <w:tc>
          <w:tcPr>
            <w:tcW w:w="2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3" w:right="19"/>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名普通股股东参与融资融券 </w:t>
            </w:r>
            <w:r>
              <w:rPr>
                <w:rFonts w:ascii="宋体" w:hAnsi="宋体" w:cs="宋体" w:eastAsia="宋体" w:hint="default"/>
                <w:spacing w:val="-7"/>
                <w:sz w:val="18"/>
                <w:szCs w:val="18"/>
              </w:rPr>
              <w:t>业务情况说明（如有）（参见注</w:t>
            </w:r>
            <w:r>
              <w:rPr>
                <w:rFonts w:ascii="宋体" w:hAnsi="宋体" w:cs="宋体" w:eastAsia="宋体" w:hint="default"/>
                <w:spacing w:val="-35"/>
                <w:sz w:val="18"/>
                <w:szCs w:val="18"/>
              </w:rPr>
              <w:t> </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w:t>
            </w:r>
          </w:p>
        </w:tc>
        <w:tc>
          <w:tcPr>
            <w:tcW w:w="669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986"/>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1"/>
        <w:ind w:right="986"/>
        <w:jc w:val="left"/>
      </w:pPr>
      <w:r>
        <w:rPr/>
        <w:t>□ 是 √</w:t>
      </w:r>
      <w:r>
        <w:rPr>
          <w:spacing w:val="3"/>
        </w:rPr>
        <w:t> </w:t>
      </w:r>
      <w:r>
        <w:rPr/>
        <w:t>否</w:t>
      </w:r>
    </w:p>
    <w:p>
      <w:pPr>
        <w:pStyle w:val="BodyText"/>
        <w:spacing w:line="240" w:lineRule="auto" w:before="117"/>
        <w:ind w:right="986"/>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bookmarkStart w:name="2、公司控股股东情况" w:id="116"/>
      <w:bookmarkEnd w:id="116"/>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8594"/>
        <w:jc w:val="left"/>
      </w:pPr>
      <w:r>
        <w:rPr/>
        <w:t>控股股东性质：自然人控股 控股股东类型：法人</w:t>
      </w:r>
    </w:p>
    <w:tbl>
      <w:tblPr>
        <w:tblW w:w="0" w:type="auto"/>
        <w:jc w:val="left"/>
        <w:tblInd w:w="108" w:type="dxa"/>
        <w:tblLayout w:type="fixed"/>
        <w:tblCellMar>
          <w:top w:w="0" w:type="dxa"/>
          <w:left w:w="0" w:type="dxa"/>
          <w:bottom w:w="0" w:type="dxa"/>
          <w:right w:w="0" w:type="dxa"/>
        </w:tblCellMar>
        <w:tblLook w:val="01E0"/>
      </w:tblPr>
      <w:tblGrid>
        <w:gridCol w:w="2855"/>
        <w:gridCol w:w="1392"/>
        <w:gridCol w:w="1738"/>
        <w:gridCol w:w="1875"/>
        <w:gridCol w:w="1709"/>
      </w:tblGrid>
      <w:tr>
        <w:trPr>
          <w:trHeight w:val="715" w:hRule="exact"/>
        </w:trPr>
        <w:tc>
          <w:tcPr>
            <w:tcW w:w="2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881"/>
              <w:jc w:val="right"/>
              <w:rPr>
                <w:rFonts w:ascii="宋体" w:hAnsi="宋体" w:cs="宋体" w:eastAsia="宋体" w:hint="default"/>
                <w:sz w:val="18"/>
                <w:szCs w:val="18"/>
              </w:rPr>
            </w:pPr>
            <w:r>
              <w:rPr>
                <w:rFonts w:ascii="宋体" w:hAnsi="宋体" w:cs="宋体" w:eastAsia="宋体" w:hint="default"/>
                <w:sz w:val="18"/>
                <w:szCs w:val="18"/>
              </w:rPr>
              <w:t>控股股东名称</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333" w:right="122" w:hanging="207"/>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 位负责人</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1" w:hRule="exact"/>
        </w:trPr>
        <w:tc>
          <w:tcPr>
            <w:tcW w:w="2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939"/>
              <w:jc w:val="righ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朱兰英</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6"/>
              <w:jc w:val="center"/>
              <w:rPr>
                <w:rFonts w:ascii="宋体" w:hAnsi="宋体" w:cs="宋体" w:eastAsia="宋体" w:hint="default"/>
                <w:sz w:val="18"/>
                <w:szCs w:val="18"/>
              </w:rPr>
            </w:pPr>
            <w:r>
              <w:rPr>
                <w:rFonts w:ascii="Times New Roman" w:hAnsi="Times New Roman" w:cs="Times New Roman" w:eastAsia="Times New Roman" w:hint="default"/>
                <w:sz w:val="18"/>
                <w:szCs w:val="18"/>
              </w:rPr>
              <w:t>1994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日</w:t>
            </w:r>
          </w:p>
        </w:tc>
        <w:tc>
          <w:tcPr>
            <w:tcW w:w="18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91370200264591326A</w:t>
            </w:r>
          </w:p>
        </w:tc>
        <w:tc>
          <w:tcPr>
            <w:tcW w:w="1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95" w:right="0"/>
              <w:jc w:val="center"/>
              <w:rPr>
                <w:rFonts w:ascii="宋体" w:hAnsi="宋体" w:cs="宋体" w:eastAsia="宋体" w:hint="default"/>
                <w:sz w:val="18"/>
                <w:szCs w:val="18"/>
              </w:rPr>
            </w:pPr>
            <w:r>
              <w:rPr>
                <w:rFonts w:ascii="宋体" w:hAnsi="宋体" w:cs="宋体" w:eastAsia="宋体" w:hint="default"/>
                <w:spacing w:val="-4"/>
                <w:sz w:val="18"/>
                <w:szCs w:val="18"/>
              </w:rPr>
              <w:t>房地产开发、经营。</w:t>
            </w:r>
          </w:p>
        </w:tc>
      </w:tr>
      <w:tr>
        <w:trPr>
          <w:trHeight w:val="716" w:hRule="exact"/>
        </w:trPr>
        <w:tc>
          <w:tcPr>
            <w:tcW w:w="2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19"/>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 其他境内外上市公司的股权情况</w:t>
            </w:r>
          </w:p>
        </w:tc>
        <w:tc>
          <w:tcPr>
            <w:tcW w:w="6714"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70"/>
        <w:ind w:right="986"/>
        <w:jc w:val="left"/>
      </w:pPr>
      <w:r>
        <w:rPr/>
        <w:t>控股股东报告期内变更</w:t>
      </w:r>
    </w:p>
    <w:p>
      <w:pPr>
        <w:pStyle w:val="BodyText"/>
        <w:spacing w:line="360" w:lineRule="auto" w:before="115"/>
        <w:ind w:right="6794"/>
        <w:jc w:val="left"/>
      </w:pPr>
      <w:r>
        <w:rPr/>
        <w:t>□ 适用 √</w:t>
      </w:r>
      <w:r>
        <w:rPr>
          <w:spacing w:val="3"/>
        </w:rPr>
        <w:t> </w:t>
      </w:r>
      <w:r>
        <w:rPr/>
        <w:t>不适用</w:t>
      </w:r>
      <w:r>
        <w:rPr/>
        <w:t> 公司报告期控股股东未发生变更。</w:t>
      </w:r>
    </w:p>
    <w:p>
      <w:pPr>
        <w:spacing w:line="240" w:lineRule="auto" w:before="2"/>
        <w:rPr>
          <w:rFonts w:ascii="宋体" w:hAnsi="宋体" w:cs="宋体" w:eastAsia="宋体" w:hint="default"/>
          <w:sz w:val="20"/>
          <w:szCs w:val="20"/>
        </w:rPr>
      </w:pPr>
    </w:p>
    <w:p>
      <w:pPr>
        <w:pStyle w:val="Heading4"/>
        <w:spacing w:line="240" w:lineRule="auto"/>
        <w:ind w:right="986"/>
        <w:jc w:val="left"/>
        <w:rPr>
          <w:b w:val="0"/>
          <w:bCs w:val="0"/>
        </w:rPr>
      </w:pPr>
      <w:bookmarkStart w:name="3、公司实际控制人及其一致行动人" w:id="117"/>
      <w:bookmarkEnd w:id="117"/>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实际控制人性质：境内自然人</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ind w:right="986"/>
        <w:jc w:val="left"/>
      </w:pPr>
      <w:r>
        <w:rPr/>
        <w:t>实际控制人类型：自然人</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756"/>
        <w:gridCol w:w="3291"/>
        <w:gridCol w:w="689"/>
        <w:gridCol w:w="2833"/>
      </w:tblGrid>
      <w:tr>
        <w:trPr>
          <w:trHeight w:val="401" w:hRule="exact"/>
        </w:trPr>
        <w:tc>
          <w:tcPr>
            <w:tcW w:w="2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3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28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姜剑</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朱兰英</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青岛惠风和畅企业管理有限公司</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7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汉众企业管理集团有限公司</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一致行动（含协议、亲属、同一控制）</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中国</w:t>
            </w:r>
          </w:p>
        </w:tc>
        <w:tc>
          <w:tcPr>
            <w:tcW w:w="28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2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812" w:type="dxa"/>
            <w:gridSpan w:val="3"/>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02"/>
              <w:jc w:val="left"/>
              <w:rPr>
                <w:rFonts w:ascii="宋体" w:hAnsi="宋体" w:cs="宋体" w:eastAsia="宋体" w:hint="default"/>
                <w:sz w:val="18"/>
                <w:szCs w:val="18"/>
              </w:rPr>
            </w:pPr>
            <w:r>
              <w:rPr>
                <w:rFonts w:ascii="宋体" w:hAnsi="宋体" w:cs="宋体" w:eastAsia="宋体" w:hint="default"/>
                <w:spacing w:val="-2"/>
                <w:sz w:val="18"/>
                <w:szCs w:val="18"/>
              </w:rPr>
              <w:t>曾任青岛亚星实业有限公司董事长，青岛市第十三届人大代表，最近五年内职业：企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业投资、经营、管理。</w:t>
            </w:r>
          </w:p>
        </w:tc>
      </w:tr>
      <w:tr>
        <w:trPr>
          <w:trHeight w:val="716" w:hRule="exact"/>
        </w:trPr>
        <w:tc>
          <w:tcPr>
            <w:tcW w:w="27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2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 公司情况</w:t>
            </w:r>
          </w:p>
        </w:tc>
        <w:tc>
          <w:tcPr>
            <w:tcW w:w="681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986"/>
        <w:jc w:val="left"/>
      </w:pPr>
      <w:r>
        <w:rPr/>
        <w:t>实际控制人报告期内变更</w:t>
      </w:r>
    </w:p>
    <w:p>
      <w:pPr>
        <w:pStyle w:val="BodyText"/>
        <w:spacing w:line="357" w:lineRule="auto" w:before="115"/>
        <w:ind w:right="6794"/>
        <w:jc w:val="left"/>
      </w:pPr>
      <w:r>
        <w:rPr/>
        <w:t>□ 适用 √</w:t>
      </w:r>
      <w:r>
        <w:rPr>
          <w:spacing w:val="3"/>
        </w:rPr>
        <w:t> </w:t>
      </w:r>
      <w:r>
        <w:rPr/>
        <w:t>不适用</w:t>
      </w:r>
      <w:r>
        <w:rPr/>
        <w:t> 公司报告期实际控制人未发生变更。 公司与实际控制人之间的产权及控制关系的方框图</w:t>
      </w:r>
    </w:p>
    <w:p>
      <w:pPr>
        <w:spacing w:line="240" w:lineRule="auto" w:before="0"/>
        <w:rPr>
          <w:rFonts w:ascii="宋体" w:hAnsi="宋体" w:cs="宋体" w:eastAsia="宋体" w:hint="default"/>
          <w:sz w:val="22"/>
          <w:szCs w:val="22"/>
        </w:rPr>
      </w:pPr>
    </w:p>
    <w:p>
      <w:pPr>
        <w:spacing w:line="5400" w:lineRule="exact"/>
        <w:ind w:left="1309" w:right="0" w:firstLine="0"/>
        <w:rPr>
          <w:rFonts w:ascii="宋体" w:hAnsi="宋体" w:cs="宋体" w:eastAsia="宋体" w:hint="default"/>
          <w:sz w:val="20"/>
          <w:szCs w:val="20"/>
        </w:rPr>
      </w:pPr>
      <w:r>
        <w:rPr>
          <w:rFonts w:ascii="宋体" w:hAnsi="宋体" w:cs="宋体" w:eastAsia="宋体" w:hint="default"/>
          <w:position w:val="-107"/>
          <w:sz w:val="20"/>
          <w:szCs w:val="20"/>
        </w:rPr>
        <w:drawing>
          <wp:inline distT="0" distB="0" distL="0" distR="0">
            <wp:extent cx="4591050" cy="3429000"/>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4" cstate="print"/>
                    <a:stretch>
                      <a:fillRect/>
                    </a:stretch>
                  </pic:blipFill>
                  <pic:spPr>
                    <a:xfrm>
                      <a:off x="0" y="0"/>
                      <a:ext cx="4591050" cy="3429000"/>
                    </a:xfrm>
                    <a:prstGeom prst="rect">
                      <a:avLst/>
                    </a:prstGeom>
                  </pic:spPr>
                </pic:pic>
              </a:graphicData>
            </a:graphic>
          </wp:inline>
        </w:drawing>
      </w:r>
      <w:r>
        <w:rPr>
          <w:rFonts w:ascii="宋体" w:hAnsi="宋体" w:cs="宋体" w:eastAsia="宋体" w:hint="default"/>
          <w:position w:val="-107"/>
          <w:sz w:val="20"/>
          <w:szCs w:val="20"/>
        </w:rPr>
      </w:r>
    </w:p>
    <w:p>
      <w:pPr>
        <w:spacing w:line="240" w:lineRule="auto" w:before="10"/>
        <w:rPr>
          <w:rFonts w:ascii="宋体" w:hAnsi="宋体" w:cs="宋体" w:eastAsia="宋体" w:hint="default"/>
          <w:sz w:val="20"/>
          <w:szCs w:val="20"/>
        </w:rPr>
      </w:pPr>
    </w:p>
    <w:p>
      <w:pPr>
        <w:pStyle w:val="Heading3"/>
        <w:spacing w:line="240" w:lineRule="auto"/>
        <w:ind w:right="986"/>
        <w:jc w:val="left"/>
      </w:pPr>
      <w:r>
        <w:rPr/>
        <w:t>实际控制人通过信托或其他资产管理方式控制公司</w:t>
      </w:r>
    </w:p>
    <w:p>
      <w:pPr>
        <w:spacing w:line="240" w:lineRule="auto" w:before="8"/>
        <w:rPr>
          <w:rFonts w:ascii="宋体" w:hAnsi="宋体" w:cs="宋体" w:eastAsia="宋体" w:hint="default"/>
          <w:sz w:val="18"/>
          <w:szCs w:val="18"/>
        </w:rPr>
      </w:pPr>
    </w:p>
    <w:p>
      <w:pPr>
        <w:pStyle w:val="BodyText"/>
        <w:spacing w:line="240" w:lineRule="auto" w:before="0"/>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4、其他持股在10%以上的法人股东" w:id="118"/>
      <w:bookmarkEnd w:id="118"/>
      <w:r>
        <w:rPr>
          <w:b w:val="0"/>
          <w:bCs w:val="0"/>
        </w:rPr>
      </w: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5、控股股东、实际控制人、重组方及其他承诺主体股份限制减持情况" w:id="119"/>
      <w:bookmarkEnd w:id="119"/>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325" w:right="986"/>
        <w:jc w:val="left"/>
        <w:rPr>
          <w:b w:val="0"/>
          <w:bCs w:val="0"/>
        </w:rPr>
      </w:pPr>
      <w:bookmarkStart w:name="第七节优先股相关情况" w:id="120"/>
      <w:bookmarkEnd w:id="120"/>
      <w:r>
        <w:rPr>
          <w:b w:val="0"/>
          <w:bCs w:val="0"/>
        </w:rPr>
      </w:r>
      <w:bookmarkStart w:name="_bookmark6" w:id="121"/>
      <w:bookmarkEnd w:id="121"/>
      <w:r>
        <w:rPr>
          <w:b w:val="0"/>
          <w:bCs w:val="0"/>
        </w:rPr>
      </w:r>
      <w:r>
        <w:rPr/>
        <w:t>第七节优先股相关情况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9"/>
          <w:szCs w:val="19"/>
        </w:rPr>
      </w:pPr>
    </w:p>
    <w:p>
      <w:pPr>
        <w:pStyle w:val="BodyText"/>
        <w:spacing w:line="357" w:lineRule="auto"/>
        <w:ind w:right="8594"/>
        <w:jc w:val="left"/>
      </w:pPr>
      <w:r>
        <w:rPr/>
        <w:t>□ 适用 √</w:t>
      </w:r>
      <w:r>
        <w:rPr>
          <w:spacing w:val="3"/>
        </w:rPr>
        <w:t> </w:t>
      </w:r>
      <w:r>
        <w:rPr/>
        <w:t>不适用</w:t>
      </w:r>
      <w:r>
        <w:rPr/>
        <w:t> 报告期公司不存在优先股。</w:t>
      </w:r>
    </w:p>
    <w:p>
      <w:pPr>
        <w:spacing w:after="0" w:line="357"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2683" w:right="986"/>
        <w:jc w:val="left"/>
        <w:rPr>
          <w:b w:val="0"/>
          <w:bCs w:val="0"/>
        </w:rPr>
      </w:pPr>
      <w:bookmarkStart w:name="第八节可转换公司债券相关情况" w:id="122"/>
      <w:bookmarkEnd w:id="122"/>
      <w:r>
        <w:rPr>
          <w:b w:val="0"/>
          <w:bCs w:val="0"/>
        </w:rPr>
      </w:r>
      <w:bookmarkStart w:name="_bookmark7" w:id="123"/>
      <w:bookmarkEnd w:id="123"/>
      <w:r>
        <w:rPr>
          <w:b w:val="0"/>
          <w:bCs w:val="0"/>
        </w:rPr>
      </w:r>
      <w:r>
        <w:rPr/>
        <w:t>第八节可转换公司债券相关情况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before="0"/>
        <w:ind w:right="7874"/>
        <w:jc w:val="left"/>
      </w:pPr>
      <w:r>
        <w:rPr/>
        <w:t>□ 适用 √</w:t>
      </w:r>
      <w:r>
        <w:rPr>
          <w:spacing w:val="3"/>
        </w:rPr>
        <w:t> </w:t>
      </w:r>
      <w:r>
        <w:rPr/>
        <w:t>不适用</w:t>
      </w:r>
      <w:r>
        <w:rPr/>
        <w:t> 报告期公司不存在可转换公司债券。</w:t>
      </w:r>
    </w:p>
    <w:p>
      <w:pPr>
        <w:spacing w:after="0" w:line="357"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1718" w:right="986"/>
        <w:jc w:val="left"/>
        <w:rPr>
          <w:b w:val="0"/>
          <w:bCs w:val="0"/>
        </w:rPr>
      </w:pPr>
      <w:bookmarkStart w:name="第九节董事、监事、高级管理人员和员工情况" w:id="124"/>
      <w:bookmarkEnd w:id="124"/>
      <w:r>
        <w:rPr>
          <w:b w:val="0"/>
          <w:bCs w:val="0"/>
        </w:rPr>
      </w:r>
      <w:bookmarkStart w:name="_bookmark8" w:id="125"/>
      <w:bookmarkEnd w:id="125"/>
      <w:r>
        <w:rPr>
          <w:b w:val="0"/>
          <w:bCs w:val="0"/>
        </w:rPr>
      </w:r>
      <w:r>
        <w:rPr/>
        <w:t>第九节董事、监事、高级管理人员和员工情况</w:t>
      </w:r>
      <w:r>
        <w:rPr>
          <w:b w:val="0"/>
          <w:bCs w:val="0"/>
        </w:rPr>
      </w:r>
    </w:p>
    <w:p>
      <w:pPr>
        <w:spacing w:line="240" w:lineRule="auto" w:before="2"/>
        <w:rPr>
          <w:rFonts w:ascii="宋体" w:hAnsi="宋体" w:cs="宋体" w:eastAsia="宋体" w:hint="default"/>
          <w:b/>
          <w:bCs/>
          <w:sz w:val="39"/>
          <w:szCs w:val="39"/>
        </w:rPr>
      </w:pPr>
    </w:p>
    <w:p>
      <w:pPr>
        <w:pStyle w:val="Heading2"/>
        <w:spacing w:line="240" w:lineRule="auto"/>
        <w:ind w:right="986"/>
        <w:jc w:val="left"/>
        <w:rPr>
          <w:b w:val="0"/>
          <w:bCs w:val="0"/>
        </w:rPr>
      </w:pPr>
      <w:bookmarkStart w:name="一、董事、监事和高级管理人员持股变动" w:id="126"/>
      <w:bookmarkEnd w:id="126"/>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761"/>
        <w:gridCol w:w="1147"/>
        <w:gridCol w:w="626"/>
        <w:gridCol w:w="435"/>
        <w:gridCol w:w="473"/>
        <w:gridCol w:w="1070"/>
        <w:gridCol w:w="1071"/>
        <w:gridCol w:w="797"/>
        <w:gridCol w:w="799"/>
        <w:gridCol w:w="797"/>
        <w:gridCol w:w="799"/>
        <w:gridCol w:w="797"/>
      </w:tblGrid>
      <w:tr>
        <w:trPr>
          <w:trHeight w:val="1339" w:hRule="exact"/>
        </w:trPr>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9" w:right="125"/>
              <w:jc w:val="left"/>
              <w:rPr>
                <w:rFonts w:ascii="宋体" w:hAnsi="宋体" w:cs="宋体" w:eastAsia="宋体" w:hint="default"/>
                <w:sz w:val="18"/>
                <w:szCs w:val="18"/>
              </w:rPr>
            </w:pPr>
            <w:r>
              <w:rPr>
                <w:rFonts w:ascii="宋体" w:hAnsi="宋体" w:cs="宋体" w:eastAsia="宋体" w:hint="default"/>
                <w:sz w:val="18"/>
                <w:szCs w:val="18"/>
              </w:rPr>
              <w:t>任职 状态</w:t>
            </w:r>
          </w:p>
        </w:tc>
        <w:tc>
          <w:tcPr>
            <w:tcW w:w="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25" w:right="119"/>
              <w:jc w:val="left"/>
              <w:rPr>
                <w:rFonts w:ascii="宋体" w:hAnsi="宋体" w:cs="宋体" w:eastAsia="宋体" w:hint="default"/>
                <w:sz w:val="18"/>
                <w:szCs w:val="18"/>
              </w:rPr>
            </w:pPr>
            <w:r>
              <w:rPr>
                <w:rFonts w:ascii="宋体" w:hAnsi="宋体" w:cs="宋体" w:eastAsia="宋体" w:hint="default"/>
                <w:sz w:val="18"/>
                <w:szCs w:val="18"/>
              </w:rPr>
              <w:t>性 别</w:t>
            </w:r>
          </w:p>
        </w:tc>
        <w:tc>
          <w:tcPr>
            <w:tcW w:w="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143" w:right="137"/>
              <w:jc w:val="left"/>
              <w:rPr>
                <w:rFonts w:ascii="宋体" w:hAnsi="宋体" w:cs="宋体" w:eastAsia="宋体" w:hint="default"/>
                <w:sz w:val="18"/>
                <w:szCs w:val="18"/>
              </w:rPr>
            </w:pPr>
            <w:r>
              <w:rPr>
                <w:rFonts w:ascii="宋体" w:hAnsi="宋体" w:cs="宋体" w:eastAsia="宋体" w:hint="default"/>
                <w:sz w:val="18"/>
                <w:szCs w:val="18"/>
              </w:rPr>
              <w:t>年 龄</w:t>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50" w:right="168"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50" w:right="16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120"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120"/>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12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122"/>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12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27" w:right="120"/>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19"/>
              <w:ind w:left="12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3" w:right="120"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124" w:right="0"/>
              <w:jc w:val="left"/>
              <w:rPr>
                <w:rFonts w:ascii="宋体" w:hAnsi="宋体" w:cs="宋体" w:eastAsia="宋体" w:hint="default"/>
                <w:sz w:val="18"/>
                <w:szCs w:val="18"/>
              </w:rPr>
            </w:pPr>
            <w:r>
              <w:rPr>
                <w:rFonts w:ascii="宋体" w:hAnsi="宋体" w:cs="宋体" w:eastAsia="宋体" w:hint="default"/>
                <w:sz w:val="18"/>
                <w:szCs w:val="18"/>
              </w:rPr>
              <w:t>（股）</w:t>
            </w:r>
          </w:p>
        </w:tc>
      </w:tr>
      <w:tr>
        <w:trPr>
          <w:trHeight w:val="713"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史利军</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32"/>
              <w:jc w:val="left"/>
              <w:rPr>
                <w:rFonts w:ascii="宋体" w:hAnsi="宋体" w:cs="宋体" w:eastAsia="宋体" w:hint="default"/>
                <w:sz w:val="18"/>
                <w:szCs w:val="18"/>
              </w:rPr>
            </w:pPr>
            <w:r>
              <w:rPr>
                <w:rFonts w:ascii="宋体" w:hAnsi="宋体" w:cs="宋体" w:eastAsia="宋体" w:hint="default"/>
                <w:sz w:val="18"/>
                <w:szCs w:val="18"/>
              </w:rPr>
              <w:t>董事长、总 经理</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常建才</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李虎钢</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赵息</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65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樊培银</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张贞齐</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王万红</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58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朱云鹍</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谭美翼</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邢美敏</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曹原培</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39</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1"/>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于秀庆</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43</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2,272,2</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80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2,272,2</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80</w:t>
            </w:r>
          </w:p>
        </w:tc>
      </w:tr>
      <w:tr>
        <w:trPr>
          <w:trHeight w:val="713"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袁娜</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32"/>
              <w:jc w:val="left"/>
              <w:rPr>
                <w:rFonts w:ascii="宋体" w:hAnsi="宋体" w:cs="宋体" w:eastAsia="宋体" w:hint="default"/>
                <w:sz w:val="18"/>
                <w:szCs w:val="18"/>
              </w:rPr>
            </w:pPr>
            <w:r>
              <w:rPr>
                <w:rFonts w:ascii="宋体" w:hAnsi="宋体" w:cs="宋体" w:eastAsia="宋体" w:hint="default"/>
                <w:sz w:val="18"/>
                <w:szCs w:val="18"/>
              </w:rPr>
              <w:t>董事、董事 长</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李雪燕</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32"/>
              <w:jc w:val="left"/>
              <w:rPr>
                <w:rFonts w:ascii="宋体" w:hAnsi="宋体" w:cs="宋体" w:eastAsia="宋体" w:hint="default"/>
                <w:sz w:val="18"/>
                <w:szCs w:val="18"/>
              </w:rPr>
            </w:pPr>
            <w:r>
              <w:rPr>
                <w:rFonts w:ascii="宋体" w:hAnsi="宋体" w:cs="宋体" w:eastAsia="宋体" w:hint="default"/>
                <w:sz w:val="18"/>
                <w:szCs w:val="18"/>
              </w:rPr>
              <w:t>董事、董事 会秘书</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46</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曹建发</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45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761"/>
        <w:gridCol w:w="1147"/>
        <w:gridCol w:w="626"/>
        <w:gridCol w:w="435"/>
        <w:gridCol w:w="473"/>
        <w:gridCol w:w="1070"/>
        <w:gridCol w:w="1071"/>
        <w:gridCol w:w="797"/>
        <w:gridCol w:w="799"/>
        <w:gridCol w:w="797"/>
        <w:gridCol w:w="799"/>
        <w:gridCol w:w="797"/>
      </w:tblGrid>
      <w:tr>
        <w:trPr>
          <w:trHeight w:val="363" w:hRule="exact"/>
        </w:trPr>
        <w:tc>
          <w:tcPr>
            <w:tcW w:w="761" w:type="dxa"/>
            <w:tcBorders>
              <w:top w:val="single" w:sz="4" w:space="0" w:color="000000"/>
              <w:left w:val="single" w:sz="4" w:space="0" w:color="000000"/>
              <w:bottom w:val="single" w:sz="4" w:space="0" w:color="000000"/>
              <w:right w:val="single" w:sz="4" w:space="0" w:color="000000"/>
            </w:tcBorders>
          </w:tcPr>
          <w:p>
            <w:pPr/>
          </w:p>
        </w:tc>
        <w:tc>
          <w:tcPr>
            <w:tcW w:w="1147"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435" w:type="dxa"/>
            <w:tcBorders>
              <w:top w:val="single" w:sz="4" w:space="0" w:color="000000"/>
              <w:left w:val="single" w:sz="4" w:space="0" w:color="000000"/>
              <w:bottom w:val="single" w:sz="4" w:space="0" w:color="000000"/>
              <w:right w:val="single" w:sz="4" w:space="0" w:color="000000"/>
            </w:tcBorders>
          </w:tcPr>
          <w:p>
            <w:pPr/>
          </w:p>
        </w:tc>
        <w:tc>
          <w:tcPr>
            <w:tcW w:w="473" w:type="dxa"/>
            <w:tcBorders>
              <w:top w:val="single" w:sz="4" w:space="0" w:color="000000"/>
              <w:left w:val="single" w:sz="4" w:space="0" w:color="000000"/>
              <w:bottom w:val="single" w:sz="4" w:space="0" w:color="000000"/>
              <w:right w:val="single" w:sz="4" w:space="0" w:color="000000"/>
            </w:tcBorders>
          </w:tcPr>
          <w:p>
            <w:pP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黄艳红</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离任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2,023,0</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31</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505,75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1,517,2</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73</w:t>
            </w:r>
          </w:p>
        </w:tc>
      </w:tr>
      <w:tr>
        <w:trPr>
          <w:trHeight w:val="715"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王大永</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32"/>
              <w:jc w:val="left"/>
              <w:rPr>
                <w:rFonts w:ascii="宋体" w:hAnsi="宋体" w:cs="宋体" w:eastAsia="宋体" w:hint="default"/>
                <w:sz w:val="18"/>
                <w:szCs w:val="18"/>
              </w:rPr>
            </w:pPr>
            <w:r>
              <w:rPr>
                <w:rFonts w:ascii="宋体" w:hAnsi="宋体" w:cs="宋体" w:eastAsia="宋体" w:hint="default"/>
                <w:sz w:val="18"/>
                <w:szCs w:val="18"/>
              </w:rPr>
              <w:t>董事、副总 经理</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离任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6"/>
              <w:jc w:val="left"/>
              <w:rPr>
                <w:rFonts w:ascii="宋体" w:hAnsi="宋体" w:cs="宋体" w:eastAsia="宋体" w:hint="default"/>
                <w:sz w:val="18"/>
                <w:szCs w:val="18"/>
              </w:rPr>
            </w:pPr>
            <w:r>
              <w:rPr>
                <w:rFonts w:ascii="宋体" w:hAnsi="宋体" w:cs="宋体" w:eastAsia="宋体" w:hint="default"/>
                <w:sz w:val="18"/>
                <w:szCs w:val="18"/>
              </w:rPr>
              <w:t>皇甫晓 涛</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离任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61</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缪鹏</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监事长</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离任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牛超</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离任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38</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董国平</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离任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42</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黄卫华</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执行总经理</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离任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45</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刘海滨</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3"/>
              <w:jc w:val="center"/>
              <w:rPr>
                <w:rFonts w:ascii="宋体" w:hAnsi="宋体" w:cs="宋体" w:eastAsia="宋体" w:hint="default"/>
                <w:sz w:val="18"/>
                <w:szCs w:val="18"/>
              </w:rPr>
            </w:pPr>
            <w:r>
              <w:rPr>
                <w:rFonts w:ascii="宋体" w:hAnsi="宋体" w:cs="宋体" w:eastAsia="宋体" w:hint="default"/>
                <w:sz w:val="18"/>
                <w:szCs w:val="18"/>
              </w:rPr>
              <w:t>离任</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44</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w:t>
            </w:r>
          </w:p>
        </w:tc>
        <w:tc>
          <w:tcPr>
            <w:tcW w:w="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68"/>
              <w:jc w:val="right"/>
              <w:rPr>
                <w:rFonts w:ascii="Times New Roman" w:hAnsi="Times New Roman" w:cs="Times New Roman" w:eastAsia="Times New Roman" w:hint="default"/>
                <w:sz w:val="18"/>
                <w:szCs w:val="18"/>
              </w:rPr>
            </w:pPr>
            <w:r>
              <w:rPr>
                <w:rFonts w:ascii="Times New Roman"/>
                <w:w w:val="95"/>
                <w:sz w:val="18"/>
              </w:rPr>
              <w:t>--</w:t>
            </w:r>
            <w:r>
              <w:rPr>
                <w:rFonts w:ascii="Times New Roman"/>
                <w:sz w:val="18"/>
              </w:rPr>
            </w:r>
          </w:p>
        </w:tc>
        <w:tc>
          <w:tcPr>
            <w:tcW w:w="10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4,295,3</w:t>
            </w:r>
          </w:p>
          <w:p>
            <w:pPr>
              <w:pStyle w:val="TableParagraph"/>
              <w:spacing w:line="240" w:lineRule="auto" w:before="105"/>
              <w:ind w:left="513"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6"/>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505,75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3,789,6</w:t>
            </w:r>
          </w:p>
          <w:p>
            <w:pPr>
              <w:pStyle w:val="TableParagraph"/>
              <w:spacing w:line="240" w:lineRule="auto" w:before="105"/>
              <w:ind w:left="506" w:right="0"/>
              <w:jc w:val="left"/>
              <w:rPr>
                <w:rFonts w:ascii="Times New Roman" w:hAnsi="Times New Roman" w:cs="Times New Roman" w:eastAsia="Times New Roman" w:hint="default"/>
                <w:sz w:val="18"/>
                <w:szCs w:val="18"/>
              </w:rPr>
            </w:pPr>
            <w:r>
              <w:rPr>
                <w:rFonts w:ascii="Times New Roman"/>
                <w:sz w:val="18"/>
              </w:rPr>
              <w:t>53</w:t>
            </w:r>
          </w:p>
        </w:tc>
      </w:tr>
    </w:tbl>
    <w:p>
      <w:pPr>
        <w:spacing w:line="240" w:lineRule="auto" w:before="1"/>
        <w:rPr>
          <w:rFonts w:ascii="宋体" w:hAnsi="宋体" w:cs="宋体" w:eastAsia="宋体" w:hint="default"/>
          <w:b/>
          <w:bCs/>
          <w:sz w:val="18"/>
          <w:szCs w:val="18"/>
        </w:rPr>
      </w:pPr>
    </w:p>
    <w:p>
      <w:pPr>
        <w:pStyle w:val="Heading2"/>
        <w:spacing w:line="240" w:lineRule="auto" w:before="26"/>
        <w:ind w:right="986"/>
        <w:jc w:val="left"/>
        <w:rPr>
          <w:b w:val="0"/>
          <w:bCs w:val="0"/>
        </w:rPr>
      </w:pPr>
      <w:bookmarkStart w:name="二、公司董事、监事、高级管理人员变动情况" w:id="127"/>
      <w:bookmarkEnd w:id="127"/>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757"/>
        <w:gridCol w:w="2235"/>
        <w:gridCol w:w="1748"/>
        <w:gridCol w:w="2081"/>
        <w:gridCol w:w="1747"/>
      </w:tblGrid>
      <w:tr>
        <w:trPr>
          <w:trHeight w:val="401" w:hRule="exact"/>
        </w:trPr>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22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20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史利军</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董事、董事长</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r>
      <w:tr>
        <w:trPr>
          <w:trHeight w:val="401"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李虎钢</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r>
      <w:tr>
        <w:trPr>
          <w:trHeight w:val="40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常建才</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r>
      <w:tr>
        <w:trPr>
          <w:trHeight w:val="401"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张贞齐</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r>
      <w:tr>
        <w:trPr>
          <w:trHeight w:val="40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王万红</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监事长</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r>
      <w:tr>
        <w:trPr>
          <w:trHeight w:val="401"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朱云鹍</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r>
      <w:tr>
        <w:trPr>
          <w:trHeight w:val="404"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谭美翼</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被选举</w:t>
            </w:r>
          </w:p>
        </w:tc>
      </w:tr>
      <w:tr>
        <w:trPr>
          <w:trHeight w:val="401"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邢美敏</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新聘</w:t>
            </w:r>
          </w:p>
        </w:tc>
      </w:tr>
      <w:tr>
        <w:trPr>
          <w:trHeight w:val="40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曹原培</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任免</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新聘</w:t>
            </w:r>
          </w:p>
        </w:tc>
      </w:tr>
      <w:tr>
        <w:trPr>
          <w:trHeight w:val="401"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袁娜</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董事长</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辞职</w:t>
            </w:r>
          </w:p>
        </w:tc>
      </w:tr>
      <w:tr>
        <w:trPr>
          <w:trHeight w:val="40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袁娜</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1"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黄艳红</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辞职</w:t>
            </w:r>
          </w:p>
        </w:tc>
      </w:tr>
      <w:tr>
        <w:trPr>
          <w:trHeight w:val="40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曹建发</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辞职</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757"/>
        <w:gridCol w:w="2235"/>
        <w:gridCol w:w="1748"/>
        <w:gridCol w:w="2081"/>
        <w:gridCol w:w="1747"/>
      </w:tblGrid>
      <w:tr>
        <w:trPr>
          <w:trHeight w:val="401"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李雪燕</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辞职</w:t>
            </w:r>
          </w:p>
        </w:tc>
      </w:tr>
      <w:tr>
        <w:trPr>
          <w:trHeight w:val="40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李雪燕</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辞职</w:t>
            </w:r>
          </w:p>
        </w:tc>
      </w:tr>
      <w:tr>
        <w:trPr>
          <w:trHeight w:val="401"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刘海滨</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辞职</w:t>
            </w:r>
          </w:p>
        </w:tc>
      </w:tr>
      <w:tr>
        <w:trPr>
          <w:trHeight w:val="40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黄卫华</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执行总经理</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解聘</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工作调整</w:t>
            </w:r>
          </w:p>
        </w:tc>
      </w:tr>
      <w:tr>
        <w:trPr>
          <w:trHeight w:val="401"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王大永</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辞职</w:t>
            </w:r>
          </w:p>
        </w:tc>
      </w:tr>
      <w:tr>
        <w:trPr>
          <w:trHeight w:val="40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皇甫晓涛</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1"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缪鹏</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监事长</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牛超</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任期届满</w:t>
            </w:r>
          </w:p>
        </w:tc>
      </w:tr>
      <w:tr>
        <w:trPr>
          <w:trHeight w:val="403" w:hRule="exact"/>
        </w:trPr>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董国平</w:t>
            </w:r>
          </w:p>
        </w:tc>
        <w:tc>
          <w:tcPr>
            <w:tcW w:w="22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监事</w:t>
            </w:r>
          </w:p>
        </w:tc>
        <w:tc>
          <w:tcPr>
            <w:tcW w:w="17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任期满离任</w:t>
            </w:r>
          </w:p>
        </w:tc>
        <w:tc>
          <w:tcPr>
            <w:tcW w:w="20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6"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7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任期届满</w:t>
            </w:r>
          </w:p>
        </w:tc>
      </w:tr>
    </w:tbl>
    <w:p>
      <w:pPr>
        <w:spacing w:line="240" w:lineRule="auto" w:before="1"/>
        <w:rPr>
          <w:rFonts w:ascii="宋体" w:hAnsi="宋体" w:cs="宋体" w:eastAsia="宋体" w:hint="default"/>
          <w:sz w:val="18"/>
          <w:szCs w:val="18"/>
        </w:rPr>
      </w:pPr>
    </w:p>
    <w:p>
      <w:pPr>
        <w:pStyle w:val="Heading2"/>
        <w:spacing w:line="240" w:lineRule="auto" w:before="26"/>
        <w:ind w:right="986"/>
        <w:jc w:val="left"/>
        <w:rPr>
          <w:b w:val="0"/>
          <w:bCs w:val="0"/>
        </w:rPr>
      </w:pPr>
      <w:bookmarkStart w:name="三、任职情况" w:id="128"/>
      <w:bookmarkEnd w:id="128"/>
      <w:r>
        <w:rPr>
          <w:b w:val="0"/>
          <w:bCs w:val="0"/>
        </w:rPr>
      </w:r>
      <w:r>
        <w:rPr/>
        <w:t>三、任职情况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1124"/>
        <w:jc w:val="left"/>
      </w:pPr>
      <w:r>
        <w:rPr/>
        <w:t>公司现任董事、监事、高级管理人员专业背景、主要工作经历以及目前在公司的主要职责 </w:t>
      </w:r>
      <w:r>
        <w:rPr>
          <w:rFonts w:ascii="宋体" w:hAnsi="宋体" w:cs="宋体" w:eastAsia="宋体" w:hint="default"/>
        </w:rPr>
        <w:t>1</w:t>
      </w:r>
      <w:r>
        <w:rPr/>
        <w:t>、史利军，男，</w:t>
      </w:r>
      <w:r>
        <w:rPr>
          <w:rFonts w:ascii="宋体" w:hAnsi="宋体" w:cs="宋体" w:eastAsia="宋体" w:hint="default"/>
        </w:rPr>
        <w:t>1961</w:t>
      </w:r>
      <w:r>
        <w:rPr/>
        <w:t>年生，硕士学位，北京大学</w:t>
      </w:r>
      <w:r>
        <w:rPr>
          <w:rFonts w:ascii="宋体" w:hAnsi="宋体" w:cs="宋体" w:eastAsia="宋体" w:hint="default"/>
        </w:rPr>
        <w:t>EMBA</w:t>
      </w:r>
      <w:r>
        <w:rPr/>
        <w:t>。曾任山东海润投资集团有限公司总裁助理、青岛世元达广告文化传 </w:t>
      </w:r>
      <w:r>
        <w:rPr>
          <w:spacing w:val="-2"/>
        </w:rPr>
        <w:t>媒投资有限公司总经理、青岛云起文化发展有限公司总经理、董事长、青岛中加浩瀚装饰工程有限公司董事长。现任公司董</w:t>
      </w:r>
    </w:p>
    <w:p>
      <w:pPr>
        <w:pStyle w:val="BodyText"/>
        <w:spacing w:line="316" w:lineRule="auto" w:before="2"/>
        <w:ind w:right="1034"/>
        <w:jc w:val="left"/>
      </w:pPr>
      <w:r>
        <w:rPr/>
        <w:t>事长、总经理。 </w:t>
      </w:r>
      <w:r>
        <w:rPr>
          <w:rFonts w:ascii="宋体" w:hAnsi="宋体" w:cs="宋体" w:eastAsia="宋体" w:hint="default"/>
        </w:rPr>
        <w:t>2</w:t>
      </w:r>
      <w:r>
        <w:rPr/>
        <w:t>、李虎钢，男，</w:t>
      </w:r>
      <w:r>
        <w:rPr>
          <w:rFonts w:ascii="宋体" w:hAnsi="宋体" w:cs="宋体" w:eastAsia="宋体" w:hint="default"/>
        </w:rPr>
        <w:t>1981</w:t>
      </w:r>
      <w:r>
        <w:rPr/>
        <w:t>年生，本科学历。曾任泗水海情置业有限公司总经理助理，现任青岛大通盈泰资产管理有限公司计划 运营部经理、公司董事。 </w:t>
      </w:r>
      <w:r>
        <w:rPr>
          <w:rFonts w:ascii="宋体" w:hAnsi="宋体" w:cs="宋体" w:eastAsia="宋体" w:hint="default"/>
        </w:rPr>
        <w:t>3</w:t>
      </w:r>
      <w:r>
        <w:rPr/>
        <w:t>、常建才，男，</w:t>
      </w:r>
      <w:r>
        <w:rPr>
          <w:rFonts w:ascii="宋体" w:hAnsi="宋体" w:cs="宋体" w:eastAsia="宋体" w:hint="default"/>
        </w:rPr>
        <w:t>1976</w:t>
      </w:r>
      <w:r>
        <w:rPr/>
        <w:t>年生，学士学位。曾任莱钢建设集团造价科科长，青特置业成本合约部经理，恩马集团房地产事业部 副总经理，现任青岛大通盈泰资产管理有限公司成本合约总监、公司董事。 </w:t>
      </w:r>
      <w:r>
        <w:rPr>
          <w:rFonts w:ascii="宋体" w:hAnsi="宋体" w:cs="宋体" w:eastAsia="宋体" w:hint="default"/>
        </w:rPr>
        <w:t>4</w:t>
      </w:r>
      <w:r>
        <w:rPr/>
        <w:t>、樊培银，男，</w:t>
      </w:r>
      <w:r>
        <w:rPr>
          <w:rFonts w:ascii="宋体" w:hAnsi="宋体" w:cs="宋体" w:eastAsia="宋体" w:hint="default"/>
        </w:rPr>
        <w:t>1965</w:t>
      </w:r>
      <w:r>
        <w:rPr/>
        <w:t>年生，拥有独立董事资格证书。吉林农业大学本科及研究生，日本岩手大学博士。</w:t>
      </w:r>
      <w:r>
        <w:rPr>
          <w:rFonts w:ascii="宋体" w:hAnsi="宋体" w:cs="宋体" w:eastAsia="宋体" w:hint="default"/>
        </w:rPr>
        <w:t>2001</w:t>
      </w:r>
      <w:r>
        <w:rPr/>
        <w:t>年至今担任中 国海洋大学会计学副教授。目前同时担任伟隆阀门、国林科技、日辰股份、深大通的独立董事。另外，担任青岛市财政局、</w:t>
      </w:r>
      <w:r>
        <w:rPr>
          <w:spacing w:val="-86"/>
        </w:rPr>
        <w:t> </w:t>
      </w:r>
      <w:r>
        <w:rPr>
          <w:spacing w:val="-86"/>
        </w:rPr>
      </w:r>
      <w:r>
        <w:rPr/>
        <w:t>青岛市科技局等单位财务评审专家。 </w:t>
      </w:r>
      <w:r>
        <w:rPr>
          <w:rFonts w:ascii="宋体" w:hAnsi="宋体" w:cs="宋体" w:eastAsia="宋体" w:hint="default"/>
          <w:spacing w:val="-2"/>
        </w:rPr>
        <w:t>5</w:t>
      </w:r>
      <w:r>
        <w:rPr>
          <w:spacing w:val="-2"/>
        </w:rPr>
        <w:t>、张贞齐，男，</w:t>
      </w:r>
      <w:r>
        <w:rPr>
          <w:rFonts w:ascii="宋体" w:hAnsi="宋体" w:cs="宋体" w:eastAsia="宋体" w:hint="default"/>
          <w:spacing w:val="-2"/>
        </w:rPr>
        <w:t>1964</w:t>
      </w:r>
      <w:r>
        <w:rPr>
          <w:spacing w:val="-2"/>
        </w:rPr>
        <w:t>年生，研究生学历，管理学博士，研究员</w:t>
      </w:r>
      <w:r>
        <w:rPr>
          <w:rFonts w:ascii="宋体" w:hAnsi="宋体" w:cs="宋体" w:eastAsia="宋体" w:hint="default"/>
          <w:spacing w:val="-2"/>
        </w:rPr>
        <w:t>,</w:t>
      </w:r>
      <w:r>
        <w:rPr>
          <w:spacing w:val="-2"/>
        </w:rPr>
        <w:t>青岛大学硕士生导师。曾任青岛大学研究生处副处长、青岛</w:t>
      </w:r>
      <w:r>
        <w:rPr>
          <w:spacing w:val="-64"/>
        </w:rPr>
        <w:t> </w:t>
      </w:r>
      <w:r>
        <w:rPr>
          <w:spacing w:val="-64"/>
        </w:rPr>
      </w:r>
      <w:r>
        <w:rPr>
          <w:spacing w:val="-2"/>
        </w:rPr>
        <w:t>大学机电工程学院党总支书记、青岛大学科技处处长。现任山东青大教育集团理事长、青岛大学教育集团总经理、公司独立</w:t>
      </w:r>
      <w:r>
        <w:rPr>
          <w:spacing w:val="-64"/>
        </w:rPr>
        <w:t> </w:t>
      </w:r>
      <w:r>
        <w:rPr>
          <w:spacing w:val="-64"/>
        </w:rPr>
      </w:r>
      <w:r>
        <w:rPr/>
        <w:t>董事。 </w:t>
      </w:r>
      <w:r>
        <w:rPr>
          <w:rFonts w:ascii="宋体" w:hAnsi="宋体" w:cs="宋体" w:eastAsia="宋体" w:hint="default"/>
        </w:rPr>
        <w:t>6</w:t>
      </w:r>
      <w:r>
        <w:rPr/>
        <w:t>、赵息，女，</w:t>
      </w:r>
      <w:r>
        <w:rPr>
          <w:rFonts w:ascii="宋体" w:hAnsi="宋体" w:cs="宋体" w:eastAsia="宋体" w:hint="default"/>
        </w:rPr>
        <w:t>1955</w:t>
      </w:r>
      <w:r>
        <w:rPr/>
        <w:t>年生，教授、博士生导师，长期从事财务管理、会计、审计等教学与科研工作，主要研究方向包括企业 </w:t>
      </w:r>
      <w:r>
        <w:rPr>
          <w:spacing w:val="-2"/>
        </w:rPr>
        <w:t>成本管理、全面预算管理、企业内部控制制度及公司绩效评价等。目前同时担任中油工程、深大通的独立董事。现任天津大</w:t>
      </w:r>
      <w:r>
        <w:rPr>
          <w:spacing w:val="-67"/>
        </w:rPr>
        <w:t> </w:t>
      </w:r>
      <w:r>
        <w:rPr>
          <w:spacing w:val="-67"/>
        </w:rPr>
      </w:r>
      <w:r>
        <w:rPr/>
        <w:t>学教授，会计学博士生导师。 </w:t>
      </w:r>
      <w:r>
        <w:rPr>
          <w:rFonts w:ascii="宋体" w:hAnsi="宋体" w:cs="宋体" w:eastAsia="宋体" w:hint="default"/>
          <w:spacing w:val="-2"/>
        </w:rPr>
        <w:t>7</w:t>
      </w:r>
      <w:r>
        <w:rPr>
          <w:spacing w:val="-2"/>
        </w:rPr>
        <w:t>、王万红，男，</w:t>
      </w:r>
      <w:r>
        <w:rPr>
          <w:rFonts w:ascii="宋体" w:hAnsi="宋体" w:cs="宋体" w:eastAsia="宋体" w:hint="default"/>
          <w:spacing w:val="-2"/>
        </w:rPr>
        <w:t>1962</w:t>
      </w:r>
      <w:r>
        <w:rPr>
          <w:spacing w:val="-2"/>
        </w:rPr>
        <w:t>年生，研究生学历，副教授级高级工程师。曾任龙德集团执行总裁，中建一局</w:t>
      </w:r>
      <w:r>
        <w:rPr>
          <w:rFonts w:ascii="宋体" w:hAnsi="宋体" w:cs="宋体" w:eastAsia="宋体" w:hint="default"/>
          <w:spacing w:val="-2"/>
        </w:rPr>
        <w:t>PPP</w:t>
      </w:r>
      <w:r>
        <w:rPr>
          <w:spacing w:val="-2"/>
        </w:rPr>
        <w:t>事业部副总经理。现</w:t>
      </w:r>
      <w:r>
        <w:rPr>
          <w:spacing w:val="-62"/>
        </w:rPr>
        <w:t> </w:t>
      </w:r>
      <w:r>
        <w:rPr>
          <w:spacing w:val="-62"/>
        </w:rPr>
      </w:r>
      <w:r>
        <w:rPr/>
        <w:t>任大通盈泰执行总裁、公司监事长。 </w:t>
      </w:r>
      <w:r>
        <w:rPr>
          <w:rFonts w:ascii="宋体" w:hAnsi="宋体" w:cs="宋体" w:eastAsia="宋体" w:hint="default"/>
        </w:rPr>
        <w:t>8</w:t>
      </w:r>
      <w:r>
        <w:rPr/>
        <w:t>、朱云鹍，男，</w:t>
      </w:r>
      <w:r>
        <w:rPr>
          <w:rFonts w:ascii="宋体" w:hAnsi="宋体" w:cs="宋体" w:eastAsia="宋体" w:hint="default"/>
        </w:rPr>
        <w:t>1981</w:t>
      </w:r>
      <w:r>
        <w:rPr/>
        <w:t>年生，本科学历。曾任青岛神州集团有限公司人力行政总监、东莞厚街万达广场商业管理有限公司人 事行政经理、青岛赢联科技集团人力资源总监，现任深圳大通实业股份有限公司战略运营部副总监、公司监事。 </w:t>
      </w:r>
      <w:r>
        <w:rPr>
          <w:rFonts w:ascii="宋体" w:hAnsi="宋体" w:cs="宋体" w:eastAsia="宋体" w:hint="default"/>
        </w:rPr>
        <w:t>9</w:t>
      </w:r>
      <w:r>
        <w:rPr/>
        <w:t>、谭美翼，女，</w:t>
      </w:r>
      <w:r>
        <w:rPr>
          <w:rFonts w:ascii="宋体" w:hAnsi="宋体" w:cs="宋体" w:eastAsia="宋体" w:hint="default"/>
        </w:rPr>
        <w:t>1987</w:t>
      </w:r>
      <w:r>
        <w:rPr/>
        <w:t>年生，研究生学历。曾任中国国际技术智力合作公司青岛分公司人力资源专员、青岛奥海投资发展有 限公司海尔洲际酒店培训经理，现任深圳大通实业股份有限公司投资者关系部经理、公司监事。</w:t>
      </w:r>
    </w:p>
    <w:p>
      <w:pPr>
        <w:pStyle w:val="BodyText"/>
        <w:spacing w:line="316" w:lineRule="auto" w:before="19"/>
        <w:ind w:right="1127"/>
        <w:jc w:val="left"/>
      </w:pPr>
      <w:r>
        <w:rPr>
          <w:rFonts w:ascii="宋体" w:hAnsi="宋体" w:cs="宋体" w:eastAsia="宋体" w:hint="default"/>
        </w:rPr>
        <w:t>10</w:t>
      </w:r>
      <w:r>
        <w:rPr/>
        <w:t>、邢美敏，女，</w:t>
      </w:r>
      <w:r>
        <w:rPr>
          <w:rFonts w:ascii="宋体" w:hAnsi="宋体" w:cs="宋体" w:eastAsia="宋体" w:hint="default"/>
        </w:rPr>
        <w:t>1979</w:t>
      </w:r>
      <w:r>
        <w:rPr>
          <w:rFonts w:ascii="宋体" w:hAnsi="宋体" w:cs="宋体" w:eastAsia="宋体" w:hint="default"/>
          <w:spacing w:val="-3"/>
        </w:rPr>
        <w:t> </w:t>
      </w:r>
      <w:r>
        <w:rPr/>
        <w:t>年出生，本科学历，会计师。曾任山东南山铝业股份有限公司证券事务代表、董事会秘书；招金矿 </w:t>
      </w:r>
      <w:r>
        <w:rPr>
          <w:spacing w:val="-2"/>
        </w:rPr>
        <w:t>业股份有限公司董秘办主任；潍坊胜达科技股份有限公司副总经理兼董事会秘书；内蒙古中天宏远再制造股份公司副总经理</w:t>
      </w:r>
      <w:r>
        <w:rPr>
          <w:spacing w:val="-64"/>
        </w:rPr>
        <w:t> </w:t>
      </w:r>
      <w:r>
        <w:rPr>
          <w:spacing w:val="-64"/>
        </w:rPr>
      </w:r>
      <w:r>
        <w:rPr/>
        <w:t>兼董事会秘书。现任公司董事会秘书。 </w:t>
      </w:r>
      <w:r>
        <w:rPr>
          <w:rFonts w:ascii="宋体" w:hAnsi="宋体" w:cs="宋体" w:eastAsia="宋体" w:hint="default"/>
          <w:spacing w:val="-2"/>
        </w:rPr>
        <w:t>11</w:t>
      </w:r>
      <w:r>
        <w:rPr>
          <w:spacing w:val="-2"/>
        </w:rPr>
        <w:t>、陈宝军，</w:t>
      </w:r>
      <w:r>
        <w:rPr>
          <w:rFonts w:ascii="宋体" w:hAnsi="宋体" w:cs="宋体" w:eastAsia="宋体" w:hint="default"/>
          <w:spacing w:val="-2"/>
        </w:rPr>
        <w:t>1976</w:t>
      </w:r>
      <w:r>
        <w:rPr>
          <w:spacing w:val="-2"/>
        </w:rPr>
        <w:t>年出生，归国留学生研究生学历，曾任北京腾信创新网络营销技术股份有限公司第一事业部总经理，副总</w:t>
      </w:r>
      <w:r>
        <w:rPr>
          <w:spacing w:val="-61"/>
        </w:rPr>
        <w:t> </w:t>
      </w:r>
      <w:r>
        <w:rPr>
          <w:spacing w:val="-61"/>
        </w:rPr>
      </w:r>
      <w:r>
        <w:rPr>
          <w:spacing w:val="-2"/>
        </w:rPr>
        <w:t>裁；北京电通广告有限公司企划战略本部策略总监；电装中国投资有限公司售后市场部主任；深圳大通实业股份有限公司总</w:t>
      </w:r>
      <w:r>
        <w:rPr>
          <w:spacing w:val="-63"/>
        </w:rPr>
        <w:t> </w:t>
      </w:r>
      <w:r>
        <w:rPr>
          <w:spacing w:val="-63"/>
        </w:rPr>
      </w:r>
      <w:r>
        <w:rPr/>
        <w:t>经理助理。现任公司副总经理。 </w:t>
      </w:r>
      <w:r>
        <w:rPr>
          <w:rFonts w:ascii="宋体" w:hAnsi="宋体" w:cs="宋体" w:eastAsia="宋体" w:hint="default"/>
          <w:spacing w:val="-5"/>
        </w:rPr>
        <w:t>12</w:t>
      </w:r>
      <w:r>
        <w:rPr>
          <w:spacing w:val="-5"/>
        </w:rPr>
        <w:t>、郑正东，</w:t>
      </w:r>
      <w:r>
        <w:rPr>
          <w:rFonts w:ascii="宋体" w:hAnsi="宋体" w:cs="宋体" w:eastAsia="宋体" w:hint="default"/>
          <w:spacing w:val="-5"/>
        </w:rPr>
        <w:t>1980</w:t>
      </w:r>
      <w:r>
        <w:rPr>
          <w:spacing w:val="-5"/>
        </w:rPr>
        <w:t>年出生，本科学历，会计师。曾任陕西长乐石化有限公司财务经理；深圳大通实业股份有限公司财务经理；</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60" w:lineRule="auto"/>
        <w:ind w:right="5534"/>
        <w:jc w:val="left"/>
      </w:pPr>
      <w:r>
        <w:rPr/>
        <w:t>深圳大通致远供应链管理有限公司副总经理。现任公司财务总监。 在股东单位任职情况</w:t>
      </w:r>
    </w:p>
    <w:p>
      <w:pPr>
        <w:pStyle w:val="BodyText"/>
        <w:spacing w:line="240" w:lineRule="auto" w:before="25"/>
        <w:ind w:right="986"/>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965"/>
        <w:gridCol w:w="2758"/>
        <w:gridCol w:w="1803"/>
        <w:gridCol w:w="1694"/>
        <w:gridCol w:w="865"/>
        <w:gridCol w:w="1486"/>
      </w:tblGrid>
      <w:tr>
        <w:trPr>
          <w:trHeight w:val="713"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8" w:right="117" w:hanging="181"/>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股东单位名称</w:t>
            </w:r>
          </w:p>
        </w:tc>
        <w:tc>
          <w:tcPr>
            <w:tcW w:w="1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5" w:right="177" w:hanging="540"/>
              <w:jc w:val="left"/>
              <w:rPr>
                <w:rFonts w:ascii="宋体" w:hAnsi="宋体" w:cs="宋体" w:eastAsia="宋体" w:hint="default"/>
                <w:sz w:val="18"/>
                <w:szCs w:val="18"/>
              </w:rPr>
            </w:pPr>
            <w:r>
              <w:rPr>
                <w:rFonts w:ascii="宋体" w:hAnsi="宋体" w:cs="宋体" w:eastAsia="宋体" w:hint="default"/>
                <w:sz w:val="18"/>
                <w:szCs w:val="18"/>
              </w:rPr>
              <w:t>在股东单位担任的 职务</w:t>
            </w:r>
          </w:p>
        </w:tc>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154"/>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96" w:right="107" w:hanging="89"/>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李虎钢</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宋体" w:hAnsi="宋体" w:cs="宋体" w:eastAsia="宋体" w:hint="default"/>
                <w:sz w:val="18"/>
                <w:szCs w:val="18"/>
              </w:rPr>
              <w:t>青岛大通盈泰资产管理有限公司</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计划运营部经理</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常建才</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5"/>
              <w:jc w:val="center"/>
              <w:rPr>
                <w:rFonts w:ascii="宋体" w:hAnsi="宋体" w:cs="宋体" w:eastAsia="宋体" w:hint="default"/>
                <w:sz w:val="18"/>
                <w:szCs w:val="18"/>
              </w:rPr>
            </w:pPr>
            <w:r>
              <w:rPr>
                <w:rFonts w:ascii="宋体" w:hAnsi="宋体" w:cs="宋体" w:eastAsia="宋体" w:hint="default"/>
                <w:sz w:val="18"/>
                <w:szCs w:val="18"/>
              </w:rPr>
              <w:t>青岛大通盈泰资产管理有限公司</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成本合约总监</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王万红</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5"/>
              <w:jc w:val="center"/>
              <w:rPr>
                <w:rFonts w:ascii="宋体" w:hAnsi="宋体" w:cs="宋体" w:eastAsia="宋体" w:hint="default"/>
                <w:sz w:val="18"/>
                <w:szCs w:val="18"/>
              </w:rPr>
            </w:pPr>
            <w:r>
              <w:rPr>
                <w:rFonts w:ascii="宋体" w:hAnsi="宋体" w:cs="宋体" w:eastAsia="宋体" w:hint="default"/>
                <w:sz w:val="18"/>
                <w:szCs w:val="18"/>
              </w:rPr>
              <w:t>青岛大通盈泰资产管理有限公司</w:t>
            </w:r>
          </w:p>
        </w:tc>
        <w:tc>
          <w:tcPr>
            <w:tcW w:w="18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执行总裁</w:t>
            </w:r>
          </w:p>
        </w:tc>
        <w:tc>
          <w:tcPr>
            <w:tcW w:w="1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65" w:type="dxa"/>
            <w:tcBorders>
              <w:top w:val="single" w:sz="4" w:space="0" w:color="000000"/>
              <w:left w:val="single" w:sz="4" w:space="0" w:color="000000"/>
              <w:bottom w:val="single" w:sz="4" w:space="0" w:color="000000"/>
              <w:right w:val="single" w:sz="4" w:space="0" w:color="000000"/>
            </w:tcBorders>
          </w:tcPr>
          <w:p>
            <w:pP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986"/>
        <w:jc w:val="left"/>
      </w:pPr>
      <w:r>
        <w:rPr/>
        <w:t>在其他单位任职情况</w:t>
      </w:r>
    </w:p>
    <w:p>
      <w:pPr>
        <w:pStyle w:val="BodyText"/>
        <w:spacing w:line="240" w:lineRule="auto" w:before="115"/>
        <w:ind w:right="986"/>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965"/>
        <w:gridCol w:w="2758"/>
        <w:gridCol w:w="1812"/>
        <w:gridCol w:w="1685"/>
        <w:gridCol w:w="973"/>
        <w:gridCol w:w="1375"/>
      </w:tblGrid>
      <w:tr>
        <w:trPr>
          <w:trHeight w:val="716" w:hRule="exact"/>
        </w:trPr>
        <w:tc>
          <w:tcPr>
            <w:tcW w:w="9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8" w:right="117" w:hanging="181"/>
              <w:jc w:val="left"/>
              <w:rPr>
                <w:rFonts w:ascii="宋体" w:hAnsi="宋体" w:cs="宋体" w:eastAsia="宋体" w:hint="default"/>
                <w:sz w:val="18"/>
                <w:szCs w:val="18"/>
              </w:rPr>
            </w:pPr>
            <w:r>
              <w:rPr>
                <w:rFonts w:ascii="宋体" w:hAnsi="宋体" w:cs="宋体" w:eastAsia="宋体" w:hint="default"/>
                <w:sz w:val="18"/>
                <w:szCs w:val="18"/>
              </w:rPr>
              <w:t>任职人员 姓名</w:t>
            </w:r>
          </w:p>
        </w:tc>
        <w:tc>
          <w:tcPr>
            <w:tcW w:w="27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35"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0" w:right="180" w:hanging="540"/>
              <w:jc w:val="left"/>
              <w:rPr>
                <w:rFonts w:ascii="宋体" w:hAnsi="宋体" w:cs="宋体" w:eastAsia="宋体" w:hint="default"/>
                <w:sz w:val="18"/>
                <w:szCs w:val="18"/>
              </w:rPr>
            </w:pPr>
            <w:r>
              <w:rPr>
                <w:rFonts w:ascii="宋体" w:hAnsi="宋体" w:cs="宋体" w:eastAsia="宋体" w:hint="default"/>
                <w:sz w:val="18"/>
                <w:szCs w:val="18"/>
              </w:rPr>
              <w:t>在其他单位担任的 职务</w:t>
            </w:r>
          </w:p>
        </w:tc>
        <w:tc>
          <w:tcPr>
            <w:tcW w:w="1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2" w:right="118"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1"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樊培银</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中国海洋大学</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会计学副教授</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7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张贞齐</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青岛大学教育集团</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总经理</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7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赵息</w:t>
            </w:r>
          </w:p>
        </w:tc>
        <w:tc>
          <w:tcPr>
            <w:tcW w:w="27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天津大学</w:t>
            </w:r>
          </w:p>
        </w:tc>
        <w:tc>
          <w:tcPr>
            <w:tcW w:w="1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博士生导师</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1999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973"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49"/>
        <w:ind w:right="986"/>
        <w:jc w:val="left"/>
      </w:pPr>
      <w:r>
        <w:rPr/>
        <w:t>公司现任及报告期内离任董事、监事和高级管理人员近三年证券监管机构处罚的情况</w:t>
      </w:r>
    </w:p>
    <w:p>
      <w:pPr>
        <w:pStyle w:val="BodyText"/>
        <w:spacing w:line="338" w:lineRule="auto" w:before="117"/>
        <w:ind w:right="1124"/>
        <w:jc w:val="left"/>
      </w:pPr>
      <w:r>
        <w:rPr/>
        <w:t>√ 适用 □</w:t>
      </w:r>
      <w:r>
        <w:rPr>
          <w:spacing w:val="3"/>
        </w:rPr>
        <w:t> </w:t>
      </w:r>
      <w:r>
        <w:rPr/>
        <w:t>不适用</w:t>
      </w:r>
      <w:r>
        <w:rPr/>
        <w:t> </w:t>
      </w:r>
      <w:r>
        <w:rPr>
          <w:rFonts w:ascii="宋体" w:hAnsi="宋体" w:cs="宋体" w:eastAsia="宋体" w:hint="default"/>
        </w:rPr>
        <w:t>2019</w:t>
      </w:r>
      <w:r>
        <w:rPr/>
        <w:t>年</w:t>
      </w:r>
      <w:r>
        <w:rPr>
          <w:rFonts w:ascii="宋体" w:hAnsi="宋体" w:cs="宋体" w:eastAsia="宋体" w:hint="default"/>
        </w:rPr>
        <w:t>9</w:t>
      </w:r>
      <w:r>
        <w:rPr/>
        <w:t>月</w:t>
      </w:r>
      <w:r>
        <w:rPr>
          <w:rFonts w:ascii="宋体" w:hAnsi="宋体" w:cs="宋体" w:eastAsia="宋体" w:hint="default"/>
        </w:rPr>
        <w:t>11</w:t>
      </w:r>
      <w:r>
        <w:rPr/>
        <w:t>日深圳证券交易所对公司时任董事长袁娜、时任董事曹建发、时任执行总经理黄卫华、时任财务总监刘海滨给 予公开谴责的处分。</w:t>
      </w:r>
    </w:p>
    <w:p>
      <w:pPr>
        <w:pStyle w:val="BodyText"/>
        <w:spacing w:line="240" w:lineRule="auto" w:before="2"/>
        <w:ind w:right="986"/>
        <w:jc w:val="left"/>
      </w:pP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29</w:t>
      </w:r>
      <w:r>
        <w:rPr/>
        <w:t>日中国证券监督管理委员会对李雪燕、黄卫华、牛超分别采取</w:t>
      </w:r>
      <w:r>
        <w:rPr>
          <w:rFonts w:ascii="宋体" w:hAnsi="宋体" w:cs="宋体" w:eastAsia="宋体" w:hint="default"/>
        </w:rPr>
        <w:t>5</w:t>
      </w:r>
      <w:r>
        <w:rPr/>
        <w:t>年证券市场禁入措施。</w:t>
      </w:r>
    </w:p>
    <w:p>
      <w:pPr>
        <w:spacing w:line="240" w:lineRule="auto" w:before="4"/>
        <w:rPr>
          <w:rFonts w:ascii="宋体" w:hAnsi="宋体" w:cs="宋体" w:eastAsia="宋体" w:hint="default"/>
          <w:sz w:val="25"/>
          <w:szCs w:val="25"/>
        </w:rPr>
      </w:pPr>
    </w:p>
    <w:p>
      <w:pPr>
        <w:pStyle w:val="Heading2"/>
        <w:spacing w:line="240" w:lineRule="auto"/>
        <w:ind w:right="986"/>
        <w:jc w:val="left"/>
        <w:rPr>
          <w:b w:val="0"/>
          <w:bCs w:val="0"/>
        </w:rPr>
      </w:pPr>
      <w:bookmarkStart w:name="四、董事、监事、高级管理人员报酬情况" w:id="129"/>
      <w:bookmarkEnd w:id="129"/>
      <w:r>
        <w:rPr>
          <w:b w:val="0"/>
          <w:bCs w:val="0"/>
        </w:rPr>
      </w:r>
      <w:r>
        <w:rPr/>
        <w:t>四、董事、监事、高级管理人员报酬情况</w:t>
      </w:r>
      <w:r>
        <w:rPr>
          <w:b w:val="0"/>
          <w:bCs w:val="0"/>
        </w:rPr>
      </w:r>
    </w:p>
    <w:p>
      <w:pPr>
        <w:spacing w:line="240" w:lineRule="auto" w:before="6"/>
        <w:rPr>
          <w:rFonts w:ascii="宋体" w:hAnsi="宋体" w:cs="宋体" w:eastAsia="宋体" w:hint="default"/>
          <w:b/>
          <w:bCs/>
          <w:sz w:val="26"/>
          <w:szCs w:val="26"/>
        </w:rPr>
      </w:pPr>
    </w:p>
    <w:p>
      <w:pPr>
        <w:pStyle w:val="BodyText"/>
        <w:spacing w:line="338" w:lineRule="auto" w:before="0"/>
        <w:ind w:right="1129"/>
        <w:jc w:val="left"/>
      </w:pPr>
      <w:r>
        <w:rPr/>
        <w:t>董事、监事、高级管理人员报酬的决策程序、确定依据、实际支付情况 </w:t>
      </w:r>
      <w:r>
        <w:rPr>
          <w:spacing w:val="-5"/>
        </w:rPr>
        <w:t>公司针对高级管理人员建立了一套绩效考评制度和薪酬制度。公司制定了《深圳大通实业股份有限公司绩效考核制度》及《深</w:t>
      </w:r>
      <w:r>
        <w:rPr>
          <w:spacing w:val="-75"/>
        </w:rPr>
        <w:t> </w:t>
      </w:r>
      <w:r>
        <w:rPr>
          <w:spacing w:val="-75"/>
        </w:rPr>
      </w:r>
      <w:r>
        <w:rPr>
          <w:spacing w:val="-2"/>
        </w:rPr>
        <w:t>圳大通实业股份有限公司董事会薪酬与考核委员会工作细则》。薪酬委员会是董事会设立的专门工作机构，主要负责制定公</w:t>
      </w:r>
    </w:p>
    <w:p>
      <w:pPr>
        <w:pStyle w:val="BodyText"/>
        <w:spacing w:line="316" w:lineRule="auto" w:before="2"/>
        <w:ind w:right="986"/>
        <w:jc w:val="left"/>
      </w:pPr>
      <w:r>
        <w:rPr>
          <w:spacing w:val="-2"/>
        </w:rPr>
        <w:t>司董事、监事及高级管理人员的考核标准，负责制定、审查公司董事及高级管理人员的薪酬政策与方案，对董事会负责。董</w:t>
      </w:r>
      <w:r>
        <w:rPr>
          <w:spacing w:val="-67"/>
        </w:rPr>
        <w:t> </w:t>
      </w:r>
      <w:r>
        <w:rPr>
          <w:spacing w:val="-67"/>
        </w:rPr>
      </w:r>
      <w:r>
        <w:rPr/>
        <w:t>事、监事和高级管理人员报酬如期按实支付。 </w:t>
      </w:r>
      <w:r>
        <w:rPr>
          <w:spacing w:val="-2"/>
        </w:rPr>
        <w:t>高级管理人员绩效考核实行直接上级考核制，考核者为被考核者的直接上级。考核的内容为公司确定的指标。关键业绩指标</w:t>
      </w:r>
      <w:r>
        <w:rPr>
          <w:spacing w:val="-63"/>
        </w:rPr>
        <w:t> </w:t>
      </w:r>
      <w:r>
        <w:rPr>
          <w:spacing w:val="-63"/>
        </w:rPr>
      </w:r>
      <w:r>
        <w:rPr>
          <w:spacing w:val="-2"/>
        </w:rPr>
        <w:t>来自公司年度目标的层层分解，能够反映公司重点经营活动情况。考核分为月度和年度考核。月度考核结果用于月度浮动绩</w:t>
      </w:r>
      <w:r>
        <w:rPr>
          <w:spacing w:val="-63"/>
        </w:rPr>
        <w:t> </w:t>
      </w:r>
      <w:r>
        <w:rPr>
          <w:spacing w:val="-63"/>
        </w:rPr>
      </w:r>
      <w:r>
        <w:rPr/>
        <w:t>效工资的发放。年度考核结果应用于高级管理人员年薪预留部分的考核兑现。</w:t>
      </w:r>
    </w:p>
    <w:p>
      <w:pPr>
        <w:pStyle w:val="BodyText"/>
        <w:spacing w:line="240" w:lineRule="auto" w:before="60"/>
        <w:ind w:right="986"/>
        <w:jc w:val="left"/>
      </w:pPr>
      <w:r>
        <w:rPr/>
        <w:t>公司报告期内董事、监事和高级管理人员担任职务期间报酬情况</w:t>
      </w:r>
    </w:p>
    <w:p>
      <w:pPr>
        <w:pStyle w:val="BodyText"/>
        <w:spacing w:line="240" w:lineRule="auto" w:before="115"/>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850"/>
        <w:gridCol w:w="1608"/>
        <w:gridCol w:w="651"/>
        <w:gridCol w:w="614"/>
        <w:gridCol w:w="970"/>
        <w:gridCol w:w="2400"/>
        <w:gridCol w:w="2480"/>
      </w:tblGrid>
      <w:tr>
        <w:trPr>
          <w:trHeight w:val="401"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从公司获得的税前报酬总额</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是否在公司关联方获取报酬</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史利军</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董事长、总经理</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常建才</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李虎钢</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赵息</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65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6.96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樊培银</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6.96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850"/>
        <w:gridCol w:w="1608"/>
        <w:gridCol w:w="651"/>
        <w:gridCol w:w="614"/>
        <w:gridCol w:w="970"/>
        <w:gridCol w:w="2400"/>
        <w:gridCol w:w="2480"/>
      </w:tblGrid>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张贞齐</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0.58</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王万红</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监事长</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58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朱云鹍</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1.83</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谭美翼</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33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1.51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邢美敏</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12.95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曹原培</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39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33.64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于秀庆</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48.01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袁娜</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董事、董事长</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李雪燕</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pacing w:val="-7"/>
                <w:sz w:val="18"/>
                <w:szCs w:val="18"/>
              </w:rPr>
              <w:t>董事、董事会秘书</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29.21</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曹建发</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黄艳红</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董事</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23.64</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王大永</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董事、副总经理</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33.5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皇甫晓涛</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独立董事</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6.96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缪鹏</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监事长</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牛超</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52.66</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董国平</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监事</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0</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45"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黄卫华</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执行总经理</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40.15</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1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刘海滨</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财务总监</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离任</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21.82</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4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332.38</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74" w:right="0"/>
              <w:jc w:val="left"/>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t>公司董事、高级管理人员报告期内被授予的股权激励情况</w:t>
      </w:r>
    </w:p>
    <w:p>
      <w:pPr>
        <w:pStyle w:val="BodyText"/>
        <w:spacing w:line="240" w:lineRule="auto" w:before="115"/>
        <w:ind w:right="986"/>
        <w:jc w:val="left"/>
      </w:pPr>
      <w:r>
        <w:rPr/>
        <w:t>□ 适用 √</w:t>
      </w:r>
      <w:r>
        <w:rPr>
          <w:spacing w:val="3"/>
        </w:rPr>
        <w:t> </w:t>
      </w:r>
      <w:r>
        <w:rPr/>
        <w:t>不适用</w:t>
      </w: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bookmarkStart w:name="五、公司员工情况" w:id="130"/>
      <w:bookmarkEnd w:id="130"/>
      <w:r>
        <w:rPr>
          <w:b w:val="0"/>
          <w:bCs w:val="0"/>
        </w:rPr>
      </w:r>
      <w:r>
        <w:rPr/>
        <w:t>五、公司员工情况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员工数量、专业构成及教育程度" w:id="131"/>
      <w:bookmarkEnd w:id="131"/>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36</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68</w:t>
            </w:r>
          </w:p>
        </w:tc>
      </w:tr>
      <w:tr>
        <w:trPr>
          <w:trHeight w:val="404"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104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104</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w:t>
            </w:r>
          </w:p>
        </w:tc>
      </w:tr>
      <w:tr>
        <w:trPr>
          <w:trHeight w:val="396"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专业构成</w:t>
            </w:r>
          </w:p>
        </w:tc>
      </w:tr>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专业构成类别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105"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19</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27</w:t>
            </w:r>
          </w:p>
        </w:tc>
      </w:tr>
      <w:tr>
        <w:trPr>
          <w:trHeight w:val="407"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104</w:t>
            </w:r>
          </w:p>
        </w:tc>
      </w:tr>
      <w:tr>
        <w:trPr>
          <w:trHeight w:val="397"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5"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本科以上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60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专科</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31</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专科以下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104</w:t>
            </w:r>
          </w:p>
        </w:tc>
      </w:tr>
    </w:tbl>
    <w:p>
      <w:pPr>
        <w:spacing w:line="240" w:lineRule="auto" w:before="3"/>
        <w:rPr>
          <w:rFonts w:ascii="宋体" w:hAnsi="宋体" w:cs="宋体" w:eastAsia="宋体" w:hint="default"/>
          <w:b/>
          <w:bCs/>
          <w:sz w:val="19"/>
          <w:szCs w:val="19"/>
        </w:rPr>
      </w:pPr>
    </w:p>
    <w:p>
      <w:pPr>
        <w:pStyle w:val="Heading4"/>
        <w:spacing w:line="240" w:lineRule="auto" w:before="36"/>
        <w:ind w:right="986"/>
        <w:jc w:val="left"/>
        <w:rPr>
          <w:b w:val="0"/>
          <w:bCs w:val="0"/>
        </w:rPr>
      </w:pPr>
      <w:bookmarkStart w:name="2、薪酬政策" w:id="132"/>
      <w:bookmarkEnd w:id="132"/>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86"/>
        <w:jc w:val="left"/>
      </w:pPr>
      <w:r>
        <w:rPr>
          <w:spacing w:val="-2"/>
        </w:rPr>
        <w:t>公司为员工提供在行业和地区内具有一定竞争力的薪酬福利待遇，同时在公司内部实施具有公平性、激励性、竞争性、规范</w:t>
      </w:r>
      <w:r>
        <w:rPr>
          <w:spacing w:val="-66"/>
        </w:rPr>
        <w:t> </w:t>
      </w:r>
      <w:r>
        <w:rPr>
          <w:spacing w:val="-66"/>
        </w:rPr>
      </w:r>
      <w:r>
        <w:rPr/>
        <w:t>化的薪酬管理制度，以实现公司与员工的共赢。</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3、培训计划" w:id="133"/>
      <w:bookmarkEnd w:id="133"/>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公司会定期组织公司董监高及全体员工的技术知识、税务政策、法律法规、内控标准等多层次培训。</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4、劳务外包情况" w:id="134"/>
      <w:bookmarkEnd w:id="134"/>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right="3762"/>
        <w:jc w:val="center"/>
        <w:rPr>
          <w:b w:val="0"/>
          <w:bCs w:val="0"/>
        </w:rPr>
      </w:pPr>
      <w:bookmarkStart w:name="第十节公司治理" w:id="135"/>
      <w:bookmarkEnd w:id="135"/>
      <w:r>
        <w:rPr>
          <w:b w:val="0"/>
          <w:bCs w:val="0"/>
        </w:rPr>
      </w:r>
      <w:bookmarkStart w:name="_bookmark9" w:id="136"/>
      <w:bookmarkEnd w:id="136"/>
      <w:r>
        <w:rPr>
          <w:b w:val="0"/>
          <w:bCs w:val="0"/>
        </w:rPr>
      </w:r>
      <w:r>
        <w:rPr/>
        <w:t>第十节公司治理</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6"/>
        <w:jc w:val="left"/>
        <w:rPr>
          <w:b w:val="0"/>
          <w:bCs w:val="0"/>
        </w:rPr>
      </w:pPr>
      <w:bookmarkStart w:name="一、公司治理的基本状况" w:id="137"/>
      <w:bookmarkEnd w:id="137"/>
      <w:r>
        <w:rPr>
          <w:b w:val="0"/>
          <w:bCs w:val="0"/>
        </w:rPr>
      </w:r>
      <w:r>
        <w:rPr/>
        <w:t>一、公司治理的基本状况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034"/>
        <w:jc w:val="left"/>
      </w:pPr>
      <w:r>
        <w:rPr>
          <w:spacing w:val="-8"/>
        </w:rPr>
        <w:t>报告期内，公司严格按照《公司法》、《证券法》、《上市公司治理准则》等法律法规、规范性文件的要求，规范公司运作，不</w:t>
      </w:r>
      <w:r>
        <w:rPr>
          <w:spacing w:val="-86"/>
        </w:rPr>
        <w:t> </w:t>
      </w:r>
      <w:r>
        <w:rPr>
          <w:spacing w:val="-86"/>
        </w:rPr>
      </w:r>
      <w:r>
        <w:rPr/>
        <w:t>断健全和完善公司治理结构和治理制度，建立了较为完善的法人治理结构。 </w:t>
      </w:r>
      <w:r>
        <w:rPr>
          <w:spacing w:val="-2"/>
        </w:rPr>
        <w:t>公司股东大会、董事会、监事会运作规范，按照法律法规和公司章程的规定履行职权。公司股东大会、董事会、监事会历次</w:t>
      </w:r>
      <w:r>
        <w:rPr>
          <w:spacing w:val="-68"/>
        </w:rPr>
        <w:t> </w:t>
      </w:r>
      <w:r>
        <w:rPr>
          <w:spacing w:val="-68"/>
        </w:rPr>
      </w:r>
      <w:r>
        <w:rPr/>
        <w:t>会议通知、决议、会议程序及信息披露工作均符合法定程序要求。公司一贯重视信息披露工作，真实、准确、完整、及时、</w:t>
      </w:r>
      <w:r>
        <w:rPr>
          <w:spacing w:val="-86"/>
        </w:rPr>
        <w:t> </w:t>
      </w:r>
      <w:r>
        <w:rPr>
          <w:spacing w:val="-86"/>
        </w:rPr>
      </w:r>
      <w:r>
        <w:rPr/>
        <w:t>公平的信息披露确保了全体股东享有平等地位，保证了全体股东尤其是中小股东对公司重大事项享有的知情权和参与权。</w:t>
      </w:r>
    </w:p>
    <w:p>
      <w:pPr>
        <w:pStyle w:val="BodyText"/>
        <w:spacing w:line="240" w:lineRule="auto" w:before="59"/>
        <w:ind w:right="986"/>
        <w:jc w:val="left"/>
      </w:pPr>
      <w:r>
        <w:rPr/>
        <w:t>公司治理的实际状况与中国证监会发布的有关上市公司治理的规范性文件是否存在重大差异</w:t>
      </w:r>
    </w:p>
    <w:p>
      <w:pPr>
        <w:pStyle w:val="BodyText"/>
        <w:spacing w:line="360" w:lineRule="auto" w:before="115"/>
        <w:ind w:right="3554"/>
        <w:jc w:val="left"/>
      </w:pPr>
      <w:r>
        <w:rPr/>
        <w:t>□ 是 √</w:t>
      </w:r>
      <w:r>
        <w:rPr>
          <w:spacing w:val="3"/>
        </w:rPr>
        <w:t> </w:t>
      </w:r>
      <w:r>
        <w:rPr/>
        <w:t>否</w:t>
      </w:r>
      <w:r>
        <w:rPr/>
        <w:t> 公司治理的实际状况与中国证监会发布的有关上市公司治理的规范性文件不存在重大差异。</w:t>
      </w:r>
    </w:p>
    <w:p>
      <w:pPr>
        <w:spacing w:line="240" w:lineRule="auto" w:before="5"/>
        <w:rPr>
          <w:rFonts w:ascii="宋体" w:hAnsi="宋体" w:cs="宋体" w:eastAsia="宋体" w:hint="default"/>
          <w:sz w:val="18"/>
          <w:szCs w:val="18"/>
        </w:rPr>
      </w:pPr>
    </w:p>
    <w:p>
      <w:pPr>
        <w:pStyle w:val="Heading2"/>
        <w:spacing w:line="240" w:lineRule="auto"/>
        <w:ind w:right="986"/>
        <w:jc w:val="left"/>
        <w:rPr>
          <w:b w:val="0"/>
          <w:bCs w:val="0"/>
        </w:rPr>
      </w:pPr>
      <w:bookmarkStart w:name="二、公司相对于控股股东在业务、人员、资产、机构、财务等方面的独立情况" w:id="138"/>
      <w:bookmarkEnd w:id="138"/>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6"/>
        <w:jc w:val="left"/>
      </w:pPr>
      <w:r>
        <w:rPr/>
        <w:t>公司与控股股东在业务、人员、资产、机构、财务等方面严格分开，公司具有独立完整的业务和自主经营能力。</w:t>
      </w: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bookmarkStart w:name="三、同业竞争情况" w:id="139"/>
      <w:bookmarkEnd w:id="139"/>
      <w:r>
        <w:rPr>
          <w:b w:val="0"/>
          <w:bCs w:val="0"/>
        </w:rPr>
      </w:r>
      <w:r>
        <w:rPr/>
        <w:t>三、同业竞争情况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4"/>
        <w:rPr>
          <w:rFonts w:ascii="宋体" w:hAnsi="宋体" w:cs="宋体" w:eastAsia="宋体" w:hint="default"/>
          <w:sz w:val="25"/>
          <w:szCs w:val="25"/>
        </w:rPr>
      </w:pPr>
    </w:p>
    <w:p>
      <w:pPr>
        <w:pStyle w:val="Heading2"/>
        <w:spacing w:line="240" w:lineRule="auto"/>
        <w:ind w:right="986"/>
        <w:jc w:val="left"/>
        <w:rPr>
          <w:b w:val="0"/>
          <w:bCs w:val="0"/>
        </w:rPr>
      </w:pPr>
      <w:bookmarkStart w:name="四、报告期内召开的年度股东大会和临时股东大会的有关情况" w:id="140"/>
      <w:bookmarkEnd w:id="140"/>
      <w:r>
        <w:rPr>
          <w:b w:val="0"/>
          <w:bCs w:val="0"/>
        </w:rPr>
      </w:r>
      <w:r>
        <w:rPr/>
        <w:t>四、报告期内召开的年度股东大会和临时股东大会的有关情况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本报告期股东大会情况" w:id="141"/>
      <w:bookmarkEnd w:id="141"/>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23"/>
        <w:gridCol w:w="970"/>
        <w:gridCol w:w="1546"/>
        <w:gridCol w:w="1558"/>
        <w:gridCol w:w="1723"/>
        <w:gridCol w:w="2449"/>
      </w:tblGrid>
      <w:tr>
        <w:trPr>
          <w:trHeight w:val="403" w:hRule="exact"/>
        </w:trPr>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0"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7"/>
              <w:jc w:val="right"/>
              <w:rPr>
                <w:rFonts w:ascii="宋体" w:hAnsi="宋体" w:cs="宋体" w:eastAsia="宋体" w:hint="default"/>
                <w:sz w:val="18"/>
                <w:szCs w:val="18"/>
              </w:rPr>
            </w:pPr>
            <w:r>
              <w:rPr>
                <w:rFonts w:ascii="宋体" w:hAnsi="宋体" w:cs="宋体" w:eastAsia="宋体" w:hint="default"/>
                <w:sz w:val="18"/>
                <w:szCs w:val="18"/>
              </w:rPr>
              <w:t>投资者参与比例</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2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1025"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103"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年第一次 临时股东大会</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34"/>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55.03%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日</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p>
            <w:pPr>
              <w:pStyle w:val="TableParagraph"/>
              <w:spacing w:line="300" w:lineRule="auto" w:before="63"/>
              <w:ind w:left="103" w:right="199"/>
              <w:jc w:val="left"/>
              <w:rPr>
                <w:rFonts w:ascii="宋体" w:hAnsi="宋体" w:cs="宋体" w:eastAsia="宋体" w:hint="default"/>
                <w:sz w:val="18"/>
                <w:szCs w:val="18"/>
              </w:rPr>
            </w:pPr>
            <w:r>
              <w:rPr>
                <w:rFonts w:ascii="宋体" w:hAnsi="宋体" w:cs="宋体" w:eastAsia="宋体" w:hint="default"/>
                <w:sz w:val="18"/>
                <w:szCs w:val="18"/>
              </w:rPr>
              <w:t>决议公告 </w:t>
            </w:r>
            <w:r>
              <w:rPr>
                <w:rFonts w:ascii="Times New Roman" w:hAnsi="Times New Roman" w:cs="Times New Roman" w:eastAsia="Times New Roman" w:hint="default"/>
                <w:sz w:val="18"/>
                <w:szCs w:val="18"/>
              </w:rPr>
              <w:t>2019-001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巨潮 资讯网</w:t>
            </w:r>
          </w:p>
        </w:tc>
      </w:tr>
      <w:tr>
        <w:trPr>
          <w:trHeight w:val="715"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年年度股 东大会</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34"/>
              <w:jc w:val="left"/>
              <w:rPr>
                <w:rFonts w:ascii="宋体" w:hAnsi="宋体" w:cs="宋体" w:eastAsia="宋体" w:hint="default"/>
                <w:sz w:val="18"/>
                <w:szCs w:val="18"/>
              </w:rPr>
            </w:pPr>
            <w:r>
              <w:rPr>
                <w:rFonts w:ascii="宋体" w:hAnsi="宋体" w:cs="宋体" w:eastAsia="宋体" w:hint="default"/>
                <w:sz w:val="18"/>
                <w:szCs w:val="18"/>
              </w:rPr>
              <w:t>年度股东 大会</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61.99%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年年度股东大会决议公</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告  </w:t>
            </w:r>
            <w:r>
              <w:rPr>
                <w:rFonts w:ascii="Times New Roman" w:hAnsi="Times New Roman" w:cs="Times New Roman" w:eastAsia="Times New Roman" w:hint="default"/>
                <w:sz w:val="18"/>
                <w:szCs w:val="18"/>
              </w:rPr>
              <w:t>2019-058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巨潮资讯网</w:t>
            </w:r>
          </w:p>
        </w:tc>
      </w:tr>
      <w:tr>
        <w:trPr>
          <w:trHeight w:val="1025"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103"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年第二次 临时股东大会</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34"/>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65.60%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p>
            <w:pPr>
              <w:pStyle w:val="TableParagraph"/>
              <w:spacing w:line="300" w:lineRule="auto" w:before="63"/>
              <w:ind w:left="103" w:right="199"/>
              <w:jc w:val="left"/>
              <w:rPr>
                <w:rFonts w:ascii="宋体" w:hAnsi="宋体" w:cs="宋体" w:eastAsia="宋体" w:hint="default"/>
                <w:sz w:val="18"/>
                <w:szCs w:val="18"/>
              </w:rPr>
            </w:pPr>
            <w:r>
              <w:rPr>
                <w:rFonts w:ascii="宋体" w:hAnsi="宋体" w:cs="宋体" w:eastAsia="宋体" w:hint="default"/>
                <w:sz w:val="18"/>
                <w:szCs w:val="18"/>
              </w:rPr>
              <w:t>决议公告 </w:t>
            </w:r>
            <w:r>
              <w:rPr>
                <w:rFonts w:ascii="Times New Roman" w:hAnsi="Times New Roman" w:cs="Times New Roman" w:eastAsia="Times New Roman" w:hint="default"/>
                <w:sz w:val="18"/>
                <w:szCs w:val="18"/>
              </w:rPr>
              <w:t>2019-108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巨潮 资讯网</w:t>
            </w:r>
          </w:p>
        </w:tc>
      </w:tr>
      <w:tr>
        <w:trPr>
          <w:trHeight w:val="1027" w:hRule="exact"/>
        </w:trPr>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0" w:lineRule="auto"/>
              <w:ind w:left="103" w:right="98"/>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年第三次 临时股东大会</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03" w:right="134"/>
              <w:jc w:val="left"/>
              <w:rPr>
                <w:rFonts w:ascii="宋体" w:hAnsi="宋体" w:cs="宋体" w:eastAsia="宋体" w:hint="default"/>
                <w:sz w:val="18"/>
                <w:szCs w:val="18"/>
              </w:rPr>
            </w:pPr>
            <w:r>
              <w:rPr>
                <w:rFonts w:ascii="宋体" w:hAnsi="宋体" w:cs="宋体" w:eastAsia="宋体" w:hint="default"/>
                <w:sz w:val="18"/>
                <w:szCs w:val="18"/>
              </w:rPr>
              <w:t>临时股东 大会</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54.70%</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4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p>
          <w:p>
            <w:pPr>
              <w:pStyle w:val="TableParagraph"/>
              <w:spacing w:line="300" w:lineRule="auto" w:before="63"/>
              <w:ind w:left="103" w:right="206"/>
              <w:jc w:val="left"/>
              <w:rPr>
                <w:rFonts w:ascii="宋体" w:hAnsi="宋体" w:cs="宋体" w:eastAsia="宋体" w:hint="default"/>
                <w:sz w:val="18"/>
                <w:szCs w:val="18"/>
              </w:rPr>
            </w:pPr>
            <w:r>
              <w:rPr>
                <w:rFonts w:ascii="宋体" w:hAnsi="宋体" w:cs="宋体" w:eastAsia="宋体" w:hint="default"/>
                <w:sz w:val="18"/>
                <w:szCs w:val="18"/>
              </w:rPr>
              <w:t>决议公告 </w:t>
            </w:r>
            <w:r>
              <w:rPr>
                <w:rFonts w:ascii="Times New Roman" w:hAnsi="Times New Roman" w:cs="Times New Roman" w:eastAsia="Times New Roman" w:hint="default"/>
                <w:sz w:val="18"/>
                <w:szCs w:val="18"/>
              </w:rPr>
              <w:t>2019-112</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巨潮 资讯网</w:t>
            </w:r>
          </w:p>
        </w:tc>
      </w:tr>
    </w:tbl>
    <w:p>
      <w:pPr>
        <w:spacing w:after="0" w:line="30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b/>
          <w:bCs/>
          <w:sz w:val="21"/>
          <w:szCs w:val="21"/>
        </w:rPr>
      </w:pPr>
    </w:p>
    <w:p>
      <w:pPr>
        <w:pStyle w:val="Heading4"/>
        <w:spacing w:line="240" w:lineRule="auto" w:before="36"/>
        <w:ind w:right="986"/>
        <w:jc w:val="left"/>
        <w:rPr>
          <w:b w:val="0"/>
          <w:bCs w:val="0"/>
        </w:rPr>
      </w:pPr>
      <w:bookmarkStart w:name="2、表决权恢复的优先股股东请求召开临时股东大会" w:id="142"/>
      <w:bookmarkEnd w:id="142"/>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1"/>
        <w:rPr>
          <w:rFonts w:ascii="宋体" w:hAnsi="宋体" w:cs="宋体" w:eastAsia="宋体" w:hint="default"/>
          <w:sz w:val="25"/>
          <w:szCs w:val="25"/>
        </w:rPr>
      </w:pPr>
    </w:p>
    <w:p>
      <w:pPr>
        <w:pStyle w:val="Heading2"/>
        <w:spacing w:line="240" w:lineRule="auto"/>
        <w:ind w:right="986"/>
        <w:jc w:val="left"/>
        <w:rPr>
          <w:b w:val="0"/>
          <w:bCs w:val="0"/>
        </w:rPr>
      </w:pPr>
      <w:bookmarkStart w:name="五、报告期内独立董事履行职责的情况" w:id="143"/>
      <w:bookmarkEnd w:id="143"/>
      <w:r>
        <w:rPr>
          <w:b w:val="0"/>
          <w:bCs w:val="0"/>
        </w:rPr>
      </w:r>
      <w:r>
        <w:rPr/>
        <w:t>五、报告期内独立董事履行职责的情况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独立董事出席董事会及股东大会的情况" w:id="144"/>
      <w:bookmarkEnd w:id="144"/>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939"/>
        <w:gridCol w:w="1354"/>
        <w:gridCol w:w="1265"/>
        <w:gridCol w:w="1361"/>
        <w:gridCol w:w="1164"/>
        <w:gridCol w:w="1061"/>
        <w:gridCol w:w="1381"/>
        <w:gridCol w:w="1049"/>
      </w:tblGrid>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7" w:hRule="exact"/>
        </w:trPr>
        <w:tc>
          <w:tcPr>
            <w:tcW w:w="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83" w:right="105" w:hanging="181"/>
              <w:jc w:val="left"/>
              <w:rPr>
                <w:rFonts w:ascii="宋体" w:hAnsi="宋体" w:cs="宋体" w:eastAsia="宋体" w:hint="default"/>
                <w:sz w:val="18"/>
                <w:szCs w:val="18"/>
              </w:rPr>
            </w:pPr>
            <w:r>
              <w:rPr>
                <w:rFonts w:ascii="宋体" w:hAnsi="宋体" w:cs="宋体" w:eastAsia="宋体" w:hint="default"/>
                <w:sz w:val="18"/>
                <w:szCs w:val="18"/>
              </w:rPr>
              <w:t>独立董事 姓名</w:t>
            </w:r>
          </w:p>
        </w:tc>
        <w:tc>
          <w:tcPr>
            <w:tcW w:w="13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34" w:right="127"/>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66" w:right="176" w:hanging="89"/>
              <w:jc w:val="left"/>
              <w:rPr>
                <w:rFonts w:ascii="宋体" w:hAnsi="宋体" w:cs="宋体" w:eastAsia="宋体" w:hint="default"/>
                <w:sz w:val="18"/>
                <w:szCs w:val="18"/>
              </w:rPr>
            </w:pPr>
            <w:r>
              <w:rPr>
                <w:rFonts w:ascii="宋体" w:hAnsi="宋体" w:cs="宋体" w:eastAsia="宋体" w:hint="default"/>
                <w:sz w:val="18"/>
                <w:szCs w:val="18"/>
              </w:rPr>
              <w:t>现场出席董 事会次数</w:t>
            </w:r>
          </w:p>
        </w:tc>
        <w:tc>
          <w:tcPr>
            <w:tcW w:w="13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36" w:right="132"/>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18" w:right="123" w:hanging="89"/>
              <w:jc w:val="left"/>
              <w:rPr>
                <w:rFonts w:ascii="宋体" w:hAnsi="宋体" w:cs="宋体" w:eastAsia="宋体" w:hint="default"/>
                <w:sz w:val="18"/>
                <w:szCs w:val="18"/>
              </w:rPr>
            </w:pPr>
            <w:r>
              <w:rPr>
                <w:rFonts w:ascii="宋体" w:hAnsi="宋体" w:cs="宋体" w:eastAsia="宋体" w:hint="default"/>
                <w:sz w:val="18"/>
                <w:szCs w:val="18"/>
              </w:rPr>
              <w:t>委托出席董 事会次数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56" w:right="163" w:hanging="92"/>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6" w:right="142"/>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158" w:right="158"/>
              <w:jc w:val="left"/>
              <w:rPr>
                <w:rFonts w:ascii="宋体" w:hAnsi="宋体" w:cs="宋体" w:eastAsia="宋体" w:hint="default"/>
                <w:sz w:val="18"/>
                <w:szCs w:val="18"/>
              </w:rPr>
            </w:pPr>
            <w:r>
              <w:rPr>
                <w:rFonts w:ascii="宋体" w:hAnsi="宋体" w:cs="宋体" w:eastAsia="宋体" w:hint="default"/>
                <w:sz w:val="18"/>
                <w:szCs w:val="18"/>
              </w:rPr>
              <w:t>出席股东 大会次数</w:t>
            </w:r>
          </w:p>
        </w:tc>
      </w:tr>
      <w:tr>
        <w:trPr>
          <w:trHeight w:val="401"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赵息</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r>
      <w:tr>
        <w:trPr>
          <w:trHeight w:val="40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樊培银</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18</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2</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r>
      <w:tr>
        <w:trPr>
          <w:trHeight w:val="401"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张贞齐</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皇甫晓涛</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16</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c>
          <w:tcPr>
            <w:tcW w:w="13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13</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0</w:t>
            </w:r>
          </w:p>
        </w:tc>
        <w:tc>
          <w:tcPr>
            <w:tcW w:w="13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1</w:t>
            </w:r>
          </w:p>
        </w:tc>
      </w:tr>
    </w:tbl>
    <w:p>
      <w:pPr>
        <w:pStyle w:val="BodyText"/>
        <w:spacing w:line="338" w:lineRule="auto" w:before="49"/>
        <w:ind w:right="1034"/>
        <w:jc w:val="left"/>
      </w:pPr>
      <w:r>
        <w:rPr/>
        <w:t>连续两次未亲自出席董事会的说明 </w:t>
      </w:r>
      <w:r>
        <w:rPr>
          <w:spacing w:val="-2"/>
        </w:rPr>
        <w:t>皇甫晓涛先生因工作原因未能亲自参加第九届董事会第四十五次会议，委托独立董事赵息女士代为参会，对会议审议的议案</w:t>
      </w:r>
      <w:r>
        <w:rPr>
          <w:spacing w:val="-64"/>
        </w:rPr>
        <w:t> </w:t>
      </w:r>
      <w:r>
        <w:rPr>
          <w:spacing w:val="-64"/>
        </w:rPr>
      </w:r>
      <w:r>
        <w:rPr/>
        <w:t>签署同意意见；皇甫晓涛先生因工作原因未能亲自参加第九届董事会第四十六次会议，委托独立董事樊培银先生代为参会，</w:t>
      </w:r>
    </w:p>
    <w:p>
      <w:pPr>
        <w:pStyle w:val="BodyText"/>
        <w:spacing w:line="240" w:lineRule="auto" w:before="2"/>
        <w:ind w:right="986"/>
        <w:jc w:val="left"/>
      </w:pPr>
      <w:r>
        <w:rPr/>
        <w:t>对会议审议的议案签署同意意见。</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独立董事对公司有关事项提出异议的情况" w:id="145"/>
      <w:bookmarkEnd w:id="145"/>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独立董事对公司有关事项是否提出异议</w:t>
      </w:r>
    </w:p>
    <w:p>
      <w:pPr>
        <w:pStyle w:val="BodyText"/>
        <w:spacing w:line="360" w:lineRule="auto" w:before="115"/>
        <w:ind w:right="6974"/>
        <w:jc w:val="left"/>
      </w:pPr>
      <w:r>
        <w:rPr/>
        <w:t>□ 是 √</w:t>
      </w:r>
      <w:r>
        <w:rPr>
          <w:spacing w:val="3"/>
        </w:rPr>
        <w:t> </w:t>
      </w:r>
      <w:r>
        <w:rPr/>
        <w:t>否</w:t>
      </w:r>
      <w:r>
        <w:rPr/>
        <w:t> 报告期内独立董事对公司有关事项未提出异议。</w:t>
      </w:r>
    </w:p>
    <w:p>
      <w:pPr>
        <w:spacing w:line="240" w:lineRule="auto" w:before="4"/>
        <w:rPr>
          <w:rFonts w:ascii="宋体" w:hAnsi="宋体" w:cs="宋体" w:eastAsia="宋体" w:hint="default"/>
          <w:sz w:val="20"/>
          <w:szCs w:val="20"/>
        </w:rPr>
      </w:pPr>
    </w:p>
    <w:p>
      <w:pPr>
        <w:pStyle w:val="Heading4"/>
        <w:spacing w:line="240" w:lineRule="auto"/>
        <w:ind w:right="986"/>
        <w:jc w:val="left"/>
        <w:rPr>
          <w:b w:val="0"/>
          <w:bCs w:val="0"/>
        </w:rPr>
      </w:pPr>
      <w:bookmarkStart w:name="3、独立董事履行职责的其他说明" w:id="146"/>
      <w:bookmarkEnd w:id="146"/>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独立董事对公司有关建议是否被采纳</w:t>
      </w:r>
    </w:p>
    <w:p>
      <w:pPr>
        <w:pStyle w:val="BodyText"/>
        <w:spacing w:line="360" w:lineRule="auto" w:before="115"/>
        <w:ind w:right="6794"/>
        <w:jc w:val="left"/>
      </w:pPr>
      <w:r>
        <w:rPr/>
        <w:t>√ 是 □</w:t>
      </w:r>
      <w:r>
        <w:rPr>
          <w:spacing w:val="3"/>
        </w:rPr>
        <w:t> </w:t>
      </w:r>
      <w:r>
        <w:rPr/>
        <w:t>否</w:t>
      </w:r>
      <w:r>
        <w:rPr/>
        <w:t> 独立董事对公司有关建议被采纳或未被采纳的说明</w:t>
      </w:r>
    </w:p>
    <w:p>
      <w:pPr>
        <w:pStyle w:val="BodyText"/>
        <w:spacing w:line="319" w:lineRule="auto" w:before="27"/>
        <w:ind w:right="1130"/>
        <w:jc w:val="both"/>
      </w:pPr>
      <w:r>
        <w:rPr>
          <w:rFonts w:ascii="宋体" w:hAnsi="宋体" w:cs="宋体" w:eastAsia="宋体" w:hint="default"/>
          <w:spacing w:val="-5"/>
        </w:rPr>
        <w:t>2019</w:t>
      </w:r>
      <w:r>
        <w:rPr>
          <w:spacing w:val="-5"/>
        </w:rPr>
        <w:t>年度，公司独立董事利用参加股东大会、董事会等会议的时间对公司重大事项进行了解，同时与公司其他董事、总经理、</w:t>
      </w:r>
      <w:r>
        <w:rPr>
          <w:spacing w:val="-67"/>
        </w:rPr>
        <w:t> </w:t>
      </w:r>
      <w:r>
        <w:rPr>
          <w:spacing w:val="-67"/>
        </w:rPr>
      </w:r>
      <w:r>
        <w:rPr>
          <w:spacing w:val="-2"/>
        </w:rPr>
        <w:t>董事会秘书、财务总监及其他相关工作人员保持密切联系，了解公司生产经营情况。同时，积极关注报刊、网络等媒体有关</w:t>
      </w:r>
      <w:r>
        <w:rPr>
          <w:spacing w:val="-67"/>
        </w:rPr>
        <w:t> </w:t>
      </w:r>
      <w:r>
        <w:rPr>
          <w:spacing w:val="-67"/>
        </w:rPr>
      </w:r>
      <w:r>
        <w:rPr>
          <w:spacing w:val="-2"/>
        </w:rPr>
        <w:t>公司的宣传和报道，及时获悉公司的最新动态。对独立董事在会议及其他时间提出的意见和建议，公司都及时予以回复和落</w:t>
      </w:r>
      <w:r>
        <w:rPr>
          <w:spacing w:val="-63"/>
        </w:rPr>
        <w:t> </w:t>
      </w:r>
      <w:r>
        <w:rPr>
          <w:spacing w:val="-63"/>
        </w:rPr>
      </w:r>
      <w:r>
        <w:rPr/>
        <w:t>实。</w:t>
      </w:r>
    </w:p>
    <w:p>
      <w:pPr>
        <w:spacing w:line="240" w:lineRule="auto" w:before="9"/>
        <w:rPr>
          <w:rFonts w:ascii="宋体" w:hAnsi="宋体" w:cs="宋体" w:eastAsia="宋体" w:hint="default"/>
          <w:sz w:val="20"/>
          <w:szCs w:val="20"/>
        </w:rPr>
      </w:pPr>
    </w:p>
    <w:p>
      <w:pPr>
        <w:pStyle w:val="Heading2"/>
        <w:spacing w:line="240" w:lineRule="auto"/>
        <w:ind w:right="986"/>
        <w:jc w:val="left"/>
        <w:rPr>
          <w:b w:val="0"/>
          <w:bCs w:val="0"/>
        </w:rPr>
      </w:pPr>
      <w:bookmarkStart w:name="六、董事会下设专门委员会在报告期内履行职责情况" w:id="147"/>
      <w:bookmarkEnd w:id="147"/>
      <w:r>
        <w:rPr>
          <w:b w:val="0"/>
          <w:bCs w:val="0"/>
        </w:rPr>
      </w:r>
      <w:r>
        <w:rPr/>
        <w:t>六、董事会下设专门委员会在报告期内履行职责情况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4274"/>
        <w:jc w:val="left"/>
      </w:pPr>
      <w:r>
        <w:rPr>
          <w:rFonts w:ascii="宋体" w:hAnsi="宋体" w:cs="宋体" w:eastAsia="宋体" w:hint="default"/>
        </w:rPr>
        <w:t>1</w:t>
      </w:r>
      <w:r>
        <w:rPr/>
        <w:t>、战略委员会履职情况 报告期内，战略委员会审核了公司战略，与管理层保持及时沟通，督促战略实施。 </w:t>
      </w:r>
      <w:r>
        <w:rPr>
          <w:rFonts w:ascii="宋体" w:hAnsi="宋体" w:cs="宋体" w:eastAsia="宋体" w:hint="default"/>
        </w:rPr>
        <w:t>2</w:t>
      </w:r>
      <w:r>
        <w:rPr/>
        <w:t>、薪酬与考核委员会履职情况</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ind w:right="986"/>
        <w:jc w:val="left"/>
      </w:pPr>
      <w:r>
        <w:rPr/>
        <w:t>报告期内，薪酬与考核委员会认真履行职责，保持与管理层的顺畅沟通，就有关方面多次与管理层进行了沟通。 </w:t>
      </w:r>
      <w:r>
        <w:rPr>
          <w:rFonts w:ascii="宋体" w:hAnsi="宋体" w:cs="宋体" w:eastAsia="宋体" w:hint="default"/>
        </w:rPr>
        <w:t>3</w:t>
      </w:r>
      <w:r>
        <w:rPr/>
        <w:t>、审计委员会履职情况 </w:t>
      </w:r>
      <w:r>
        <w:rPr>
          <w:spacing w:val="-2"/>
        </w:rPr>
        <w:t>报告期内，审计委员会听取会计师、财务人员等汇报工作情况，审计委员会审议了公司</w:t>
      </w:r>
      <w:r>
        <w:rPr>
          <w:rFonts w:ascii="宋体" w:hAnsi="宋体" w:cs="宋体" w:eastAsia="宋体" w:hint="default"/>
          <w:spacing w:val="-2"/>
        </w:rPr>
        <w:t>2018</w:t>
      </w:r>
      <w:r>
        <w:rPr>
          <w:spacing w:val="-2"/>
        </w:rPr>
        <w:t>年度报告及摘要、</w:t>
      </w:r>
      <w:r>
        <w:rPr>
          <w:rFonts w:ascii="宋体" w:hAnsi="宋体" w:cs="宋体" w:eastAsia="宋体" w:hint="default"/>
          <w:spacing w:val="-2"/>
        </w:rPr>
        <w:t>2019</w:t>
      </w:r>
      <w:r>
        <w:rPr>
          <w:spacing w:val="-2"/>
        </w:rPr>
        <w:t>年第一季</w:t>
      </w:r>
      <w:r>
        <w:rPr>
          <w:spacing w:val="-57"/>
        </w:rPr>
        <w:t> </w:t>
      </w:r>
      <w:r>
        <w:rPr>
          <w:spacing w:val="-57"/>
        </w:rPr>
      </w:r>
      <w:r>
        <w:rPr/>
        <w:t>报告、</w:t>
      </w:r>
      <w:r>
        <w:rPr>
          <w:rFonts w:ascii="宋体" w:hAnsi="宋体" w:cs="宋体" w:eastAsia="宋体" w:hint="default"/>
        </w:rPr>
        <w:t>2019</w:t>
      </w:r>
      <w:r>
        <w:rPr/>
        <w:t>年半年度报告及摘要、</w:t>
      </w:r>
      <w:r>
        <w:rPr>
          <w:rFonts w:ascii="宋体" w:hAnsi="宋体" w:cs="宋体" w:eastAsia="宋体" w:hint="default"/>
        </w:rPr>
        <w:t>2019</w:t>
      </w:r>
      <w:r>
        <w:rPr/>
        <w:t>年第三季度报告等议案。</w:t>
      </w:r>
    </w:p>
    <w:p>
      <w:pPr>
        <w:pStyle w:val="BodyText"/>
        <w:spacing w:line="316" w:lineRule="auto" w:before="17"/>
        <w:ind w:right="3914"/>
        <w:jc w:val="left"/>
      </w:pPr>
      <w:r>
        <w:rPr>
          <w:rFonts w:ascii="宋体" w:hAnsi="宋体" w:cs="宋体" w:eastAsia="宋体" w:hint="default"/>
        </w:rPr>
        <w:t>4</w:t>
      </w:r>
      <w:r>
        <w:rPr/>
        <w:t>、提名委员会履职情况 报告期内，提名委员会认真履行职责，对公司的董事和高级管理人员的选任提出建议。</w:t>
      </w:r>
    </w:p>
    <w:p>
      <w:pPr>
        <w:spacing w:line="240" w:lineRule="auto" w:before="11"/>
        <w:rPr>
          <w:rFonts w:ascii="宋体" w:hAnsi="宋体" w:cs="宋体" w:eastAsia="宋体" w:hint="default"/>
          <w:sz w:val="20"/>
          <w:szCs w:val="20"/>
        </w:rPr>
      </w:pPr>
    </w:p>
    <w:p>
      <w:pPr>
        <w:pStyle w:val="Heading2"/>
        <w:spacing w:line="240" w:lineRule="auto"/>
        <w:ind w:right="986"/>
        <w:jc w:val="left"/>
        <w:rPr>
          <w:b w:val="0"/>
          <w:bCs w:val="0"/>
        </w:rPr>
      </w:pPr>
      <w:bookmarkStart w:name="七、监事会工作情况" w:id="148"/>
      <w:bookmarkEnd w:id="148"/>
      <w:r>
        <w:rPr>
          <w:b w:val="0"/>
          <w:bCs w:val="0"/>
        </w:rPr>
      </w:r>
      <w:r>
        <w:rPr/>
        <w:t>七、监事会工作情况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6"/>
        <w:jc w:val="left"/>
      </w:pPr>
      <w:r>
        <w:rPr/>
        <w:t>监事会在报告期内的监督活动中发现公司是否存在风险</w:t>
      </w:r>
    </w:p>
    <w:p>
      <w:pPr>
        <w:pStyle w:val="BodyText"/>
        <w:spacing w:line="360" w:lineRule="auto" w:before="115"/>
        <w:ind w:right="7694"/>
        <w:jc w:val="left"/>
      </w:pPr>
      <w:r>
        <w:rPr/>
        <w:t>□ 是 √</w:t>
      </w:r>
      <w:r>
        <w:rPr>
          <w:spacing w:val="3"/>
        </w:rPr>
        <w:t> </w:t>
      </w:r>
      <w:r>
        <w:rPr/>
        <w:t>否</w:t>
      </w:r>
      <w:r>
        <w:rPr/>
        <w:t> 监事会对报告期内的监督事项无异议。</w:t>
      </w:r>
    </w:p>
    <w:p>
      <w:pPr>
        <w:spacing w:line="240" w:lineRule="auto" w:before="5"/>
        <w:rPr>
          <w:rFonts w:ascii="宋体" w:hAnsi="宋体" w:cs="宋体" w:eastAsia="宋体" w:hint="default"/>
          <w:sz w:val="18"/>
          <w:szCs w:val="18"/>
        </w:rPr>
      </w:pPr>
    </w:p>
    <w:p>
      <w:pPr>
        <w:pStyle w:val="Heading2"/>
        <w:spacing w:line="240" w:lineRule="auto"/>
        <w:ind w:right="986"/>
        <w:jc w:val="left"/>
        <w:rPr>
          <w:b w:val="0"/>
          <w:bCs w:val="0"/>
        </w:rPr>
      </w:pPr>
      <w:bookmarkStart w:name="八、高级管理人员的考评及激励情况" w:id="149"/>
      <w:bookmarkEnd w:id="149"/>
      <w:r>
        <w:rPr>
          <w:b w:val="0"/>
          <w:bCs w:val="0"/>
        </w:rPr>
      </w:r>
      <w:r>
        <w:rPr/>
        <w:t>八、高级管理人员的考评及激励情况</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29"/>
        <w:jc w:val="both"/>
      </w:pPr>
      <w:r>
        <w:rPr>
          <w:spacing w:val="-5"/>
        </w:rPr>
        <w:t>公司针对高级管理人员建立了包括《深圳大通实业股份有限公司绩效考核制度》、《深圳大通实业股份有限公司董事会薪酬与</w:t>
      </w:r>
      <w:r>
        <w:rPr>
          <w:spacing w:val="-78"/>
        </w:rPr>
        <w:t> </w:t>
      </w:r>
      <w:r>
        <w:rPr>
          <w:spacing w:val="-78"/>
        </w:rPr>
      </w:r>
      <w:r>
        <w:rPr>
          <w:spacing w:val="-2"/>
        </w:rPr>
        <w:t>考核委员会工作细则》在内的绩效考评制度和薪酬制度。薪酬与考核委员会是董事会设立的专门工作机构，主要负责制定公</w:t>
      </w:r>
      <w:r>
        <w:rPr>
          <w:spacing w:val="-63"/>
        </w:rPr>
        <w:t> </w:t>
      </w:r>
      <w:r>
        <w:rPr>
          <w:spacing w:val="-63"/>
        </w:rPr>
      </w:r>
      <w:r>
        <w:rPr>
          <w:spacing w:val="-2"/>
        </w:rPr>
        <w:t>司董事及高级管理人员的考核标准并进行考核，负责制定、审查公司董事、监事及高级管理人员的薪酬政策与方案，对董事</w:t>
      </w:r>
      <w:r>
        <w:rPr>
          <w:spacing w:val="-63"/>
        </w:rPr>
        <w:t> </w:t>
      </w:r>
      <w:r>
        <w:rPr>
          <w:spacing w:val="-63"/>
        </w:rPr>
      </w:r>
      <w:r>
        <w:rPr/>
        <w:t>会负责。董事、监事和高级管理人员报酬如期按实支付。</w:t>
      </w:r>
    </w:p>
    <w:p>
      <w:pPr>
        <w:spacing w:line="240" w:lineRule="auto" w:before="11"/>
        <w:rPr>
          <w:rFonts w:ascii="宋体" w:hAnsi="宋体" w:cs="宋体" w:eastAsia="宋体" w:hint="default"/>
          <w:sz w:val="20"/>
          <w:szCs w:val="20"/>
        </w:rPr>
      </w:pPr>
    </w:p>
    <w:p>
      <w:pPr>
        <w:pStyle w:val="Heading2"/>
        <w:spacing w:line="240" w:lineRule="auto"/>
        <w:ind w:right="986"/>
        <w:jc w:val="left"/>
        <w:rPr>
          <w:b w:val="0"/>
          <w:bCs w:val="0"/>
        </w:rPr>
      </w:pPr>
      <w:bookmarkStart w:name="九、内部控制情况" w:id="150"/>
      <w:bookmarkEnd w:id="150"/>
      <w:r>
        <w:rPr>
          <w:b w:val="0"/>
          <w:bCs w:val="0"/>
        </w:rPr>
      </w:r>
      <w:r>
        <w:rPr/>
        <w:t>九、内部控制情况</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报告期内发现的内部控制重大缺陷的具体情况" w:id="151"/>
      <w:bookmarkEnd w:id="151"/>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内控自我评价报告" w:id="152"/>
      <w:bookmarkEnd w:id="152"/>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95"/>
        <w:gridCol w:w="3322"/>
        <w:gridCol w:w="3053"/>
      </w:tblGrid>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r>
              <w:rPr>
                <w:rFonts w:ascii="宋体" w:hAnsi="宋体" w:cs="宋体" w:eastAsia="宋体" w:hint="default"/>
                <w:spacing w:val="-1"/>
                <w:sz w:val="18"/>
                <w:szCs w:val="18"/>
              </w:rPr>
              <w:t> </w:t>
            </w:r>
            <w:r>
              <w:rPr>
                <w:rFonts w:ascii="宋体" w:hAnsi="宋体" w:cs="宋体" w:eastAsia="宋体" w:hint="default"/>
                <w:sz w:val="18"/>
                <w:szCs w:val="18"/>
              </w:rPr>
              <w:t>深大通</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年内部控制评价报告</w:t>
            </w:r>
            <w:r>
              <w:rPr>
                <w:rFonts w:ascii="宋体" w:hAnsi="宋体" w:cs="宋体" w:eastAsia="宋体" w:hint="default"/>
                <w:spacing w:val="87"/>
                <w:sz w:val="18"/>
                <w:szCs w:val="18"/>
              </w:rPr>
              <w:t> </w:t>
            </w:r>
            <w:r>
              <w:rPr>
                <w:rFonts w:ascii="宋体" w:hAnsi="宋体" w:cs="宋体" w:eastAsia="宋体" w:hint="default"/>
                <w:sz w:val="18"/>
                <w:szCs w:val="18"/>
              </w:rPr>
              <w:t>巨潮资讯网</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00"/>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 并财务报表资产总额的比例</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200"/>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 并财务报表营业收入的比例</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r>
      <w:tr>
        <w:trPr>
          <w:trHeight w:val="404" w:hRule="exact"/>
        </w:trPr>
        <w:tc>
          <w:tcPr>
            <w:tcW w:w="957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922"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7"/>
              <w:jc w:val="left"/>
              <w:rPr>
                <w:rFonts w:ascii="宋体" w:hAnsi="宋体" w:cs="宋体" w:eastAsia="宋体" w:hint="default"/>
                <w:sz w:val="18"/>
                <w:szCs w:val="18"/>
              </w:rPr>
            </w:pPr>
            <w:r>
              <w:rPr>
                <w:rFonts w:ascii="宋体" w:hAnsi="宋体" w:cs="宋体" w:eastAsia="宋体" w:hint="default"/>
                <w:sz w:val="18"/>
                <w:szCs w:val="18"/>
              </w:rPr>
              <w:t>重大缺陷可能存在的迹象：公司董事、 监事和高级管理人员存在舞弊行为，给 公司形象带来负面影响；外部审计师发 现当期财务报表存在重大错报，而公司 内部控制在运行过程中未能发现该错 报；重大偏离年度预算。除重大缺陷以</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99"/>
              <w:jc w:val="left"/>
              <w:rPr>
                <w:rFonts w:ascii="宋体" w:hAnsi="宋体" w:cs="宋体" w:eastAsia="宋体" w:hint="default"/>
                <w:sz w:val="18"/>
                <w:szCs w:val="18"/>
              </w:rPr>
            </w:pPr>
            <w:r>
              <w:rPr>
                <w:rFonts w:ascii="宋体" w:hAnsi="宋体" w:cs="宋体" w:eastAsia="宋体" w:hint="default"/>
                <w:spacing w:val="-6"/>
                <w:sz w:val="18"/>
                <w:szCs w:val="18"/>
              </w:rPr>
              <w:t>重大缺陷可能存在的迹象：“三重一</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大”事项未经过集体决策程序；某个</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业务领域频繁地发生相似的重大诉 </w:t>
            </w:r>
            <w:r>
              <w:rPr>
                <w:rFonts w:ascii="宋体" w:hAnsi="宋体" w:cs="宋体" w:eastAsia="宋体" w:hint="default"/>
                <w:spacing w:val="-3"/>
                <w:sz w:val="18"/>
                <w:szCs w:val="18"/>
              </w:rPr>
              <w:t>讼案件；企业发生重大损失，持续经</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3"/>
                <w:sz w:val="18"/>
                <w:szCs w:val="18"/>
              </w:rPr>
              <w:t>营受到挑战等。除重大缺陷以外，根</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据缺陷重要程度划分为重要缺陷和</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194"/>
        <w:gridCol w:w="3322"/>
        <w:gridCol w:w="3053"/>
      </w:tblGrid>
      <w:tr>
        <w:trPr>
          <w:trHeight w:val="2235"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8"/>
              <w:ind w:left="103" w:right="11"/>
              <w:jc w:val="left"/>
              <w:rPr>
                <w:rFonts w:ascii="宋体" w:hAnsi="宋体" w:cs="宋体" w:eastAsia="宋体" w:hint="default"/>
                <w:sz w:val="18"/>
                <w:szCs w:val="18"/>
              </w:rPr>
            </w:pPr>
            <w:r>
              <w:rPr>
                <w:rFonts w:ascii="宋体" w:hAnsi="宋体" w:cs="宋体" w:eastAsia="宋体" w:hint="default"/>
                <w:sz w:val="18"/>
                <w:szCs w:val="18"/>
              </w:rPr>
              <w:t>外，根据缺陷重要程度划分为重要缺陷 </w:t>
            </w:r>
            <w:r>
              <w:rPr>
                <w:rFonts w:ascii="宋体" w:hAnsi="宋体" w:cs="宋体" w:eastAsia="宋体" w:hint="default"/>
                <w:spacing w:val="-5"/>
                <w:sz w:val="18"/>
                <w:szCs w:val="18"/>
              </w:rPr>
              <w:t>和一般缺陷，考虑以下因素：（</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）是否</w:t>
            </w:r>
            <w:r>
              <w:rPr>
                <w:rFonts w:ascii="宋体" w:hAnsi="宋体" w:cs="宋体" w:eastAsia="宋体" w:hint="default"/>
                <w:sz w:val="18"/>
                <w:szCs w:val="18"/>
              </w:rPr>
              <w:t> </w:t>
            </w:r>
            <w:r>
              <w:rPr>
                <w:rFonts w:ascii="宋体" w:hAnsi="宋体" w:cs="宋体" w:eastAsia="宋体" w:hint="default"/>
                <w:spacing w:val="-6"/>
                <w:sz w:val="18"/>
                <w:szCs w:val="18"/>
              </w:rPr>
              <w:t>涉及任何舞弊行为；（</w:t>
            </w: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）是否存在会计</w:t>
            </w:r>
            <w:r>
              <w:rPr>
                <w:rFonts w:ascii="宋体" w:hAnsi="宋体" w:cs="宋体" w:eastAsia="宋体" w:hint="default"/>
                <w:spacing w:val="-73"/>
                <w:sz w:val="18"/>
                <w:szCs w:val="18"/>
              </w:rPr>
              <w:t> </w:t>
            </w:r>
            <w:r>
              <w:rPr>
                <w:rFonts w:ascii="宋体" w:hAnsi="宋体" w:cs="宋体" w:eastAsia="宋体" w:hint="default"/>
                <w:spacing w:val="-6"/>
                <w:sz w:val="18"/>
                <w:szCs w:val="18"/>
              </w:rPr>
              <w:t>基础缺陷；（</w:t>
            </w: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）确定缺陷所引起相关金</w:t>
            </w:r>
            <w:r>
              <w:rPr>
                <w:rFonts w:ascii="宋体" w:hAnsi="宋体" w:cs="宋体" w:eastAsia="宋体" w:hint="default"/>
                <w:spacing w:val="-73"/>
                <w:sz w:val="18"/>
                <w:szCs w:val="18"/>
              </w:rPr>
              <w:t> </w:t>
            </w:r>
            <w:r>
              <w:rPr>
                <w:rFonts w:ascii="宋体" w:hAnsi="宋体" w:cs="宋体" w:eastAsia="宋体" w:hint="default"/>
                <w:sz w:val="18"/>
                <w:szCs w:val="18"/>
              </w:rPr>
              <w:t>额时所需判断的主观程度、复杂程度和 </w:t>
            </w:r>
            <w:r>
              <w:rPr>
                <w:rFonts w:ascii="宋体" w:hAnsi="宋体" w:cs="宋体" w:eastAsia="宋体" w:hint="default"/>
                <w:spacing w:val="-20"/>
                <w:sz w:val="18"/>
                <w:szCs w:val="18"/>
              </w:rPr>
              <w:t>范围；（</w:t>
            </w:r>
            <w:r>
              <w:rPr>
                <w:rFonts w:ascii="Times New Roman" w:hAnsi="Times New Roman" w:cs="Times New Roman" w:eastAsia="Times New Roman" w:hint="default"/>
                <w:spacing w:val="-20"/>
                <w:sz w:val="18"/>
                <w:szCs w:val="18"/>
              </w:rPr>
              <w:t>4</w:t>
            </w:r>
            <w:r>
              <w:rPr>
                <w:rFonts w:ascii="宋体" w:hAnsi="宋体" w:cs="宋体" w:eastAsia="宋体" w:hint="default"/>
                <w:spacing w:val="-20"/>
                <w:sz w:val="18"/>
                <w:szCs w:val="18"/>
              </w:rPr>
              <w:t>）控制缺陷之间的相互作用；（</w:t>
            </w:r>
            <w:r>
              <w:rPr>
                <w:rFonts w:ascii="Times New Roman" w:hAnsi="Times New Roman" w:cs="Times New Roman" w:eastAsia="Times New Roman" w:hint="default"/>
                <w:spacing w:val="-20"/>
                <w:sz w:val="18"/>
                <w:szCs w:val="18"/>
              </w:rPr>
              <w:t>5</w:t>
            </w:r>
            <w:r>
              <w:rPr>
                <w:rFonts w:ascii="宋体" w:hAnsi="宋体" w:cs="宋体" w:eastAsia="宋体" w:hint="default"/>
                <w:spacing w:val="-20"/>
                <w:sz w:val="18"/>
                <w:szCs w:val="18"/>
              </w:rPr>
              <w:t>）</w:t>
            </w:r>
            <w:r>
              <w:rPr>
                <w:rFonts w:ascii="宋体" w:hAnsi="宋体" w:cs="宋体" w:eastAsia="宋体" w:hint="default"/>
                <w:spacing w:val="-75"/>
                <w:sz w:val="18"/>
                <w:szCs w:val="18"/>
              </w:rPr>
              <w:t> </w:t>
            </w:r>
            <w:r>
              <w:rPr>
                <w:rFonts w:ascii="宋体" w:hAnsi="宋体" w:cs="宋体" w:eastAsia="宋体" w:hint="default"/>
                <w:sz w:val="18"/>
                <w:szCs w:val="18"/>
              </w:rPr>
              <w:t>控制缺陷在未来可能产生的影响等。</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8"/>
              <w:ind w:left="105" w:right="98"/>
              <w:jc w:val="left"/>
              <w:rPr>
                <w:rFonts w:ascii="宋体" w:hAnsi="宋体" w:cs="宋体" w:eastAsia="宋体" w:hint="default"/>
                <w:sz w:val="18"/>
                <w:szCs w:val="18"/>
              </w:rPr>
            </w:pPr>
            <w:r>
              <w:rPr>
                <w:rFonts w:ascii="宋体" w:hAnsi="宋体" w:cs="宋体" w:eastAsia="宋体" w:hint="default"/>
                <w:spacing w:val="-8"/>
                <w:sz w:val="18"/>
                <w:szCs w:val="18"/>
              </w:rPr>
              <w:t>一般缺陷，考虑以下因素：（</w:t>
            </w: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）是否</w:t>
            </w:r>
            <w:r>
              <w:rPr>
                <w:rFonts w:ascii="宋体" w:hAnsi="宋体" w:cs="宋体" w:eastAsia="宋体" w:hint="default"/>
                <w:sz w:val="18"/>
                <w:szCs w:val="18"/>
              </w:rPr>
              <w:t> </w:t>
            </w:r>
            <w:r>
              <w:rPr>
                <w:rFonts w:ascii="宋体" w:hAnsi="宋体" w:cs="宋体" w:eastAsia="宋体" w:hint="default"/>
                <w:spacing w:val="-9"/>
                <w:sz w:val="18"/>
                <w:szCs w:val="18"/>
              </w:rPr>
              <w:t>涉及任何舞弊行为；（</w:t>
            </w: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）确定缺陷所</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引起相关金额时所需判断的主观程 </w:t>
            </w:r>
            <w:r>
              <w:rPr>
                <w:rFonts w:ascii="宋体" w:hAnsi="宋体" w:cs="宋体" w:eastAsia="宋体" w:hint="default"/>
                <w:spacing w:val="-9"/>
                <w:sz w:val="18"/>
                <w:szCs w:val="18"/>
              </w:rPr>
              <w:t>度、复杂程度和范围；（</w:t>
            </w: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）控制缺陷</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pacing w:val="-9"/>
                <w:sz w:val="18"/>
                <w:szCs w:val="18"/>
              </w:rPr>
              <w:t>之间的相互作用；（</w:t>
            </w:r>
            <w:r>
              <w:rPr>
                <w:rFonts w:ascii="Times New Roman" w:hAnsi="Times New Roman" w:cs="Times New Roman" w:eastAsia="Times New Roman" w:hint="default"/>
                <w:spacing w:val="-9"/>
                <w:sz w:val="18"/>
                <w:szCs w:val="18"/>
              </w:rPr>
              <w:t>4</w:t>
            </w:r>
            <w:r>
              <w:rPr>
                <w:rFonts w:ascii="宋体" w:hAnsi="宋体" w:cs="宋体" w:eastAsia="宋体" w:hint="default"/>
                <w:spacing w:val="-9"/>
                <w:sz w:val="18"/>
                <w:szCs w:val="18"/>
              </w:rPr>
              <w:t>）控制缺陷在未</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来可能产生的影响等。</w:t>
            </w:r>
          </w:p>
        </w:tc>
      </w:tr>
      <w:tr>
        <w:trPr>
          <w:trHeight w:val="227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2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103" w:right="41"/>
              <w:jc w:val="left"/>
              <w:rPr>
                <w:rFonts w:ascii="宋体" w:hAnsi="宋体" w:cs="宋体" w:eastAsia="宋体" w:hint="default"/>
                <w:sz w:val="18"/>
                <w:szCs w:val="18"/>
              </w:rPr>
            </w:pPr>
            <w:r>
              <w:rPr>
                <w:rFonts w:ascii="宋体" w:hAnsi="宋体" w:cs="宋体" w:eastAsia="宋体" w:hint="default"/>
                <w:sz w:val="18"/>
                <w:szCs w:val="18"/>
              </w:rPr>
              <w:t>根据内控缺陷对财务报表错报影响金 额，与公司上一年度合并财务报表净利 润关联衡量：缺陷影响金额超过合并净 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的，为重大缺陷；介于合并净 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5%-10%</w:t>
            </w:r>
            <w:r>
              <w:rPr>
                <w:rFonts w:ascii="宋体" w:hAnsi="宋体" w:cs="宋体" w:eastAsia="宋体" w:hint="default"/>
                <w:sz w:val="18"/>
                <w:szCs w:val="18"/>
              </w:rPr>
              <w:t>（含</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）之间的，为重 要缺陷；小于或等于合并净利润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 为一般缺陷。</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07" w:lineRule="auto"/>
              <w:ind w:left="105" w:right="12"/>
              <w:jc w:val="left"/>
              <w:rPr>
                <w:rFonts w:ascii="宋体" w:hAnsi="宋体" w:cs="宋体" w:eastAsia="宋体" w:hint="default"/>
                <w:sz w:val="18"/>
                <w:szCs w:val="18"/>
              </w:rPr>
            </w:pPr>
            <w:r>
              <w:rPr>
                <w:rFonts w:ascii="宋体" w:hAnsi="宋体" w:cs="宋体" w:eastAsia="宋体" w:hint="default"/>
                <w:sz w:val="18"/>
                <w:szCs w:val="18"/>
              </w:rPr>
              <w:t>根据内部控制缺陷导致的损失金额 </w:t>
            </w:r>
            <w:r>
              <w:rPr>
                <w:rFonts w:ascii="宋体" w:hAnsi="宋体" w:cs="宋体" w:eastAsia="宋体" w:hint="default"/>
                <w:spacing w:val="-5"/>
                <w:sz w:val="18"/>
                <w:szCs w:val="18"/>
              </w:rPr>
              <w:t>衡量：损失金额超过合并净利润</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的，为重大缺陷；介于合并净利润 </w:t>
            </w:r>
            <w:r>
              <w:rPr>
                <w:rFonts w:ascii="Times New Roman" w:hAnsi="Times New Roman" w:cs="Times New Roman" w:eastAsia="Times New Roman" w:hint="default"/>
                <w:sz w:val="18"/>
                <w:szCs w:val="18"/>
              </w:rPr>
              <w:t>5%-10%</w:t>
            </w:r>
            <w:r>
              <w:rPr>
                <w:rFonts w:ascii="宋体" w:hAnsi="宋体" w:cs="宋体" w:eastAsia="宋体" w:hint="default"/>
                <w:sz w:val="18"/>
                <w:szCs w:val="18"/>
              </w:rPr>
              <w:t>（含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）之间的，为重要 </w:t>
            </w:r>
            <w:r>
              <w:rPr>
                <w:rFonts w:ascii="宋体" w:hAnsi="宋体" w:cs="宋体" w:eastAsia="宋体" w:hint="default"/>
                <w:spacing w:val="-5"/>
                <w:sz w:val="18"/>
                <w:szCs w:val="18"/>
              </w:rPr>
              <w:t>缺陷；小于或等于合并净利润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的， 为一般缺陷。</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1"/>
        <w:rPr>
          <w:rFonts w:ascii="宋体" w:hAnsi="宋体" w:cs="宋体" w:eastAsia="宋体" w:hint="default"/>
          <w:b/>
          <w:bCs/>
          <w:sz w:val="18"/>
          <w:szCs w:val="18"/>
        </w:rPr>
      </w:pPr>
    </w:p>
    <w:p>
      <w:pPr>
        <w:pStyle w:val="Heading2"/>
        <w:spacing w:line="240" w:lineRule="auto" w:before="26"/>
        <w:ind w:right="986"/>
        <w:jc w:val="left"/>
        <w:rPr>
          <w:b w:val="0"/>
          <w:bCs w:val="0"/>
        </w:rPr>
      </w:pPr>
      <w:bookmarkStart w:name="十、内部控制审计报告" w:id="153"/>
      <w:bookmarkEnd w:id="153"/>
      <w:r>
        <w:rPr>
          <w:b w:val="0"/>
          <w:bCs w:val="0"/>
        </w:rPr>
      </w:r>
      <w:r>
        <w:rPr/>
        <w:t>十、内部控制审计报告</w:t>
      </w:r>
      <w:r>
        <w:rPr>
          <w:b w:val="0"/>
          <w:bCs w:val="0"/>
        </w:rPr>
      </w:r>
    </w:p>
    <w:p>
      <w:pPr>
        <w:spacing w:line="240" w:lineRule="auto" w:before="6"/>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661"/>
        <w:gridCol w:w="6908"/>
      </w:tblGrid>
      <w:tr>
        <w:trPr>
          <w:trHeight w:val="401" w:hRule="exact"/>
        </w:trPr>
        <w:tc>
          <w:tcPr>
            <w:tcW w:w="95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715" w:hRule="exact"/>
        </w:trPr>
        <w:tc>
          <w:tcPr>
            <w:tcW w:w="9570"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2" w:right="183"/>
              <w:jc w:val="left"/>
              <w:rPr>
                <w:rFonts w:ascii="宋体" w:hAnsi="宋体" w:cs="宋体" w:eastAsia="宋体" w:hint="default"/>
                <w:sz w:val="18"/>
                <w:szCs w:val="18"/>
              </w:rPr>
            </w:pPr>
            <w:r>
              <w:rPr>
                <w:rFonts w:ascii="宋体" w:hAnsi="宋体" w:cs="宋体" w:eastAsia="宋体" w:hint="default"/>
                <w:sz w:val="18"/>
                <w:szCs w:val="18"/>
              </w:rPr>
              <w:t>我们认为，深大通公司按照《企业内部控制基本规范》和相关规定于</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日在所有重大方面保持了与财务 报告相关的有效的内部控制。</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内控审计报告披露情况</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715"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07"/>
              <w:jc w:val="left"/>
              <w:rPr>
                <w:rFonts w:ascii="宋体" w:hAnsi="宋体" w:cs="宋体" w:eastAsia="宋体" w:hint="default"/>
                <w:sz w:val="18"/>
                <w:szCs w:val="18"/>
              </w:rPr>
            </w:pPr>
            <w:r>
              <w:rPr>
                <w:rFonts w:ascii="宋体" w:hAnsi="宋体" w:cs="宋体" w:eastAsia="宋体" w:hint="default"/>
                <w:sz w:val="18"/>
                <w:szCs w:val="18"/>
              </w:rPr>
              <w:t>内部控制审计报告全文披露日 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r>
      <w:tr>
        <w:trPr>
          <w:trHeight w:val="71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207"/>
              <w:jc w:val="left"/>
              <w:rPr>
                <w:rFonts w:ascii="宋体" w:hAnsi="宋体" w:cs="宋体" w:eastAsia="宋体" w:hint="default"/>
                <w:sz w:val="18"/>
                <w:szCs w:val="18"/>
              </w:rPr>
            </w:pPr>
            <w:r>
              <w:rPr>
                <w:rFonts w:ascii="宋体" w:hAnsi="宋体" w:cs="宋体" w:eastAsia="宋体" w:hint="default"/>
                <w:sz w:val="18"/>
                <w:szCs w:val="18"/>
              </w:rPr>
              <w:t>内部控制审计报告全文披露索 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r>
              <w:rPr>
                <w:rFonts w:ascii="宋体" w:hAnsi="宋体" w:cs="宋体" w:eastAsia="宋体" w:hint="default"/>
                <w:spacing w:val="-4"/>
                <w:sz w:val="18"/>
                <w:szCs w:val="18"/>
              </w:rPr>
              <w:t> </w:t>
            </w:r>
            <w:r>
              <w:rPr>
                <w:rFonts w:ascii="宋体" w:hAnsi="宋体" w:cs="宋体" w:eastAsia="宋体" w:hint="default"/>
                <w:sz w:val="18"/>
                <w:szCs w:val="18"/>
              </w:rPr>
              <w:t>内控审计报告</w:t>
            </w:r>
            <w:r>
              <w:rPr>
                <w:rFonts w:ascii="宋体" w:hAnsi="宋体" w:cs="宋体" w:eastAsia="宋体" w:hint="default"/>
                <w:spacing w:val="-1"/>
                <w:sz w:val="18"/>
                <w:szCs w:val="18"/>
              </w:rPr>
              <w:t> </w:t>
            </w:r>
            <w:r>
              <w:rPr>
                <w:rFonts w:ascii="宋体" w:hAnsi="宋体" w:cs="宋体" w:eastAsia="宋体" w:hint="default"/>
                <w:sz w:val="18"/>
                <w:szCs w:val="18"/>
              </w:rPr>
              <w:t>巨潮资讯网</w:t>
            </w:r>
          </w:p>
        </w:tc>
      </w:tr>
      <w:tr>
        <w:trPr>
          <w:trHeight w:val="403"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内控审计报告意见类型</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标准无保留意见</w:t>
            </w:r>
          </w:p>
        </w:tc>
      </w:tr>
      <w:tr>
        <w:trPr>
          <w:trHeight w:val="401" w:hRule="exact"/>
        </w:trPr>
        <w:tc>
          <w:tcPr>
            <w:tcW w:w="2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986"/>
        <w:jc w:val="left"/>
      </w:pPr>
      <w:r>
        <w:rPr/>
        <w:t>会计师事务所是否出具非标准意见的内部控制审计报告</w:t>
      </w:r>
    </w:p>
    <w:p>
      <w:pPr>
        <w:pStyle w:val="BodyText"/>
        <w:spacing w:line="357" w:lineRule="auto" w:before="117"/>
        <w:ind w:right="4634"/>
        <w:jc w:val="left"/>
      </w:pPr>
      <w:r>
        <w:rPr/>
        <w:t>□ 是 √</w:t>
      </w:r>
      <w:r>
        <w:rPr>
          <w:spacing w:val="3"/>
        </w:rPr>
        <w:t> </w:t>
      </w:r>
      <w:r>
        <w:rPr/>
        <w:t>否</w:t>
      </w:r>
      <w:r>
        <w:rPr/>
        <w:t> 会计师事务所出具的内部控制审计报告与董事会的自我评价报告意见是否一致</w:t>
      </w:r>
    </w:p>
    <w:p>
      <w:pPr>
        <w:pStyle w:val="BodyText"/>
        <w:spacing w:line="240" w:lineRule="auto" w:before="29"/>
        <w:ind w:right="986"/>
        <w:jc w:val="left"/>
      </w:pPr>
      <w:r>
        <w:rPr/>
        <w:t>√ 是 □</w:t>
      </w:r>
      <w:r>
        <w:rPr>
          <w:spacing w:val="3"/>
        </w:rPr>
        <w:t> </w:t>
      </w:r>
      <w:r>
        <w:rPr/>
        <w:t>否</w:t>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005" w:right="986"/>
        <w:jc w:val="left"/>
        <w:rPr>
          <w:b w:val="0"/>
          <w:bCs w:val="0"/>
        </w:rPr>
      </w:pPr>
      <w:bookmarkStart w:name="第十一节公司债券相关情况" w:id="154"/>
      <w:bookmarkEnd w:id="154"/>
      <w:r>
        <w:rPr>
          <w:b w:val="0"/>
          <w:bCs w:val="0"/>
        </w:rPr>
      </w:r>
      <w:bookmarkStart w:name="_bookmark10" w:id="155"/>
      <w:bookmarkEnd w:id="155"/>
      <w:r>
        <w:rPr>
          <w:b w:val="0"/>
          <w:bCs w:val="0"/>
        </w:rPr>
      </w:r>
      <w:r>
        <w:rPr/>
        <w:t>第十一节公司债券相关情况</w:t>
      </w:r>
      <w:r>
        <w:rPr>
          <w:b w:val="0"/>
          <w:bCs w:val="0"/>
        </w:rPr>
      </w:r>
    </w:p>
    <w:p>
      <w:pPr>
        <w:spacing w:line="240" w:lineRule="auto" w:before="9"/>
        <w:rPr>
          <w:rFonts w:ascii="宋体" w:hAnsi="宋体" w:cs="宋体" w:eastAsia="宋体" w:hint="default"/>
          <w:b/>
          <w:bCs/>
          <w:sz w:val="42"/>
          <w:szCs w:val="42"/>
        </w:rPr>
      </w:pPr>
    </w:p>
    <w:p>
      <w:pPr>
        <w:pStyle w:val="BodyText"/>
        <w:spacing w:line="357" w:lineRule="auto" w:before="0"/>
        <w:ind w:right="2114"/>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906" w:footer="1021" w:top="1100" w:bottom="1220" w:left="102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7"/>
          <w:szCs w:val="17"/>
        </w:rPr>
      </w:pPr>
    </w:p>
    <w:p>
      <w:pPr>
        <w:pStyle w:val="Heading1"/>
        <w:spacing w:line="240" w:lineRule="auto"/>
        <w:ind w:left="3567" w:right="986"/>
        <w:jc w:val="left"/>
        <w:rPr>
          <w:b w:val="0"/>
          <w:bCs w:val="0"/>
        </w:rPr>
      </w:pPr>
      <w:bookmarkStart w:name="第十二节 财务报告" w:id="156"/>
      <w:bookmarkEnd w:id="156"/>
      <w:r>
        <w:rPr>
          <w:b w:val="0"/>
          <w:bCs w:val="0"/>
        </w:rPr>
      </w:r>
      <w:bookmarkStart w:name="_bookmark11" w:id="157"/>
      <w:bookmarkEnd w:id="157"/>
      <w:r>
        <w:rPr>
          <w:b w:val="0"/>
          <w:bCs w:val="0"/>
        </w:rPr>
      </w:r>
      <w:r>
        <w:rPr/>
        <w:t>第十二节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before="26"/>
        <w:ind w:right="986"/>
        <w:jc w:val="left"/>
        <w:rPr>
          <w:b w:val="0"/>
          <w:bCs w:val="0"/>
        </w:rPr>
      </w:pPr>
      <w:bookmarkStart w:name="一、审计报告" w:id="158"/>
      <w:bookmarkEnd w:id="158"/>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中兴财光华会计师事务所（特殊普通合伙）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中兴财光华审会字（</w:t>
            </w:r>
            <w:r>
              <w:rPr>
                <w:rFonts w:ascii="Times New Roman" w:hAnsi="Times New Roman" w:cs="Times New Roman" w:eastAsia="Times New Roman" w:hint="default"/>
                <w:sz w:val="18"/>
                <w:szCs w:val="18"/>
              </w:rPr>
              <w:t>2020</w:t>
            </w:r>
            <w:r>
              <w:rPr>
                <w:rFonts w:ascii="宋体" w:hAnsi="宋体" w:cs="宋体" w:eastAsia="宋体" w:hint="default"/>
                <w:sz w:val="18"/>
                <w:szCs w:val="18"/>
              </w:rPr>
              <w:t>）第</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105012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齐正华、王雅栋</w:t>
            </w:r>
          </w:p>
        </w:tc>
      </w:tr>
    </w:tbl>
    <w:p>
      <w:pPr>
        <w:pStyle w:val="BodyText"/>
        <w:spacing w:line="240" w:lineRule="auto" w:before="49"/>
        <w:ind w:left="2744" w:right="3762"/>
        <w:jc w:val="center"/>
      </w:pPr>
      <w:r>
        <w:rPr/>
        <w:t>审计报告正文</w:t>
      </w:r>
    </w:p>
    <w:p>
      <w:pPr>
        <w:pStyle w:val="BodyText"/>
        <w:spacing w:line="240" w:lineRule="auto" w:before="115"/>
        <w:ind w:right="986"/>
        <w:jc w:val="left"/>
      </w:pPr>
      <w:r>
        <w:rPr/>
        <w:t>深圳大通实业股份有限公司全体股东：</w:t>
      </w:r>
    </w:p>
    <w:p>
      <w:pPr>
        <w:spacing w:line="240" w:lineRule="auto" w:before="4"/>
        <w:rPr>
          <w:rFonts w:ascii="宋体" w:hAnsi="宋体" w:cs="宋体" w:eastAsia="宋体" w:hint="default"/>
          <w:sz w:val="26"/>
          <w:szCs w:val="26"/>
        </w:rPr>
      </w:pPr>
    </w:p>
    <w:p>
      <w:pPr>
        <w:pStyle w:val="BodyText"/>
        <w:spacing w:line="240" w:lineRule="auto"/>
        <w:ind w:right="986"/>
        <w:jc w:val="left"/>
      </w:pPr>
      <w:r>
        <w:rPr/>
        <w:t>一、审计意见</w:t>
      </w:r>
    </w:p>
    <w:p>
      <w:pPr>
        <w:pStyle w:val="BodyText"/>
        <w:spacing w:line="316" w:lineRule="auto" w:before="76"/>
        <w:ind w:right="1120"/>
        <w:jc w:val="left"/>
      </w:pPr>
      <w:r>
        <w:rPr>
          <w:spacing w:val="-5"/>
        </w:rPr>
        <w:t>我们审计了深圳大通实业股份有限公司（以下简称深大通公司）财务报表，包括</w:t>
      </w:r>
      <w:r>
        <w:rPr>
          <w:spacing w:val="-1"/>
        </w:rPr>
        <w:t> </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日的合并及公司资产负债表， </w:t>
      </w:r>
      <w:r>
        <w:rPr>
          <w:rFonts w:ascii="宋体" w:hAnsi="宋体" w:cs="宋体" w:eastAsia="宋体" w:hint="default"/>
        </w:rPr>
        <w:t>2019</w:t>
      </w:r>
      <w:r>
        <w:rPr/>
        <w:t>年度的合并及公司利润表、合并及公司现金流量表、合并及公司股东权益变动表以及财务报表附注。 </w:t>
      </w:r>
      <w:r>
        <w:rPr>
          <w:spacing w:val="-2"/>
        </w:rPr>
        <w:t>我们认为，后附的财务报表在所有重大方面按照企业会计准则的规定编制，公允反映了深大通公司</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w:t>
      </w:r>
      <w:r>
        <w:rPr>
          <w:spacing w:val="-58"/>
        </w:rPr>
        <w:t> </w:t>
      </w:r>
      <w:r>
        <w:rPr>
          <w:spacing w:val="-58"/>
        </w:rPr>
      </w:r>
      <w:r>
        <w:rPr/>
        <w:t>公司财务状况以及</w:t>
      </w:r>
      <w:r>
        <w:rPr>
          <w:rFonts w:ascii="宋体" w:hAnsi="宋体" w:cs="宋体" w:eastAsia="宋体" w:hint="default"/>
        </w:rPr>
        <w:t>2019</w:t>
      </w:r>
      <w:r>
        <w:rPr/>
        <w:t>年度的合并及公司经营成果和现金流量。</w:t>
      </w:r>
    </w:p>
    <w:p>
      <w:pPr>
        <w:spacing w:line="240" w:lineRule="auto" w:before="4"/>
        <w:rPr>
          <w:rFonts w:ascii="宋体" w:hAnsi="宋体" w:cs="宋体" w:eastAsia="宋体" w:hint="default"/>
          <w:sz w:val="25"/>
          <w:szCs w:val="25"/>
        </w:rPr>
      </w:pPr>
    </w:p>
    <w:p>
      <w:pPr>
        <w:pStyle w:val="BodyText"/>
        <w:spacing w:line="319" w:lineRule="auto" w:before="0"/>
        <w:ind w:right="986"/>
        <w:jc w:val="left"/>
      </w:pPr>
      <w:r>
        <w:rPr/>
        <w:t>二、形成审计意见的基础 </w:t>
      </w:r>
      <w:r>
        <w:rPr>
          <w:spacing w:val="-2"/>
        </w:rPr>
        <w:t>我们按照中国注册会计师审计准则的规定执行了审计工作。审计报告的“注册会计师对财务报表审计的责任”部分进一步阐</w:t>
      </w:r>
      <w:r>
        <w:rPr>
          <w:spacing w:val="-63"/>
        </w:rPr>
        <w:t> </w:t>
      </w:r>
      <w:r>
        <w:rPr>
          <w:spacing w:val="-63"/>
        </w:rPr>
      </w:r>
      <w:r>
        <w:rPr>
          <w:spacing w:val="-2"/>
        </w:rPr>
        <w:t>述了我们在这些准则下的责任。按照中国注册会计师职业道德守则，我们独立于深大通公司，并履行了职业道德方面的其他</w:t>
      </w:r>
      <w:r>
        <w:rPr>
          <w:spacing w:val="-63"/>
        </w:rPr>
        <w:t> </w:t>
      </w:r>
      <w:r>
        <w:rPr>
          <w:spacing w:val="-63"/>
        </w:rPr>
      </w:r>
      <w:r>
        <w:rPr/>
        <w:t>责任。我们相信，我们获取的审计证据是充分、适当的，为发表审计意见提供了基础。</w:t>
      </w:r>
    </w:p>
    <w:p>
      <w:pPr>
        <w:spacing w:line="240" w:lineRule="auto" w:before="2"/>
        <w:rPr>
          <w:rFonts w:ascii="宋体" w:hAnsi="宋体" w:cs="宋体" w:eastAsia="宋体" w:hint="default"/>
          <w:sz w:val="25"/>
          <w:szCs w:val="25"/>
        </w:rPr>
      </w:pPr>
    </w:p>
    <w:p>
      <w:pPr>
        <w:pStyle w:val="BodyText"/>
        <w:spacing w:line="240" w:lineRule="auto" w:before="0"/>
        <w:ind w:right="986"/>
        <w:jc w:val="left"/>
      </w:pPr>
      <w:r>
        <w:rPr/>
        <w:t>三、其他事项</w:t>
      </w:r>
    </w:p>
    <w:p>
      <w:pPr>
        <w:spacing w:line="240" w:lineRule="auto" w:before="0"/>
        <w:rPr>
          <w:rFonts w:ascii="宋体" w:hAnsi="宋体" w:cs="宋体" w:eastAsia="宋体" w:hint="default"/>
          <w:sz w:val="18"/>
          <w:szCs w:val="18"/>
        </w:rPr>
      </w:pPr>
    </w:p>
    <w:p>
      <w:pPr>
        <w:pStyle w:val="BodyText"/>
        <w:spacing w:line="316" w:lineRule="auto" w:before="153"/>
        <w:ind w:right="1129"/>
        <w:jc w:val="both"/>
      </w:pPr>
      <w:r>
        <w:rPr>
          <w:rFonts w:ascii="宋体" w:hAnsi="宋体" w:cs="宋体" w:eastAsia="宋体" w:hint="default"/>
          <w:spacing w:val="-2"/>
        </w:rPr>
        <w:t>2018</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日的合并及公司资产负债表，</w:t>
      </w:r>
      <w:r>
        <w:rPr>
          <w:rFonts w:ascii="宋体" w:hAnsi="宋体" w:cs="宋体" w:eastAsia="宋体" w:hint="default"/>
          <w:spacing w:val="-2"/>
        </w:rPr>
        <w:t>2018</w:t>
      </w:r>
      <w:r>
        <w:rPr>
          <w:spacing w:val="-2"/>
        </w:rPr>
        <w:t>年度的合并及公司利润表、合并及公司现金流量表、合并及公司股东权益变</w:t>
      </w:r>
      <w:r>
        <w:rPr>
          <w:spacing w:val="-57"/>
        </w:rPr>
        <w:t> </w:t>
      </w:r>
      <w:r>
        <w:rPr>
          <w:spacing w:val="-57"/>
        </w:rPr>
      </w:r>
      <w:r>
        <w:rPr>
          <w:spacing w:val="-5"/>
        </w:rPr>
        <w:t>动表以及财务报表附注由中汇会计师事务所（特殊普通合伙）进行了审计，</w:t>
      </w:r>
      <w:r>
        <w:rPr>
          <w:rFonts w:ascii="宋体" w:hAnsi="宋体" w:cs="宋体" w:eastAsia="宋体" w:hint="default"/>
          <w:spacing w:val="-5"/>
        </w:rPr>
        <w:t>2019</w:t>
      </w:r>
      <w:r>
        <w:rPr>
          <w:rFonts w:ascii="宋体" w:hAnsi="宋体" w:cs="宋体" w:eastAsia="宋体" w:hint="default"/>
        </w:rPr>
        <w:t> </w:t>
      </w:r>
      <w:r>
        <w:rPr/>
        <w:t>年 </w:t>
      </w:r>
      <w:r>
        <w:rPr>
          <w:rFonts w:ascii="宋体" w:hAnsi="宋体" w:cs="宋体" w:eastAsia="宋体" w:hint="default"/>
        </w:rPr>
        <w:t>4 </w:t>
      </w:r>
      <w:r>
        <w:rPr/>
        <w:t>月 </w:t>
      </w:r>
      <w:r>
        <w:rPr>
          <w:rFonts w:ascii="宋体" w:hAnsi="宋体" w:cs="宋体" w:eastAsia="宋体" w:hint="default"/>
          <w:spacing w:val="-1"/>
        </w:rPr>
        <w:t>29</w:t>
      </w:r>
      <w:r>
        <w:rPr>
          <w:rFonts w:ascii="宋体" w:hAnsi="宋体" w:cs="宋体" w:eastAsia="宋体" w:hint="default"/>
          <w:spacing w:val="9"/>
        </w:rPr>
        <w:t> </w:t>
      </w:r>
      <w:r>
        <w:rPr>
          <w:spacing w:val="-5"/>
        </w:rPr>
        <w:t>日出具了《中汇会审</w:t>
      </w:r>
      <w:r>
        <w:rPr>
          <w:rFonts w:ascii="宋体" w:hAnsi="宋体" w:cs="宋体" w:eastAsia="宋体" w:hint="default"/>
          <w:spacing w:val="-5"/>
        </w:rPr>
        <w:t>[2019]2453</w:t>
      </w:r>
      <w:r>
        <w:rPr>
          <w:rFonts w:ascii="宋体" w:hAnsi="宋体" w:cs="宋体" w:eastAsia="宋体" w:hint="default"/>
        </w:rPr>
        <w:t> </w:t>
      </w:r>
      <w:r>
        <w:rPr/>
        <w:t>号》保留意见审计报告。</w:t>
      </w:r>
    </w:p>
    <w:p>
      <w:pPr>
        <w:pStyle w:val="BodyText"/>
        <w:spacing w:line="240" w:lineRule="auto" w:before="19"/>
        <w:ind w:right="986"/>
        <w:jc w:val="left"/>
      </w:pPr>
      <w:r>
        <w:rPr/>
        <w:t>四、关键审计事项</w:t>
      </w:r>
    </w:p>
    <w:p>
      <w:pPr>
        <w:spacing w:line="240" w:lineRule="auto" w:before="0"/>
        <w:rPr>
          <w:rFonts w:ascii="宋体" w:hAnsi="宋体" w:cs="宋体" w:eastAsia="宋体" w:hint="default"/>
          <w:sz w:val="18"/>
          <w:szCs w:val="18"/>
        </w:rPr>
      </w:pPr>
    </w:p>
    <w:p>
      <w:pPr>
        <w:pStyle w:val="BodyText"/>
        <w:spacing w:line="319" w:lineRule="auto" w:before="153"/>
        <w:ind w:right="986"/>
        <w:jc w:val="left"/>
      </w:pPr>
      <w:r>
        <w:rPr>
          <w:spacing w:val="-2"/>
        </w:rPr>
        <w:t>关键审计事项是我们根据职业判断，认为对本期财务报表审计最为重要的事项。这些事项的应对以对财务报表整体进行审计</w:t>
      </w:r>
      <w:r>
        <w:rPr>
          <w:spacing w:val="-64"/>
        </w:rPr>
        <w:t> </w:t>
      </w:r>
      <w:r>
        <w:rPr>
          <w:spacing w:val="-64"/>
        </w:rPr>
      </w:r>
      <w:r>
        <w:rPr/>
        <w:t>并形成审计意见为背景，我们不对这些事项单独发表意见。我们确定下列事项是需要在审计报告中沟通的关键审计事项。</w:t>
      </w:r>
    </w:p>
    <w:p>
      <w:pPr>
        <w:pStyle w:val="BodyText"/>
        <w:spacing w:line="316" w:lineRule="auto" w:before="17"/>
        <w:ind w:right="9314"/>
        <w:jc w:val="left"/>
      </w:pPr>
      <w:r>
        <w:rPr/>
        <w:t>（一）收入的确认 </w:t>
      </w:r>
      <w:r>
        <w:rPr>
          <w:rFonts w:ascii="宋体" w:hAnsi="宋体" w:cs="宋体" w:eastAsia="宋体" w:hint="default"/>
        </w:rPr>
        <w:t>1.</w:t>
      </w:r>
      <w:r>
        <w:rPr>
          <w:rFonts w:ascii="宋体" w:hAnsi="宋体" w:cs="宋体" w:eastAsia="宋体" w:hint="default"/>
          <w:spacing w:val="3"/>
        </w:rPr>
        <w:t> </w:t>
      </w:r>
      <w:r>
        <w:rPr/>
        <w:t>事项描述</w:t>
      </w:r>
    </w:p>
    <w:p>
      <w:pPr>
        <w:pStyle w:val="BodyText"/>
        <w:spacing w:line="316" w:lineRule="auto" w:before="19"/>
        <w:ind w:right="1034"/>
        <w:jc w:val="left"/>
      </w:pPr>
      <w:r>
        <w:rPr/>
        <w:t>相关信息披露详见财务报表附注“三、公司重要会计政策和会计估计”</w:t>
      </w:r>
      <w:r>
        <w:rPr>
          <w:rFonts w:ascii="宋体" w:hAnsi="宋体" w:cs="宋体" w:eastAsia="宋体" w:hint="default"/>
        </w:rPr>
        <w:t>22</w:t>
      </w:r>
      <w:r>
        <w:rPr/>
        <w:t>所述的会计政策及“五、合并财务报表项目注释”</w:t>
      </w:r>
      <w:r>
        <w:rPr>
          <w:spacing w:val="-86"/>
        </w:rPr>
        <w:t> </w:t>
      </w:r>
      <w:r>
        <w:rPr>
          <w:spacing w:val="-86"/>
        </w:rPr>
      </w:r>
      <w:r>
        <w:rPr>
          <w:rFonts w:ascii="宋体" w:hAnsi="宋体" w:cs="宋体" w:eastAsia="宋体" w:hint="default"/>
        </w:rPr>
        <w:t>29</w:t>
      </w:r>
      <w:r>
        <w:rPr/>
        <w:t>。 </w:t>
      </w:r>
      <w:r>
        <w:rPr>
          <w:spacing w:val="-2"/>
        </w:rPr>
        <w:t>深大通公司及其子公司主要从事供应链、民间资本管理、保理、广告传媒、等业务。由于收入是深大通公司的关键业绩指标</w:t>
      </w:r>
      <w:r>
        <w:rPr>
          <w:spacing w:val="-64"/>
        </w:rPr>
        <w:t> </w:t>
      </w:r>
      <w:r>
        <w:rPr>
          <w:spacing w:val="-64"/>
        </w:rPr>
      </w:r>
      <w:r>
        <w:rPr>
          <w:spacing w:val="-2"/>
        </w:rPr>
        <w:t>之一，从而存在管理层为了达到特定目标或期望而操纵收入确认时点的固有风险，我们将深大通公司收入确认识别为关键审</w:t>
      </w:r>
      <w:r>
        <w:rPr>
          <w:spacing w:val="-64"/>
        </w:rPr>
        <w:t> </w:t>
      </w:r>
      <w:r>
        <w:rPr>
          <w:spacing w:val="-64"/>
        </w:rPr>
      </w:r>
      <w:r>
        <w:rPr/>
        <w:t>计事项。</w:t>
      </w:r>
    </w:p>
    <w:p>
      <w:pPr>
        <w:pStyle w:val="BodyText"/>
        <w:spacing w:line="240" w:lineRule="auto" w:before="18"/>
        <w:ind w:right="986"/>
        <w:jc w:val="left"/>
      </w:pPr>
      <w:r>
        <w:rPr>
          <w:rFonts w:ascii="宋体" w:hAnsi="宋体" w:cs="宋体" w:eastAsia="宋体" w:hint="default"/>
        </w:rPr>
        <w:t>2.</w:t>
      </w:r>
      <w:r>
        <w:rPr/>
        <w:t>审计应对</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ind w:right="986"/>
        <w:jc w:val="left"/>
      </w:pPr>
      <w:r>
        <w:rPr/>
        <w:t>我们执行的与收入确认相关的审计程序主要包括：</w:t>
      </w:r>
    </w:p>
    <w:p>
      <w:pPr>
        <w:pStyle w:val="BodyText"/>
        <w:spacing w:line="240" w:lineRule="auto" w:before="77"/>
        <w:ind w:left="204" w:right="986"/>
        <w:jc w:val="left"/>
      </w:pPr>
      <w:r>
        <w:rPr/>
        <w:t>（</w:t>
      </w:r>
      <w:r>
        <w:rPr>
          <w:rFonts w:ascii="宋体" w:hAnsi="宋体" w:cs="宋体" w:eastAsia="宋体" w:hint="default"/>
        </w:rPr>
        <w:t>1</w:t>
      </w:r>
      <w:r>
        <w:rPr/>
        <w:t>）了解和评价管理层与各类收入确认相关的关键内部控制的设计和运行有效性；</w:t>
      </w:r>
    </w:p>
    <w:p>
      <w:pPr>
        <w:pStyle w:val="BodyText"/>
        <w:spacing w:line="316" w:lineRule="auto" w:before="76"/>
        <w:ind w:right="1126"/>
        <w:jc w:val="left"/>
      </w:pPr>
      <w:r>
        <w:rPr/>
        <w:t>（</w:t>
      </w:r>
      <w:r>
        <w:rPr>
          <w:rFonts w:ascii="宋体" w:hAnsi="宋体" w:cs="宋体" w:eastAsia="宋体" w:hint="default"/>
        </w:rPr>
        <w:t>2</w:t>
      </w:r>
      <w:r>
        <w:rPr/>
        <w:t>）</w:t>
      </w:r>
      <w:r>
        <w:rPr>
          <w:spacing w:val="-12"/>
        </w:rPr>
        <w:t> </w:t>
      </w:r>
      <w:r>
        <w:rPr>
          <w:spacing w:val="-5"/>
        </w:rPr>
        <w:t>针对供应链销售收入，选取样本检查销售合同，交接单、派船通知单、销售发票、结算单等，检查期后销售退回情况，</w:t>
      </w:r>
      <w:r>
        <w:rPr>
          <w:spacing w:val="-85"/>
        </w:rPr>
        <w:t> </w:t>
      </w:r>
      <w:r>
        <w:rPr>
          <w:spacing w:val="-85"/>
        </w:rPr>
      </w:r>
      <w:r>
        <w:rPr/>
        <w:t>评价销售收入是否在恰当的期间确认等；</w:t>
      </w:r>
    </w:p>
    <w:p>
      <w:pPr>
        <w:pStyle w:val="BodyText"/>
        <w:spacing w:line="316" w:lineRule="auto" w:before="19"/>
        <w:ind w:right="1124"/>
        <w:jc w:val="left"/>
      </w:pPr>
      <w:r>
        <w:rPr/>
        <w:t>（</w:t>
      </w:r>
      <w:r>
        <w:rPr>
          <w:rFonts w:ascii="宋体" w:hAnsi="宋体" w:cs="宋体" w:eastAsia="宋体" w:hint="default"/>
        </w:rPr>
        <w:t>3</w:t>
      </w:r>
      <w:r>
        <w:rPr/>
        <w:t>）针对民间资本管理收入，获取全部贷款的业务资料，核对与财务系统是否一致，核对有关账目，审查贷款的真实性。 追查借款合同、借据、审核所发生的贷款入账的及时性、完整性，并对利息收入进行复核计算；</w:t>
      </w:r>
    </w:p>
    <w:p>
      <w:pPr>
        <w:pStyle w:val="BodyText"/>
        <w:spacing w:line="316" w:lineRule="auto" w:before="19"/>
        <w:ind w:right="1124"/>
        <w:jc w:val="left"/>
      </w:pPr>
      <w:r>
        <w:rPr/>
        <w:t>（</w:t>
      </w:r>
      <w:r>
        <w:rPr>
          <w:rFonts w:ascii="宋体" w:hAnsi="宋体" w:cs="宋体" w:eastAsia="宋体" w:hint="default"/>
        </w:rPr>
        <w:t>4</w:t>
      </w:r>
      <w:r>
        <w:rPr/>
        <w:t>） 针对 广告传媒收入，对本年记录的收入交易选取样本，核对业务合同、客户验收回单、发票、广告排期表、上下刊 记录、结算单据、银行回单等，以评价收入确认的真实性和准确性；</w:t>
      </w:r>
    </w:p>
    <w:p>
      <w:pPr>
        <w:pStyle w:val="BodyText"/>
        <w:spacing w:line="316" w:lineRule="auto" w:before="19"/>
        <w:ind w:right="1124"/>
        <w:jc w:val="left"/>
      </w:pPr>
      <w:r>
        <w:rPr/>
        <w:t>（</w:t>
      </w:r>
      <w:r>
        <w:rPr>
          <w:rFonts w:ascii="宋体" w:hAnsi="宋体" w:cs="宋体" w:eastAsia="宋体" w:hint="default"/>
        </w:rPr>
        <w:t>5</w:t>
      </w:r>
      <w:r>
        <w:rPr/>
        <w:t>）向重要客户实施函证程序，询证本期收入发生额及应收款项余额，对重要客户实施实地访谈程序，了解客户的经营范 围和业务规模，询问客户本期与公司的业务往来情况以及是否存在关联关系等，核实收入的真实性、完整性。</w:t>
      </w:r>
    </w:p>
    <w:p>
      <w:pPr>
        <w:pStyle w:val="BodyText"/>
        <w:spacing w:line="316" w:lineRule="auto" w:before="19"/>
        <w:ind w:right="1124"/>
        <w:jc w:val="left"/>
      </w:pPr>
      <w:r>
        <w:rPr/>
        <w:t>（</w:t>
      </w:r>
      <w:r>
        <w:rPr>
          <w:rFonts w:ascii="宋体" w:hAnsi="宋体" w:cs="宋体" w:eastAsia="宋体" w:hint="default"/>
        </w:rPr>
        <w:t>6</w:t>
      </w:r>
      <w:r>
        <w:rPr/>
        <w:t>）就资产负债表日前后记录的收入交易，选取样本，核对订单及其他支持性文件，以评价收入是否被记录于恰当的会计 期间。</w:t>
      </w:r>
    </w:p>
    <w:p>
      <w:pPr>
        <w:pStyle w:val="BodyText"/>
        <w:spacing w:line="316" w:lineRule="auto" w:before="19"/>
        <w:ind w:right="9314"/>
        <w:jc w:val="left"/>
      </w:pPr>
      <w:r>
        <w:rPr/>
        <w:t>（二）处置子公司 </w:t>
      </w:r>
      <w:r>
        <w:rPr>
          <w:rFonts w:ascii="宋体" w:hAnsi="宋体" w:cs="宋体" w:eastAsia="宋体" w:hint="default"/>
        </w:rPr>
        <w:t>1.</w:t>
      </w:r>
      <w:r>
        <w:rPr/>
        <w:t>事项描述</w:t>
      </w:r>
    </w:p>
    <w:p>
      <w:pPr>
        <w:pStyle w:val="BodyText"/>
        <w:spacing w:line="240" w:lineRule="auto" w:before="19"/>
        <w:ind w:right="986"/>
        <w:jc w:val="left"/>
      </w:pPr>
      <w:r>
        <w:rPr/>
        <w:t>相关信息披露详见财务报表附注“六、合并范围的变更</w:t>
      </w:r>
      <w:r>
        <w:rPr>
          <w:spacing w:val="1"/>
        </w:rPr>
        <w:t>”</w:t>
      </w:r>
      <w:r>
        <w:rPr>
          <w:rFonts w:ascii="宋体" w:hAnsi="宋体" w:cs="宋体" w:eastAsia="宋体" w:hint="default"/>
          <w:spacing w:val="1"/>
        </w:rPr>
        <w:t>3</w:t>
      </w:r>
      <w:r>
        <w:rPr/>
        <w:t>“处置子公司</w:t>
      </w:r>
      <w:r>
        <w:rPr>
          <w:spacing w:val="-92"/>
        </w:rPr>
        <w:t>”</w:t>
      </w:r>
      <w:r>
        <w:rPr/>
        <w:t>。</w:t>
      </w:r>
    </w:p>
    <w:p>
      <w:pPr>
        <w:pStyle w:val="BodyText"/>
        <w:spacing w:line="316" w:lineRule="auto" w:before="76"/>
        <w:ind w:right="1129"/>
        <w:jc w:val="both"/>
      </w:pPr>
      <w:r>
        <w:rPr/>
        <w:t>深大通公司于 </w:t>
      </w:r>
      <w:r>
        <w:rPr>
          <w:rFonts w:ascii="宋体" w:hAnsi="宋体" w:cs="宋体" w:eastAsia="宋体" w:hint="default"/>
        </w:rPr>
        <w:t>2019 </w:t>
      </w:r>
      <w:r>
        <w:rPr/>
        <w:t>年 </w:t>
      </w:r>
      <w:r>
        <w:rPr>
          <w:rFonts w:ascii="宋体" w:hAnsi="宋体" w:cs="宋体" w:eastAsia="宋体" w:hint="default"/>
        </w:rPr>
        <w:t>11 </w:t>
      </w:r>
      <w:r>
        <w:rPr/>
        <w:t>月 </w:t>
      </w:r>
      <w:r>
        <w:rPr>
          <w:rFonts w:ascii="宋体" w:hAnsi="宋体" w:cs="宋体" w:eastAsia="宋体" w:hint="default"/>
        </w:rPr>
        <w:t>29</w:t>
      </w:r>
      <w:r>
        <w:rPr>
          <w:rFonts w:ascii="宋体" w:hAnsi="宋体" w:cs="宋体" w:eastAsia="宋体" w:hint="default"/>
          <w:spacing w:val="33"/>
        </w:rPr>
        <w:t> </w:t>
      </w:r>
      <w:r>
        <w:rPr>
          <w:spacing w:val="-3"/>
        </w:rPr>
        <w:t>日召开第九届董事会第五十四次会议审议通过了《关于拟以公开拍卖方式转让全资子公司</w:t>
      </w:r>
      <w:r>
        <w:rPr/>
        <w:t> </w:t>
      </w:r>
      <w:r>
        <w:rPr>
          <w:spacing w:val="-5"/>
        </w:rPr>
        <w:t>浙江视科文化传播有限公司（以下简称“视科传媒”）</w:t>
      </w:r>
      <w:r>
        <w:rPr>
          <w:rFonts w:ascii="宋体" w:hAnsi="宋体" w:cs="宋体" w:eastAsia="宋体" w:hint="default"/>
          <w:spacing w:val="-5"/>
        </w:rPr>
        <w:t>100%</w:t>
      </w:r>
      <w:r>
        <w:rPr>
          <w:spacing w:val="-5"/>
        </w:rPr>
        <w:t>股权的议案》。通过拍卖方式转让持有的视科传媒</w:t>
      </w:r>
      <w:r>
        <w:rPr>
          <w:rFonts w:ascii="宋体" w:hAnsi="宋体" w:cs="宋体" w:eastAsia="宋体" w:hint="default"/>
          <w:spacing w:val="-5"/>
        </w:rPr>
        <w:t>100%</w:t>
      </w:r>
      <w:r>
        <w:rPr>
          <w:spacing w:val="-5"/>
        </w:rPr>
        <w:t>股权，青岛</w:t>
      </w:r>
      <w:r>
        <w:rPr>
          <w:spacing w:val="-61"/>
        </w:rPr>
        <w:t> </w:t>
      </w:r>
      <w:r>
        <w:rPr>
          <w:spacing w:val="-61"/>
        </w:rPr>
      </w:r>
      <w:r>
        <w:rPr>
          <w:spacing w:val="-5"/>
        </w:rPr>
        <w:t>腾视文化科技有限公司（以下“腾视文化”）作为受让方与深大通公司</w:t>
      </w:r>
      <w:r>
        <w:rPr>
          <w:rFonts w:ascii="宋体" w:hAnsi="宋体" w:cs="宋体" w:eastAsia="宋体" w:hint="default"/>
          <w:spacing w:val="-5"/>
        </w:rPr>
        <w:t>2019</w:t>
      </w:r>
      <w:r>
        <w:rPr>
          <w:spacing w:val="-5"/>
        </w:rPr>
        <w:t>年</w:t>
      </w:r>
      <w:r>
        <w:rPr>
          <w:rFonts w:ascii="宋体" w:hAnsi="宋体" w:cs="宋体" w:eastAsia="宋体" w:hint="default"/>
          <w:spacing w:val="-5"/>
        </w:rPr>
        <w:t>12</w:t>
      </w:r>
      <w:r>
        <w:rPr>
          <w:spacing w:val="-5"/>
        </w:rPr>
        <w:t>月</w:t>
      </w:r>
      <w:r>
        <w:rPr>
          <w:rFonts w:ascii="宋体" w:hAnsi="宋体" w:cs="宋体" w:eastAsia="宋体" w:hint="default"/>
          <w:spacing w:val="-5"/>
        </w:rPr>
        <w:t>15</w:t>
      </w:r>
      <w:r>
        <w:rPr>
          <w:spacing w:val="-5"/>
        </w:rPr>
        <w:t>日签署了《股权转让合同》。工商变更登</w:t>
      </w:r>
      <w:r>
        <w:rPr>
          <w:spacing w:val="-63"/>
        </w:rPr>
        <w:t> </w:t>
      </w:r>
      <w:r>
        <w:rPr>
          <w:spacing w:val="-63"/>
        </w:rPr>
      </w:r>
      <w:r>
        <w:rPr/>
        <w:t>记已于 </w:t>
      </w:r>
      <w:r>
        <w:rPr>
          <w:rFonts w:ascii="宋体" w:hAnsi="宋体" w:cs="宋体" w:eastAsia="宋体" w:hint="default"/>
        </w:rPr>
        <w:t>2019 </w:t>
      </w:r>
      <w:r>
        <w:rPr/>
        <w:t>年 </w:t>
      </w:r>
      <w:r>
        <w:rPr>
          <w:rFonts w:ascii="宋体" w:hAnsi="宋体" w:cs="宋体" w:eastAsia="宋体" w:hint="default"/>
        </w:rPr>
        <w:t>12 </w:t>
      </w:r>
      <w:r>
        <w:rPr/>
        <w:t>月 </w:t>
      </w:r>
      <w:r>
        <w:rPr>
          <w:rFonts w:ascii="宋体" w:hAnsi="宋体" w:cs="宋体" w:eastAsia="宋体" w:hint="default"/>
        </w:rPr>
        <w:t>23</w:t>
      </w:r>
      <w:r>
        <w:rPr>
          <w:rFonts w:ascii="宋体" w:hAnsi="宋体" w:cs="宋体" w:eastAsia="宋体" w:hint="default"/>
          <w:spacing w:val="-4"/>
        </w:rPr>
        <w:t> </w:t>
      </w:r>
      <w:r>
        <w:rPr/>
        <w:t>日变更完成，同时完成了股权交割手续。</w:t>
      </w:r>
    </w:p>
    <w:p>
      <w:pPr>
        <w:pStyle w:val="BodyText"/>
        <w:spacing w:line="240" w:lineRule="auto" w:before="19"/>
        <w:ind w:right="986"/>
        <w:jc w:val="left"/>
      </w:pPr>
      <w:r>
        <w:rPr>
          <w:rFonts w:ascii="宋体" w:hAnsi="宋体" w:cs="宋体" w:eastAsia="宋体" w:hint="default"/>
        </w:rPr>
        <w:t>2.</w:t>
      </w:r>
      <w:r>
        <w:rPr/>
        <w:t>审计应对</w:t>
      </w:r>
    </w:p>
    <w:p>
      <w:pPr>
        <w:pStyle w:val="BodyText"/>
        <w:spacing w:line="240" w:lineRule="auto" w:before="76"/>
        <w:ind w:right="986"/>
        <w:jc w:val="left"/>
      </w:pPr>
      <w:r>
        <w:rPr/>
        <w:t>（</w:t>
      </w:r>
      <w:r>
        <w:rPr>
          <w:rFonts w:ascii="宋体" w:hAnsi="宋体" w:cs="宋体" w:eastAsia="宋体" w:hint="default"/>
        </w:rPr>
        <w:t>1</w:t>
      </w:r>
      <w:r>
        <w:rPr/>
        <w:t>）获取并查阅相关的公司总经理办公会会议纪要及相关董事会纪要，以判断企业是否履行了相关决策程序；</w:t>
      </w:r>
    </w:p>
    <w:p>
      <w:pPr>
        <w:pStyle w:val="BodyText"/>
        <w:spacing w:line="316" w:lineRule="auto" w:before="76"/>
        <w:ind w:right="1124"/>
        <w:jc w:val="left"/>
      </w:pPr>
      <w:r>
        <w:rPr/>
        <w:t>（</w:t>
      </w:r>
      <w:r>
        <w:rPr>
          <w:rFonts w:ascii="宋体" w:hAnsi="宋体" w:cs="宋体" w:eastAsia="宋体" w:hint="default"/>
        </w:rPr>
        <w:t>2</w:t>
      </w:r>
      <w:r>
        <w:rPr/>
        <w:t>）取得深大通公司与拍卖公司签订的拍卖协议等相关资料、视科传媒股权转让合同及补充协议、视科传媒估值报告、工 商变更登记资料、股权交割资料进行核查；</w:t>
      </w:r>
    </w:p>
    <w:p>
      <w:pPr>
        <w:pStyle w:val="BodyText"/>
        <w:spacing w:line="240" w:lineRule="auto" w:before="19"/>
        <w:ind w:right="986"/>
        <w:jc w:val="left"/>
      </w:pPr>
      <w:r>
        <w:rPr/>
        <w:t>（</w:t>
      </w:r>
      <w:r>
        <w:rPr>
          <w:rFonts w:ascii="宋体" w:hAnsi="宋体" w:cs="宋体" w:eastAsia="宋体" w:hint="default"/>
        </w:rPr>
        <w:t>3</w:t>
      </w:r>
      <w:r>
        <w:rPr/>
        <w:t>）对受让方腾视文化进行现场访谈，了解交易的相关情况；</w:t>
      </w:r>
    </w:p>
    <w:p>
      <w:pPr>
        <w:pStyle w:val="BodyText"/>
        <w:spacing w:line="316" w:lineRule="auto" w:before="77"/>
        <w:ind w:right="1131"/>
        <w:jc w:val="both"/>
      </w:pPr>
      <w:r>
        <w:rPr/>
        <w:t>（</w:t>
      </w:r>
      <w:r>
        <w:rPr>
          <w:rFonts w:ascii="宋体" w:hAnsi="宋体" w:cs="宋体" w:eastAsia="宋体" w:hint="default"/>
        </w:rPr>
        <w:t>4</w:t>
      </w:r>
      <w:r>
        <w:rPr/>
        <w:t>）对腾视文化受让股权交易事项、应收款项、是否存在关联关系进行询证函，对深大通公司及深大通母公司青岛亚星实 </w:t>
      </w:r>
      <w:r>
        <w:rPr>
          <w:spacing w:val="-2"/>
        </w:rPr>
        <w:t>业有限公司、视科传媒与腾视文化是否存在关联关系，通过国家企业信用信息公示系统、天眼查进行核查。检查与股权转让</w:t>
      </w:r>
      <w:r>
        <w:rPr>
          <w:spacing w:val="-65"/>
        </w:rPr>
        <w:t> </w:t>
      </w:r>
      <w:r>
        <w:rPr>
          <w:spacing w:val="-65"/>
        </w:rPr>
      </w:r>
      <w:r>
        <w:rPr/>
        <w:t>相关的会计处理是否正确，是否符合企业会计准则的规定。</w:t>
      </w:r>
    </w:p>
    <w:p>
      <w:pPr>
        <w:pStyle w:val="BodyText"/>
        <w:spacing w:line="316" w:lineRule="auto" w:before="19"/>
        <w:ind w:right="3104"/>
        <w:jc w:val="left"/>
      </w:pPr>
      <w:r>
        <w:rPr/>
        <w:t>（</w:t>
      </w:r>
      <w:r>
        <w:rPr>
          <w:rFonts w:ascii="宋体" w:hAnsi="宋体" w:cs="宋体" w:eastAsia="宋体" w:hint="default"/>
        </w:rPr>
        <w:t>5</w:t>
      </w:r>
      <w:r>
        <w:rPr/>
        <w:t>）对已收到的股权转让款相关的证据进行检查，对剩余应收股权款可收回金额进行合理判断； 五、其他信息</w:t>
      </w:r>
    </w:p>
    <w:p>
      <w:pPr>
        <w:pStyle w:val="BodyText"/>
        <w:spacing w:line="316" w:lineRule="auto" w:before="19"/>
        <w:ind w:right="1123"/>
        <w:jc w:val="left"/>
      </w:pPr>
      <w:r>
        <w:rPr/>
        <w:t>深大通公司管理层</w:t>
      </w:r>
      <w:r>
        <w:rPr>
          <w:rFonts w:ascii="宋体" w:hAnsi="宋体" w:cs="宋体" w:eastAsia="宋体" w:hint="default"/>
        </w:rPr>
        <w:t>(</w:t>
      </w:r>
      <w:r>
        <w:rPr/>
        <w:t>以下简称管理层</w:t>
      </w:r>
      <w:r>
        <w:rPr>
          <w:rFonts w:ascii="宋体" w:hAnsi="宋体" w:cs="宋体" w:eastAsia="宋体" w:hint="default"/>
        </w:rPr>
        <w:t>)</w:t>
      </w:r>
      <w:r>
        <w:rPr/>
        <w:t>对其他信息负责。其他信息包括深大通公司</w:t>
      </w:r>
      <w:r>
        <w:rPr>
          <w:spacing w:val="1"/>
        </w:rPr>
        <w:t> </w:t>
      </w:r>
      <w:r>
        <w:rPr>
          <w:rFonts w:ascii="宋体" w:hAnsi="宋体" w:cs="宋体" w:eastAsia="宋体" w:hint="default"/>
        </w:rPr>
        <w:t>2019</w:t>
      </w:r>
      <w:r>
        <w:rPr/>
        <w:t>年年度报告中涵盖的信息，但不包括 财务报表和我们的审计报告。 我们对财务报表发表的审计意见不涵盖其他信息，我们也不对其他信息发表任何形式的鉴证结论。 </w:t>
      </w:r>
      <w:r>
        <w:rPr>
          <w:spacing w:val="-2"/>
        </w:rPr>
        <w:t>结合我们对财务报表的审计，我们的责任是阅读其他信息，在此过程中，考虑其他信息是否与财务报表或我们在审计过程中</w:t>
      </w:r>
      <w:r>
        <w:rPr>
          <w:spacing w:val="-63"/>
        </w:rPr>
        <w:t> </w:t>
      </w:r>
      <w:r>
        <w:rPr>
          <w:spacing w:val="-63"/>
        </w:rPr>
      </w:r>
      <w:r>
        <w:rPr/>
        <w:t>了解到的情况存在重大不一致或者似乎存在重大错报。 </w:t>
      </w:r>
      <w:r>
        <w:rPr>
          <w:spacing w:val="-5"/>
        </w:rPr>
        <w:t>基于我们已执行的工作，如果我们确定其他信息存在重大错报，我们应当报告该事实。在这方面，我们无任何事项需要报告。</w:t>
      </w:r>
    </w:p>
    <w:p>
      <w:pPr>
        <w:spacing w:line="240" w:lineRule="auto" w:before="4"/>
        <w:rPr>
          <w:rFonts w:ascii="宋体" w:hAnsi="宋体" w:cs="宋体" w:eastAsia="宋体" w:hint="default"/>
          <w:sz w:val="25"/>
          <w:szCs w:val="25"/>
        </w:rPr>
      </w:pPr>
    </w:p>
    <w:p>
      <w:pPr>
        <w:pStyle w:val="BodyText"/>
        <w:spacing w:line="316" w:lineRule="auto" w:before="0"/>
        <w:ind w:right="986"/>
        <w:jc w:val="left"/>
      </w:pPr>
      <w:r>
        <w:rPr/>
        <w:t>六、管理层和治理层对财务报表的责任 </w:t>
      </w:r>
      <w:r>
        <w:rPr>
          <w:spacing w:val="-2"/>
        </w:rPr>
        <w:t>管理层负责按照企业会计准则的规定编制财务报表，使其实现公允反映，并设计、执行和维护必要的内部控制，以使财务报</w:t>
      </w:r>
      <w:r>
        <w:rPr>
          <w:spacing w:val="-64"/>
        </w:rPr>
        <w:t> </w:t>
      </w:r>
      <w:r>
        <w:rPr>
          <w:spacing w:val="-64"/>
        </w:rPr>
      </w:r>
      <w:r>
        <w:rPr/>
        <w:t>表不存在由于舞弊或错误导致的重大错报。 </w:t>
      </w:r>
      <w:r>
        <w:rPr>
          <w:spacing w:val="-2"/>
        </w:rPr>
        <w:t>在编制财务报表时，管理层负责评估深大通公司的持续经营能力，披露与持续经营相关的事项（如适用），并运用持续经营</w:t>
      </w:r>
      <w:r>
        <w:rPr>
          <w:spacing w:val="-72"/>
        </w:rPr>
        <w:t> </w:t>
      </w:r>
      <w:r>
        <w:rPr>
          <w:spacing w:val="-72"/>
        </w:rPr>
      </w:r>
      <w:r>
        <w:rPr/>
        <w:t>假设，除非管理层计划清算深大通公司、终止运营或别无其他现实的选择。</w:t>
      </w:r>
    </w:p>
    <w:p>
      <w:pPr>
        <w:pStyle w:val="BodyText"/>
        <w:spacing w:line="636" w:lineRule="auto" w:before="19"/>
        <w:ind w:right="7154"/>
        <w:jc w:val="left"/>
      </w:pPr>
      <w:r>
        <w:rPr/>
        <w:t>治理层负责监督深大通公司的财务报告过程。 七、注册会计师对财务报表审计的责任</w:t>
      </w:r>
    </w:p>
    <w:p>
      <w:pPr>
        <w:spacing w:after="0" w:line="63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ind w:right="1034"/>
        <w:jc w:val="left"/>
      </w:pPr>
      <w:r>
        <w:rPr/>
        <w:t>我们的目标是对财务报表整体是否不存在由于舞弊或错误导致的重大错报获取合理保证，并出具包含审计意见的审计报告。</w:t>
      </w:r>
      <w:r>
        <w:rPr>
          <w:spacing w:val="-86"/>
        </w:rPr>
        <w:t> </w:t>
      </w:r>
      <w:r>
        <w:rPr>
          <w:spacing w:val="-86"/>
        </w:rPr>
      </w:r>
      <w:r>
        <w:rPr>
          <w:spacing w:val="-2"/>
        </w:rPr>
        <w:t>合理保证是高水平的保证，但并不能保证按照审计准则执行的审计在某一重大错报存在时总能发现。错报可能由于舞弊或错</w:t>
      </w:r>
      <w:r>
        <w:rPr>
          <w:spacing w:val="-64"/>
        </w:rPr>
        <w:t> </w:t>
      </w:r>
      <w:r>
        <w:rPr>
          <w:spacing w:val="-64"/>
        </w:rPr>
      </w:r>
      <w:r>
        <w:rPr>
          <w:spacing w:val="-2"/>
        </w:rPr>
        <w:t>误导致，如果合理预期错报单独或汇总起来可能影响财务报表使用者依据财务报表作出的经济决策，则通常认为错报是重大</w:t>
      </w:r>
      <w:r>
        <w:rPr>
          <w:spacing w:val="-64"/>
        </w:rPr>
        <w:t> </w:t>
      </w:r>
      <w:r>
        <w:rPr>
          <w:spacing w:val="-64"/>
        </w:rPr>
      </w:r>
      <w:r>
        <w:rPr/>
        <w:t>的。</w:t>
      </w:r>
    </w:p>
    <w:p>
      <w:pPr>
        <w:pStyle w:val="BodyText"/>
        <w:spacing w:line="240" w:lineRule="auto" w:before="17"/>
        <w:ind w:right="986"/>
        <w:jc w:val="left"/>
      </w:pPr>
      <w:r>
        <w:rPr/>
        <w:t>在按照审计准则执行审计工作的过程中，我们运用职业判断，并保持职业怀疑。同时，我们也执行以下工作：</w:t>
      </w:r>
    </w:p>
    <w:p>
      <w:pPr>
        <w:pStyle w:val="BodyText"/>
        <w:spacing w:line="316" w:lineRule="auto" w:before="76"/>
        <w:ind w:right="1135"/>
        <w:jc w:val="both"/>
      </w:pPr>
      <w:r>
        <w:rPr/>
        <w:t>（</w:t>
      </w:r>
      <w:r>
        <w:rPr>
          <w:rFonts w:ascii="宋体" w:hAnsi="宋体" w:cs="宋体" w:eastAsia="宋体" w:hint="default"/>
        </w:rPr>
        <w:t>1</w:t>
      </w:r>
      <w:r>
        <w:rPr/>
        <w:t>）识别和评估由于舞弊或错误导致的财务报表重大错报风险，设计和实施审计程序以应对这些风险，并获取充分、适当 </w:t>
      </w:r>
      <w:r>
        <w:rPr>
          <w:spacing w:val="-2"/>
        </w:rPr>
        <w:t>的审计证据，作为发表审计意见的基础。由于舞弊可能涉及串通、伪造、故意遗漏、虚假陈述或凌驾于内部控制之上，未能</w:t>
      </w:r>
      <w:r>
        <w:rPr>
          <w:spacing w:val="-70"/>
        </w:rPr>
        <w:t> </w:t>
      </w:r>
      <w:r>
        <w:rPr>
          <w:spacing w:val="-70"/>
        </w:rPr>
      </w:r>
      <w:r>
        <w:rPr/>
        <w:t>发现由于舞弊导致的重大错报的风险高于未能发现由于错误导致的重大错报的风险。</w:t>
      </w:r>
    </w:p>
    <w:p>
      <w:pPr>
        <w:pStyle w:val="BodyText"/>
        <w:spacing w:line="240" w:lineRule="auto" w:before="19"/>
        <w:ind w:right="986"/>
        <w:jc w:val="left"/>
      </w:pPr>
      <w:r>
        <w:rPr/>
        <w:t>（</w:t>
      </w:r>
      <w:r>
        <w:rPr>
          <w:rFonts w:ascii="宋体" w:hAnsi="宋体" w:cs="宋体" w:eastAsia="宋体" w:hint="default"/>
        </w:rPr>
        <w:t>2</w:t>
      </w:r>
      <w:r>
        <w:rPr/>
        <w:t>）了解与审计相关的内部控制，以设计恰当的审计程序。</w:t>
      </w:r>
    </w:p>
    <w:p>
      <w:pPr>
        <w:pStyle w:val="BodyText"/>
        <w:spacing w:line="240" w:lineRule="auto" w:before="76"/>
        <w:ind w:right="986"/>
        <w:jc w:val="left"/>
      </w:pPr>
      <w:r>
        <w:rPr/>
        <w:t>（</w:t>
      </w:r>
      <w:r>
        <w:rPr>
          <w:rFonts w:ascii="宋体" w:hAnsi="宋体" w:cs="宋体" w:eastAsia="宋体" w:hint="default"/>
        </w:rPr>
        <w:t>3</w:t>
      </w:r>
      <w:r>
        <w:rPr/>
        <w:t>）评价管理层选用会计政策的恰当性和作出会计估计及相关披露的合理性。</w:t>
      </w:r>
    </w:p>
    <w:p>
      <w:pPr>
        <w:pStyle w:val="BodyText"/>
        <w:spacing w:line="319" w:lineRule="auto" w:before="76"/>
        <w:ind w:right="1130"/>
        <w:jc w:val="both"/>
      </w:pPr>
      <w:r>
        <w:rPr/>
        <w:t>（</w:t>
      </w:r>
      <w:r>
        <w:rPr>
          <w:rFonts w:ascii="宋体" w:hAnsi="宋体" w:cs="宋体" w:eastAsia="宋体" w:hint="default"/>
        </w:rPr>
        <w:t>4</w:t>
      </w:r>
      <w:r>
        <w:rPr/>
        <w:t>）对管理层使用持续经营假设的恰当性得出结论。同时，根据获取的审计证据，就可能导致对深大通公司持续经营能力 </w:t>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3"/>
        </w:rPr>
        <w:t> </w:t>
      </w:r>
      <w:r>
        <w:rPr>
          <w:spacing w:val="-63"/>
        </w:rPr>
      </w:r>
      <w:r>
        <w:rPr/>
        <w:t>截至审计报告日可获得的信息。然而，未来的事项或情况可能导致深大通公司不能持续经营。</w:t>
      </w:r>
    </w:p>
    <w:p>
      <w:pPr>
        <w:pStyle w:val="BodyText"/>
        <w:spacing w:line="240" w:lineRule="auto" w:before="17"/>
        <w:ind w:right="986"/>
        <w:jc w:val="left"/>
      </w:pPr>
      <w:r>
        <w:rPr/>
        <w:t>（</w:t>
      </w:r>
      <w:r>
        <w:rPr>
          <w:rFonts w:ascii="宋体" w:hAnsi="宋体" w:cs="宋体" w:eastAsia="宋体" w:hint="default"/>
        </w:rPr>
        <w:t>5</w:t>
      </w:r>
      <w:r>
        <w:rPr/>
        <w:t>）评价财务报表的总体列报、结构和内容，并评价财务报表是否公允反映相关交易和事项。</w:t>
      </w:r>
    </w:p>
    <w:p>
      <w:pPr>
        <w:pStyle w:val="BodyText"/>
        <w:spacing w:line="316" w:lineRule="auto" w:before="76"/>
        <w:ind w:right="986"/>
        <w:jc w:val="left"/>
      </w:pPr>
      <w:r>
        <w:rPr>
          <w:spacing w:val="-4"/>
        </w:rPr>
        <w:t>（</w:t>
      </w:r>
      <w:r>
        <w:rPr>
          <w:rFonts w:ascii="宋体" w:hAnsi="宋体" w:cs="宋体" w:eastAsia="宋体" w:hint="default"/>
          <w:spacing w:val="-4"/>
        </w:rPr>
        <w:t>6</w:t>
      </w:r>
      <w:r>
        <w:rPr>
          <w:spacing w:val="-4"/>
        </w:rPr>
        <w:t>）就深大通公司中实体或业务活动的财务信息获取充分、适当的审计证据，以对财务报表发表审计意见。我们负责指导、</w:t>
      </w:r>
      <w:r>
        <w:rPr>
          <w:spacing w:val="-45"/>
        </w:rPr>
        <w:t> </w:t>
      </w:r>
      <w:r>
        <w:rPr>
          <w:spacing w:val="-45"/>
        </w:rPr>
      </w:r>
      <w:r>
        <w:rPr/>
        <w:t>监督和执行集团审计，并对审计意见承担全部责任。</w:t>
      </w:r>
    </w:p>
    <w:p>
      <w:pPr>
        <w:spacing w:line="240" w:lineRule="auto" w:before="4"/>
        <w:rPr>
          <w:rFonts w:ascii="宋体" w:hAnsi="宋体" w:cs="宋体" w:eastAsia="宋体" w:hint="default"/>
          <w:sz w:val="25"/>
          <w:szCs w:val="25"/>
        </w:rPr>
      </w:pPr>
    </w:p>
    <w:p>
      <w:pPr>
        <w:pStyle w:val="BodyText"/>
        <w:spacing w:line="316" w:lineRule="auto" w:before="0"/>
        <w:ind w:right="986"/>
        <w:jc w:val="left"/>
      </w:pPr>
      <w:r>
        <w:rPr>
          <w:spacing w:val="-2"/>
        </w:rPr>
        <w:t>我们与治理层就计划的审计范围、时间安排和重大审计发现等事项进行沟通，包括沟通我们在审计中识别出的值得关注的内</w:t>
      </w:r>
      <w:r>
        <w:rPr>
          <w:spacing w:val="-64"/>
        </w:rPr>
        <w:t> </w:t>
      </w:r>
      <w:r>
        <w:rPr>
          <w:spacing w:val="-64"/>
        </w:rPr>
      </w:r>
      <w:r>
        <w:rPr/>
        <w:t>部控制缺陷。 </w:t>
      </w:r>
      <w:r>
        <w:rPr>
          <w:spacing w:val="-2"/>
        </w:rPr>
        <w:t>我们还就遵守与独立性相关的职业道德要求向治理层提供声明，并与治理层沟通可能被合理认为影响我们独立性的所有关系</w:t>
      </w:r>
      <w:r>
        <w:rPr>
          <w:spacing w:val="-64"/>
        </w:rPr>
        <w:t> </w:t>
      </w:r>
      <w:r>
        <w:rPr>
          <w:spacing w:val="-64"/>
        </w:rPr>
      </w:r>
      <w:r>
        <w:rPr>
          <w:spacing w:val="-5"/>
        </w:rPr>
        <w:t>和其他事项，以及相关的防范措施。（如适用）</w:t>
      </w:r>
      <w:r>
        <w:rPr>
          <w:spacing w:val="-77"/>
        </w:rPr>
        <w:t> </w:t>
      </w:r>
      <w:r>
        <w:rPr>
          <w:spacing w:val="-77"/>
        </w:rPr>
      </w:r>
      <w:r>
        <w:rPr>
          <w:spacing w:val="-2"/>
        </w:rPr>
        <w:t>从与治理层沟通过的事项中，我们确定哪些事项对本期财务报表审计最为重要，因而构成关键审计事项。我们在审计报告中</w:t>
      </w:r>
      <w:r>
        <w:rPr>
          <w:spacing w:val="-63"/>
        </w:rPr>
        <w:t> </w:t>
      </w:r>
      <w:r>
        <w:rPr>
          <w:spacing w:val="-63"/>
        </w:rPr>
      </w:r>
      <w:r>
        <w:rPr>
          <w:spacing w:val="-2"/>
        </w:rPr>
        <w:t>描述这些事项，除非法律法规禁止公开披露这些事项，或在极少数情形下，如果合理预期在审计报告中沟通某事项造成的负</w:t>
      </w:r>
      <w:r>
        <w:rPr>
          <w:spacing w:val="-63"/>
        </w:rPr>
        <w:t> </w:t>
      </w:r>
      <w:r>
        <w:rPr>
          <w:spacing w:val="-63"/>
        </w:rPr>
      </w:r>
      <w:r>
        <w:rPr/>
        <w:t>面后果超过在公众利益方面产生的益处，我们确定不应在审计报告中沟通该事项。</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4"/>
          <w:szCs w:val="24"/>
        </w:rPr>
      </w:pPr>
    </w:p>
    <w:p>
      <w:pPr>
        <w:pStyle w:val="BodyText"/>
        <w:tabs>
          <w:tab w:pos="4918" w:val="left" w:leader="none"/>
        </w:tabs>
        <w:spacing w:line="240" w:lineRule="auto" w:before="0"/>
        <w:ind w:right="986"/>
        <w:jc w:val="left"/>
      </w:pPr>
      <w:r>
        <w:rPr/>
        <w:t>中兴财光华会计师事务所</w:t>
        <w:tab/>
        <w:t>中国注册会计师：</w:t>
      </w:r>
    </w:p>
    <w:p>
      <w:pPr>
        <w:pStyle w:val="BodyText"/>
        <w:tabs>
          <w:tab w:pos="4884" w:val="left" w:leader="none"/>
        </w:tabs>
        <w:spacing w:line="240" w:lineRule="auto" w:before="76"/>
        <w:ind w:right="986"/>
        <w:jc w:val="left"/>
      </w:pPr>
      <w:r>
        <w:rPr/>
        <w:t>（特殊普通合伙）</w:t>
        <w:tab/>
        <w:t>（项目合伙人）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3"/>
          <w:szCs w:val="23"/>
        </w:rPr>
      </w:pPr>
    </w:p>
    <w:p>
      <w:pPr>
        <w:pStyle w:val="BodyText"/>
        <w:spacing w:line="240" w:lineRule="auto" w:before="0"/>
        <w:ind w:right="986"/>
        <w:jc w:val="left"/>
      </w:pPr>
      <w:r>
        <w:rPr/>
        <w:t>中国注册会计师：</w:t>
      </w:r>
    </w:p>
    <w:p>
      <w:pPr>
        <w:spacing w:line="240" w:lineRule="auto" w:before="0"/>
        <w:rPr>
          <w:rFonts w:ascii="宋体" w:hAnsi="宋体" w:cs="宋体" w:eastAsia="宋体" w:hint="default"/>
          <w:sz w:val="18"/>
          <w:szCs w:val="18"/>
        </w:rPr>
      </w:pPr>
    </w:p>
    <w:p>
      <w:pPr>
        <w:pStyle w:val="BodyText"/>
        <w:tabs>
          <w:tab w:pos="4916" w:val="left" w:leader="none"/>
        </w:tabs>
        <w:spacing w:line="240" w:lineRule="auto" w:before="153"/>
        <w:ind w:right="986"/>
        <w:jc w:val="left"/>
      </w:pPr>
      <w:r>
        <w:rPr/>
        <w:t>中国•北京</w:t>
        <w:tab/>
      </w:r>
      <w:r>
        <w:rPr>
          <w:rFonts w:ascii="宋体" w:hAnsi="宋体" w:cs="宋体" w:eastAsia="宋体" w:hint="default"/>
        </w:rPr>
        <w:t>2020</w:t>
      </w:r>
      <w:r>
        <w:rPr/>
        <w:t>年</w:t>
      </w:r>
      <w:r>
        <w:rPr>
          <w:rFonts w:ascii="宋体" w:hAnsi="宋体" w:cs="宋体" w:eastAsia="宋体" w:hint="default"/>
        </w:rPr>
        <w:t>4</w:t>
      </w:r>
      <w:r>
        <w:rPr/>
        <w:t>月 </w:t>
      </w:r>
      <w:r>
        <w:rPr>
          <w:rFonts w:ascii="宋体" w:hAnsi="宋体" w:cs="宋体" w:eastAsia="宋体" w:hint="default"/>
        </w:rPr>
        <w:t>22 </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13"/>
          <w:szCs w:val="13"/>
        </w:rPr>
      </w:pPr>
    </w:p>
    <w:p>
      <w:pPr>
        <w:pStyle w:val="Heading2"/>
        <w:spacing w:line="240" w:lineRule="auto"/>
        <w:ind w:right="986"/>
        <w:jc w:val="left"/>
        <w:rPr>
          <w:b w:val="0"/>
          <w:bCs w:val="0"/>
        </w:rPr>
      </w:pPr>
      <w:bookmarkStart w:name="二、财务报表" w:id="159"/>
      <w:bookmarkEnd w:id="159"/>
      <w:r>
        <w:rPr>
          <w:b w:val="0"/>
          <w:bCs w:val="0"/>
        </w:rPr>
      </w: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财务附注中报表的单位为：元</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1、合并资产负债表" w:id="160"/>
      <w:bookmarkEnd w:id="160"/>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240" w:lineRule="auto"/>
        <w:ind w:right="-20"/>
        <w:jc w:val="left"/>
      </w:pPr>
      <w:r>
        <w:rPr/>
        <w:t>编制单位：深圳大通实业股份有限公司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59"/>
        <w:ind w:right="-14"/>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100" w:bottom="1220" w:left="1020" w:right="0"/>
          <w:cols w:num="3" w:equalWidth="0">
            <w:col w:w="3173" w:space="903"/>
            <w:col w:w="1602" w:space="3242"/>
            <w:col w:w="197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1,195,490,346.92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1,386,748,463.69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63" w:right="152"/>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76,585,389.68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64,440,000.00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300,434,138.05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555,647,882.09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26,489,204.75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83,495,264.85</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211,509,380.74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40,266,831.58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2,216,600.02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64,055,067.63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112,261,865.17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17,362,314.61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388,927,302.78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1,891,925,842.38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2,631,787,610.16</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998,108,925.01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297,000,000.00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3,000,000.00</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8,611,907.96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9,088,952.48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1,474,186.43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57,977,267.78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6,728,272.77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8,966,771.70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24,384,874.07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110,731.17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1,376,690.51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204,372.24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204,372.24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1,025,238,395.58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401,998,928.78</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2,917,164,237.96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3,033,786,538.94</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22,016,000.00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63" w:right="152"/>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47,841,395.53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226,554,734.31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12,611,066.74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56,863,323.68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3,200,301.39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5,360,018.97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21,709,122.59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39,660,676.97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77,870,210.91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49,623,823.04</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206,029.02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206,029.02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163,232,097.16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400,078,576.97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4,556,422.11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4,556,422.11</w:t>
            </w: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Times New Roman" w:hAnsi="Times New Roman" w:cs="Times New Roman" w:eastAsia="Times New Roman" w:hint="default"/>
                <w:sz w:val="18"/>
                <w:szCs w:val="18"/>
              </w:rPr>
            </w:pPr>
            <w:r>
              <w:rPr>
                <w:rFonts w:ascii="Times New Roman"/>
                <w:sz w:val="18"/>
              </w:rPr>
              <w:t>163,232,097.16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Times New Roman" w:hAnsi="Times New Roman" w:cs="Times New Roman" w:eastAsia="Times New Roman" w:hint="default"/>
                <w:sz w:val="18"/>
                <w:szCs w:val="18"/>
              </w:rPr>
            </w:pPr>
            <w:r>
              <w:rPr>
                <w:rFonts w:ascii="Times New Roman"/>
                <w:sz w:val="18"/>
              </w:rPr>
              <w:t>404,634,999.08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522,777,419.00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522,777,419.00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4,313,315,623.50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4,313,315,624.50</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53,837,527.07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37,390,480.30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-2,135,436,937.35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-2,240,369,742.42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2,755,493,632.22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2,633,113,781.38</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-1,561,491.42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-3,962,241.52</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2,753,932,140.80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2,629,151,539.86</w:t>
            </w:r>
          </w:p>
        </w:tc>
      </w:tr>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2,917,164,237.96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3,033,786,538.94</w:t>
            </w:r>
          </w:p>
        </w:tc>
      </w:tr>
    </w:tbl>
    <w:p>
      <w:pPr>
        <w:spacing w:line="240" w:lineRule="auto" w:before="11"/>
        <w:rPr>
          <w:rFonts w:ascii="Times New Roman" w:hAnsi="Times New Roman" w:cs="Times New Roman" w:eastAsia="Times New Roman" w:hint="default"/>
          <w:sz w:val="22"/>
          <w:szCs w:val="22"/>
        </w:rPr>
      </w:pPr>
    </w:p>
    <w:p>
      <w:pPr>
        <w:pStyle w:val="BodyText"/>
        <w:tabs>
          <w:tab w:pos="3425" w:val="left" w:leader="none"/>
          <w:tab w:pos="7568" w:val="left" w:leader="none"/>
        </w:tabs>
        <w:spacing w:line="240" w:lineRule="auto"/>
        <w:ind w:left="0" w:right="1223"/>
        <w:jc w:val="right"/>
      </w:pPr>
      <w:r>
        <w:rPr/>
        <w:t>法定代表人：史利军</w:t>
        <w:tab/>
      </w:r>
      <w:r>
        <w:rPr>
          <w:spacing w:val="-1"/>
        </w:rPr>
        <w:t>主管会计工作负责人：郑正东</w:t>
        <w:tab/>
      </w:r>
      <w:r>
        <w:rPr/>
        <w:t>会计机构负责人：杨海廷</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母公司资产负债表" w:id="161"/>
      <w:bookmarkEnd w:id="161"/>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0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510,472,948.23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983,907,868.01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463" w:right="152"/>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14,335,713.53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63,440,000.00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409,945.20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85,744.00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1,539,426,631.17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557,903,637.49</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25,340,193.64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14,604,440.17</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2,150,000.00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62,653.73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71,899,349.22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2,064,707,891.86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1,677,236,598.72</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3,000,000.00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875,374,335.95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1,078,649,870.22</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937,144.87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1,314,903.35</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928,237.50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1,047,787.50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877,239,718.32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1,084,012,561.07</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2,941,947,610.18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2,761,249,159.79</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22,016,000.00</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63" w:right="152"/>
              <w:jc w:val="left"/>
              <w:rPr>
                <w:rFonts w:ascii="宋体" w:hAnsi="宋体" w:cs="宋体" w:eastAsia="宋体" w:hint="default"/>
                <w:sz w:val="18"/>
                <w:szCs w:val="18"/>
              </w:rPr>
            </w:pPr>
            <w:r>
              <w:rPr>
                <w:rFonts w:ascii="宋体" w:hAnsi="宋体" w:cs="宋体" w:eastAsia="宋体" w:hint="default"/>
                <w:sz w:val="18"/>
                <w:szCs w:val="18"/>
              </w:rPr>
              <w:t>以公允价值计量且其变动计入 当期损益的金融负债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9,989,961.98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9,996,961.98</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1,083,451.79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374,656.38</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2967"/>
        <w:gridCol w:w="3300"/>
        <w:gridCol w:w="3303"/>
      </w:tblGrid>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13,285,518.68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11,798,365.81</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63,386,257.26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27,331,222.80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206,029.02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206,029.02</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87,745,189.71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71,517,206.97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87,745,189.71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71,517,206.97</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522,777,419.00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522,777,419.00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Times New Roman" w:hAnsi="Times New Roman" w:cs="Times New Roman" w:eastAsia="Times New Roman" w:hint="default"/>
                <w:sz w:val="18"/>
                <w:szCs w:val="18"/>
              </w:rPr>
            </w:pPr>
            <w:r>
              <w:rPr>
                <w:rFonts w:ascii="Times New Roman"/>
                <w:sz w:val="18"/>
              </w:rPr>
              <w:t>4,313,368,234.61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105" w:right="0"/>
              <w:jc w:val="left"/>
              <w:rPr>
                <w:rFonts w:ascii="Times New Roman" w:hAnsi="Times New Roman" w:cs="Times New Roman" w:eastAsia="Times New Roman" w:hint="default"/>
                <w:sz w:val="18"/>
                <w:szCs w:val="18"/>
              </w:rPr>
            </w:pPr>
            <w:r>
              <w:rPr>
                <w:rFonts w:ascii="Times New Roman"/>
                <w:sz w:val="18"/>
              </w:rPr>
              <w:t>4,313,368,234.61</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53,837,527.07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37,390,480.30</w:t>
            </w:r>
          </w:p>
        </w:tc>
      </w:tr>
      <w:tr>
        <w:trPr>
          <w:trHeight w:val="401"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-2,035,780,760.21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-2,183,804,181.09</w:t>
            </w:r>
          </w:p>
        </w:tc>
      </w:tr>
      <w:tr>
        <w:trPr>
          <w:trHeight w:val="403" w:hRule="exact"/>
        </w:trPr>
        <w:tc>
          <w:tcPr>
            <w:tcW w:w="2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2,854,202,420.47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2,689,731,952.82</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966"/>
        <w:gridCol w:w="3300"/>
        <w:gridCol w:w="3303"/>
      </w:tblGrid>
      <w:tr>
        <w:trPr>
          <w:trHeight w:val="404"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2,941,947,610.18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2,761,249,159.79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6"/>
        <w:jc w:val="left"/>
        <w:rPr>
          <w:b w:val="0"/>
          <w:bCs w:val="0"/>
        </w:rPr>
      </w:pPr>
      <w:bookmarkStart w:name="3、合并利润表" w:id="162"/>
      <w:bookmarkEnd w:id="162"/>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885"/>
        <w:gridCol w:w="2340"/>
        <w:gridCol w:w="2343"/>
      </w:tblGrid>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1,834,846,120.35</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2,591,464,628.91</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1,834,846,120.35</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2,591,464,628.91</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1,738,326,468.99</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2,434,770,329.13</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1,684,718,156.62</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2,377,687,008.35</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5,774,779.64</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10,924,250.04</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17,749,668.04</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25,697,002.92</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54,571,604.50</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63,457,174.52</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1,994,900.25</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7,720,025.93</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-26,482,640.06</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-50,715,132.63</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1,176,345.35</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825,705.99</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706"/>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27,797,201.37</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51,679,625.64</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6"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1,911,236.43</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311,800.00</w:t>
            </w:r>
          </w:p>
        </w:tc>
      </w:tr>
      <w:tr>
        <w:trPr>
          <w:trHeight w:val="403"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39,648,752.93</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13,774,639.60</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净敞口套期收益（损失以“－”号填列）</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-40,095,495.74</w:t>
            </w:r>
          </w:p>
        </w:tc>
        <w:tc>
          <w:tcPr>
            <w:tcW w:w="23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4885"/>
        <w:gridCol w:w="2340"/>
        <w:gridCol w:w="2343"/>
      </w:tblGrid>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-636.31</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-2,697,872,350.66</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69,351.46</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-225.52</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三、营业利润（亏损以“－”号填列）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98,052,860.13</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-2,527,091,836.80</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50,845,494.94</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1,418,280.71</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1,758,538.32</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4,268,838.36</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四、利润总额（亏损总额以“－”号填列）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147,139,816.75</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-2,529,942,394.45</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23,232,248.42</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22,713,111.42</w:t>
            </w:r>
          </w:p>
        </w:tc>
      </w:tr>
      <w:tr>
        <w:trPr>
          <w:trHeight w:val="407"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五、净利润（净亏损以“－”号填列）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123,907,568.33</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-2,552,655,505.87</w:t>
            </w:r>
          </w:p>
        </w:tc>
      </w:tr>
      <w:tr>
        <w:trPr>
          <w:trHeight w:val="397"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持续经营净利润（净亏损以“－”号填列）</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123,907,568.33</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-2,552,719,103.35</w:t>
            </w:r>
          </w:p>
        </w:tc>
      </w:tr>
      <w:tr>
        <w:trPr>
          <w:trHeight w:val="408"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终止经营净利润（净亏损以“－”号填列）</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63,597.48</w:t>
            </w:r>
          </w:p>
        </w:tc>
      </w:tr>
      <w:tr>
        <w:trPr>
          <w:trHeight w:val="391"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归属于母公司所有者的净利润</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122,379,851.84</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9"/>
              <w:jc w:val="right"/>
              <w:rPr>
                <w:rFonts w:ascii="Times New Roman" w:hAnsi="Times New Roman" w:cs="Times New Roman" w:eastAsia="Times New Roman" w:hint="default"/>
                <w:sz w:val="18"/>
                <w:szCs w:val="18"/>
              </w:rPr>
            </w:pPr>
            <w:r>
              <w:rPr>
                <w:rFonts w:ascii="Times New Roman"/>
                <w:spacing w:val="-1"/>
                <w:sz w:val="18"/>
              </w:rPr>
              <w:t>-2,549,568,558.92</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少数股东损益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1,527,716.49</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-3,086,946.95</w:t>
            </w: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2340" w:type="dxa"/>
            <w:tcBorders>
              <w:top w:val="single" w:sz="4" w:space="0" w:color="000000"/>
              <w:left w:val="single" w:sz="4" w:space="0" w:color="000000"/>
              <w:bottom w:val="single" w:sz="4" w:space="0" w:color="000000"/>
              <w:right w:val="single" w:sz="4" w:space="0" w:color="000000"/>
            </w:tcBorders>
          </w:tcPr>
          <w:p>
            <w:pPr/>
          </w:p>
        </w:tc>
        <w:tc>
          <w:tcPr>
            <w:tcW w:w="23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123,907,568.33</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-2,552,655,505.87</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4885"/>
        <w:gridCol w:w="2340"/>
        <w:gridCol w:w="2343"/>
      </w:tblGrid>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122,379,851.84</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-2,549,568,558.92</w:t>
            </w:r>
          </w:p>
        </w:tc>
      </w:tr>
      <w:tr>
        <w:trPr>
          <w:trHeight w:val="407"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1,527,716.49</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-3,086,946.95</w:t>
            </w:r>
          </w:p>
        </w:tc>
      </w:tr>
      <w:tr>
        <w:trPr>
          <w:trHeight w:val="397"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0.2341</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-4.8770</w:t>
            </w:r>
          </w:p>
        </w:tc>
      </w:tr>
      <w:tr>
        <w:trPr>
          <w:trHeight w:val="403" w:hRule="exact"/>
        </w:trPr>
        <w:tc>
          <w:tcPr>
            <w:tcW w:w="48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0.2341</w:t>
            </w:r>
          </w:p>
        </w:tc>
        <w:tc>
          <w:tcPr>
            <w:tcW w:w="23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-4.8770</w:t>
            </w:r>
          </w:p>
        </w:tc>
      </w:tr>
    </w:tbl>
    <w:p>
      <w:pPr>
        <w:pStyle w:val="BodyText"/>
        <w:tabs>
          <w:tab w:pos="3538" w:val="left" w:leader="none"/>
          <w:tab w:pos="7681" w:val="left" w:leader="none"/>
        </w:tabs>
        <w:spacing w:line="595" w:lineRule="auto" w:before="49"/>
        <w:ind w:right="1223"/>
        <w:jc w:val="both"/>
        <w:rPr>
          <w:rFonts w:ascii="宋体" w:hAnsi="宋体" w:cs="宋体" w:eastAsia="宋体" w:hint="default"/>
          <w:sz w:val="21"/>
          <w:szCs w:val="21"/>
        </w:rPr>
      </w:pPr>
      <w:r>
        <w:rPr/>
        <w:t>本期发生同一控制下企业合并的，被合并方在合并前实现的净利润为：</w:t>
      </w:r>
      <w:r>
        <w:rPr>
          <w:rFonts w:ascii="Times New Roman" w:hAnsi="Times New Roman" w:cs="Times New Roman" w:eastAsia="Times New Roman" w:hint="default"/>
        </w:rPr>
        <w:t>0.00 </w:t>
      </w:r>
      <w:r>
        <w:rPr/>
        <w:t>元，上期被合并方实现的净利润为：</w:t>
      </w:r>
      <w:r>
        <w:rPr>
          <w:rFonts w:ascii="Times New Roman" w:hAnsi="Times New Roman" w:cs="Times New Roman" w:eastAsia="Times New Roman" w:hint="default"/>
        </w:rPr>
        <w:t>0.00 </w:t>
      </w:r>
      <w:r>
        <w:rPr>
          <w:spacing w:val="-3"/>
        </w:rPr>
        <w:t>元。 </w:t>
      </w:r>
      <w:r>
        <w:rPr/>
        <w:t>法定代表人：史利军</w:t>
        <w:tab/>
      </w:r>
      <w:r>
        <w:rPr>
          <w:spacing w:val="-1"/>
        </w:rPr>
        <w:t>主管会计工作负责人：郑正东</w:t>
        <w:tab/>
      </w:r>
      <w:r>
        <w:rPr/>
        <w:t>会计机构负责人：杨海廷</w:t>
      </w:r>
      <w:r>
        <w:rPr/>
        <w:t> </w:t>
      </w:r>
      <w:bookmarkStart w:name="4、母公司利润表" w:id="163"/>
      <w:bookmarkEnd w:id="163"/>
      <w:r>
        <w:rPr/>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、母公司利润表</w:t>
      </w:r>
      <w:r>
        <w:rPr>
          <w:rFonts w:ascii="宋体" w:hAnsi="宋体" w:cs="宋体" w:eastAsia="宋体" w:hint="default"/>
          <w:sz w:val="21"/>
          <w:szCs w:val="21"/>
        </w:rPr>
      </w:r>
    </w:p>
    <w:p>
      <w:pPr>
        <w:pStyle w:val="BodyText"/>
        <w:spacing w:line="240" w:lineRule="auto" w:before="0"/>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6225"/>
        <w:gridCol w:w="1673"/>
        <w:gridCol w:w="1673"/>
      </w:tblGrid>
      <w:tr>
        <w:trPr>
          <w:trHeight w:val="401"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4,174,575.36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1,920,304.15</w:t>
            </w:r>
          </w:p>
        </w:tc>
      </w:tr>
      <w:tr>
        <w:trPr>
          <w:trHeight w:val="401"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165,141.40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1,890,722.74</w:t>
            </w:r>
          </w:p>
        </w:tc>
      </w:tr>
      <w:tr>
        <w:trPr>
          <w:trHeight w:val="403"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144,428.13</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119,810.98</w:t>
            </w:r>
          </w:p>
        </w:tc>
      </w:tr>
      <w:tr>
        <w:trPr>
          <w:trHeight w:val="401"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28,631,142.40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34,122,527.34</w:t>
            </w:r>
          </w:p>
        </w:tc>
      </w:tr>
      <w:tr>
        <w:trPr>
          <w:trHeight w:val="401"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1,188,822.66</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3,915,322.42</w:t>
            </w:r>
          </w:p>
        </w:tc>
      </w:tr>
      <w:tr>
        <w:trPr>
          <w:trHeight w:val="403"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-53,473,428.25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-63,044,292.30</w:t>
            </w:r>
          </w:p>
        </w:tc>
      </w:tr>
      <w:tr>
        <w:trPr>
          <w:trHeight w:val="401"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48,111.00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47,502.00</w:t>
            </w:r>
          </w:p>
        </w:tc>
      </w:tr>
      <w:tr>
        <w:trPr>
          <w:trHeight w:val="403"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4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53,545,445.27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63,112,441.01</w:t>
            </w:r>
          </w:p>
        </w:tc>
      </w:tr>
      <w:tr>
        <w:trPr>
          <w:trHeight w:val="401"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19,106.84</w:t>
            </w: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投资收益（损失以“－”号填列）</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90,091,758.99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9,578,598.31</w:t>
            </w:r>
          </w:p>
        </w:tc>
      </w:tr>
      <w:tr>
        <w:trPr>
          <w:trHeight w:val="401"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以摊余成本计量的金融资产终止确认收益（损失以“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净敞口套期收益（损失以“－”号填列）</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公允价值变动收益（损失以“－”号填列）</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-3,267,772.54</w:t>
            </w: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-2,260,226,588.39</w:t>
            </w:r>
          </w:p>
        </w:tc>
      </w:tr>
      <w:tr>
        <w:trPr>
          <w:trHeight w:val="401"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-7,248.54</w:t>
            </w: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二、营业利润（亏损以“－”号填列）</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114,354,313.77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-2,225,731,777.11</w:t>
            </w:r>
          </w:p>
        </w:tc>
      </w:tr>
      <w:tr>
        <w:trPr>
          <w:trHeight w:val="401"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50,727,780.67</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236,501.22</w:t>
            </w:r>
          </w:p>
        </w:tc>
      </w:tr>
      <w:tr>
        <w:trPr>
          <w:trHeight w:val="403"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611,626.79</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55,060.09</w:t>
            </w:r>
          </w:p>
        </w:tc>
      </w:tr>
      <w:tr>
        <w:trPr>
          <w:trHeight w:val="401"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三、利润总额（亏损总额以“－”号填列）</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164,470,467.65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-2,225,550,335.98</w:t>
            </w:r>
          </w:p>
        </w:tc>
      </w:tr>
      <w:tr>
        <w:trPr>
          <w:trHeight w:val="403"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6225"/>
        <w:gridCol w:w="1673"/>
        <w:gridCol w:w="1673"/>
      </w:tblGrid>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四、净利润（净亏损以“－”号填列）</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164,470,467.65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-2,225,550,335.98</w:t>
            </w: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（一）持续经营净利润（净亏损以“－”号填列）</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5" w:right="0"/>
              <w:jc w:val="left"/>
              <w:rPr>
                <w:rFonts w:ascii="Times New Roman" w:hAnsi="Times New Roman" w:cs="Times New Roman" w:eastAsia="Times New Roman" w:hint="default"/>
                <w:sz w:val="18"/>
                <w:szCs w:val="18"/>
              </w:rPr>
            </w:pPr>
            <w:r>
              <w:rPr>
                <w:rFonts w:ascii="Times New Roman"/>
                <w:sz w:val="18"/>
              </w:rPr>
              <w:t>164,470,467.65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3" w:right="0"/>
              <w:jc w:val="left"/>
              <w:rPr>
                <w:rFonts w:ascii="Times New Roman" w:hAnsi="Times New Roman" w:cs="Times New Roman" w:eastAsia="Times New Roman" w:hint="default"/>
                <w:sz w:val="18"/>
                <w:szCs w:val="18"/>
              </w:rPr>
            </w:pPr>
            <w:r>
              <w:rPr>
                <w:rFonts w:ascii="Times New Roman"/>
                <w:sz w:val="18"/>
              </w:rPr>
              <w:t>-2,225,550,335.98</w:t>
            </w: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（二）终止经营净利润（净亏损以“－”号填列）</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（一）不能重分类进损益的其他综合收益</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重新计量设定受益计划变动额</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权益法下不能转损益的其他综合收益</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其他权益工具投资公允价值变动</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企业自身信用风险公允价值变动</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权益法下可转损益的其他综合收益</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其他债权投资公允价值变动</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可供出售金融资产公允价值变动损益</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金融资产重分类计入其他综合收益的金额</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持有至到期投资重分类为可供出售金融资产损益</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其他债权投资信用减值准备</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现金流量套期储备</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外币财务报表折算差额</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164,470,467.65</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-2,225,550,335.98</w:t>
            </w: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2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673"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5、合并现金流量表" w:id="164"/>
      <w:bookmarkEnd w:id="164"/>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473"/>
        <w:gridCol w:w="2047"/>
        <w:gridCol w:w="2050"/>
      </w:tblGrid>
      <w:tr>
        <w:trPr>
          <w:trHeight w:val="403"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0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74" w:right="0"/>
              <w:jc w:val="left"/>
              <w:rPr>
                <w:rFonts w:ascii="Times New Roman" w:hAnsi="Times New Roman" w:cs="Times New Roman" w:eastAsia="Times New Roman" w:hint="default"/>
                <w:sz w:val="18"/>
                <w:szCs w:val="18"/>
              </w:rPr>
            </w:pPr>
            <w:r>
              <w:rPr>
                <w:rFonts w:ascii="Times New Roman"/>
                <w:sz w:val="18"/>
              </w:rPr>
              <w:t>1,934,727,552.12</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84" w:right="0"/>
              <w:jc w:val="left"/>
              <w:rPr>
                <w:rFonts w:ascii="Times New Roman" w:hAnsi="Times New Roman" w:cs="Times New Roman" w:eastAsia="Times New Roman" w:hint="default"/>
                <w:sz w:val="18"/>
                <w:szCs w:val="18"/>
              </w:rPr>
            </w:pPr>
            <w:r>
              <w:rPr>
                <w:rFonts w:ascii="Times New Roman"/>
                <w:sz w:val="18"/>
              </w:rPr>
              <w:t>2,665,698,998.11</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98"/>
              <w:jc w:val="righ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298"/>
              <w:jc w:val="righ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5473"/>
        <w:gridCol w:w="2047"/>
        <w:gridCol w:w="2050"/>
      </w:tblGrid>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111,912,538.90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20,579,022.23</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19,369.76</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70,060,318.62</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69,512,539.39</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2,116,719,779.40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2,755,790,559.73</w:t>
            </w:r>
          </w:p>
        </w:tc>
      </w:tr>
      <w:tr>
        <w:trPr>
          <w:trHeight w:val="403"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1,677,215,555.21</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2,624,981,730.81</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417,000,000.00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590,000,000.00</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42,199,645.22</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56,619,399.82</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48,908,582.68</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86,657,376.71</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508,878,740.32</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47,418,736.59</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2,694,202,523.43</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3,405,677,243.93</w:t>
            </w:r>
          </w:p>
        </w:tc>
      </w:tr>
      <w:tr>
        <w:trPr>
          <w:trHeight w:val="408"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-577,482,744.03</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-649,886,684.20</w:t>
            </w:r>
          </w:p>
        </w:tc>
      </w:tr>
      <w:tr>
        <w:trPr>
          <w:trHeight w:val="391"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0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1,893,919,860.38</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3,049,623,426.42</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2,504,792.97</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11,393,689.24</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53,092.21</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12,000.00</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26,948,296.32</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85,685,553.41</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89,377,107.90</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2,012,803,149.78</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3,146,714,669.07</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18,590.10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1,963,271.90</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1,924,197,772.09</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2,694,962,920.79</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0.10</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114,362,189.50</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1,934,216,362.29</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2,811,288,382.19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5473"/>
        <w:gridCol w:w="2047"/>
        <w:gridCol w:w="2050"/>
      </w:tblGrid>
      <w:tr>
        <w:trPr>
          <w:trHeight w:val="408"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78,586,787.49</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335,426,286.88</w:t>
            </w:r>
          </w:p>
        </w:tc>
      </w:tr>
      <w:tr>
        <w:trPr>
          <w:trHeight w:val="391"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04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78"/>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22,016,000.00</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w w:val="95"/>
                <w:sz w:val="18"/>
              </w:rPr>
              <w:t>6,955.56</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22,022,955.56</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22,016,000.00</w:t>
            </w: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563,585.98</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209,316,293.06</w:t>
            </w:r>
          </w:p>
        </w:tc>
      </w:tr>
      <w:tr>
        <w:trPr>
          <w:trHeight w:val="403"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578"/>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12,390,001.00</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22,579,585.98</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221,706,294.06</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-22,579,585.98</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-199,683,338.50</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047" w:type="dxa"/>
            <w:tcBorders>
              <w:top w:val="single" w:sz="4" w:space="0" w:color="000000"/>
              <w:left w:val="single" w:sz="4" w:space="0" w:color="000000"/>
              <w:bottom w:val="single" w:sz="4" w:space="0" w:color="000000"/>
              <w:right w:val="single" w:sz="4" w:space="0" w:color="000000"/>
            </w:tcBorders>
          </w:tcPr>
          <w:p>
            <w:pPr/>
          </w:p>
        </w:tc>
        <w:tc>
          <w:tcPr>
            <w:tcW w:w="20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-521,475,542.52</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-514,143,735.82</w:t>
            </w:r>
          </w:p>
        </w:tc>
      </w:tr>
      <w:tr>
        <w:trPr>
          <w:trHeight w:val="402"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1,386,748,463.69</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1,900,892,199.51</w:t>
            </w:r>
          </w:p>
        </w:tc>
      </w:tr>
      <w:tr>
        <w:trPr>
          <w:trHeight w:val="403" w:hRule="exact"/>
        </w:trPr>
        <w:tc>
          <w:tcPr>
            <w:tcW w:w="5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0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865,272,921.17</w:t>
            </w:r>
          </w:p>
        </w:tc>
        <w:tc>
          <w:tcPr>
            <w:tcW w:w="2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1,386,748,463.69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6"/>
        <w:jc w:val="left"/>
        <w:rPr>
          <w:b w:val="0"/>
          <w:bCs w:val="0"/>
        </w:rPr>
      </w:pPr>
      <w:bookmarkStart w:name="6、母公司现金流量表" w:id="165"/>
      <w:bookmarkEnd w:id="165"/>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485"/>
        <w:gridCol w:w="2030"/>
        <w:gridCol w:w="2055"/>
      </w:tblGrid>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397"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2030"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2,253,544.99</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18,869.76</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22,787,134.39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49,325,171.86</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22,806,004.15</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51,578,716.85</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2030"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2,751,567.96</w:t>
            </w:r>
          </w:p>
        </w:tc>
      </w:tr>
      <w:tr>
        <w:trPr>
          <w:trHeight w:val="403"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10,983,446.07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13,787,683.85</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217,812.31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2,500,618.55</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350,729,825.71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25,754,954.03</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361,931,084.09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44,794,824.39</w:t>
            </w:r>
          </w:p>
        </w:tc>
      </w:tr>
      <w:tr>
        <w:trPr>
          <w:trHeight w:val="407"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-339,125,079.94</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6,783,892.46</w:t>
            </w:r>
          </w:p>
        </w:tc>
      </w:tr>
      <w:tr>
        <w:trPr>
          <w:trHeight w:val="397"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305,428,100.38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2,402,401,093.42</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5485"/>
        <w:gridCol w:w="2030"/>
        <w:gridCol w:w="2055"/>
      </w:tblGrid>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129,077,111.47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9,669,212.21</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33,176.00</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2030"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1,115,952,734.07</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1,550,491,121.92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2,482,070,305.63</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16,276.10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792,624.02</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140,293,332.09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2,578,177,109.29</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2030"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1,852,644,668.32</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442,500,326.50</w:t>
            </w:r>
          </w:p>
        </w:tc>
      </w:tr>
      <w:tr>
        <w:trPr>
          <w:trHeight w:val="403"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1,992,954,276.51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3,021,470,059.81</w:t>
            </w:r>
          </w:p>
        </w:tc>
      </w:tr>
      <w:tr>
        <w:trPr>
          <w:trHeight w:val="408"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-442,463,154.59</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-539,399,754.18</w:t>
            </w:r>
          </w:p>
        </w:tc>
      </w:tr>
      <w:tr>
        <w:trPr>
          <w:trHeight w:val="391"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7"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6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2030"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2030"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2,016,000.00</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2030"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1,710,705.56</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030"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3,726,705.56</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22,016,000.00</w:t>
            </w: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2"/>
                <w:sz w:val="18"/>
              </w:rPr>
              <w:t>48,111.00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209,158,469.60</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2030"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12,400,001.00</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2"/>
                <w:sz w:val="18"/>
              </w:rPr>
              <w:t>22,064,111.00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221,558,470.60</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2"/>
                <w:sz w:val="18"/>
              </w:rPr>
              <w:t>-22,064,111.00</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-217,831,765.04</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2030" w:type="dxa"/>
            <w:tcBorders>
              <w:top w:val="single" w:sz="4" w:space="0" w:color="000000"/>
              <w:left w:val="single" w:sz="4" w:space="0" w:color="000000"/>
              <w:bottom w:val="single" w:sz="4" w:space="0" w:color="000000"/>
              <w:right w:val="single" w:sz="4" w:space="0" w:color="000000"/>
            </w:tcBorders>
          </w:tcPr>
          <w:p>
            <w:pPr/>
          </w:p>
        </w:tc>
        <w:tc>
          <w:tcPr>
            <w:tcW w:w="205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-803,652,345.53</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-750,447,626.76</w:t>
            </w:r>
          </w:p>
        </w:tc>
      </w:tr>
      <w:tr>
        <w:trPr>
          <w:trHeight w:val="402"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983,907,868.01</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1,734,355,494.77</w:t>
            </w:r>
          </w:p>
        </w:tc>
      </w:tr>
      <w:tr>
        <w:trPr>
          <w:trHeight w:val="403" w:hRule="exact"/>
        </w:trPr>
        <w:tc>
          <w:tcPr>
            <w:tcW w:w="5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180,255,522.48</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983,907,868.01</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7、合并所有者权益变动表" w:id="166"/>
      <w:bookmarkEnd w:id="166"/>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6"/>
        <w:jc w:val="left"/>
      </w:pPr>
      <w:r>
        <w:rPr/>
        <w:t>本期金额</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313"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3" w:hRule="exact"/>
        </w:trPr>
        <w:tc>
          <w:tcPr>
            <w:tcW w:w="1252" w:type="dxa"/>
            <w:vMerge/>
            <w:tcBorders>
              <w:left w:val="single" w:sz="4" w:space="0" w:color="000000"/>
              <w:right w:val="single" w:sz="4" w:space="0" w:color="000000"/>
            </w:tcBorders>
            <w:shd w:val="clear" w:color="auto" w:fill="D2D2D2"/>
          </w:tcPr>
          <w:p>
            <w:pPr/>
          </w:p>
        </w:tc>
        <w:tc>
          <w:tcPr>
            <w:tcW w:w="7149"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6" w:type="dxa"/>
            <w:tcBorders>
              <w:top w:val="single" w:sz="4" w:space="0" w:color="000000"/>
              <w:left w:val="single" w:sz="4" w:space="0" w:color="000000"/>
              <w:bottom w:val="nil" w:sz="6" w:space="0" w:color="auto"/>
              <w:right w:val="single" w:sz="4" w:space="0" w:color="000000"/>
            </w:tcBorders>
            <w:shd w:val="clear" w:color="auto" w:fill="D2D2D2"/>
          </w:tcPr>
          <w:p>
            <w:pP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2"/>
                <w:szCs w:val="22"/>
              </w:rPr>
            </w:pPr>
          </w:p>
          <w:p>
            <w:pPr>
              <w:pStyle w:val="TableParagraph"/>
              <w:spacing w:line="316" w:lineRule="auto"/>
              <w:ind w:left="103" w:right="103"/>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1" w:hRule="exact"/>
        </w:trPr>
        <w:tc>
          <w:tcPr>
            <w:tcW w:w="1252" w:type="dxa"/>
            <w:vMerge/>
            <w:tcBorders>
              <w:left w:val="single" w:sz="4" w:space="0" w:color="000000"/>
              <w:right w:val="single" w:sz="4" w:space="0" w:color="000000"/>
            </w:tcBorders>
            <w:shd w:val="clear" w:color="auto" w:fill="D2D2D2"/>
          </w:tcPr>
          <w:p>
            <w:pPr/>
          </w:p>
        </w:tc>
        <w:tc>
          <w:tcPr>
            <w:tcW w:w="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53" w:right="149"/>
              <w:jc w:val="left"/>
              <w:rPr>
                <w:rFonts w:ascii="宋体" w:hAnsi="宋体" w:cs="宋体" w:eastAsia="宋体" w:hint="default"/>
                <w:sz w:val="18"/>
                <w:szCs w:val="18"/>
              </w:rPr>
            </w:pPr>
            <w:r>
              <w:rPr>
                <w:rFonts w:ascii="宋体" w:hAnsi="宋体" w:cs="宋体" w:eastAsia="宋体" w:hint="default"/>
                <w:sz w:val="18"/>
                <w:szCs w:val="18"/>
              </w:rPr>
              <w:t>股 本</w:t>
            </w:r>
          </w:p>
        </w:tc>
        <w:tc>
          <w:tcPr>
            <w:tcW w:w="14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8" w:right="103"/>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7" w:right="107"/>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5" w:right="10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5" w:right="10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316" w:lineRule="auto"/>
              <w:ind w:left="107" w:right="103"/>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7" w:right="103"/>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108"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0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07" w:right="107"/>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8" w:type="dxa"/>
            <w:vMerge/>
            <w:tcBorders>
              <w:left w:val="single" w:sz="4" w:space="0" w:color="000000"/>
              <w:right w:val="single" w:sz="4" w:space="0" w:color="000000"/>
            </w:tcBorders>
            <w:shd w:val="clear" w:color="auto" w:fill="D2D2D2"/>
          </w:tcPr>
          <w:p>
            <w:pPr/>
          </w:p>
        </w:tc>
      </w:tr>
      <w:tr>
        <w:trPr>
          <w:trHeight w:val="1026" w:hRule="exact"/>
        </w:trPr>
        <w:tc>
          <w:tcPr>
            <w:tcW w:w="1252" w:type="dxa"/>
            <w:vMerge/>
            <w:tcBorders>
              <w:left w:val="single" w:sz="4" w:space="0" w:color="000000"/>
              <w:bottom w:val="single" w:sz="4" w:space="0" w:color="000000"/>
              <w:right w:val="single" w:sz="4" w:space="0" w:color="000000"/>
            </w:tcBorders>
            <w:shd w:val="clear" w:color="auto" w:fill="D2D2D2"/>
          </w:tcPr>
          <w:p>
            <w:pPr/>
          </w:p>
        </w:tc>
        <w:tc>
          <w:tcPr>
            <w:tcW w:w="494" w:type="dxa"/>
            <w:vMerge/>
            <w:tcBorders>
              <w:left w:val="single" w:sz="4" w:space="0" w:color="000000"/>
              <w:bottom w:val="single" w:sz="4" w:space="0" w:color="000000"/>
              <w:right w:val="single" w:sz="4" w:space="0" w:color="000000"/>
            </w:tcBorders>
            <w:shd w:val="clear" w:color="auto" w:fill="D2D2D2"/>
          </w:tcPr>
          <w:p>
            <w:pP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6" w:right="137"/>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3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1" w:right="134"/>
              <w:jc w:val="left"/>
              <w:rPr>
                <w:rFonts w:ascii="宋体" w:hAnsi="宋体" w:cs="宋体" w:eastAsia="宋体" w:hint="default"/>
                <w:sz w:val="18"/>
                <w:szCs w:val="18"/>
              </w:rPr>
            </w:pPr>
            <w:r>
              <w:rPr>
                <w:rFonts w:ascii="宋体" w:hAnsi="宋体" w:cs="宋体" w:eastAsia="宋体" w:hint="default"/>
                <w:sz w:val="18"/>
                <w:szCs w:val="18"/>
              </w:rPr>
              <w:t>其 他</w:t>
            </w: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84" w:type="dxa"/>
            <w:vMerge/>
            <w:tcBorders>
              <w:left w:val="single" w:sz="4" w:space="0" w:color="000000"/>
              <w:bottom w:val="single" w:sz="4" w:space="0" w:color="000000"/>
              <w:right w:val="single" w:sz="4" w:space="0" w:color="000000"/>
            </w:tcBorders>
            <w:shd w:val="clear" w:color="auto" w:fill="D2D2D2"/>
          </w:tcPr>
          <w:p>
            <w:pPr/>
          </w:p>
        </w:tc>
        <w:tc>
          <w:tcPr>
            <w:tcW w:w="583" w:type="dxa"/>
            <w:vMerge/>
            <w:tcBorders>
              <w:left w:val="single" w:sz="4" w:space="0" w:color="000000"/>
              <w:bottom w:val="single" w:sz="4" w:space="0" w:color="000000"/>
              <w:right w:val="single" w:sz="4" w:space="0" w:color="000000"/>
            </w:tcBorders>
            <w:shd w:val="clear" w:color="auto" w:fill="D2D2D2"/>
          </w:tcPr>
          <w:p>
            <w:pPr/>
          </w:p>
        </w:tc>
        <w:tc>
          <w:tcPr>
            <w:tcW w:w="58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64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8"/>
                <w:sz w:val="18"/>
                <w:szCs w:val="18"/>
              </w:rPr>
              <w:t>一、上年期末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522</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4,31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3,31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5,62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4.50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37,3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90,4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80.3</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-2,0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40,4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63,4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44.6</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3</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2,83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3,02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9.17</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62,2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41.5</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2,82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9,05</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7,83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7.65</w:t>
            </w: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01" w:firstLine="360"/>
              <w:jc w:val="left"/>
              <w:rPr>
                <w:rFonts w:ascii="宋体" w:hAnsi="宋体" w:cs="宋体" w:eastAsia="宋体" w:hint="default"/>
                <w:sz w:val="18"/>
                <w:szCs w:val="18"/>
              </w:rPr>
            </w:pPr>
            <w:r>
              <w:rPr>
                <w:rFonts w:ascii="宋体" w:hAnsi="宋体" w:cs="宋体" w:eastAsia="宋体" w:hint="default"/>
                <w:spacing w:val="-11"/>
                <w:sz w:val="18"/>
                <w:szCs w:val="18"/>
              </w:rPr>
              <w:t>加：会计</w:t>
            </w:r>
            <w:r>
              <w:rPr>
                <w:rFonts w:ascii="宋体" w:hAnsi="宋体" w:cs="宋体" w:eastAsia="宋体" w:hint="default"/>
                <w:sz w:val="18"/>
                <w:szCs w:val="18"/>
              </w:rPr>
              <w:t> 政策变更</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237" w:firstLine="720"/>
              <w:jc w:val="left"/>
              <w:rPr>
                <w:rFonts w:ascii="宋体" w:hAnsi="宋体" w:cs="宋体" w:eastAsia="宋体" w:hint="default"/>
                <w:sz w:val="18"/>
                <w:szCs w:val="18"/>
              </w:rPr>
            </w:pPr>
            <w:r>
              <w:rPr>
                <w:rFonts w:ascii="宋体" w:hAnsi="宋体" w:cs="宋体" w:eastAsia="宋体" w:hint="default"/>
                <w:sz w:val="18"/>
                <w:szCs w:val="18"/>
              </w:rPr>
              <w:t>前 期差错更正</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center"/>
              <w:rPr>
                <w:rFonts w:ascii="Times New Roman" w:hAnsi="Times New Roman" w:cs="Times New Roman" w:eastAsia="Times New Roman" w:hint="default"/>
                <w:sz w:val="18"/>
                <w:szCs w:val="18"/>
              </w:rPr>
            </w:pPr>
            <w:r>
              <w:rPr>
                <w:rFonts w:ascii="Times New Roman"/>
                <w:sz w:val="18"/>
              </w:rPr>
              <w:t>-199</w:t>
            </w:r>
          </w:p>
          <w:p>
            <w:pPr>
              <w:pStyle w:val="TableParagraph"/>
              <w:spacing w:line="240" w:lineRule="auto" w:before="105"/>
              <w:ind w:left="10" w:right="0"/>
              <w:jc w:val="center"/>
              <w:rPr>
                <w:rFonts w:ascii="Times New Roman" w:hAnsi="Times New Roman" w:cs="Times New Roman" w:eastAsia="Times New Roman" w:hint="default"/>
                <w:sz w:val="18"/>
                <w:szCs w:val="18"/>
              </w:rPr>
            </w:pPr>
            <w:r>
              <w:rPr>
                <w:rFonts w:ascii="Times New Roman"/>
                <w:sz w:val="18"/>
              </w:rPr>
              <w:t>,906,</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-199</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,906,</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79</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center"/>
              <w:rPr>
                <w:rFonts w:ascii="Times New Roman" w:hAnsi="Times New Roman" w:cs="Times New Roman" w:eastAsia="Times New Roman" w:hint="default"/>
                <w:sz w:val="18"/>
                <w:szCs w:val="18"/>
              </w:rPr>
            </w:pPr>
            <w:r>
              <w:rPr>
                <w:rFonts w:ascii="Times New Roman"/>
                <w:sz w:val="18"/>
              </w:rPr>
              <w:t>-199</w:t>
            </w:r>
          </w:p>
          <w:p>
            <w:pPr>
              <w:pStyle w:val="TableParagraph"/>
              <w:spacing w:line="240" w:lineRule="auto" w:before="105"/>
              <w:ind w:left="3" w:right="0"/>
              <w:jc w:val="center"/>
              <w:rPr>
                <w:rFonts w:ascii="Times New Roman" w:hAnsi="Times New Roman" w:cs="Times New Roman" w:eastAsia="Times New Roman" w:hint="default"/>
                <w:sz w:val="18"/>
                <w:szCs w:val="18"/>
              </w:rPr>
            </w:pPr>
            <w:r>
              <w:rPr>
                <w:rFonts w:ascii="Times New Roman"/>
                <w:sz w:val="18"/>
              </w:rPr>
              <w:t>,906,</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297.</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79</w:t>
            </w:r>
          </w:p>
        </w:tc>
      </w:tr>
      <w:tr>
        <w:trPr>
          <w:trHeight w:val="1028"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237" w:firstLine="720"/>
              <w:jc w:val="both"/>
              <w:rPr>
                <w:rFonts w:ascii="宋体" w:hAnsi="宋体" w:cs="宋体" w:eastAsia="宋体" w:hint="default"/>
                <w:sz w:val="18"/>
                <w:szCs w:val="18"/>
              </w:rPr>
            </w:pPr>
            <w:r>
              <w:rPr>
                <w:rFonts w:ascii="宋体" w:hAnsi="宋体" w:cs="宋体" w:eastAsia="宋体" w:hint="default"/>
                <w:sz w:val="18"/>
                <w:szCs w:val="18"/>
              </w:rPr>
              <w:t>同 一控制下企 业合并</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2" w:right="0"/>
              <w:jc w:val="left"/>
              <w:rPr>
                <w:rFonts w:ascii="宋体" w:hAnsi="宋体" w:cs="宋体" w:eastAsia="宋体" w:hint="default"/>
                <w:sz w:val="18"/>
                <w:szCs w:val="18"/>
              </w:rPr>
            </w:pPr>
            <w:r>
              <w:rPr>
                <w:rFonts w:ascii="宋体" w:hAnsi="宋体" w:cs="宋体" w:eastAsia="宋体" w:hint="default"/>
                <w:sz w:val="18"/>
                <w:szCs w:val="18"/>
              </w:rPr>
              <w:t>其</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z w:val="18"/>
                <w:szCs w:val="18"/>
              </w:rPr>
              <w:t>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102" w:right="101"/>
              <w:jc w:val="left"/>
              <w:rPr>
                <w:rFonts w:ascii="宋体" w:hAnsi="宋体" w:cs="宋体" w:eastAsia="宋体" w:hint="default"/>
                <w:sz w:val="18"/>
                <w:szCs w:val="18"/>
              </w:rPr>
            </w:pPr>
            <w:r>
              <w:rPr>
                <w:rFonts w:ascii="宋体" w:hAnsi="宋体" w:cs="宋体" w:eastAsia="宋体" w:hint="default"/>
                <w:spacing w:val="-8"/>
                <w:sz w:val="18"/>
                <w:szCs w:val="18"/>
              </w:rPr>
              <w:t>二、本年期初</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522</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,77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4,31</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3,31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5,62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4.50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37,3</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90,4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80.3</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40,3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69,7</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42.4</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2,63</w:t>
            </w:r>
          </w:p>
          <w:p>
            <w:pPr>
              <w:pStyle w:val="TableParagraph"/>
              <w:spacing w:line="240" w:lineRule="auto" w:before="102"/>
              <w:ind w:left="165" w:right="0"/>
              <w:jc w:val="left"/>
              <w:rPr>
                <w:rFonts w:ascii="Times New Roman" w:hAnsi="Times New Roman" w:cs="Times New Roman" w:eastAsia="Times New Roman" w:hint="default"/>
                <w:sz w:val="18"/>
                <w:szCs w:val="18"/>
              </w:rPr>
            </w:pPr>
            <w:r>
              <w:rPr>
                <w:rFonts w:ascii="Times New Roman"/>
                <w:sz w:val="18"/>
              </w:rPr>
              <w:t>3,11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3,78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1.38</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-3,9</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62,2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41.5</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2,62</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9,15</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1,53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9.86</w:t>
            </w:r>
          </w:p>
        </w:tc>
      </w:tr>
      <w:tr>
        <w:trPr>
          <w:trHeight w:val="133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01"/>
              <w:jc w:val="both"/>
              <w:rPr>
                <w:rFonts w:ascii="宋体" w:hAnsi="宋体" w:cs="宋体" w:eastAsia="宋体" w:hint="default"/>
                <w:sz w:val="18"/>
                <w:szCs w:val="18"/>
              </w:rPr>
            </w:pPr>
            <w:r>
              <w:rPr>
                <w:rFonts w:ascii="宋体" w:hAnsi="宋体" w:cs="宋体" w:eastAsia="宋体" w:hint="default"/>
                <w:spacing w:val="-8"/>
                <w:sz w:val="18"/>
                <w:szCs w:val="18"/>
              </w:rPr>
              <w:t>三、本期增减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变动金额（减</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8"/>
                <w:sz w:val="18"/>
                <w:szCs w:val="18"/>
              </w:rPr>
              <w:t>少以“－”号</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填列）</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87"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16,4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47,0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46.7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104,</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932,</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805.</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07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122,</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379,</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850.</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2,40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0,75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0.10</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124,</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780,</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600.</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94</w:t>
            </w: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2" w:right="101"/>
              <w:jc w:val="left"/>
              <w:rPr>
                <w:rFonts w:ascii="宋体" w:hAnsi="宋体" w:cs="宋体" w:eastAsia="宋体" w:hint="default"/>
                <w:sz w:val="18"/>
                <w:szCs w:val="18"/>
              </w:rPr>
            </w:pPr>
            <w:r>
              <w:rPr>
                <w:rFonts w:ascii="宋体" w:hAnsi="宋体" w:cs="宋体" w:eastAsia="宋体" w:hint="default"/>
                <w:spacing w:val="-8"/>
                <w:sz w:val="18"/>
                <w:szCs w:val="18"/>
              </w:rPr>
              <w:t>（一）综合收</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益总额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6" w:right="0"/>
              <w:jc w:val="center"/>
              <w:rPr>
                <w:rFonts w:ascii="Times New Roman" w:hAnsi="Times New Roman" w:cs="Times New Roman" w:eastAsia="Times New Roman" w:hint="default"/>
                <w:sz w:val="18"/>
                <w:szCs w:val="18"/>
              </w:rPr>
            </w:pPr>
            <w:r>
              <w:rPr>
                <w:rFonts w:ascii="Times New Roman"/>
                <w:sz w:val="18"/>
              </w:rPr>
              <w:t>122,</w:t>
            </w:r>
          </w:p>
          <w:p>
            <w:pPr>
              <w:pStyle w:val="TableParagraph"/>
              <w:spacing w:line="240" w:lineRule="auto" w:before="102"/>
              <w:ind w:left="56" w:right="0"/>
              <w:jc w:val="center"/>
              <w:rPr>
                <w:rFonts w:ascii="Times New Roman" w:hAnsi="Times New Roman" w:cs="Times New Roman" w:eastAsia="Times New Roman" w:hint="default"/>
                <w:sz w:val="18"/>
                <w:szCs w:val="18"/>
              </w:rPr>
            </w:pPr>
            <w:r>
              <w:rPr>
                <w:rFonts w:ascii="Times New Roman"/>
                <w:sz w:val="18"/>
              </w:rPr>
              <w:t>379,</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851.</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84</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9" w:right="0"/>
              <w:jc w:val="center"/>
              <w:rPr>
                <w:rFonts w:ascii="Times New Roman" w:hAnsi="Times New Roman" w:cs="Times New Roman" w:eastAsia="Times New Roman" w:hint="default"/>
                <w:sz w:val="18"/>
                <w:szCs w:val="18"/>
              </w:rPr>
            </w:pPr>
            <w:r>
              <w:rPr>
                <w:rFonts w:ascii="Times New Roman"/>
                <w:sz w:val="18"/>
              </w:rPr>
              <w:t>122,</w:t>
            </w:r>
          </w:p>
          <w:p>
            <w:pPr>
              <w:pStyle w:val="TableParagraph"/>
              <w:spacing w:line="240" w:lineRule="auto" w:before="102"/>
              <w:ind w:left="59" w:right="0"/>
              <w:jc w:val="center"/>
              <w:rPr>
                <w:rFonts w:ascii="Times New Roman" w:hAnsi="Times New Roman" w:cs="Times New Roman" w:eastAsia="Times New Roman" w:hint="default"/>
                <w:sz w:val="18"/>
                <w:szCs w:val="18"/>
              </w:rPr>
            </w:pPr>
            <w:r>
              <w:rPr>
                <w:rFonts w:ascii="Times New Roman"/>
                <w:sz w:val="18"/>
              </w:rPr>
              <w:t>379,</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851.</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84</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1,52</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7,71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6.49</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9" w:right="0"/>
              <w:jc w:val="center"/>
              <w:rPr>
                <w:rFonts w:ascii="Times New Roman" w:hAnsi="Times New Roman" w:cs="Times New Roman" w:eastAsia="Times New Roman" w:hint="default"/>
                <w:sz w:val="18"/>
                <w:szCs w:val="18"/>
              </w:rPr>
            </w:pPr>
            <w:r>
              <w:rPr>
                <w:rFonts w:ascii="Times New Roman"/>
                <w:sz w:val="18"/>
              </w:rPr>
              <w:t>123,</w:t>
            </w:r>
          </w:p>
          <w:p>
            <w:pPr>
              <w:pStyle w:val="TableParagraph"/>
              <w:spacing w:line="240" w:lineRule="auto" w:before="102"/>
              <w:ind w:left="49" w:right="0"/>
              <w:jc w:val="center"/>
              <w:rPr>
                <w:rFonts w:ascii="Times New Roman" w:hAnsi="Times New Roman" w:cs="Times New Roman" w:eastAsia="Times New Roman" w:hint="default"/>
                <w:sz w:val="18"/>
                <w:szCs w:val="18"/>
              </w:rPr>
            </w:pPr>
            <w:r>
              <w:rPr>
                <w:rFonts w:ascii="Times New Roman"/>
                <w:sz w:val="18"/>
              </w:rPr>
              <w:t>907,</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568.</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33</w:t>
            </w: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8"/>
                <w:sz w:val="18"/>
                <w:szCs w:val="18"/>
              </w:rPr>
              <w:t>（二）所有者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投入和减少 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873,</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033.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61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873,</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033.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61</w:t>
            </w:r>
          </w:p>
        </w:tc>
      </w:tr>
      <w:tr>
        <w:trPr>
          <w:trHeight w:val="716"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2"/>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 w:right="0"/>
              <w:jc w:val="center"/>
              <w:rPr>
                <w:rFonts w:ascii="Times New Roman" w:hAnsi="Times New Roman" w:cs="Times New Roman" w:eastAsia="Times New Roman" w:hint="default"/>
                <w:sz w:val="18"/>
                <w:szCs w:val="18"/>
              </w:rPr>
            </w:pPr>
            <w:r>
              <w:rPr>
                <w:rFonts w:ascii="Times New Roman"/>
                <w:sz w:val="18"/>
              </w:rPr>
              <w:t>873,</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033.</w:t>
            </w:r>
          </w:p>
          <w:p>
            <w:pPr>
              <w:pStyle w:val="TableParagraph"/>
              <w:spacing w:line="240" w:lineRule="auto" w:before="105"/>
              <w:ind w:left="191" w:right="0"/>
              <w:jc w:val="center"/>
              <w:rPr>
                <w:rFonts w:ascii="Times New Roman" w:hAnsi="Times New Roman" w:cs="Times New Roman" w:eastAsia="Times New Roman" w:hint="default"/>
                <w:sz w:val="18"/>
                <w:szCs w:val="18"/>
              </w:rPr>
            </w:pPr>
            <w:r>
              <w:rPr>
                <w:rFonts w:ascii="Times New Roman"/>
                <w:sz w:val="18"/>
              </w:rPr>
              <w:t>61</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center"/>
              <w:rPr>
                <w:rFonts w:ascii="Times New Roman" w:hAnsi="Times New Roman" w:cs="Times New Roman" w:eastAsia="Times New Roman" w:hint="default"/>
                <w:sz w:val="18"/>
                <w:szCs w:val="18"/>
              </w:rPr>
            </w:pPr>
            <w:r>
              <w:rPr>
                <w:rFonts w:ascii="Times New Roman"/>
                <w:sz w:val="18"/>
              </w:rPr>
              <w:t>873,</w:t>
            </w:r>
          </w:p>
          <w:p>
            <w:pPr>
              <w:pStyle w:val="TableParagraph"/>
              <w:spacing w:line="240" w:lineRule="auto" w:before="105"/>
              <w:ind w:left="49" w:right="0"/>
              <w:jc w:val="center"/>
              <w:rPr>
                <w:rFonts w:ascii="Times New Roman" w:hAnsi="Times New Roman" w:cs="Times New Roman" w:eastAsia="Times New Roman" w:hint="default"/>
                <w:sz w:val="18"/>
                <w:szCs w:val="18"/>
              </w:rPr>
            </w:pPr>
            <w:r>
              <w:rPr>
                <w:rFonts w:ascii="Times New Roman"/>
                <w:sz w:val="18"/>
              </w:rPr>
              <w:t>033.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61</w:t>
            </w:r>
          </w:p>
        </w:tc>
      </w:tr>
      <w:tr>
        <w:trPr>
          <w:trHeight w:val="1339"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6"/>
              <w:ind w:left="102" w:right="101"/>
              <w:jc w:val="left"/>
              <w:rPr>
                <w:rFonts w:ascii="宋体" w:hAnsi="宋体" w:cs="宋体" w:eastAsia="宋体" w:hint="default"/>
                <w:sz w:val="18"/>
                <w:szCs w:val="18"/>
              </w:rPr>
            </w:pPr>
            <w:r>
              <w:rPr>
                <w:rFonts w:ascii="宋体" w:hAnsi="宋体" w:cs="宋体" w:eastAsia="宋体" w:hint="default"/>
                <w:spacing w:val="-8"/>
                <w:sz w:val="18"/>
                <w:szCs w:val="18"/>
              </w:rPr>
              <w:t>（三）利润分</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58" w:right="0"/>
              <w:jc w:val="left"/>
              <w:rPr>
                <w:rFonts w:ascii="Times New Roman" w:hAnsi="Times New Roman" w:cs="Times New Roman" w:eastAsia="Times New Roman" w:hint="default"/>
                <w:sz w:val="18"/>
                <w:szCs w:val="18"/>
              </w:rPr>
            </w:pPr>
            <w:r>
              <w:rPr>
                <w:rFonts w:ascii="Times New Roman"/>
                <w:sz w:val="18"/>
              </w:rPr>
              <w:t>16,4</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47,0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46.7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7" w:right="0"/>
              <w:jc w:val="center"/>
              <w:rPr>
                <w:rFonts w:ascii="Times New Roman" w:hAnsi="Times New Roman" w:cs="Times New Roman" w:eastAsia="Times New Roman" w:hint="default"/>
                <w:sz w:val="18"/>
                <w:szCs w:val="18"/>
              </w:rPr>
            </w:pPr>
            <w:r>
              <w:rPr>
                <w:rFonts w:ascii="Times New Roman"/>
                <w:sz w:val="18"/>
              </w:rPr>
              <w:t>-17,</w:t>
            </w:r>
          </w:p>
          <w:p>
            <w:pPr>
              <w:pStyle w:val="TableParagraph"/>
              <w:spacing w:line="240" w:lineRule="auto" w:before="102"/>
              <w:ind w:left="56" w:right="0"/>
              <w:jc w:val="center"/>
              <w:rPr>
                <w:rFonts w:ascii="Times New Roman" w:hAnsi="Times New Roman" w:cs="Times New Roman" w:eastAsia="Times New Roman" w:hint="default"/>
                <w:sz w:val="18"/>
                <w:szCs w:val="18"/>
              </w:rPr>
            </w:pPr>
            <w:r>
              <w:rPr>
                <w:rFonts w:ascii="Times New Roman"/>
                <w:sz w:val="18"/>
              </w:rPr>
              <w:t>447,</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046.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8" w:right="0"/>
              <w:jc w:val="left"/>
              <w:rPr>
                <w:rFonts w:ascii="Times New Roman" w:hAnsi="Times New Roman" w:cs="Times New Roman" w:eastAsia="Times New Roman" w:hint="default"/>
                <w:sz w:val="18"/>
                <w:szCs w:val="18"/>
              </w:rPr>
            </w:pPr>
            <w:r>
              <w:rPr>
                <w:rFonts w:ascii="Times New Roman"/>
                <w:sz w:val="18"/>
              </w:rPr>
              <w:t>16,4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47,0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46.7</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-16,</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447,</w:t>
            </w:r>
          </w:p>
          <w:p>
            <w:pPr>
              <w:pStyle w:val="TableParagraph"/>
              <w:spacing w:line="240" w:lineRule="auto" w:before="105"/>
              <w:ind w:left="56" w:right="0"/>
              <w:jc w:val="center"/>
              <w:rPr>
                <w:rFonts w:ascii="Times New Roman" w:hAnsi="Times New Roman" w:cs="Times New Roman" w:eastAsia="Times New Roman" w:hint="default"/>
                <w:sz w:val="18"/>
                <w:szCs w:val="18"/>
              </w:rPr>
            </w:pPr>
            <w:r>
              <w:rPr>
                <w:rFonts w:ascii="Times New Roman"/>
                <w:sz w:val="18"/>
              </w:rPr>
              <w:t>046.</w:t>
            </w:r>
          </w:p>
          <w:p>
            <w:pPr>
              <w:pStyle w:val="TableParagraph"/>
              <w:spacing w:line="240" w:lineRule="auto" w:before="105"/>
              <w:ind w:left="192" w:right="0"/>
              <w:jc w:val="center"/>
              <w:rPr>
                <w:rFonts w:ascii="Times New Roman" w:hAnsi="Times New Roman" w:cs="Times New Roman" w:eastAsia="Times New Roman" w:hint="default"/>
                <w:sz w:val="18"/>
                <w:szCs w:val="18"/>
              </w:rPr>
            </w:pPr>
            <w:r>
              <w:rPr>
                <w:rFonts w:ascii="Times New Roman"/>
                <w:sz w:val="18"/>
              </w:rPr>
              <w:t>77</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57"/>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84"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3"/>
              <w:ind w:left="102" w:right="101"/>
              <w:jc w:val="left"/>
              <w:rPr>
                <w:rFonts w:ascii="宋体" w:hAnsi="宋体" w:cs="宋体" w:eastAsia="宋体" w:hint="default"/>
                <w:sz w:val="18"/>
                <w:szCs w:val="18"/>
              </w:rPr>
            </w:pPr>
            <w:r>
              <w:rPr>
                <w:rFonts w:ascii="宋体" w:hAnsi="宋体" w:cs="宋体" w:eastAsia="宋体" w:hint="default"/>
                <w:spacing w:val="-8"/>
                <w:sz w:val="18"/>
                <w:szCs w:val="18"/>
              </w:rPr>
              <w:t>（或股东）的</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分配</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8"/>
                <w:sz w:val="18"/>
                <w:szCs w:val="18"/>
              </w:rPr>
              <w:t>（四）所有者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权益内部结 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8"/>
                <w:sz w:val="18"/>
                <w:szCs w:val="18"/>
              </w:rPr>
              <w:t>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8"/>
                <w:sz w:val="18"/>
                <w:szCs w:val="18"/>
              </w:rPr>
              <w:t>转增资本（或</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股本）</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02"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2" w:right="101"/>
              <w:jc w:val="left"/>
              <w:rPr>
                <w:rFonts w:ascii="宋体" w:hAnsi="宋体" w:cs="宋体" w:eastAsia="宋体" w:hint="default"/>
                <w:sz w:val="18"/>
                <w:szCs w:val="18"/>
              </w:rPr>
            </w:pPr>
            <w:r>
              <w:rPr>
                <w:rFonts w:ascii="宋体" w:hAnsi="宋体" w:cs="宋体" w:eastAsia="宋体" w:hint="default"/>
                <w:spacing w:val="-8"/>
                <w:sz w:val="18"/>
                <w:szCs w:val="18"/>
              </w:rPr>
              <w:t>（五）专项储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备</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52"/>
        <w:gridCol w:w="494"/>
        <w:gridCol w:w="466"/>
        <w:gridCol w:w="466"/>
        <w:gridCol w:w="468"/>
        <w:gridCol w:w="583"/>
        <w:gridCol w:w="586"/>
        <w:gridCol w:w="583"/>
        <w:gridCol w:w="584"/>
        <w:gridCol w:w="583"/>
        <w:gridCol w:w="583"/>
        <w:gridCol w:w="586"/>
        <w:gridCol w:w="584"/>
        <w:gridCol w:w="583"/>
        <w:gridCol w:w="586"/>
        <w:gridCol w:w="578"/>
      </w:tblGrid>
      <w:tr>
        <w:trPr>
          <w:trHeight w:val="40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4"/>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136"/>
              <w:jc w:val="center"/>
              <w:rPr>
                <w:rFonts w:ascii="宋体" w:hAnsi="宋体" w:cs="宋体" w:eastAsia="宋体" w:hint="default"/>
                <w:sz w:val="18"/>
                <w:szCs w:val="18"/>
              </w:rPr>
            </w:pPr>
            <w:r>
              <w:rPr>
                <w:rFonts w:ascii="宋体" w:hAnsi="宋体" w:cs="宋体" w:eastAsia="宋体" w:hint="default"/>
                <w:sz w:val="18"/>
                <w:szCs w:val="18"/>
              </w:rPr>
              <w:t>（六）其他</w:t>
            </w:r>
          </w:p>
        </w:tc>
        <w:tc>
          <w:tcPr>
            <w:tcW w:w="494"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0</w:t>
            </w:r>
          </w:p>
        </w:tc>
        <w:tc>
          <w:tcPr>
            <w:tcW w:w="58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center"/>
              <w:rPr>
                <w:rFonts w:ascii="Times New Roman" w:hAnsi="Times New Roman" w:cs="Times New Roman" w:eastAsia="Times New Roman" w:hint="default"/>
                <w:sz w:val="18"/>
                <w:szCs w:val="18"/>
              </w:rPr>
            </w:pPr>
            <w:r>
              <w:rPr>
                <w:rFonts w:ascii="Times New Roman"/>
                <w:sz w:val="18"/>
              </w:rPr>
              <w:t>-1.0</w:t>
            </w:r>
          </w:p>
          <w:p>
            <w:pPr>
              <w:pStyle w:val="TableParagraph"/>
              <w:spacing w:line="240" w:lineRule="auto" w:before="105"/>
              <w:ind w:left="269" w:right="0"/>
              <w:jc w:val="center"/>
              <w:rPr>
                <w:rFonts w:ascii="Times New Roman" w:hAnsi="Times New Roman" w:cs="Times New Roman" w:eastAsia="Times New Roman" w:hint="default"/>
                <w:sz w:val="18"/>
                <w:szCs w:val="18"/>
              </w:rPr>
            </w:pPr>
            <w:r>
              <w:rPr>
                <w:rFonts w:ascii="Times New Roman"/>
                <w:sz w:val="18"/>
              </w:rPr>
              <w:t>0</w:t>
            </w:r>
          </w:p>
        </w:tc>
      </w:tr>
      <w:tr>
        <w:trPr>
          <w:trHeight w:val="1651" w:hRule="exact"/>
        </w:trPr>
        <w:tc>
          <w:tcPr>
            <w:tcW w:w="12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05"/>
              <w:ind w:left="102" w:right="101"/>
              <w:jc w:val="left"/>
              <w:rPr>
                <w:rFonts w:ascii="宋体" w:hAnsi="宋体" w:cs="宋体" w:eastAsia="宋体" w:hint="default"/>
                <w:sz w:val="18"/>
                <w:szCs w:val="18"/>
              </w:rPr>
            </w:pPr>
            <w:r>
              <w:rPr>
                <w:rFonts w:ascii="宋体" w:hAnsi="宋体" w:cs="宋体" w:eastAsia="宋体" w:hint="default"/>
                <w:spacing w:val="-8"/>
                <w:sz w:val="18"/>
                <w:szCs w:val="18"/>
              </w:rPr>
              <w:t>四、本期期末</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余额</w:t>
            </w:r>
          </w:p>
        </w:tc>
        <w:tc>
          <w:tcPr>
            <w:tcW w:w="4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0" w:right="0"/>
              <w:jc w:val="left"/>
              <w:rPr>
                <w:rFonts w:ascii="Times New Roman" w:hAnsi="Times New Roman" w:cs="Times New Roman" w:eastAsia="Times New Roman" w:hint="default"/>
                <w:sz w:val="18"/>
                <w:szCs w:val="18"/>
              </w:rPr>
            </w:pPr>
            <w:r>
              <w:rPr>
                <w:rFonts w:ascii="Times New Roman"/>
                <w:sz w:val="18"/>
              </w:rPr>
              <w:t>522</w:t>
            </w:r>
          </w:p>
          <w:p>
            <w:pPr>
              <w:pStyle w:val="TableParagraph"/>
              <w:spacing w:line="240" w:lineRule="auto" w:before="102"/>
              <w:ind w:left="155" w:right="0"/>
              <w:jc w:val="left"/>
              <w:rPr>
                <w:rFonts w:ascii="Times New Roman" w:hAnsi="Times New Roman" w:cs="Times New Roman" w:eastAsia="Times New Roman" w:hint="default"/>
                <w:sz w:val="18"/>
                <w:szCs w:val="18"/>
              </w:rPr>
            </w:pPr>
            <w:r>
              <w:rPr>
                <w:rFonts w:ascii="Times New Roman"/>
                <w:sz w:val="18"/>
              </w:rPr>
              <w:t>,77</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5"/>
              <w:ind w:left="201" w:right="0"/>
              <w:jc w:val="left"/>
              <w:rPr>
                <w:rFonts w:ascii="Times New Roman" w:hAnsi="Times New Roman" w:cs="Times New Roman" w:eastAsia="Times New Roman" w:hint="default"/>
                <w:sz w:val="18"/>
                <w:szCs w:val="18"/>
              </w:rPr>
            </w:pPr>
            <w:r>
              <w:rPr>
                <w:rFonts w:ascii="Times New Roman"/>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4,31</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3,31</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5,62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3.50</w:t>
            </w:r>
          </w:p>
        </w:tc>
        <w:tc>
          <w:tcPr>
            <w:tcW w:w="586"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53,8</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37,5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27.0</w:t>
            </w:r>
          </w:p>
          <w:p>
            <w:pPr>
              <w:pStyle w:val="TableParagraph"/>
              <w:spacing w:line="240" w:lineRule="auto" w:before="105"/>
              <w:ind w:left="381" w:right="0"/>
              <w:jc w:val="left"/>
              <w:rPr>
                <w:rFonts w:ascii="Times New Roman" w:hAnsi="Times New Roman" w:cs="Times New Roman" w:eastAsia="Times New Roman" w:hint="default"/>
                <w:sz w:val="18"/>
                <w:szCs w:val="18"/>
              </w:rPr>
            </w:pPr>
            <w:r>
              <w:rPr>
                <w:rFonts w:ascii="Times New Roman"/>
                <w:sz w:val="18"/>
              </w:rPr>
              <w:t>7</w:t>
            </w: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0.00</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84" w:right="0"/>
              <w:jc w:val="center"/>
              <w:rPr>
                <w:rFonts w:ascii="Times New Roman" w:hAnsi="Times New Roman" w:cs="Times New Roman" w:eastAsia="Times New Roman" w:hint="default"/>
                <w:sz w:val="18"/>
                <w:szCs w:val="18"/>
              </w:rPr>
            </w:pPr>
            <w:r>
              <w:rPr>
                <w:rFonts w:ascii="Times New Roman"/>
                <w:sz w:val="18"/>
              </w:rPr>
              <w:t>-2,1</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35,4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36,9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37.3</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5</w:t>
            </w: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Times New Roman" w:hAnsi="Times New Roman" w:cs="Times New Roman" w:eastAsia="Times New Roman" w:hint="default"/>
                <w:sz w:val="18"/>
                <w:szCs w:val="18"/>
              </w:rPr>
            </w:pPr>
            <w:r>
              <w:rPr>
                <w:rFonts w:ascii="Times New Roman"/>
                <w:sz w:val="18"/>
              </w:rPr>
              <w:t>2,75</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5,49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3,63</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2.22</w:t>
            </w:r>
          </w:p>
        </w:tc>
        <w:tc>
          <w:tcPr>
            <w:tcW w:w="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-1,5</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61,4</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91.4</w:t>
            </w:r>
          </w:p>
          <w:p>
            <w:pPr>
              <w:pStyle w:val="TableParagraph"/>
              <w:spacing w:line="240" w:lineRule="auto" w:before="105"/>
              <w:ind w:left="277" w:right="0"/>
              <w:jc w:val="center"/>
              <w:rPr>
                <w:rFonts w:ascii="Times New Roman" w:hAnsi="Times New Roman" w:cs="Times New Roman" w:eastAsia="Times New Roman" w:hint="default"/>
                <w:sz w:val="18"/>
                <w:szCs w:val="18"/>
              </w:rPr>
            </w:pPr>
            <w:r>
              <w:rPr>
                <w:rFonts w:ascii="Times New Roman"/>
                <w:sz w:val="18"/>
              </w:rPr>
              <w:t>2</w:t>
            </w:r>
          </w:p>
        </w:tc>
        <w:tc>
          <w:tcPr>
            <w:tcW w:w="5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2,75</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3,93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2,14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0.80</w:t>
            </w:r>
          </w:p>
        </w:tc>
      </w:tr>
    </w:tbl>
    <w:p>
      <w:pPr>
        <w:pStyle w:val="BodyText"/>
        <w:spacing w:line="240" w:lineRule="auto" w:before="49"/>
        <w:ind w:right="986"/>
        <w:jc w:val="left"/>
      </w:pPr>
      <w:r>
        <w:rPr/>
        <w:t>上期金额</w:t>
      </w:r>
    </w:p>
    <w:p>
      <w:pPr>
        <w:pStyle w:val="BodyText"/>
        <w:spacing w:line="240" w:lineRule="auto" w:before="115"/>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212"/>
        <w:gridCol w:w="490"/>
        <w:gridCol w:w="449"/>
        <w:gridCol w:w="449"/>
        <w:gridCol w:w="493"/>
        <w:gridCol w:w="576"/>
        <w:gridCol w:w="576"/>
        <w:gridCol w:w="578"/>
        <w:gridCol w:w="576"/>
        <w:gridCol w:w="576"/>
        <w:gridCol w:w="578"/>
        <w:gridCol w:w="588"/>
        <w:gridCol w:w="567"/>
        <w:gridCol w:w="569"/>
        <w:gridCol w:w="641"/>
        <w:gridCol w:w="653"/>
      </w:tblGrid>
      <w:tr>
        <w:trPr>
          <w:trHeight w:val="403" w:hRule="exact"/>
        </w:trPr>
        <w:tc>
          <w:tcPr>
            <w:tcW w:w="12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358" w:type="dxa"/>
            <w:gridSpan w:val="1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1" w:hRule="exact"/>
        </w:trPr>
        <w:tc>
          <w:tcPr>
            <w:tcW w:w="1212" w:type="dxa"/>
            <w:vMerge/>
            <w:tcBorders>
              <w:left w:val="single" w:sz="4" w:space="0" w:color="000000"/>
              <w:right w:val="single" w:sz="4" w:space="0" w:color="000000"/>
            </w:tcBorders>
            <w:shd w:val="clear" w:color="auto" w:fill="D2D2D2"/>
          </w:tcPr>
          <w:p>
            <w:pPr/>
          </w:p>
        </w:tc>
        <w:tc>
          <w:tcPr>
            <w:tcW w:w="706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1" w:type="dxa"/>
            <w:tcBorders>
              <w:top w:val="single" w:sz="4" w:space="0" w:color="000000"/>
              <w:left w:val="single" w:sz="4" w:space="0" w:color="000000"/>
              <w:bottom w:val="nil" w:sz="6" w:space="0" w:color="auto"/>
              <w:right w:val="single" w:sz="4" w:space="0" w:color="000000"/>
            </w:tcBorders>
            <w:shd w:val="clear" w:color="auto" w:fill="D2D2D2"/>
          </w:tcPr>
          <w:p>
            <w:pPr/>
          </w:p>
        </w:tc>
        <w:tc>
          <w:tcPr>
            <w:tcW w:w="6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2"/>
                <w:szCs w:val="22"/>
              </w:rPr>
            </w:pPr>
          </w:p>
          <w:p>
            <w:pPr>
              <w:pStyle w:val="TableParagraph"/>
              <w:spacing w:line="316" w:lineRule="auto"/>
              <w:ind w:left="141" w:right="139"/>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403" w:hRule="exact"/>
        </w:trPr>
        <w:tc>
          <w:tcPr>
            <w:tcW w:w="1212" w:type="dxa"/>
            <w:vMerge/>
            <w:tcBorders>
              <w:left w:val="single" w:sz="4" w:space="0" w:color="000000"/>
              <w:right w:val="single" w:sz="4" w:space="0" w:color="000000"/>
            </w:tcBorders>
            <w:shd w:val="clear" w:color="auto" w:fill="D2D2D2"/>
          </w:tcPr>
          <w:p>
            <w:pPr/>
          </w:p>
        </w:tc>
        <w:tc>
          <w:tcPr>
            <w:tcW w:w="4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48" w:right="149"/>
              <w:jc w:val="left"/>
              <w:rPr>
                <w:rFonts w:ascii="宋体" w:hAnsi="宋体" w:cs="宋体" w:eastAsia="宋体" w:hint="default"/>
                <w:sz w:val="18"/>
                <w:szCs w:val="18"/>
              </w:rPr>
            </w:pPr>
            <w:r>
              <w:rPr>
                <w:rFonts w:ascii="宋体" w:hAnsi="宋体" w:cs="宋体" w:eastAsia="宋体" w:hint="default"/>
                <w:sz w:val="18"/>
                <w:szCs w:val="18"/>
              </w:rPr>
              <w:t>股 本</w:t>
            </w:r>
          </w:p>
        </w:tc>
        <w:tc>
          <w:tcPr>
            <w:tcW w:w="139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z w:val="18"/>
                <w:szCs w:val="18"/>
              </w:rPr>
              <w:t>减： 库存 股</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5" w:right="101"/>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05" w:right="98"/>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5" w:right="10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07" w:right="108"/>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7" w:right="188"/>
              <w:jc w:val="center"/>
              <w:rPr>
                <w:rFonts w:ascii="宋体" w:hAnsi="宋体" w:cs="宋体" w:eastAsia="宋体" w:hint="default"/>
                <w:sz w:val="18"/>
                <w:szCs w:val="18"/>
              </w:rPr>
            </w:pPr>
            <w:r>
              <w:rPr>
                <w:rFonts w:ascii="宋体" w:hAnsi="宋体" w:cs="宋体" w:eastAsia="宋体" w:hint="default"/>
                <w:sz w:val="18"/>
                <w:szCs w:val="18"/>
              </w:rPr>
              <w:t>其 他</w:t>
            </w: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9" w:right="187"/>
              <w:jc w:val="center"/>
              <w:rPr>
                <w:rFonts w:ascii="宋体" w:hAnsi="宋体" w:cs="宋体" w:eastAsia="宋体" w:hint="default"/>
                <w:sz w:val="18"/>
                <w:szCs w:val="18"/>
              </w:rPr>
            </w:pPr>
            <w:r>
              <w:rPr>
                <w:rFonts w:ascii="宋体" w:hAnsi="宋体" w:cs="宋体" w:eastAsia="宋体" w:hint="default"/>
                <w:sz w:val="18"/>
                <w:szCs w:val="18"/>
              </w:rPr>
              <w:t>小 计</w:t>
            </w:r>
          </w:p>
        </w:tc>
        <w:tc>
          <w:tcPr>
            <w:tcW w:w="641"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3"/>
              <w:ind w:left="136" w:right="132"/>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53" w:type="dxa"/>
            <w:vMerge/>
            <w:tcBorders>
              <w:left w:val="single" w:sz="4" w:space="0" w:color="000000"/>
              <w:right w:val="single" w:sz="4" w:space="0" w:color="000000"/>
            </w:tcBorders>
            <w:shd w:val="clear" w:color="auto" w:fill="D2D2D2"/>
          </w:tcPr>
          <w:p>
            <w:pPr/>
          </w:p>
        </w:tc>
      </w:tr>
      <w:tr>
        <w:trPr>
          <w:trHeight w:val="1025" w:hRule="exact"/>
        </w:trPr>
        <w:tc>
          <w:tcPr>
            <w:tcW w:w="1212" w:type="dxa"/>
            <w:vMerge/>
            <w:tcBorders>
              <w:left w:val="single" w:sz="4" w:space="0" w:color="000000"/>
              <w:bottom w:val="single" w:sz="4" w:space="0" w:color="000000"/>
              <w:right w:val="single" w:sz="4" w:space="0" w:color="000000"/>
            </w:tcBorders>
            <w:shd w:val="clear" w:color="auto" w:fill="D2D2D2"/>
          </w:tcPr>
          <w:p>
            <w:pPr/>
          </w:p>
        </w:tc>
        <w:tc>
          <w:tcPr>
            <w:tcW w:w="490" w:type="dxa"/>
            <w:vMerge/>
            <w:tcBorders>
              <w:left w:val="single" w:sz="4" w:space="0" w:color="000000"/>
              <w:bottom w:val="single" w:sz="4" w:space="0" w:color="000000"/>
              <w:right w:val="single" w:sz="4" w:space="0" w:color="000000"/>
            </w:tcBorders>
            <w:shd w:val="clear" w:color="auto" w:fill="D2D2D2"/>
          </w:tcPr>
          <w:p>
            <w:pP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1" w:right="125"/>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1" w:right="125"/>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154" w:right="146"/>
              <w:jc w:val="left"/>
              <w:rPr>
                <w:rFonts w:ascii="宋体" w:hAnsi="宋体" w:cs="宋体" w:eastAsia="宋体" w:hint="default"/>
                <w:sz w:val="18"/>
                <w:szCs w:val="18"/>
              </w:rPr>
            </w:pPr>
            <w:r>
              <w:rPr>
                <w:rFonts w:ascii="宋体" w:hAnsi="宋体" w:cs="宋体" w:eastAsia="宋体" w:hint="default"/>
                <w:sz w:val="18"/>
                <w:szCs w:val="18"/>
              </w:rPr>
              <w:t>其 他</w:t>
            </w: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6" w:type="dxa"/>
            <w:vMerge/>
            <w:tcBorders>
              <w:left w:val="single" w:sz="4" w:space="0" w:color="000000"/>
              <w:bottom w:val="single" w:sz="4" w:space="0" w:color="000000"/>
              <w:right w:val="single" w:sz="4" w:space="0" w:color="000000"/>
            </w:tcBorders>
            <w:shd w:val="clear" w:color="auto" w:fill="D2D2D2"/>
          </w:tcPr>
          <w:p>
            <w:pPr/>
          </w:p>
        </w:tc>
        <w:tc>
          <w:tcPr>
            <w:tcW w:w="578"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641" w:type="dxa"/>
            <w:vMerge/>
            <w:tcBorders>
              <w:left w:val="single" w:sz="4" w:space="0" w:color="000000"/>
              <w:bottom w:val="single" w:sz="4" w:space="0" w:color="000000"/>
              <w:right w:val="single" w:sz="4" w:space="0" w:color="000000"/>
            </w:tcBorders>
            <w:shd w:val="clear" w:color="auto" w:fill="D2D2D2"/>
          </w:tcPr>
          <w:p>
            <w:pPr/>
          </w:p>
        </w:tc>
        <w:tc>
          <w:tcPr>
            <w:tcW w:w="653" w:type="dxa"/>
            <w:vMerge/>
            <w:tcBorders>
              <w:left w:val="single" w:sz="4" w:space="0" w:color="000000"/>
              <w:bottom w:val="single" w:sz="4" w:space="0" w:color="000000"/>
              <w:right w:val="single" w:sz="4" w:space="0" w:color="000000"/>
            </w:tcBorders>
            <w:shd w:val="clear" w:color="auto" w:fill="D2D2D2"/>
          </w:tcPr>
          <w:p>
            <w:pPr/>
          </w:p>
        </w:tc>
      </w:tr>
      <w:tr>
        <w:trPr>
          <w:trHeight w:val="1652"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101"/>
              <w:jc w:val="left"/>
              <w:rPr>
                <w:rFonts w:ascii="宋体" w:hAnsi="宋体" w:cs="宋体" w:eastAsia="宋体" w:hint="default"/>
                <w:sz w:val="18"/>
                <w:szCs w:val="18"/>
              </w:rPr>
            </w:pPr>
            <w:r>
              <w:rPr>
                <w:rFonts w:ascii="宋体" w:hAnsi="宋体" w:cs="宋体" w:eastAsia="宋体" w:hint="default"/>
                <w:spacing w:val="-15"/>
                <w:sz w:val="18"/>
                <w:szCs w:val="18"/>
              </w:rPr>
              <w:t>一、上年期末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522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4,31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3,36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8,23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4.61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37,3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90,4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80.3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518,</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309,</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784.</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5,39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1,84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5,91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8.01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5,021</w:t>
            </w:r>
          </w:p>
          <w:p>
            <w:pPr>
              <w:pStyle w:val="TableParagraph"/>
              <w:spacing w:line="240" w:lineRule="auto" w:before="105"/>
              <w:ind w:left="70" w:right="0"/>
              <w:jc w:val="center"/>
              <w:rPr>
                <w:rFonts w:ascii="Times New Roman" w:hAnsi="Times New Roman" w:cs="Times New Roman" w:eastAsia="Times New Roman" w:hint="default"/>
                <w:sz w:val="18"/>
                <w:szCs w:val="18"/>
              </w:rPr>
            </w:pPr>
            <w:r>
              <w:rPr>
                <w:rFonts w:ascii="Times New Roman"/>
                <w:sz w:val="18"/>
              </w:rPr>
              <w:t>,051.</w:t>
            </w:r>
          </w:p>
          <w:p>
            <w:pPr>
              <w:pStyle w:val="TableParagraph"/>
              <w:spacing w:line="240" w:lineRule="auto" w:before="105"/>
              <w:ind w:left="252" w:right="0"/>
              <w:jc w:val="center"/>
              <w:rPr>
                <w:rFonts w:ascii="Times New Roman" w:hAnsi="Times New Roman" w:cs="Times New Roman" w:eastAsia="Times New Roman" w:hint="default"/>
                <w:sz w:val="18"/>
                <w:szCs w:val="18"/>
              </w:rPr>
            </w:pPr>
            <w:r>
              <w:rPr>
                <w:rFonts w:ascii="Times New Roman"/>
                <w:sz w:val="18"/>
              </w:rPr>
              <w:t>60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5,396</w:t>
            </w:r>
          </w:p>
          <w:p>
            <w:pPr>
              <w:pStyle w:val="TableParagraph"/>
              <w:spacing w:line="240" w:lineRule="auto" w:before="105"/>
              <w:ind w:left="179" w:right="0"/>
              <w:jc w:val="left"/>
              <w:rPr>
                <w:rFonts w:ascii="Times New Roman" w:hAnsi="Times New Roman" w:cs="Times New Roman" w:eastAsia="Times New Roman" w:hint="default"/>
                <w:sz w:val="18"/>
                <w:szCs w:val="18"/>
              </w:rPr>
            </w:pPr>
            <w:r>
              <w:rPr>
                <w:rFonts w:ascii="Times New Roman"/>
                <w:sz w:val="18"/>
              </w:rPr>
              <w:t>,866,</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969.6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101"/>
              <w:jc w:val="left"/>
              <w:rPr>
                <w:rFonts w:ascii="宋体" w:hAnsi="宋体" w:cs="宋体" w:eastAsia="宋体" w:hint="default"/>
                <w:sz w:val="18"/>
                <w:szCs w:val="18"/>
              </w:rPr>
            </w:pPr>
            <w:r>
              <w:rPr>
                <w:rFonts w:ascii="宋体" w:hAnsi="宋体" w:cs="宋体" w:eastAsia="宋体" w:hint="default"/>
                <w:spacing w:val="-15"/>
                <w:sz w:val="18"/>
                <w:szCs w:val="18"/>
              </w:rPr>
              <w:t>加：会计政策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变更</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97"/>
              <w:jc w:val="left"/>
              <w:rPr>
                <w:rFonts w:ascii="宋体" w:hAnsi="宋体" w:cs="宋体" w:eastAsia="宋体" w:hint="default"/>
                <w:sz w:val="18"/>
                <w:szCs w:val="18"/>
              </w:rPr>
            </w:pPr>
            <w:r>
              <w:rPr>
                <w:rFonts w:ascii="宋体" w:hAnsi="宋体" w:cs="宋体" w:eastAsia="宋体" w:hint="default"/>
                <w:sz w:val="18"/>
                <w:szCs w:val="18"/>
              </w:rPr>
              <w:t>前期差错更 正</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197"/>
              <w:jc w:val="left"/>
              <w:rPr>
                <w:rFonts w:ascii="宋体" w:hAnsi="宋体" w:cs="宋体" w:eastAsia="宋体" w:hint="default"/>
                <w:sz w:val="18"/>
                <w:szCs w:val="18"/>
              </w:rPr>
            </w:pPr>
            <w:r>
              <w:rPr>
                <w:rFonts w:ascii="宋体" w:hAnsi="宋体" w:cs="宋体" w:eastAsia="宋体" w:hint="default"/>
                <w:sz w:val="18"/>
                <w:szCs w:val="18"/>
              </w:rPr>
              <w:t>同一控制下 企业合并</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4" w:lineRule="auto"/>
              <w:ind w:left="103" w:right="101"/>
              <w:jc w:val="left"/>
              <w:rPr>
                <w:rFonts w:ascii="宋体" w:hAnsi="宋体" w:cs="宋体" w:eastAsia="宋体" w:hint="default"/>
                <w:sz w:val="18"/>
                <w:szCs w:val="18"/>
              </w:rPr>
            </w:pPr>
            <w:r>
              <w:rPr>
                <w:rFonts w:ascii="宋体" w:hAnsi="宋体" w:cs="宋体" w:eastAsia="宋体" w:hint="default"/>
                <w:spacing w:val="-15"/>
                <w:sz w:val="18"/>
                <w:szCs w:val="18"/>
              </w:rPr>
              <w:t>二、本年期初</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522</w:t>
            </w:r>
          </w:p>
          <w:p>
            <w:pPr>
              <w:pStyle w:val="TableParagraph"/>
              <w:spacing w:line="240" w:lineRule="auto" w:before="102"/>
              <w:ind w:left="151" w:right="0"/>
              <w:jc w:val="left"/>
              <w:rPr>
                <w:rFonts w:ascii="Times New Roman" w:hAnsi="Times New Roman" w:cs="Times New Roman" w:eastAsia="Times New Roman" w:hint="default"/>
                <w:sz w:val="18"/>
                <w:szCs w:val="18"/>
              </w:rPr>
            </w:pPr>
            <w:r>
              <w:rPr>
                <w:rFonts w:ascii="Times New Roman"/>
                <w:sz w:val="18"/>
              </w:rPr>
              <w:t>,77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4,31</w:t>
            </w:r>
          </w:p>
          <w:p>
            <w:pPr>
              <w:pStyle w:val="TableParagraph"/>
              <w:spacing w:line="240" w:lineRule="auto" w:before="103"/>
              <w:ind w:left="148" w:right="0"/>
              <w:jc w:val="left"/>
              <w:rPr>
                <w:rFonts w:ascii="Times New Roman" w:hAnsi="Times New Roman" w:cs="Times New Roman" w:eastAsia="Times New Roman" w:hint="default"/>
                <w:sz w:val="18"/>
                <w:szCs w:val="18"/>
              </w:rPr>
            </w:pPr>
            <w:r>
              <w:rPr>
                <w:rFonts w:ascii="Times New Roman"/>
                <w:sz w:val="18"/>
              </w:rPr>
              <w:t>3,36</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8,23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4.61</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37,3</w:t>
            </w:r>
          </w:p>
          <w:p>
            <w:pPr>
              <w:pStyle w:val="TableParagraph"/>
              <w:spacing w:line="240" w:lineRule="auto" w:before="103"/>
              <w:ind w:left="151" w:right="0"/>
              <w:jc w:val="left"/>
              <w:rPr>
                <w:rFonts w:ascii="Times New Roman" w:hAnsi="Times New Roman" w:cs="Times New Roman" w:eastAsia="Times New Roman" w:hint="default"/>
                <w:sz w:val="18"/>
                <w:szCs w:val="18"/>
              </w:rPr>
            </w:pPr>
            <w:r>
              <w:rPr>
                <w:rFonts w:ascii="Times New Roman"/>
                <w:sz w:val="18"/>
              </w:rPr>
              <w:t>90,4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80.3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518,</w:t>
            </w:r>
          </w:p>
          <w:p>
            <w:pPr>
              <w:pStyle w:val="TableParagraph"/>
              <w:spacing w:line="240" w:lineRule="auto" w:before="103"/>
              <w:ind w:left="59" w:right="0"/>
              <w:jc w:val="center"/>
              <w:rPr>
                <w:rFonts w:ascii="Times New Roman" w:hAnsi="Times New Roman" w:cs="Times New Roman" w:eastAsia="Times New Roman" w:hint="default"/>
                <w:sz w:val="18"/>
                <w:szCs w:val="18"/>
              </w:rPr>
            </w:pPr>
            <w:r>
              <w:rPr>
                <w:rFonts w:ascii="Times New Roman"/>
                <w:sz w:val="18"/>
              </w:rPr>
              <w:t>309,</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784.</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10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5,39</w:t>
            </w:r>
          </w:p>
          <w:p>
            <w:pPr>
              <w:pStyle w:val="TableParagraph"/>
              <w:spacing w:line="240" w:lineRule="auto" w:before="103"/>
              <w:ind w:left="141" w:right="0"/>
              <w:jc w:val="left"/>
              <w:rPr>
                <w:rFonts w:ascii="Times New Roman" w:hAnsi="Times New Roman" w:cs="Times New Roman" w:eastAsia="Times New Roman" w:hint="default"/>
                <w:sz w:val="18"/>
                <w:szCs w:val="18"/>
              </w:rPr>
            </w:pPr>
            <w:r>
              <w:rPr>
                <w:rFonts w:ascii="Times New Roman"/>
                <w:sz w:val="18"/>
              </w:rPr>
              <w:t>1,84</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5,91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8.01</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5,021</w:t>
            </w:r>
          </w:p>
          <w:p>
            <w:pPr>
              <w:pStyle w:val="TableParagraph"/>
              <w:spacing w:line="240" w:lineRule="auto" w:before="103"/>
              <w:ind w:left="70" w:right="0"/>
              <w:jc w:val="center"/>
              <w:rPr>
                <w:rFonts w:ascii="Times New Roman" w:hAnsi="Times New Roman" w:cs="Times New Roman" w:eastAsia="Times New Roman" w:hint="default"/>
                <w:sz w:val="18"/>
                <w:szCs w:val="18"/>
              </w:rPr>
            </w:pPr>
            <w:r>
              <w:rPr>
                <w:rFonts w:ascii="Times New Roman"/>
                <w:sz w:val="18"/>
              </w:rPr>
              <w:t>,051.</w:t>
            </w:r>
          </w:p>
          <w:p>
            <w:pPr>
              <w:pStyle w:val="TableParagraph"/>
              <w:spacing w:line="240" w:lineRule="auto" w:before="105"/>
              <w:ind w:left="252" w:right="0"/>
              <w:jc w:val="center"/>
              <w:rPr>
                <w:rFonts w:ascii="Times New Roman" w:hAnsi="Times New Roman" w:cs="Times New Roman" w:eastAsia="Times New Roman" w:hint="default"/>
                <w:sz w:val="18"/>
                <w:szCs w:val="18"/>
              </w:rPr>
            </w:pPr>
            <w:r>
              <w:rPr>
                <w:rFonts w:ascii="Times New Roman"/>
                <w:sz w:val="18"/>
              </w:rPr>
              <w:t>60</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5,396</w:t>
            </w:r>
          </w:p>
          <w:p>
            <w:pPr>
              <w:pStyle w:val="TableParagraph"/>
              <w:spacing w:line="240" w:lineRule="auto" w:before="103"/>
              <w:ind w:left="179" w:right="0"/>
              <w:jc w:val="left"/>
              <w:rPr>
                <w:rFonts w:ascii="Times New Roman" w:hAnsi="Times New Roman" w:cs="Times New Roman" w:eastAsia="Times New Roman" w:hint="default"/>
                <w:sz w:val="18"/>
                <w:szCs w:val="18"/>
              </w:rPr>
            </w:pPr>
            <w:r>
              <w:rPr>
                <w:rFonts w:ascii="Times New Roman"/>
                <w:sz w:val="18"/>
              </w:rPr>
              <w:t>,866,</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969.6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r>
      <w:tr>
        <w:trPr>
          <w:trHeight w:val="1651" w:hRule="exact"/>
        </w:trPr>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101"/>
              <w:jc w:val="both"/>
              <w:rPr>
                <w:rFonts w:ascii="宋体" w:hAnsi="宋体" w:cs="宋体" w:eastAsia="宋体" w:hint="default"/>
                <w:sz w:val="18"/>
                <w:szCs w:val="18"/>
              </w:rPr>
            </w:pPr>
            <w:r>
              <w:rPr>
                <w:rFonts w:ascii="宋体" w:hAnsi="宋体" w:cs="宋体" w:eastAsia="宋体" w:hint="default"/>
                <w:spacing w:val="-15"/>
                <w:sz w:val="18"/>
                <w:szCs w:val="18"/>
              </w:rPr>
              <w:t>三、本期增减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变动金额（减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5"/>
                <w:sz w:val="18"/>
                <w:szCs w:val="18"/>
              </w:rPr>
              <w:t>少以“－”号</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填列）</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5"/>
              <w:ind w:left="47" w:right="0"/>
              <w:jc w:val="center"/>
              <w:rPr>
                <w:rFonts w:ascii="Times New Roman" w:hAnsi="Times New Roman" w:cs="Times New Roman" w:eastAsia="Times New Roman" w:hint="default"/>
                <w:sz w:val="18"/>
                <w:szCs w:val="18"/>
              </w:rPr>
            </w:pPr>
            <w:r>
              <w:rPr>
                <w:rFonts w:ascii="Times New Roman"/>
                <w:sz w:val="18"/>
              </w:rPr>
              <w:t>610.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58,6</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79,5</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26.5</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-2,7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58,7</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32,1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36.6</w:t>
            </w:r>
          </w:p>
          <w:p>
            <w:pPr>
              <w:pStyle w:val="TableParagraph"/>
              <w:spacing w:line="240" w:lineRule="auto" w:before="105"/>
              <w:ind w:left="260" w:right="0"/>
              <w:jc w:val="center"/>
              <w:rPr>
                <w:rFonts w:ascii="Times New Roman" w:hAnsi="Times New Roman" w:cs="Times New Roman" w:eastAsia="Times New Roman" w:hint="default"/>
                <w:sz w:val="18"/>
                <w:szCs w:val="18"/>
              </w:rPr>
            </w:pPr>
            <w:r>
              <w:rPr>
                <w:rFonts w:ascii="Times New Roman"/>
                <w:sz w:val="18"/>
              </w:rPr>
              <w:t>3</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-8,98</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3,293</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-2,76</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7,715</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,429.</w:t>
            </w:r>
          </w:p>
          <w:p>
            <w:pPr>
              <w:pStyle w:val="TableParagraph"/>
              <w:spacing w:line="240" w:lineRule="auto" w:before="105"/>
              <w:ind w:left="259" w:right="0"/>
              <w:jc w:val="center"/>
              <w:rPr>
                <w:rFonts w:ascii="Times New Roman" w:hAnsi="Times New Roman" w:cs="Times New Roman" w:eastAsia="Times New Roman" w:hint="default"/>
                <w:sz w:val="18"/>
                <w:szCs w:val="18"/>
              </w:rPr>
            </w:pPr>
            <w:r>
              <w:rPr>
                <w:rFonts w:ascii="Times New Roman"/>
                <w:sz w:val="18"/>
              </w:rPr>
              <w:t>75</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164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15"/>
                <w:sz w:val="18"/>
                <w:szCs w:val="18"/>
              </w:rPr>
              <w:t>（一）综合收</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益总额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-2,5</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49,5</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68,5</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58.9</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8" w:right="0"/>
              <w:jc w:val="center"/>
              <w:rPr>
                <w:rFonts w:ascii="Times New Roman" w:hAnsi="Times New Roman" w:cs="Times New Roman" w:eastAsia="Times New Roman" w:hint="default"/>
                <w:sz w:val="18"/>
                <w:szCs w:val="18"/>
              </w:rPr>
            </w:pPr>
            <w:r>
              <w:rPr>
                <w:rFonts w:ascii="Times New Roman"/>
                <w:sz w:val="18"/>
              </w:rPr>
              <w:t>-2,5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49,5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68,5</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58.9</w:t>
            </w:r>
          </w:p>
          <w:p>
            <w:pPr>
              <w:pStyle w:val="TableParagraph"/>
              <w:spacing w:line="240" w:lineRule="auto" w:before="105"/>
              <w:ind w:left="260" w:right="0"/>
              <w:jc w:val="center"/>
              <w:rPr>
                <w:rFonts w:ascii="Times New Roman" w:hAnsi="Times New Roman" w:cs="Times New Roman" w:eastAsia="Times New Roman" w:hint="default"/>
                <w:sz w:val="18"/>
                <w:szCs w:val="18"/>
              </w:rPr>
            </w:pPr>
            <w:r>
              <w:rPr>
                <w:rFonts w:ascii="Times New Roman"/>
                <w:sz w:val="18"/>
              </w:rPr>
              <w:t>2</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-3,08</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6,946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.95</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-2,55</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2,655</w:t>
            </w:r>
          </w:p>
          <w:p>
            <w:pPr>
              <w:pStyle w:val="TableParagraph"/>
              <w:spacing w:line="240" w:lineRule="auto" w:before="105"/>
              <w:ind w:left="78" w:right="0"/>
              <w:jc w:val="center"/>
              <w:rPr>
                <w:rFonts w:ascii="Times New Roman" w:hAnsi="Times New Roman" w:cs="Times New Roman" w:eastAsia="Times New Roman" w:hint="default"/>
                <w:sz w:val="18"/>
                <w:szCs w:val="18"/>
              </w:rPr>
            </w:pPr>
            <w:r>
              <w:rPr>
                <w:rFonts w:ascii="Times New Roman"/>
                <w:sz w:val="18"/>
              </w:rPr>
              <w:t>,505.</w:t>
            </w:r>
          </w:p>
          <w:p>
            <w:pPr>
              <w:pStyle w:val="TableParagraph"/>
              <w:spacing w:line="240" w:lineRule="auto" w:before="105"/>
              <w:ind w:left="259" w:right="0"/>
              <w:jc w:val="center"/>
              <w:rPr>
                <w:rFonts w:ascii="Times New Roman" w:hAnsi="Times New Roman" w:cs="Times New Roman" w:eastAsia="Times New Roman" w:hint="default"/>
                <w:sz w:val="18"/>
                <w:szCs w:val="18"/>
              </w:rPr>
            </w:pPr>
            <w:r>
              <w:rPr>
                <w:rFonts w:ascii="Times New Roman"/>
                <w:sz w:val="18"/>
              </w:rPr>
              <w:t>87</w:t>
            </w: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2" w:right="101"/>
              <w:jc w:val="left"/>
              <w:rPr>
                <w:rFonts w:ascii="宋体" w:hAnsi="宋体" w:cs="宋体" w:eastAsia="宋体" w:hint="default"/>
                <w:sz w:val="18"/>
                <w:szCs w:val="18"/>
              </w:rPr>
            </w:pPr>
            <w:r>
              <w:rPr>
                <w:rFonts w:ascii="宋体" w:hAnsi="宋体" w:cs="宋体" w:eastAsia="宋体" w:hint="default"/>
                <w:spacing w:val="-15"/>
                <w:sz w:val="18"/>
                <w:szCs w:val="18"/>
              </w:rPr>
              <w:t>（二）所有者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投入和减少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2"/>
              <w:ind w:left="47" w:right="0"/>
              <w:jc w:val="center"/>
              <w:rPr>
                <w:rFonts w:ascii="Times New Roman" w:hAnsi="Times New Roman" w:cs="Times New Roman" w:eastAsia="Times New Roman" w:hint="default"/>
                <w:sz w:val="18"/>
                <w:szCs w:val="18"/>
              </w:rPr>
            </w:pPr>
            <w:r>
              <w:rPr>
                <w:rFonts w:ascii="Times New Roman"/>
                <w:sz w:val="18"/>
              </w:rPr>
              <w:t>610.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2"/>
              <w:ind w:left="39" w:right="0"/>
              <w:jc w:val="center"/>
              <w:rPr>
                <w:rFonts w:ascii="Times New Roman" w:hAnsi="Times New Roman" w:cs="Times New Roman" w:eastAsia="Times New Roman" w:hint="default"/>
                <w:sz w:val="18"/>
                <w:szCs w:val="18"/>
              </w:rPr>
            </w:pPr>
            <w:r>
              <w:rPr>
                <w:rFonts w:ascii="Times New Roman"/>
                <w:sz w:val="18"/>
              </w:rPr>
              <w:t>610.</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-5,89</w:t>
            </w:r>
          </w:p>
          <w:p>
            <w:pPr>
              <w:pStyle w:val="TableParagraph"/>
              <w:spacing w:line="240" w:lineRule="auto" w:before="102"/>
              <w:ind w:left="24" w:right="0"/>
              <w:jc w:val="center"/>
              <w:rPr>
                <w:rFonts w:ascii="Times New Roman" w:hAnsi="Times New Roman" w:cs="Times New Roman" w:eastAsia="Times New Roman" w:hint="default"/>
                <w:sz w:val="18"/>
                <w:szCs w:val="18"/>
              </w:rPr>
            </w:pPr>
            <w:r>
              <w:rPr>
                <w:rFonts w:ascii="Times New Roman"/>
                <w:sz w:val="18"/>
              </w:rPr>
              <w:t>6,346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 w:right="0"/>
              <w:jc w:val="center"/>
              <w:rPr>
                <w:rFonts w:ascii="Times New Roman" w:hAnsi="Times New Roman" w:cs="Times New Roman" w:eastAsia="Times New Roman" w:hint="default"/>
                <w:sz w:val="18"/>
                <w:szCs w:val="18"/>
              </w:rPr>
            </w:pPr>
            <w:r>
              <w:rPr>
                <w:rFonts w:ascii="Times New Roman"/>
                <w:sz w:val="18"/>
              </w:rPr>
              <w:t>-5,94</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8,956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.28</w:t>
            </w: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 入的普通股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 工具持有者 投入资本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 计入所有者 权益的金额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7" w:right="0"/>
              <w:jc w:val="center"/>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2"/>
              <w:ind w:left="47" w:right="0"/>
              <w:jc w:val="center"/>
              <w:rPr>
                <w:rFonts w:ascii="Times New Roman" w:hAnsi="Times New Roman" w:cs="Times New Roman" w:eastAsia="Times New Roman" w:hint="default"/>
                <w:sz w:val="18"/>
                <w:szCs w:val="18"/>
              </w:rPr>
            </w:pPr>
            <w:r>
              <w:rPr>
                <w:rFonts w:ascii="Times New Roman"/>
                <w:sz w:val="18"/>
              </w:rPr>
              <w:t>610.</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0" w:right="0"/>
              <w:jc w:val="center"/>
              <w:rPr>
                <w:rFonts w:ascii="Times New Roman" w:hAnsi="Times New Roman" w:cs="Times New Roman" w:eastAsia="Times New Roman" w:hint="default"/>
                <w:sz w:val="18"/>
                <w:szCs w:val="18"/>
              </w:rPr>
            </w:pPr>
            <w:r>
              <w:rPr>
                <w:rFonts w:ascii="Times New Roman"/>
                <w:sz w:val="18"/>
              </w:rPr>
              <w:t>-52,</w:t>
            </w:r>
          </w:p>
          <w:p>
            <w:pPr>
              <w:pStyle w:val="TableParagraph"/>
              <w:spacing w:line="240" w:lineRule="auto" w:before="102"/>
              <w:ind w:left="39" w:right="0"/>
              <w:jc w:val="center"/>
              <w:rPr>
                <w:rFonts w:ascii="Times New Roman" w:hAnsi="Times New Roman" w:cs="Times New Roman" w:eastAsia="Times New Roman" w:hint="default"/>
                <w:sz w:val="18"/>
                <w:szCs w:val="18"/>
              </w:rPr>
            </w:pPr>
            <w:r>
              <w:rPr>
                <w:rFonts w:ascii="Times New Roman"/>
                <w:sz w:val="18"/>
              </w:rPr>
              <w:t>610.</w:t>
            </w:r>
          </w:p>
          <w:p>
            <w:pPr>
              <w:pStyle w:val="TableParagraph"/>
              <w:spacing w:line="240" w:lineRule="auto" w:before="105"/>
              <w:ind w:left="175" w:right="0"/>
              <w:jc w:val="center"/>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 w:right="0"/>
              <w:jc w:val="center"/>
              <w:rPr>
                <w:rFonts w:ascii="Times New Roman" w:hAnsi="Times New Roman" w:cs="Times New Roman" w:eastAsia="Times New Roman" w:hint="default"/>
                <w:sz w:val="18"/>
                <w:szCs w:val="18"/>
              </w:rPr>
            </w:pPr>
            <w:r>
              <w:rPr>
                <w:rFonts w:ascii="Times New Roman"/>
                <w:sz w:val="18"/>
              </w:rPr>
              <w:t>-5,89</w:t>
            </w:r>
          </w:p>
          <w:p>
            <w:pPr>
              <w:pStyle w:val="TableParagraph"/>
              <w:spacing w:line="240" w:lineRule="auto" w:before="102"/>
              <w:ind w:left="24" w:right="0"/>
              <w:jc w:val="center"/>
              <w:rPr>
                <w:rFonts w:ascii="Times New Roman" w:hAnsi="Times New Roman" w:cs="Times New Roman" w:eastAsia="Times New Roman" w:hint="default"/>
                <w:sz w:val="18"/>
                <w:szCs w:val="18"/>
              </w:rPr>
            </w:pPr>
            <w:r>
              <w:rPr>
                <w:rFonts w:ascii="Times New Roman"/>
                <w:sz w:val="18"/>
              </w:rPr>
              <w:t>6,346</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.17</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3" w:right="0"/>
              <w:jc w:val="center"/>
              <w:rPr>
                <w:rFonts w:ascii="Times New Roman" w:hAnsi="Times New Roman" w:cs="Times New Roman" w:eastAsia="Times New Roman" w:hint="default"/>
                <w:sz w:val="18"/>
                <w:szCs w:val="18"/>
              </w:rPr>
            </w:pPr>
            <w:r>
              <w:rPr>
                <w:rFonts w:ascii="Times New Roman"/>
                <w:sz w:val="18"/>
              </w:rPr>
              <w:t>-5,94</w:t>
            </w:r>
          </w:p>
          <w:p>
            <w:pPr>
              <w:pStyle w:val="TableParagraph"/>
              <w:spacing w:line="240" w:lineRule="auto" w:before="102"/>
              <w:ind w:left="31" w:right="0"/>
              <w:jc w:val="center"/>
              <w:rPr>
                <w:rFonts w:ascii="Times New Roman" w:hAnsi="Times New Roman" w:cs="Times New Roman" w:eastAsia="Times New Roman" w:hint="default"/>
                <w:sz w:val="18"/>
                <w:szCs w:val="18"/>
              </w:rPr>
            </w:pPr>
            <w:r>
              <w:rPr>
                <w:rFonts w:ascii="Times New Roman"/>
                <w:sz w:val="18"/>
              </w:rPr>
              <w:t>8,956</w:t>
            </w:r>
          </w:p>
          <w:p>
            <w:pPr>
              <w:pStyle w:val="TableParagraph"/>
              <w:spacing w:line="240" w:lineRule="auto" w:before="105"/>
              <w:ind w:left="212" w:right="0"/>
              <w:jc w:val="center"/>
              <w:rPr>
                <w:rFonts w:ascii="Times New Roman" w:hAnsi="Times New Roman" w:cs="Times New Roman" w:eastAsia="Times New Roman" w:hint="default"/>
                <w:sz w:val="18"/>
                <w:szCs w:val="18"/>
              </w:rPr>
            </w:pPr>
            <w:r>
              <w:rPr>
                <w:rFonts w:ascii="Times New Roman"/>
                <w:sz w:val="18"/>
              </w:rPr>
              <w:t>.28</w:t>
            </w:r>
          </w:p>
        </w:tc>
      </w:tr>
      <w:tr>
        <w:trPr>
          <w:trHeight w:val="1337"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102" w:right="101"/>
              <w:jc w:val="left"/>
              <w:rPr>
                <w:rFonts w:ascii="宋体" w:hAnsi="宋体" w:cs="宋体" w:eastAsia="宋体" w:hint="default"/>
                <w:sz w:val="18"/>
                <w:szCs w:val="18"/>
              </w:rPr>
            </w:pPr>
            <w:r>
              <w:rPr>
                <w:rFonts w:ascii="宋体" w:hAnsi="宋体" w:cs="宋体" w:eastAsia="宋体" w:hint="default"/>
                <w:spacing w:val="-15"/>
                <w:sz w:val="18"/>
                <w:szCs w:val="18"/>
              </w:rPr>
              <w:t>（三）利润分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center"/>
              <w:rPr>
                <w:rFonts w:ascii="Times New Roman" w:hAnsi="Times New Roman" w:cs="Times New Roman" w:eastAsia="Times New Roman" w:hint="default"/>
                <w:sz w:val="18"/>
                <w:szCs w:val="18"/>
              </w:rPr>
            </w:pPr>
            <w:r>
              <w:rPr>
                <w:rFonts w:ascii="Times New Roman"/>
                <w:sz w:val="18"/>
              </w:rPr>
              <w:t>-209</w:t>
            </w:r>
          </w:p>
          <w:p>
            <w:pPr>
              <w:pStyle w:val="TableParagraph"/>
              <w:spacing w:line="240" w:lineRule="auto" w:before="105"/>
              <w:ind w:left="20" w:right="0"/>
              <w:jc w:val="center"/>
              <w:rPr>
                <w:rFonts w:ascii="Times New Roman" w:hAnsi="Times New Roman" w:cs="Times New Roman" w:eastAsia="Times New Roman" w:hint="default"/>
                <w:sz w:val="18"/>
                <w:szCs w:val="18"/>
              </w:rPr>
            </w:pPr>
            <w:r>
              <w:rPr>
                <w:rFonts w:ascii="Times New Roman"/>
                <w:sz w:val="18"/>
              </w:rPr>
              <w:t>,110,</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967.</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60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 w:right="0"/>
              <w:jc w:val="center"/>
              <w:rPr>
                <w:rFonts w:ascii="Times New Roman" w:hAnsi="Times New Roman" w:cs="Times New Roman" w:eastAsia="Times New Roman" w:hint="default"/>
                <w:sz w:val="18"/>
                <w:szCs w:val="18"/>
              </w:rPr>
            </w:pPr>
            <w:r>
              <w:rPr>
                <w:rFonts w:ascii="Times New Roman"/>
                <w:sz w:val="18"/>
              </w:rPr>
              <w:t>-209</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,110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,967</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.60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-209,</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110,9</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67.60</w:t>
            </w:r>
          </w:p>
        </w:tc>
      </w:tr>
      <w:tr>
        <w:trPr>
          <w:trHeight w:val="71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 公积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 风险准备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w:t>
            </w:r>
          </w:p>
          <w:p>
            <w:pPr>
              <w:pStyle w:val="TableParagraph"/>
              <w:spacing w:line="316" w:lineRule="auto" w:before="60"/>
              <w:ind w:left="102" w:right="101"/>
              <w:jc w:val="left"/>
              <w:rPr>
                <w:rFonts w:ascii="宋体" w:hAnsi="宋体" w:cs="宋体" w:eastAsia="宋体" w:hint="default"/>
                <w:sz w:val="18"/>
                <w:szCs w:val="18"/>
              </w:rPr>
            </w:pPr>
            <w:r>
              <w:rPr>
                <w:rFonts w:ascii="宋体" w:hAnsi="宋体" w:cs="宋体" w:eastAsia="宋体" w:hint="default"/>
                <w:spacing w:val="-15"/>
                <w:sz w:val="18"/>
                <w:szCs w:val="18"/>
              </w:rPr>
              <w:t>（或股东）的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 w:right="0"/>
              <w:jc w:val="center"/>
              <w:rPr>
                <w:rFonts w:ascii="Times New Roman" w:hAnsi="Times New Roman" w:cs="Times New Roman" w:eastAsia="Times New Roman" w:hint="default"/>
                <w:sz w:val="18"/>
                <w:szCs w:val="18"/>
              </w:rPr>
            </w:pPr>
            <w:r>
              <w:rPr>
                <w:rFonts w:ascii="Times New Roman"/>
                <w:sz w:val="18"/>
              </w:rPr>
              <w:t>-209</w:t>
            </w:r>
          </w:p>
          <w:p>
            <w:pPr>
              <w:pStyle w:val="TableParagraph"/>
              <w:spacing w:line="240" w:lineRule="auto" w:before="102"/>
              <w:ind w:left="20" w:right="0"/>
              <w:jc w:val="center"/>
              <w:rPr>
                <w:rFonts w:ascii="Times New Roman" w:hAnsi="Times New Roman" w:cs="Times New Roman" w:eastAsia="Times New Roman" w:hint="default"/>
                <w:sz w:val="18"/>
                <w:szCs w:val="18"/>
              </w:rPr>
            </w:pPr>
            <w:r>
              <w:rPr>
                <w:rFonts w:ascii="Times New Roman"/>
                <w:sz w:val="18"/>
              </w:rPr>
              <w:t>,110,</w:t>
            </w:r>
          </w:p>
          <w:p>
            <w:pPr>
              <w:pStyle w:val="TableParagraph"/>
              <w:spacing w:line="240" w:lineRule="auto" w:before="105"/>
              <w:ind w:left="59" w:right="0"/>
              <w:jc w:val="center"/>
              <w:rPr>
                <w:rFonts w:ascii="Times New Roman" w:hAnsi="Times New Roman" w:cs="Times New Roman" w:eastAsia="Times New Roman" w:hint="default"/>
                <w:sz w:val="18"/>
                <w:szCs w:val="18"/>
              </w:rPr>
            </w:pPr>
            <w:r>
              <w:rPr>
                <w:rFonts w:ascii="Times New Roman"/>
                <w:sz w:val="18"/>
              </w:rPr>
              <w:t>967.</w:t>
            </w:r>
          </w:p>
          <w:p>
            <w:pPr>
              <w:pStyle w:val="TableParagraph"/>
              <w:spacing w:line="240" w:lineRule="auto" w:before="105"/>
              <w:ind w:left="194" w:right="0"/>
              <w:jc w:val="center"/>
              <w:rPr>
                <w:rFonts w:ascii="Times New Roman" w:hAnsi="Times New Roman" w:cs="Times New Roman" w:eastAsia="Times New Roman" w:hint="default"/>
                <w:sz w:val="18"/>
                <w:szCs w:val="18"/>
              </w:rPr>
            </w:pPr>
            <w:r>
              <w:rPr>
                <w:rFonts w:ascii="Times New Roman"/>
                <w:sz w:val="18"/>
              </w:rPr>
              <w:t>60</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5" w:right="0"/>
              <w:jc w:val="center"/>
              <w:rPr>
                <w:rFonts w:ascii="Times New Roman" w:hAnsi="Times New Roman" w:cs="Times New Roman" w:eastAsia="Times New Roman" w:hint="default"/>
                <w:sz w:val="18"/>
                <w:szCs w:val="18"/>
              </w:rPr>
            </w:pPr>
            <w:r>
              <w:rPr>
                <w:rFonts w:ascii="Times New Roman"/>
                <w:sz w:val="18"/>
              </w:rPr>
              <w:t>-209</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,110</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,967</w:t>
            </w:r>
          </w:p>
          <w:p>
            <w:pPr>
              <w:pStyle w:val="TableParagraph"/>
              <w:spacing w:line="240" w:lineRule="auto" w:before="105"/>
              <w:ind w:left="128" w:right="0"/>
              <w:jc w:val="center"/>
              <w:rPr>
                <w:rFonts w:ascii="Times New Roman" w:hAnsi="Times New Roman" w:cs="Times New Roman" w:eastAsia="Times New Roman" w:hint="default"/>
                <w:sz w:val="18"/>
                <w:szCs w:val="18"/>
              </w:rPr>
            </w:pPr>
            <w:r>
              <w:rPr>
                <w:rFonts w:ascii="Times New Roman"/>
                <w:sz w:val="18"/>
              </w:rPr>
              <w:t>.60</w:t>
            </w: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65" w:right="0"/>
              <w:jc w:val="left"/>
              <w:rPr>
                <w:rFonts w:ascii="Times New Roman" w:hAnsi="Times New Roman" w:cs="Times New Roman" w:eastAsia="Times New Roman" w:hint="default"/>
                <w:sz w:val="18"/>
                <w:szCs w:val="18"/>
              </w:rPr>
            </w:pPr>
            <w:r>
              <w:rPr>
                <w:rFonts w:ascii="Times New Roman"/>
                <w:sz w:val="18"/>
              </w:rPr>
              <w:t>-209,</w:t>
            </w:r>
          </w:p>
          <w:p>
            <w:pPr>
              <w:pStyle w:val="TableParagraph"/>
              <w:spacing w:line="240" w:lineRule="auto" w:before="102"/>
              <w:ind w:left="141" w:right="0"/>
              <w:jc w:val="left"/>
              <w:rPr>
                <w:rFonts w:ascii="Times New Roman" w:hAnsi="Times New Roman" w:cs="Times New Roman" w:eastAsia="Times New Roman" w:hint="default"/>
                <w:sz w:val="18"/>
                <w:szCs w:val="18"/>
              </w:rPr>
            </w:pPr>
            <w:r>
              <w:rPr>
                <w:rFonts w:ascii="Times New Roman"/>
                <w:sz w:val="18"/>
              </w:rPr>
              <w:t>110,9</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67.60</w:t>
            </w: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2" w:right="101"/>
              <w:jc w:val="left"/>
              <w:rPr>
                <w:rFonts w:ascii="宋体" w:hAnsi="宋体" w:cs="宋体" w:eastAsia="宋体" w:hint="default"/>
                <w:sz w:val="18"/>
                <w:szCs w:val="18"/>
              </w:rPr>
            </w:pPr>
            <w:r>
              <w:rPr>
                <w:rFonts w:ascii="宋体" w:hAnsi="宋体" w:cs="宋体" w:eastAsia="宋体" w:hint="default"/>
                <w:spacing w:val="-15"/>
                <w:sz w:val="18"/>
                <w:szCs w:val="18"/>
              </w:rPr>
              <w:t>（四）所有者</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权益内部结 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1"/>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 </w:t>
            </w:r>
            <w:r>
              <w:rPr>
                <w:rFonts w:ascii="宋体" w:hAnsi="宋体" w:cs="宋体" w:eastAsia="宋体" w:hint="default"/>
                <w:spacing w:val="-15"/>
                <w:sz w:val="18"/>
                <w:szCs w:val="18"/>
              </w:rPr>
              <w:t>转增资本（或</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674"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 </w:t>
            </w:r>
            <w:r>
              <w:rPr>
                <w:rFonts w:ascii="宋体" w:hAnsi="宋体" w:cs="宋体" w:eastAsia="宋体" w:hint="default"/>
                <w:spacing w:val="-15"/>
                <w:sz w:val="18"/>
                <w:szCs w:val="18"/>
              </w:rPr>
              <w:t>转增资本（或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211"/>
        <w:gridCol w:w="490"/>
        <w:gridCol w:w="449"/>
        <w:gridCol w:w="449"/>
        <w:gridCol w:w="493"/>
        <w:gridCol w:w="576"/>
        <w:gridCol w:w="576"/>
        <w:gridCol w:w="578"/>
        <w:gridCol w:w="576"/>
        <w:gridCol w:w="576"/>
        <w:gridCol w:w="578"/>
        <w:gridCol w:w="588"/>
        <w:gridCol w:w="567"/>
        <w:gridCol w:w="569"/>
        <w:gridCol w:w="641"/>
        <w:gridCol w:w="653"/>
      </w:tblGrid>
      <w:tr>
        <w:trPr>
          <w:trHeight w:val="36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 弥补亏损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 计划变动额 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2" w:right="105"/>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．其他综合 收益结转留 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1"/>
              <w:jc w:val="left"/>
              <w:rPr>
                <w:rFonts w:ascii="宋体" w:hAnsi="宋体" w:cs="宋体" w:eastAsia="宋体" w:hint="default"/>
                <w:sz w:val="18"/>
                <w:szCs w:val="18"/>
              </w:rPr>
            </w:pPr>
            <w:r>
              <w:rPr>
                <w:rFonts w:ascii="宋体" w:hAnsi="宋体" w:cs="宋体" w:eastAsia="宋体" w:hint="default"/>
                <w:spacing w:val="-15"/>
                <w:sz w:val="18"/>
                <w:szCs w:val="18"/>
              </w:rPr>
              <w:t>（五）专项储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c>
          <w:tcPr>
            <w:tcW w:w="653"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12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2" w:right="101"/>
              <w:jc w:val="left"/>
              <w:rPr>
                <w:rFonts w:ascii="宋体" w:hAnsi="宋体" w:cs="宋体" w:eastAsia="宋体" w:hint="default"/>
                <w:sz w:val="18"/>
                <w:szCs w:val="18"/>
              </w:rPr>
            </w:pPr>
            <w:r>
              <w:rPr>
                <w:rFonts w:ascii="宋体" w:hAnsi="宋体" w:cs="宋体" w:eastAsia="宋体" w:hint="default"/>
                <w:spacing w:val="-15"/>
                <w:sz w:val="18"/>
                <w:szCs w:val="18"/>
              </w:rPr>
              <w:t>四、本期期末</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522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19.</w:t>
            </w:r>
          </w:p>
          <w:p>
            <w:pPr>
              <w:pStyle w:val="TableParagraph"/>
              <w:spacing w:line="240" w:lineRule="auto" w:before="105"/>
              <w:ind w:left="196" w:right="0"/>
              <w:jc w:val="left"/>
              <w:rPr>
                <w:rFonts w:ascii="Times New Roman" w:hAnsi="Times New Roman" w:cs="Times New Roman" w:eastAsia="Times New Roman" w:hint="default"/>
                <w:sz w:val="18"/>
                <w:szCs w:val="18"/>
              </w:rPr>
            </w:pPr>
            <w:r>
              <w:rPr>
                <w:rFonts w:ascii="Times New Roman"/>
                <w:sz w:val="18"/>
              </w:rPr>
              <w:t>00</w:t>
            </w:r>
          </w:p>
        </w:tc>
        <w:tc>
          <w:tcPr>
            <w:tcW w:w="449"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3"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4,31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3,31</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5,62</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4.50</w:t>
            </w:r>
          </w:p>
        </w:tc>
        <w:tc>
          <w:tcPr>
            <w:tcW w:w="576" w:type="dxa"/>
            <w:tcBorders>
              <w:top w:val="single" w:sz="4" w:space="0" w:color="000000"/>
              <w:left w:val="single" w:sz="4" w:space="0" w:color="000000"/>
              <w:bottom w:val="single" w:sz="4" w:space="0" w:color="000000"/>
              <w:right w:val="single" w:sz="4" w:space="0" w:color="000000"/>
            </w:tcBorders>
          </w:tcPr>
          <w:p>
            <w:pPr/>
          </w:p>
        </w:tc>
        <w:tc>
          <w:tcPr>
            <w:tcW w:w="578"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37,3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90,4</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80.3</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0</w:t>
            </w:r>
          </w:p>
        </w:tc>
        <w:tc>
          <w:tcPr>
            <w:tcW w:w="578"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 w:right="0"/>
              <w:jc w:val="center"/>
              <w:rPr>
                <w:rFonts w:ascii="Times New Roman" w:hAnsi="Times New Roman" w:cs="Times New Roman" w:eastAsia="Times New Roman" w:hint="default"/>
                <w:sz w:val="18"/>
                <w:szCs w:val="18"/>
              </w:rPr>
            </w:pPr>
            <w:r>
              <w:rPr>
                <w:rFonts w:ascii="Times New Roman"/>
                <w:sz w:val="18"/>
              </w:rPr>
              <w:t>-2,2</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40,3</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69,7</w:t>
            </w:r>
          </w:p>
          <w:p>
            <w:pPr>
              <w:pStyle w:val="TableParagraph"/>
              <w:spacing w:line="240" w:lineRule="auto" w:before="105"/>
              <w:ind w:left="160" w:right="0"/>
              <w:jc w:val="left"/>
              <w:rPr>
                <w:rFonts w:ascii="Times New Roman" w:hAnsi="Times New Roman" w:cs="Times New Roman" w:eastAsia="Times New Roman" w:hint="default"/>
                <w:sz w:val="18"/>
                <w:szCs w:val="18"/>
              </w:rPr>
            </w:pPr>
            <w:r>
              <w:rPr>
                <w:rFonts w:ascii="Times New Roman"/>
                <w:sz w:val="18"/>
              </w:rPr>
              <w:t>42.4</w:t>
            </w:r>
          </w:p>
          <w:p>
            <w:pPr>
              <w:pStyle w:val="TableParagraph"/>
              <w:spacing w:line="240" w:lineRule="auto" w:before="105"/>
              <w:ind w:left="279" w:right="0"/>
              <w:jc w:val="center"/>
              <w:rPr>
                <w:rFonts w:ascii="Times New Roman" w:hAnsi="Times New Roman" w:cs="Times New Roman" w:eastAsia="Times New Roman" w:hint="default"/>
                <w:sz w:val="18"/>
                <w:szCs w:val="18"/>
              </w:rPr>
            </w:pPr>
            <w:r>
              <w:rPr>
                <w:rFonts w:ascii="Times New Roman"/>
                <w:sz w:val="18"/>
              </w:rPr>
              <w:t>2</w:t>
            </w:r>
          </w:p>
        </w:tc>
        <w:tc>
          <w:tcPr>
            <w:tcW w:w="567"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2,63</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3,11</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3,78</w:t>
            </w:r>
          </w:p>
          <w:p>
            <w:pPr>
              <w:pStyle w:val="TableParagraph"/>
              <w:spacing w:line="240" w:lineRule="auto" w:before="105"/>
              <w:ind w:left="141" w:right="0"/>
              <w:jc w:val="left"/>
              <w:rPr>
                <w:rFonts w:ascii="Times New Roman" w:hAnsi="Times New Roman" w:cs="Times New Roman" w:eastAsia="Times New Roman" w:hint="default"/>
                <w:sz w:val="18"/>
                <w:szCs w:val="18"/>
              </w:rPr>
            </w:pPr>
            <w:r>
              <w:rPr>
                <w:rFonts w:ascii="Times New Roman"/>
                <w:sz w:val="18"/>
              </w:rPr>
              <w:t>1.38</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-3,96</w:t>
            </w:r>
          </w:p>
          <w:p>
            <w:pPr>
              <w:pStyle w:val="TableParagraph"/>
              <w:spacing w:line="240" w:lineRule="auto" w:before="105"/>
              <w:ind w:left="24" w:right="0"/>
              <w:jc w:val="center"/>
              <w:rPr>
                <w:rFonts w:ascii="Times New Roman" w:hAnsi="Times New Roman" w:cs="Times New Roman" w:eastAsia="Times New Roman" w:hint="default"/>
                <w:sz w:val="18"/>
                <w:szCs w:val="18"/>
              </w:rPr>
            </w:pPr>
            <w:r>
              <w:rPr>
                <w:rFonts w:ascii="Times New Roman"/>
                <w:sz w:val="18"/>
              </w:rPr>
              <w:t>2,241</w:t>
            </w:r>
          </w:p>
          <w:p>
            <w:pPr>
              <w:pStyle w:val="TableParagraph"/>
              <w:spacing w:line="240" w:lineRule="auto" w:before="105"/>
              <w:ind w:left="204" w:right="0"/>
              <w:jc w:val="center"/>
              <w:rPr>
                <w:rFonts w:ascii="Times New Roman" w:hAnsi="Times New Roman" w:cs="Times New Roman" w:eastAsia="Times New Roman" w:hint="default"/>
                <w:sz w:val="18"/>
                <w:szCs w:val="18"/>
              </w:rPr>
            </w:pPr>
            <w:r>
              <w:rPr>
                <w:rFonts w:ascii="Times New Roman"/>
                <w:sz w:val="18"/>
              </w:rPr>
              <w:t>.52</w:t>
            </w:r>
          </w:p>
        </w:tc>
        <w:tc>
          <w:tcPr>
            <w:tcW w:w="6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2,629</w:t>
            </w:r>
          </w:p>
          <w:p>
            <w:pPr>
              <w:pStyle w:val="TableParagraph"/>
              <w:spacing w:line="240" w:lineRule="auto" w:before="105"/>
              <w:ind w:left="179" w:right="0"/>
              <w:jc w:val="left"/>
              <w:rPr>
                <w:rFonts w:ascii="Times New Roman" w:hAnsi="Times New Roman" w:cs="Times New Roman" w:eastAsia="Times New Roman" w:hint="default"/>
                <w:sz w:val="18"/>
                <w:szCs w:val="18"/>
              </w:rPr>
            </w:pPr>
            <w:r>
              <w:rPr>
                <w:rFonts w:ascii="Times New Roman"/>
                <w:sz w:val="18"/>
              </w:rPr>
              <w:t>,151,</w:t>
            </w:r>
          </w:p>
          <w:p>
            <w:pPr>
              <w:pStyle w:val="TableParagraph"/>
              <w:spacing w:line="240" w:lineRule="auto" w:before="105"/>
              <w:ind w:left="134" w:right="0"/>
              <w:jc w:val="left"/>
              <w:rPr>
                <w:rFonts w:ascii="Times New Roman" w:hAnsi="Times New Roman" w:cs="Times New Roman" w:eastAsia="Times New Roman" w:hint="default"/>
                <w:sz w:val="18"/>
                <w:szCs w:val="18"/>
              </w:rPr>
            </w:pPr>
            <w:r>
              <w:rPr>
                <w:rFonts w:ascii="Times New Roman"/>
                <w:sz w:val="18"/>
              </w:rPr>
              <w:t>539.8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6"/>
        <w:jc w:val="left"/>
        <w:rPr>
          <w:b w:val="0"/>
          <w:bCs w:val="0"/>
        </w:rPr>
      </w:pPr>
      <w:bookmarkStart w:name="8、母公司所有者权益变动表" w:id="167"/>
      <w:bookmarkEnd w:id="167"/>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本期金额</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024"/>
        <w:gridCol w:w="665"/>
        <w:gridCol w:w="626"/>
        <w:gridCol w:w="523"/>
        <w:gridCol w:w="586"/>
        <w:gridCol w:w="857"/>
        <w:gridCol w:w="574"/>
        <w:gridCol w:w="650"/>
        <w:gridCol w:w="461"/>
        <w:gridCol w:w="588"/>
        <w:gridCol w:w="790"/>
        <w:gridCol w:w="362"/>
        <w:gridCol w:w="862"/>
      </w:tblGrid>
      <w:tr>
        <w:trPr>
          <w:trHeight w:val="402" w:hRule="exact"/>
        </w:trPr>
        <w:tc>
          <w:tcPr>
            <w:tcW w:w="202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545"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402" w:hRule="exact"/>
        </w:trPr>
        <w:tc>
          <w:tcPr>
            <w:tcW w:w="2024" w:type="dxa"/>
            <w:vMerge/>
            <w:tcBorders>
              <w:left w:val="single" w:sz="4" w:space="0" w:color="000000"/>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73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8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335" w:right="149"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5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92" w:right="98" w:hanging="89"/>
              <w:jc w:val="left"/>
              <w:rPr>
                <w:rFonts w:ascii="宋体" w:hAnsi="宋体" w:cs="宋体" w:eastAsia="宋体" w:hint="default"/>
                <w:sz w:val="18"/>
                <w:szCs w:val="18"/>
              </w:rPr>
            </w:pPr>
            <w:r>
              <w:rPr>
                <w:rFonts w:ascii="宋体" w:hAnsi="宋体" w:cs="宋体" w:eastAsia="宋体" w:hint="default"/>
                <w:sz w:val="18"/>
                <w:szCs w:val="18"/>
              </w:rPr>
              <w:t>减： 库 存 股</w:t>
            </w:r>
          </w:p>
        </w:tc>
        <w:tc>
          <w:tcPr>
            <w:tcW w:w="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41" w:right="13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4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36" w:right="132"/>
              <w:jc w:val="both"/>
              <w:rPr>
                <w:rFonts w:ascii="宋体" w:hAnsi="宋体" w:cs="宋体" w:eastAsia="宋体" w:hint="default"/>
                <w:sz w:val="18"/>
                <w:szCs w:val="18"/>
              </w:rPr>
            </w:pPr>
            <w:r>
              <w:rPr>
                <w:rFonts w:ascii="宋体" w:hAnsi="宋体" w:cs="宋体" w:eastAsia="宋体" w:hint="default"/>
                <w:sz w:val="18"/>
                <w:szCs w:val="18"/>
              </w:rPr>
              <w:t>专 项 储 备</w:t>
            </w:r>
          </w:p>
        </w:tc>
        <w:tc>
          <w:tcPr>
            <w:tcW w:w="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10" w:right="107"/>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211" w:right="118" w:hanging="92"/>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3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05" w:right="65"/>
              <w:jc w:val="left"/>
              <w:rPr>
                <w:rFonts w:ascii="宋体" w:hAnsi="宋体" w:cs="宋体" w:eastAsia="宋体" w:hint="default"/>
                <w:sz w:val="18"/>
                <w:szCs w:val="18"/>
              </w:rPr>
            </w:pPr>
            <w:r>
              <w:rPr>
                <w:rFonts w:ascii="宋体" w:hAnsi="宋体" w:cs="宋体" w:eastAsia="宋体" w:hint="default"/>
                <w:sz w:val="18"/>
                <w:szCs w:val="18"/>
              </w:rPr>
              <w:t>其 他</w:t>
            </w:r>
          </w:p>
        </w:tc>
        <w:tc>
          <w:tcPr>
            <w:tcW w:w="8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55" w:right="155"/>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026" w:hRule="exact"/>
        </w:trPr>
        <w:tc>
          <w:tcPr>
            <w:tcW w:w="202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218" w:right="127" w:hanging="92"/>
              <w:jc w:val="left"/>
              <w:rPr>
                <w:rFonts w:ascii="宋体" w:hAnsi="宋体" w:cs="宋体" w:eastAsia="宋体" w:hint="default"/>
                <w:sz w:val="18"/>
                <w:szCs w:val="18"/>
              </w:rPr>
            </w:pPr>
            <w:r>
              <w:rPr>
                <w:rFonts w:ascii="宋体" w:hAnsi="宋体" w:cs="宋体" w:eastAsia="宋体" w:hint="default"/>
                <w:sz w:val="18"/>
                <w:szCs w:val="18"/>
              </w:rPr>
              <w:t>优先 股</w:t>
            </w:r>
          </w:p>
        </w:tc>
        <w:tc>
          <w:tcPr>
            <w:tcW w:w="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65" w:right="167"/>
              <w:jc w:val="both"/>
              <w:rPr>
                <w:rFonts w:ascii="宋体" w:hAnsi="宋体" w:cs="宋体" w:eastAsia="宋体" w:hint="default"/>
                <w:sz w:val="18"/>
                <w:szCs w:val="18"/>
              </w:rPr>
            </w:pPr>
            <w:r>
              <w:rPr>
                <w:rFonts w:ascii="宋体" w:hAnsi="宋体" w:cs="宋体" w:eastAsia="宋体" w:hint="default"/>
                <w:sz w:val="18"/>
                <w:szCs w:val="18"/>
              </w:rPr>
              <w:t>永 续 债</w:t>
            </w:r>
          </w:p>
        </w:tc>
        <w:tc>
          <w:tcPr>
            <w:tcW w:w="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57" w:type="dxa"/>
            <w:vMerge/>
            <w:tcBorders>
              <w:left w:val="single" w:sz="4" w:space="0" w:color="000000"/>
              <w:bottom w:val="single" w:sz="4" w:space="0" w:color="000000"/>
              <w:right w:val="single" w:sz="4" w:space="0" w:color="000000"/>
            </w:tcBorders>
            <w:shd w:val="clear" w:color="auto" w:fill="D2D2D2"/>
          </w:tcPr>
          <w:p>
            <w:pPr/>
          </w:p>
        </w:tc>
        <w:tc>
          <w:tcPr>
            <w:tcW w:w="574" w:type="dxa"/>
            <w:vMerge/>
            <w:tcBorders>
              <w:left w:val="single" w:sz="4" w:space="0" w:color="000000"/>
              <w:bottom w:val="single" w:sz="4" w:space="0" w:color="000000"/>
              <w:right w:val="single" w:sz="4" w:space="0" w:color="000000"/>
            </w:tcBorders>
            <w:shd w:val="clear" w:color="auto" w:fill="D2D2D2"/>
          </w:tcPr>
          <w:p>
            <w:pPr/>
          </w:p>
        </w:tc>
        <w:tc>
          <w:tcPr>
            <w:tcW w:w="650" w:type="dxa"/>
            <w:vMerge/>
            <w:tcBorders>
              <w:left w:val="single" w:sz="4" w:space="0" w:color="000000"/>
              <w:bottom w:val="single" w:sz="4" w:space="0" w:color="000000"/>
              <w:right w:val="single" w:sz="4" w:space="0" w:color="000000"/>
            </w:tcBorders>
            <w:shd w:val="clear" w:color="auto" w:fill="D2D2D2"/>
          </w:tcPr>
          <w:p>
            <w:pPr/>
          </w:p>
        </w:tc>
        <w:tc>
          <w:tcPr>
            <w:tcW w:w="461" w:type="dxa"/>
            <w:vMerge/>
            <w:tcBorders>
              <w:left w:val="single" w:sz="4" w:space="0" w:color="000000"/>
              <w:bottom w:val="single" w:sz="4" w:space="0" w:color="000000"/>
              <w:right w:val="single" w:sz="4" w:space="0" w:color="000000"/>
            </w:tcBorders>
            <w:shd w:val="clear" w:color="auto" w:fill="D2D2D2"/>
          </w:tcPr>
          <w:p>
            <w:pPr/>
          </w:p>
        </w:tc>
        <w:tc>
          <w:tcPr>
            <w:tcW w:w="588"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362" w:type="dxa"/>
            <w:vMerge/>
            <w:tcBorders>
              <w:left w:val="single" w:sz="4" w:space="0" w:color="000000"/>
              <w:bottom w:val="single" w:sz="4" w:space="0" w:color="000000"/>
              <w:right w:val="single" w:sz="4" w:space="0" w:color="000000"/>
            </w:tcBorders>
            <w:shd w:val="clear" w:color="auto" w:fill="D2D2D2"/>
          </w:tcPr>
          <w:p>
            <w:pPr/>
          </w:p>
        </w:tc>
        <w:tc>
          <w:tcPr>
            <w:tcW w:w="862" w:type="dxa"/>
            <w:vMerge/>
            <w:tcBorders>
              <w:left w:val="single" w:sz="4" w:space="0" w:color="000000"/>
              <w:bottom w:val="single" w:sz="4" w:space="0" w:color="000000"/>
              <w:right w:val="single" w:sz="4" w:space="0" w:color="000000"/>
            </w:tcBorders>
            <w:shd w:val="clear" w:color="auto" w:fill="D2D2D2"/>
          </w:tcPr>
          <w:p>
            <w:pPr/>
          </w:p>
        </w:tc>
      </w:tr>
      <w:tr>
        <w:trPr>
          <w:trHeight w:val="1337"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522,7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77,41</w:t>
            </w:r>
          </w:p>
          <w:p>
            <w:pPr>
              <w:pStyle w:val="TableParagraph"/>
              <w:spacing w:line="240" w:lineRule="auto" w:before="105"/>
              <w:ind w:left="240" w:right="0"/>
              <w:jc w:val="left"/>
              <w:rPr>
                <w:rFonts w:ascii="Times New Roman" w:hAnsi="Times New Roman" w:cs="Times New Roman" w:eastAsia="Times New Roman" w:hint="default"/>
                <w:sz w:val="18"/>
                <w:szCs w:val="18"/>
              </w:rPr>
            </w:pPr>
            <w:r>
              <w:rPr>
                <w:rFonts w:ascii="Times New Roman"/>
                <w:sz w:val="18"/>
              </w:rPr>
              <w:t>9.00</w:t>
            </w: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4,313,36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8,234.61</w:t>
            </w: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37,3</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90,4</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80.3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-2,076,</w:t>
            </w:r>
          </w:p>
          <w:p>
            <w:pPr>
              <w:pStyle w:val="TableParagraph"/>
              <w:spacing w:line="240" w:lineRule="auto" w:before="105"/>
              <w:ind w:left="85" w:right="0"/>
              <w:jc w:val="center"/>
              <w:rPr>
                <w:rFonts w:ascii="Times New Roman" w:hAnsi="Times New Roman" w:cs="Times New Roman" w:eastAsia="Times New Roman" w:hint="default"/>
                <w:sz w:val="18"/>
                <w:szCs w:val="18"/>
              </w:rPr>
            </w:pPr>
            <w:r>
              <w:rPr>
                <w:rFonts w:ascii="Times New Roman"/>
                <w:sz w:val="18"/>
              </w:rPr>
              <w:t>319,88</w:t>
            </w:r>
          </w:p>
          <w:p>
            <w:pPr>
              <w:pStyle w:val="TableParagraph"/>
              <w:spacing w:line="240" w:lineRule="auto" w:before="105"/>
              <w:ind w:left="265" w:right="0"/>
              <w:jc w:val="center"/>
              <w:rPr>
                <w:rFonts w:ascii="Times New Roman" w:hAnsi="Times New Roman" w:cs="Times New Roman" w:eastAsia="Times New Roman" w:hint="default"/>
                <w:sz w:val="18"/>
                <w:szCs w:val="18"/>
              </w:rPr>
            </w:pPr>
            <w:r>
              <w:rPr>
                <w:rFonts w:ascii="Times New Roman"/>
                <w:sz w:val="18"/>
              </w:rPr>
              <w:t>2.25</w:t>
            </w: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2,797,21</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6,251.66</w:t>
            </w:r>
          </w:p>
        </w:tc>
      </w:tr>
      <w:tr>
        <w:trPr>
          <w:trHeight w:val="403"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2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-107,48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4,298.8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 w:right="0"/>
              <w:jc w:val="center"/>
              <w:rPr>
                <w:rFonts w:ascii="Times New Roman" w:hAnsi="Times New Roman" w:cs="Times New Roman" w:eastAsia="Times New Roman" w:hint="default"/>
                <w:sz w:val="18"/>
                <w:szCs w:val="18"/>
              </w:rPr>
            </w:pPr>
            <w:r>
              <w:rPr>
                <w:rFonts w:ascii="Times New Roman"/>
                <w:sz w:val="18"/>
              </w:rPr>
              <w:t>-107,484</w:t>
            </w:r>
          </w:p>
          <w:p>
            <w:pPr>
              <w:pStyle w:val="TableParagraph"/>
              <w:spacing w:line="240" w:lineRule="auto" w:before="105"/>
              <w:ind w:left="110" w:right="0"/>
              <w:jc w:val="center"/>
              <w:rPr>
                <w:rFonts w:ascii="Times New Roman" w:hAnsi="Times New Roman" w:cs="Times New Roman" w:eastAsia="Times New Roman" w:hint="default"/>
                <w:sz w:val="18"/>
                <w:szCs w:val="18"/>
              </w:rPr>
            </w:pPr>
            <w:r>
              <w:rPr>
                <w:rFonts w:ascii="Times New Roman"/>
                <w:sz w:val="18"/>
              </w:rPr>
              <w:t>,298.84</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022"/>
        <w:gridCol w:w="665"/>
        <w:gridCol w:w="626"/>
        <w:gridCol w:w="523"/>
        <w:gridCol w:w="586"/>
        <w:gridCol w:w="857"/>
        <w:gridCol w:w="574"/>
        <w:gridCol w:w="650"/>
        <w:gridCol w:w="461"/>
        <w:gridCol w:w="588"/>
        <w:gridCol w:w="790"/>
        <w:gridCol w:w="362"/>
        <w:gridCol w:w="862"/>
      </w:tblGrid>
      <w:tr>
        <w:trPr>
          <w:trHeight w:val="401"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其他</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2"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522,7</w:t>
            </w:r>
          </w:p>
          <w:p>
            <w:pPr>
              <w:pStyle w:val="TableParagraph"/>
              <w:spacing w:line="240" w:lineRule="auto" w:before="102"/>
              <w:ind w:left="148" w:right="0"/>
              <w:jc w:val="left"/>
              <w:rPr>
                <w:rFonts w:ascii="Times New Roman" w:hAnsi="Times New Roman" w:cs="Times New Roman" w:eastAsia="Times New Roman" w:hint="default"/>
                <w:sz w:val="18"/>
                <w:szCs w:val="18"/>
              </w:rPr>
            </w:pPr>
            <w:r>
              <w:rPr>
                <w:rFonts w:ascii="Times New Roman"/>
                <w:sz w:val="18"/>
              </w:rPr>
              <w:t>77,41</w:t>
            </w:r>
          </w:p>
          <w:p>
            <w:pPr>
              <w:pStyle w:val="TableParagraph"/>
              <w:spacing w:line="240" w:lineRule="auto" w:before="105"/>
              <w:ind w:left="240" w:right="0"/>
              <w:jc w:val="left"/>
              <w:rPr>
                <w:rFonts w:ascii="Times New Roman" w:hAnsi="Times New Roman" w:cs="Times New Roman" w:eastAsia="Times New Roman" w:hint="default"/>
                <w:sz w:val="18"/>
                <w:szCs w:val="18"/>
              </w:rPr>
            </w:pPr>
            <w:r>
              <w:rPr>
                <w:rFonts w:ascii="Times New Roman"/>
                <w:sz w:val="18"/>
              </w:rPr>
              <w:t>9.00</w:t>
            </w: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4,313,36</w:t>
            </w:r>
          </w:p>
          <w:p>
            <w:pPr>
              <w:pStyle w:val="TableParagraph"/>
              <w:spacing w:line="240" w:lineRule="auto" w:before="102"/>
              <w:ind w:left="115" w:right="0"/>
              <w:jc w:val="left"/>
              <w:rPr>
                <w:rFonts w:ascii="Times New Roman" w:hAnsi="Times New Roman" w:cs="Times New Roman" w:eastAsia="Times New Roman" w:hint="default"/>
                <w:sz w:val="18"/>
                <w:szCs w:val="18"/>
              </w:rPr>
            </w:pPr>
            <w:r>
              <w:rPr>
                <w:rFonts w:ascii="Times New Roman"/>
                <w:sz w:val="18"/>
              </w:rPr>
              <w:t>8,234.61</w:t>
            </w: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3" w:right="0"/>
              <w:jc w:val="left"/>
              <w:rPr>
                <w:rFonts w:ascii="Times New Roman" w:hAnsi="Times New Roman" w:cs="Times New Roman" w:eastAsia="Times New Roman" w:hint="default"/>
                <w:sz w:val="18"/>
                <w:szCs w:val="18"/>
              </w:rPr>
            </w:pPr>
            <w:r>
              <w:rPr>
                <w:rFonts w:ascii="Times New Roman"/>
                <w:sz w:val="18"/>
              </w:rPr>
              <w:t>37,3</w:t>
            </w:r>
          </w:p>
          <w:p>
            <w:pPr>
              <w:pStyle w:val="TableParagraph"/>
              <w:spacing w:line="240" w:lineRule="auto" w:before="102"/>
              <w:ind w:left="163" w:right="0"/>
              <w:jc w:val="left"/>
              <w:rPr>
                <w:rFonts w:ascii="Times New Roman" w:hAnsi="Times New Roman" w:cs="Times New Roman" w:eastAsia="Times New Roman" w:hint="default"/>
                <w:sz w:val="18"/>
                <w:szCs w:val="18"/>
              </w:rPr>
            </w:pPr>
            <w:r>
              <w:rPr>
                <w:rFonts w:ascii="Times New Roman"/>
                <w:sz w:val="18"/>
              </w:rPr>
              <w:t>90,4</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80.3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-2,183,</w:t>
            </w:r>
          </w:p>
          <w:p>
            <w:pPr>
              <w:pStyle w:val="TableParagraph"/>
              <w:spacing w:line="240" w:lineRule="auto" w:before="102"/>
              <w:ind w:left="85" w:right="0"/>
              <w:jc w:val="center"/>
              <w:rPr>
                <w:rFonts w:ascii="Times New Roman" w:hAnsi="Times New Roman" w:cs="Times New Roman" w:eastAsia="Times New Roman" w:hint="default"/>
                <w:sz w:val="18"/>
                <w:szCs w:val="18"/>
              </w:rPr>
            </w:pPr>
            <w:r>
              <w:rPr>
                <w:rFonts w:ascii="Times New Roman"/>
                <w:sz w:val="18"/>
              </w:rPr>
              <w:t>804,18</w:t>
            </w:r>
          </w:p>
          <w:p>
            <w:pPr>
              <w:pStyle w:val="TableParagraph"/>
              <w:spacing w:line="240" w:lineRule="auto" w:before="105"/>
              <w:ind w:left="265" w:right="0"/>
              <w:jc w:val="center"/>
              <w:rPr>
                <w:rFonts w:ascii="Times New Roman" w:hAnsi="Times New Roman" w:cs="Times New Roman" w:eastAsia="Times New Roman" w:hint="default"/>
                <w:sz w:val="18"/>
                <w:szCs w:val="18"/>
              </w:rPr>
            </w:pPr>
            <w:r>
              <w:rPr>
                <w:rFonts w:ascii="Times New Roman"/>
                <w:sz w:val="18"/>
              </w:rPr>
              <w:t>1.09</w:t>
            </w: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2,689,73</w:t>
            </w:r>
          </w:p>
          <w:p>
            <w:pPr>
              <w:pStyle w:val="TableParagraph"/>
              <w:spacing w:line="240" w:lineRule="auto" w:before="102"/>
              <w:ind w:left="119" w:right="0"/>
              <w:jc w:val="left"/>
              <w:rPr>
                <w:rFonts w:ascii="Times New Roman" w:hAnsi="Times New Roman" w:cs="Times New Roman" w:eastAsia="Times New Roman" w:hint="default"/>
                <w:sz w:val="18"/>
                <w:szCs w:val="18"/>
              </w:rPr>
            </w:pPr>
            <w:r>
              <w:rPr>
                <w:rFonts w:ascii="Times New Roman"/>
                <w:sz w:val="18"/>
              </w:rPr>
              <w:t>1,952.82</w:t>
            </w:r>
          </w:p>
        </w:tc>
      </w:tr>
      <w:tr>
        <w:trPr>
          <w:trHeight w:val="1337"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10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02" w:right="0"/>
              <w:jc w:val="left"/>
              <w:rPr>
                <w:rFonts w:ascii="宋体" w:hAnsi="宋体" w:cs="宋体" w:eastAsia="宋体" w:hint="default"/>
                <w:sz w:val="18"/>
                <w:szCs w:val="18"/>
              </w:rPr>
            </w:pPr>
            <w:r>
              <w:rPr>
                <w:rFonts w:ascii="宋体" w:hAnsi="宋体" w:cs="宋体" w:eastAsia="宋体" w:hint="default"/>
                <w:spacing w:val="-8"/>
                <w:sz w:val="18"/>
                <w:szCs w:val="18"/>
              </w:rPr>
              <w:t>（减少以“－”号填列）</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16,4</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47,0</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46.7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148,02</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3,420.8</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8</w:t>
            </w: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164,470,</w:t>
            </w:r>
          </w:p>
          <w:p>
            <w:pPr>
              <w:pStyle w:val="TableParagraph"/>
              <w:spacing w:line="240" w:lineRule="auto" w:before="105"/>
              <w:ind w:left="156" w:right="0"/>
              <w:jc w:val="center"/>
              <w:rPr>
                <w:rFonts w:ascii="Times New Roman" w:hAnsi="Times New Roman" w:cs="Times New Roman" w:eastAsia="Times New Roman" w:hint="default"/>
                <w:sz w:val="18"/>
                <w:szCs w:val="18"/>
              </w:rPr>
            </w:pPr>
            <w:r>
              <w:rPr>
                <w:rFonts w:ascii="Times New Roman"/>
                <w:sz w:val="18"/>
              </w:rPr>
              <w:t>467.65</w:t>
            </w:r>
          </w:p>
        </w:tc>
      </w:tr>
      <w:tr>
        <w:trPr>
          <w:trHeight w:val="1028"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02"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164,47</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pacing w:val="-1"/>
                <w:sz w:val="18"/>
              </w:rPr>
              <w:t>0,467.6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164,470,</w:t>
            </w:r>
          </w:p>
          <w:p>
            <w:pPr>
              <w:pStyle w:val="TableParagraph"/>
              <w:spacing w:line="240" w:lineRule="auto" w:before="102"/>
              <w:ind w:left="156" w:right="0"/>
              <w:jc w:val="center"/>
              <w:rPr>
                <w:rFonts w:ascii="Times New Roman" w:hAnsi="Times New Roman" w:cs="Times New Roman" w:eastAsia="Times New Roman" w:hint="default"/>
                <w:sz w:val="18"/>
                <w:szCs w:val="18"/>
              </w:rPr>
            </w:pPr>
            <w:r>
              <w:rPr>
                <w:rFonts w:ascii="Times New Roman"/>
                <w:sz w:val="18"/>
              </w:rPr>
              <w:t>467.65</w:t>
            </w:r>
          </w:p>
        </w:tc>
      </w:tr>
      <w:tr>
        <w:trPr>
          <w:trHeight w:val="713"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08"/>
              <w:jc w:val="left"/>
              <w:rPr>
                <w:rFonts w:ascii="宋体" w:hAnsi="宋体" w:cs="宋体" w:eastAsia="宋体" w:hint="default"/>
                <w:sz w:val="18"/>
                <w:szCs w:val="18"/>
              </w:rPr>
            </w:pPr>
            <w:r>
              <w:rPr>
                <w:rFonts w:ascii="宋体" w:hAnsi="宋体" w:cs="宋体" w:eastAsia="宋体" w:hint="default"/>
                <w:sz w:val="18"/>
                <w:szCs w:val="18"/>
              </w:rPr>
              <w:t>（二）所有者投入和减 少资本</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82"/>
                <w:sz w:val="18"/>
                <w:szCs w:val="18"/>
              </w:rPr>
              <w:t>．</w:t>
            </w:r>
            <w:r>
              <w:rPr>
                <w:rFonts w:ascii="宋体" w:hAnsi="宋体" w:cs="宋体" w:eastAsia="宋体" w:hint="default"/>
                <w:sz w:val="18"/>
                <w:szCs w:val="18"/>
              </w:rPr>
              <w:t>所</w:t>
            </w:r>
            <w:r>
              <w:rPr>
                <w:rFonts w:ascii="宋体" w:hAnsi="宋体" w:cs="宋体" w:eastAsia="宋体" w:hint="default"/>
                <w:spacing w:val="-1"/>
                <w:sz w:val="18"/>
                <w:szCs w:val="18"/>
              </w:rPr>
              <w:t>有</w:t>
            </w:r>
            <w:r>
              <w:rPr>
                <w:rFonts w:ascii="宋体" w:hAnsi="宋体" w:cs="宋体" w:eastAsia="宋体" w:hint="default"/>
                <w:sz w:val="18"/>
                <w:szCs w:val="18"/>
              </w:rPr>
              <w:t>者投入的普通股</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98"/>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．其他权益工具持有者</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投入资本</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98"/>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3</w:t>
            </w:r>
            <w:r>
              <w:rPr>
                <w:rFonts w:ascii="宋体" w:hAnsi="宋体" w:cs="宋体" w:eastAsia="宋体" w:hint="default"/>
                <w:spacing w:val="-8"/>
                <w:sz w:val="18"/>
                <w:szCs w:val="18"/>
              </w:rPr>
              <w:t>．股份支付计入所有者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权益的金额</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10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3" w:right="0"/>
              <w:jc w:val="left"/>
              <w:rPr>
                <w:rFonts w:ascii="Times New Roman" w:hAnsi="Times New Roman" w:cs="Times New Roman" w:eastAsia="Times New Roman" w:hint="default"/>
                <w:sz w:val="18"/>
                <w:szCs w:val="18"/>
              </w:rPr>
            </w:pPr>
            <w:r>
              <w:rPr>
                <w:rFonts w:ascii="Times New Roman"/>
                <w:sz w:val="18"/>
              </w:rPr>
              <w:t>16,4</w:t>
            </w:r>
          </w:p>
          <w:p>
            <w:pPr>
              <w:pStyle w:val="TableParagraph"/>
              <w:spacing w:line="240" w:lineRule="auto" w:before="103"/>
              <w:ind w:left="163" w:right="0"/>
              <w:jc w:val="left"/>
              <w:rPr>
                <w:rFonts w:ascii="Times New Roman" w:hAnsi="Times New Roman" w:cs="Times New Roman" w:eastAsia="Times New Roman" w:hint="default"/>
                <w:sz w:val="18"/>
                <w:szCs w:val="18"/>
              </w:rPr>
            </w:pPr>
            <w:r>
              <w:rPr>
                <w:rFonts w:ascii="Times New Roman"/>
                <w:sz w:val="18"/>
              </w:rPr>
              <w:t>47,0</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46.7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-16,447</w:t>
            </w:r>
          </w:p>
          <w:p>
            <w:pPr>
              <w:pStyle w:val="TableParagraph"/>
              <w:spacing w:line="240" w:lineRule="auto" w:before="102"/>
              <w:ind w:left="139" w:right="0"/>
              <w:jc w:val="left"/>
              <w:rPr>
                <w:rFonts w:ascii="Times New Roman" w:hAnsi="Times New Roman" w:cs="Times New Roman" w:eastAsia="Times New Roman" w:hint="default"/>
                <w:sz w:val="18"/>
                <w:szCs w:val="18"/>
              </w:rPr>
            </w:pPr>
            <w:r>
              <w:rPr>
                <w:rFonts w:ascii="Times New Roman"/>
                <w:sz w:val="18"/>
              </w:rPr>
              <w:t>,046.77</w:t>
            </w: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16,4</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47,0</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46.7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25" w:right="0"/>
              <w:jc w:val="left"/>
              <w:rPr>
                <w:rFonts w:ascii="Times New Roman" w:hAnsi="Times New Roman" w:cs="Times New Roman" w:eastAsia="Times New Roman" w:hint="default"/>
                <w:sz w:val="18"/>
                <w:szCs w:val="18"/>
              </w:rPr>
            </w:pPr>
            <w:r>
              <w:rPr>
                <w:rFonts w:ascii="Times New Roman"/>
                <w:sz w:val="18"/>
              </w:rPr>
              <w:t>-16,447</w:t>
            </w:r>
          </w:p>
          <w:p>
            <w:pPr>
              <w:pStyle w:val="TableParagraph"/>
              <w:spacing w:line="240" w:lineRule="auto" w:before="105"/>
              <w:ind w:left="139" w:right="0"/>
              <w:jc w:val="left"/>
              <w:rPr>
                <w:rFonts w:ascii="Times New Roman" w:hAnsi="Times New Roman" w:cs="Times New Roman" w:eastAsia="Times New Roman" w:hint="default"/>
                <w:sz w:val="18"/>
                <w:szCs w:val="18"/>
              </w:rPr>
            </w:pPr>
            <w:r>
              <w:rPr>
                <w:rFonts w:ascii="Times New Roman"/>
                <w:sz w:val="18"/>
              </w:rPr>
              <w:t>,046.77</w:t>
            </w: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 的分配</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02" w:right="108"/>
              <w:jc w:val="left"/>
              <w:rPr>
                <w:rFonts w:ascii="宋体" w:hAnsi="宋体" w:cs="宋体" w:eastAsia="宋体" w:hint="default"/>
                <w:sz w:val="18"/>
                <w:szCs w:val="18"/>
              </w:rPr>
            </w:pPr>
            <w:r>
              <w:rPr>
                <w:rFonts w:ascii="宋体" w:hAnsi="宋体" w:cs="宋体" w:eastAsia="宋体" w:hint="default"/>
                <w:sz w:val="18"/>
                <w:szCs w:val="18"/>
              </w:rPr>
              <w:t>（四）所有者权益内部 结转</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0"/>
              <w:ind w:left="10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left="10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82"/>
                <w:sz w:val="18"/>
                <w:szCs w:val="18"/>
              </w:rPr>
              <w:t>．</w:t>
            </w:r>
            <w:r>
              <w:rPr>
                <w:rFonts w:ascii="宋体" w:hAnsi="宋体" w:cs="宋体" w:eastAsia="宋体" w:hint="default"/>
                <w:sz w:val="18"/>
                <w:szCs w:val="18"/>
              </w:rPr>
              <w:t>设</w:t>
            </w:r>
            <w:r>
              <w:rPr>
                <w:rFonts w:ascii="宋体" w:hAnsi="宋体" w:cs="宋体" w:eastAsia="宋体" w:hint="default"/>
                <w:spacing w:val="-1"/>
                <w:sz w:val="18"/>
                <w:szCs w:val="18"/>
              </w:rPr>
              <w:t>定</w:t>
            </w:r>
            <w:r>
              <w:rPr>
                <w:rFonts w:ascii="宋体" w:hAnsi="宋体" w:cs="宋体" w:eastAsia="宋体" w:hint="default"/>
                <w:sz w:val="18"/>
                <w:szCs w:val="18"/>
              </w:rPr>
              <w:t>受益计划变动额</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2022"/>
        <w:gridCol w:w="665"/>
        <w:gridCol w:w="626"/>
        <w:gridCol w:w="523"/>
        <w:gridCol w:w="586"/>
        <w:gridCol w:w="857"/>
        <w:gridCol w:w="574"/>
        <w:gridCol w:w="650"/>
        <w:gridCol w:w="461"/>
        <w:gridCol w:w="588"/>
        <w:gridCol w:w="790"/>
        <w:gridCol w:w="362"/>
        <w:gridCol w:w="862"/>
      </w:tblGrid>
      <w:tr>
        <w:trPr>
          <w:trHeight w:val="363"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结转留存收益</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98"/>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5</w:t>
            </w:r>
            <w:r>
              <w:rPr>
                <w:rFonts w:ascii="宋体" w:hAnsi="宋体" w:cs="宋体" w:eastAsia="宋体" w:hint="default"/>
                <w:spacing w:val="-8"/>
                <w:sz w:val="18"/>
                <w:szCs w:val="18"/>
              </w:rPr>
              <w:t>．其他综合收益结转留</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存收益</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65"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20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522,7</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77,41</w:t>
            </w:r>
          </w:p>
          <w:p>
            <w:pPr>
              <w:pStyle w:val="TableParagraph"/>
              <w:spacing w:line="240" w:lineRule="auto" w:before="105"/>
              <w:ind w:left="240" w:right="0"/>
              <w:jc w:val="left"/>
              <w:rPr>
                <w:rFonts w:ascii="Times New Roman" w:hAnsi="Times New Roman" w:cs="Times New Roman" w:eastAsia="Times New Roman" w:hint="default"/>
                <w:sz w:val="18"/>
                <w:szCs w:val="18"/>
              </w:rPr>
            </w:pPr>
            <w:r>
              <w:rPr>
                <w:rFonts w:ascii="Times New Roman"/>
                <w:sz w:val="18"/>
              </w:rPr>
              <w:t>9.00</w:t>
            </w:r>
          </w:p>
        </w:tc>
        <w:tc>
          <w:tcPr>
            <w:tcW w:w="626" w:type="dxa"/>
            <w:tcBorders>
              <w:top w:val="single" w:sz="4" w:space="0" w:color="000000"/>
              <w:left w:val="single" w:sz="4" w:space="0" w:color="000000"/>
              <w:bottom w:val="single" w:sz="4" w:space="0" w:color="000000"/>
              <w:right w:val="single" w:sz="4" w:space="0" w:color="000000"/>
            </w:tcBorders>
          </w:tcPr>
          <w:p>
            <w:pPr/>
          </w:p>
        </w:tc>
        <w:tc>
          <w:tcPr>
            <w:tcW w:w="523" w:type="dxa"/>
            <w:tcBorders>
              <w:top w:val="single" w:sz="4" w:space="0" w:color="000000"/>
              <w:left w:val="single" w:sz="4" w:space="0" w:color="000000"/>
              <w:bottom w:val="single" w:sz="4" w:space="0" w:color="000000"/>
              <w:right w:val="single" w:sz="4" w:space="0" w:color="000000"/>
            </w:tcBorders>
          </w:tcPr>
          <w:p>
            <w:pPr/>
          </w:p>
        </w:tc>
        <w:tc>
          <w:tcPr>
            <w:tcW w:w="586"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4,313,36</w:t>
            </w:r>
          </w:p>
          <w:p>
            <w:pPr>
              <w:pStyle w:val="TableParagraph"/>
              <w:spacing w:line="240" w:lineRule="auto" w:before="105"/>
              <w:ind w:left="115" w:right="0"/>
              <w:jc w:val="left"/>
              <w:rPr>
                <w:rFonts w:ascii="Times New Roman" w:hAnsi="Times New Roman" w:cs="Times New Roman" w:eastAsia="Times New Roman" w:hint="default"/>
                <w:sz w:val="18"/>
                <w:szCs w:val="18"/>
              </w:rPr>
            </w:pPr>
            <w:r>
              <w:rPr>
                <w:rFonts w:ascii="Times New Roman"/>
                <w:sz w:val="18"/>
              </w:rPr>
              <w:t>8,234.61</w:t>
            </w:r>
          </w:p>
        </w:tc>
        <w:tc>
          <w:tcPr>
            <w:tcW w:w="57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461" w:type="dxa"/>
            <w:tcBorders>
              <w:top w:val="single" w:sz="4" w:space="0" w:color="000000"/>
              <w:left w:val="single" w:sz="4" w:space="0" w:color="000000"/>
              <w:bottom w:val="single" w:sz="4" w:space="0" w:color="000000"/>
              <w:right w:val="single" w:sz="4" w:space="0" w:color="000000"/>
            </w:tcBorders>
          </w:tcPr>
          <w:p>
            <w:pPr/>
          </w:p>
        </w:tc>
        <w:tc>
          <w:tcPr>
            <w:tcW w:w="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3" w:right="0"/>
              <w:jc w:val="left"/>
              <w:rPr>
                <w:rFonts w:ascii="Times New Roman" w:hAnsi="Times New Roman" w:cs="Times New Roman" w:eastAsia="Times New Roman" w:hint="default"/>
                <w:sz w:val="18"/>
                <w:szCs w:val="18"/>
              </w:rPr>
            </w:pPr>
            <w:r>
              <w:rPr>
                <w:rFonts w:ascii="Times New Roman"/>
                <w:sz w:val="18"/>
              </w:rPr>
              <w:t>53,8</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37,5</w:t>
            </w:r>
          </w:p>
          <w:p>
            <w:pPr>
              <w:pStyle w:val="TableParagraph"/>
              <w:spacing w:line="240" w:lineRule="auto" w:before="105"/>
              <w:ind w:left="163" w:right="0"/>
              <w:jc w:val="left"/>
              <w:rPr>
                <w:rFonts w:ascii="Times New Roman" w:hAnsi="Times New Roman" w:cs="Times New Roman" w:eastAsia="Times New Roman" w:hint="default"/>
                <w:sz w:val="18"/>
                <w:szCs w:val="18"/>
              </w:rPr>
            </w:pPr>
            <w:r>
              <w:rPr>
                <w:rFonts w:ascii="Times New Roman"/>
                <w:sz w:val="18"/>
              </w:rPr>
              <w:t>27.0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1" w:right="0"/>
              <w:jc w:val="center"/>
              <w:rPr>
                <w:rFonts w:ascii="Times New Roman" w:hAnsi="Times New Roman" w:cs="Times New Roman" w:eastAsia="Times New Roman" w:hint="default"/>
                <w:sz w:val="18"/>
                <w:szCs w:val="18"/>
              </w:rPr>
            </w:pPr>
            <w:r>
              <w:rPr>
                <w:rFonts w:ascii="Times New Roman"/>
                <w:sz w:val="18"/>
              </w:rPr>
              <w:t>-2,035,</w:t>
            </w:r>
          </w:p>
          <w:p>
            <w:pPr>
              <w:pStyle w:val="TableParagraph"/>
              <w:spacing w:line="240" w:lineRule="auto" w:before="105"/>
              <w:ind w:left="85" w:right="0"/>
              <w:jc w:val="center"/>
              <w:rPr>
                <w:rFonts w:ascii="Times New Roman" w:hAnsi="Times New Roman" w:cs="Times New Roman" w:eastAsia="Times New Roman" w:hint="default"/>
                <w:sz w:val="18"/>
                <w:szCs w:val="18"/>
              </w:rPr>
            </w:pPr>
            <w:r>
              <w:rPr>
                <w:rFonts w:ascii="Times New Roman"/>
                <w:sz w:val="18"/>
              </w:rPr>
              <w:t>780,76</w:t>
            </w:r>
          </w:p>
          <w:p>
            <w:pPr>
              <w:pStyle w:val="TableParagraph"/>
              <w:spacing w:line="240" w:lineRule="auto" w:before="105"/>
              <w:ind w:left="265" w:right="0"/>
              <w:jc w:val="center"/>
              <w:rPr>
                <w:rFonts w:ascii="Times New Roman" w:hAnsi="Times New Roman" w:cs="Times New Roman" w:eastAsia="Times New Roman" w:hint="default"/>
                <w:sz w:val="18"/>
                <w:szCs w:val="18"/>
              </w:rPr>
            </w:pPr>
            <w:r>
              <w:rPr>
                <w:rFonts w:ascii="Times New Roman"/>
                <w:sz w:val="18"/>
              </w:rPr>
              <w:t>0.21</w:t>
            </w:r>
          </w:p>
        </w:tc>
        <w:tc>
          <w:tcPr>
            <w:tcW w:w="362"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19" w:right="0"/>
              <w:jc w:val="left"/>
              <w:rPr>
                <w:rFonts w:ascii="Times New Roman" w:hAnsi="Times New Roman" w:cs="Times New Roman" w:eastAsia="Times New Roman" w:hint="default"/>
                <w:sz w:val="18"/>
                <w:szCs w:val="18"/>
              </w:rPr>
            </w:pPr>
            <w:r>
              <w:rPr>
                <w:rFonts w:ascii="Times New Roman"/>
                <w:sz w:val="18"/>
              </w:rPr>
              <w:t>2,854,20</w:t>
            </w:r>
          </w:p>
          <w:p>
            <w:pPr>
              <w:pStyle w:val="TableParagraph"/>
              <w:spacing w:line="240" w:lineRule="auto" w:before="105"/>
              <w:ind w:left="119" w:right="0"/>
              <w:jc w:val="left"/>
              <w:rPr>
                <w:rFonts w:ascii="Times New Roman" w:hAnsi="Times New Roman" w:cs="Times New Roman" w:eastAsia="Times New Roman" w:hint="default"/>
                <w:sz w:val="18"/>
                <w:szCs w:val="18"/>
              </w:rPr>
            </w:pPr>
            <w:r>
              <w:rPr>
                <w:rFonts w:ascii="Times New Roman"/>
                <w:sz w:val="18"/>
              </w:rPr>
              <w:t>2,420.47</w:t>
            </w:r>
          </w:p>
        </w:tc>
      </w:tr>
    </w:tbl>
    <w:p>
      <w:pPr>
        <w:pStyle w:val="BodyText"/>
        <w:spacing w:line="240" w:lineRule="auto" w:before="49"/>
        <w:ind w:right="986"/>
        <w:jc w:val="left"/>
      </w:pPr>
      <w:r>
        <w:rPr/>
        <w:t>上期金额</w:t>
      </w:r>
    </w:p>
    <w:p>
      <w:pPr>
        <w:pStyle w:val="BodyText"/>
        <w:spacing w:line="240" w:lineRule="auto" w:before="117"/>
        <w:ind w:left="0" w:right="1131"/>
        <w:jc w:val="right"/>
      </w:pPr>
      <w:r>
        <w:rPr/>
        <w:t>单位：元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884"/>
        <w:gridCol w:w="665"/>
        <w:gridCol w:w="574"/>
        <w:gridCol w:w="497"/>
        <w:gridCol w:w="434"/>
        <w:gridCol w:w="742"/>
        <w:gridCol w:w="713"/>
        <w:gridCol w:w="742"/>
        <w:gridCol w:w="626"/>
        <w:gridCol w:w="689"/>
        <w:gridCol w:w="689"/>
        <w:gridCol w:w="384"/>
        <w:gridCol w:w="931"/>
      </w:tblGrid>
      <w:tr>
        <w:trPr>
          <w:trHeight w:val="402" w:hRule="exact"/>
        </w:trPr>
        <w:tc>
          <w:tcPr>
            <w:tcW w:w="18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686"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w:t>
            </w:r>
          </w:p>
        </w:tc>
      </w:tr>
      <w:tr>
        <w:trPr>
          <w:trHeight w:val="402" w:hRule="exact"/>
        </w:trPr>
        <w:tc>
          <w:tcPr>
            <w:tcW w:w="1884" w:type="dxa"/>
            <w:vMerge/>
            <w:tcBorders>
              <w:left w:val="single" w:sz="4" w:space="0" w:color="000000"/>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46"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0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7" w:right="182"/>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7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72" w:right="99" w:hanging="70"/>
              <w:jc w:val="left"/>
              <w:rPr>
                <w:rFonts w:ascii="宋体" w:hAnsi="宋体" w:cs="宋体" w:eastAsia="宋体" w:hint="default"/>
                <w:sz w:val="18"/>
                <w:szCs w:val="18"/>
              </w:rPr>
            </w:pPr>
            <w:r>
              <w:rPr>
                <w:rFonts w:ascii="宋体" w:hAnsi="宋体" w:cs="宋体" w:eastAsia="宋体" w:hint="default"/>
                <w:spacing w:val="-14"/>
                <w:sz w:val="18"/>
                <w:szCs w:val="18"/>
              </w:rPr>
              <w:t>减：库</w:t>
            </w:r>
            <w:r>
              <w:rPr>
                <w:rFonts w:ascii="宋体" w:hAnsi="宋体" w:cs="宋体" w:eastAsia="宋体" w:hint="default"/>
                <w:sz w:val="18"/>
                <w:szCs w:val="18"/>
              </w:rPr>
              <w:t> 存股</w:t>
            </w:r>
          </w:p>
        </w:tc>
        <w:tc>
          <w:tcPr>
            <w:tcW w:w="7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87" w:right="182"/>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6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29" w:right="12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6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58" w:right="158"/>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6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61" w:right="156"/>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3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05" w:right="86"/>
              <w:jc w:val="left"/>
              <w:rPr>
                <w:rFonts w:ascii="宋体" w:hAnsi="宋体" w:cs="宋体" w:eastAsia="宋体" w:hint="default"/>
                <w:sz w:val="18"/>
                <w:szCs w:val="18"/>
              </w:rPr>
            </w:pPr>
            <w:r>
              <w:rPr>
                <w:rFonts w:ascii="宋体" w:hAnsi="宋体" w:cs="宋体" w:eastAsia="宋体" w:hint="default"/>
                <w:sz w:val="18"/>
                <w:szCs w:val="18"/>
              </w:rPr>
              <w:t>其 他</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191" w:right="187"/>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1026" w:hRule="exact"/>
        </w:trPr>
        <w:tc>
          <w:tcPr>
            <w:tcW w:w="1884"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5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92" w:right="191"/>
              <w:jc w:val="both"/>
              <w:rPr>
                <w:rFonts w:ascii="宋体" w:hAnsi="宋体" w:cs="宋体" w:eastAsia="宋体" w:hint="default"/>
                <w:sz w:val="18"/>
                <w:szCs w:val="18"/>
              </w:rPr>
            </w:pPr>
            <w:r>
              <w:rPr>
                <w:rFonts w:ascii="宋体" w:hAnsi="宋体" w:cs="宋体" w:eastAsia="宋体" w:hint="default"/>
                <w:sz w:val="18"/>
                <w:szCs w:val="18"/>
              </w:rPr>
              <w:t>优 先 股</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53" w:right="151"/>
              <w:jc w:val="both"/>
              <w:rPr>
                <w:rFonts w:ascii="宋体" w:hAnsi="宋体" w:cs="宋体" w:eastAsia="宋体" w:hint="default"/>
                <w:sz w:val="18"/>
                <w:szCs w:val="18"/>
              </w:rPr>
            </w:pPr>
            <w:r>
              <w:rPr>
                <w:rFonts w:ascii="宋体" w:hAnsi="宋体" w:cs="宋体" w:eastAsia="宋体" w:hint="default"/>
                <w:sz w:val="18"/>
                <w:szCs w:val="18"/>
              </w:rPr>
              <w:t>永 续 债</w:t>
            </w:r>
          </w:p>
        </w:tc>
        <w:tc>
          <w:tcPr>
            <w:tcW w:w="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4" w:lineRule="auto"/>
              <w:ind w:left="124" w:right="119"/>
              <w:jc w:val="left"/>
              <w:rPr>
                <w:rFonts w:ascii="宋体" w:hAnsi="宋体" w:cs="宋体" w:eastAsia="宋体" w:hint="default"/>
                <w:sz w:val="18"/>
                <w:szCs w:val="18"/>
              </w:rPr>
            </w:pPr>
            <w:r>
              <w:rPr>
                <w:rFonts w:ascii="宋体" w:hAnsi="宋体" w:cs="宋体" w:eastAsia="宋体" w:hint="default"/>
                <w:sz w:val="18"/>
                <w:szCs w:val="18"/>
              </w:rPr>
              <w:t>其 他</w:t>
            </w:r>
          </w:p>
        </w:tc>
        <w:tc>
          <w:tcPr>
            <w:tcW w:w="742" w:type="dxa"/>
            <w:vMerge/>
            <w:tcBorders>
              <w:left w:val="single" w:sz="4" w:space="0" w:color="000000"/>
              <w:bottom w:val="single" w:sz="4" w:space="0" w:color="000000"/>
              <w:right w:val="single" w:sz="4" w:space="0" w:color="000000"/>
            </w:tcBorders>
            <w:shd w:val="clear" w:color="auto" w:fill="D2D2D2"/>
          </w:tcPr>
          <w:p>
            <w:pPr/>
          </w:p>
        </w:tc>
        <w:tc>
          <w:tcPr>
            <w:tcW w:w="713" w:type="dxa"/>
            <w:vMerge/>
            <w:tcBorders>
              <w:left w:val="single" w:sz="4" w:space="0" w:color="000000"/>
              <w:bottom w:val="single" w:sz="4" w:space="0" w:color="000000"/>
              <w:right w:val="single" w:sz="4" w:space="0" w:color="000000"/>
            </w:tcBorders>
            <w:shd w:val="clear" w:color="auto" w:fill="D2D2D2"/>
          </w:tcPr>
          <w:p>
            <w:pPr/>
          </w:p>
        </w:tc>
        <w:tc>
          <w:tcPr>
            <w:tcW w:w="742" w:type="dxa"/>
            <w:vMerge/>
            <w:tcBorders>
              <w:left w:val="single" w:sz="4" w:space="0" w:color="000000"/>
              <w:bottom w:val="single" w:sz="4" w:space="0" w:color="000000"/>
              <w:right w:val="single" w:sz="4" w:space="0" w:color="000000"/>
            </w:tcBorders>
            <w:shd w:val="clear" w:color="auto" w:fill="D2D2D2"/>
          </w:tcPr>
          <w:p>
            <w:pPr/>
          </w:p>
        </w:tc>
        <w:tc>
          <w:tcPr>
            <w:tcW w:w="626" w:type="dxa"/>
            <w:vMerge/>
            <w:tcBorders>
              <w:left w:val="single" w:sz="4" w:space="0" w:color="000000"/>
              <w:bottom w:val="single" w:sz="4" w:space="0" w:color="000000"/>
              <w:right w:val="single" w:sz="4" w:space="0" w:color="000000"/>
            </w:tcBorders>
            <w:shd w:val="clear" w:color="auto" w:fill="D2D2D2"/>
          </w:tcPr>
          <w:p>
            <w:pPr/>
          </w:p>
        </w:tc>
        <w:tc>
          <w:tcPr>
            <w:tcW w:w="689" w:type="dxa"/>
            <w:vMerge/>
            <w:tcBorders>
              <w:left w:val="single" w:sz="4" w:space="0" w:color="000000"/>
              <w:bottom w:val="single" w:sz="4" w:space="0" w:color="000000"/>
              <w:right w:val="single" w:sz="4" w:space="0" w:color="000000"/>
            </w:tcBorders>
            <w:shd w:val="clear" w:color="auto" w:fill="D2D2D2"/>
          </w:tcPr>
          <w:p>
            <w:pPr/>
          </w:p>
        </w:tc>
        <w:tc>
          <w:tcPr>
            <w:tcW w:w="689" w:type="dxa"/>
            <w:vMerge/>
            <w:tcBorders>
              <w:left w:val="single" w:sz="4" w:space="0" w:color="000000"/>
              <w:bottom w:val="single" w:sz="4" w:space="0" w:color="000000"/>
              <w:right w:val="single" w:sz="4" w:space="0" w:color="000000"/>
            </w:tcBorders>
            <w:shd w:val="clear" w:color="auto" w:fill="D2D2D2"/>
          </w:tcPr>
          <w:p>
            <w:pPr/>
          </w:p>
        </w:tc>
        <w:tc>
          <w:tcPr>
            <w:tcW w:w="38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5"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103"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522,7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77,41</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9.00</w:t>
            </w: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4,313,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368,23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4.61</w:t>
            </w: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37,39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0,480.</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30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250,8</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57,12</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2.49</w:t>
            </w: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5,124,39</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3,256.40</w:t>
            </w: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前期差错更</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正</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522,7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77,41</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9.00</w:t>
            </w: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4,313,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368,23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4.61</w:t>
            </w: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37,39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0,480.</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30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3" w:right="0"/>
              <w:jc w:val="left"/>
              <w:rPr>
                <w:rFonts w:ascii="Times New Roman" w:hAnsi="Times New Roman" w:cs="Times New Roman" w:eastAsia="Times New Roman" w:hint="default"/>
                <w:sz w:val="18"/>
                <w:szCs w:val="18"/>
              </w:rPr>
            </w:pPr>
            <w:r>
              <w:rPr>
                <w:rFonts w:ascii="Times New Roman"/>
                <w:sz w:val="18"/>
              </w:rPr>
              <w:t>250,8</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57,12</w:t>
            </w:r>
          </w:p>
          <w:p>
            <w:pPr>
              <w:pStyle w:val="TableParagraph"/>
              <w:spacing w:line="240" w:lineRule="auto" w:before="105"/>
              <w:ind w:left="264" w:right="0"/>
              <w:jc w:val="left"/>
              <w:rPr>
                <w:rFonts w:ascii="Times New Roman" w:hAnsi="Times New Roman" w:cs="Times New Roman" w:eastAsia="Times New Roman" w:hint="default"/>
                <w:sz w:val="18"/>
                <w:szCs w:val="18"/>
              </w:rPr>
            </w:pPr>
            <w:r>
              <w:rPr>
                <w:rFonts w:ascii="Times New Roman"/>
                <w:sz w:val="18"/>
              </w:rPr>
              <w:t>2.49</w:t>
            </w: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5,124,39</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3,256.40</w:t>
            </w:r>
          </w:p>
        </w:tc>
      </w:tr>
      <w:tr>
        <w:trPr>
          <w:trHeight w:val="1028"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03" w:right="149"/>
              <w:jc w:val="both"/>
              <w:rPr>
                <w:rFonts w:ascii="宋体" w:hAnsi="宋体" w:cs="宋体" w:eastAsia="宋体" w:hint="default"/>
                <w:sz w:val="18"/>
                <w:szCs w:val="18"/>
              </w:rPr>
            </w:pPr>
            <w:r>
              <w:rPr>
                <w:rFonts w:ascii="宋体" w:hAnsi="宋体" w:cs="宋体" w:eastAsia="宋体" w:hint="default"/>
                <w:sz w:val="18"/>
                <w:szCs w:val="18"/>
              </w:rPr>
              <w:t>三、本期增减变动金 额（减少以“－”号 填列）</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-2,434</w:t>
            </w:r>
          </w:p>
          <w:p>
            <w:pPr>
              <w:pStyle w:val="TableParagraph"/>
              <w:spacing w:line="240" w:lineRule="auto" w:before="103"/>
              <w:ind w:left="127" w:right="0"/>
              <w:jc w:val="left"/>
              <w:rPr>
                <w:rFonts w:ascii="Times New Roman" w:hAnsi="Times New Roman" w:cs="Times New Roman" w:eastAsia="Times New Roman" w:hint="default"/>
                <w:sz w:val="18"/>
                <w:szCs w:val="18"/>
              </w:rPr>
            </w:pPr>
            <w:r>
              <w:rPr>
                <w:rFonts w:ascii="Times New Roman"/>
                <w:sz w:val="18"/>
              </w:rPr>
              <w:t>,661,3</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03.58</w:t>
            </w: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-2,434,66</w:t>
            </w:r>
          </w:p>
          <w:p>
            <w:pPr>
              <w:pStyle w:val="TableParagraph"/>
              <w:spacing w:line="240" w:lineRule="auto" w:before="103"/>
              <w:ind w:left="187" w:right="0"/>
              <w:jc w:val="left"/>
              <w:rPr>
                <w:rFonts w:ascii="Times New Roman" w:hAnsi="Times New Roman" w:cs="Times New Roman" w:eastAsia="Times New Roman" w:hint="default"/>
                <w:sz w:val="18"/>
                <w:szCs w:val="18"/>
              </w:rPr>
            </w:pPr>
            <w:r>
              <w:rPr>
                <w:rFonts w:ascii="Times New Roman"/>
                <w:sz w:val="18"/>
              </w:rPr>
              <w:t>1,303.58</w:t>
            </w:r>
          </w:p>
        </w:tc>
      </w:tr>
      <w:tr>
        <w:trPr>
          <w:trHeight w:val="1025"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-2,225</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,550,3</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35.98</w:t>
            </w: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9" w:right="0"/>
              <w:jc w:val="left"/>
              <w:rPr>
                <w:rFonts w:ascii="Times New Roman" w:hAnsi="Times New Roman" w:cs="Times New Roman" w:eastAsia="Times New Roman" w:hint="default"/>
                <w:sz w:val="18"/>
                <w:szCs w:val="18"/>
              </w:rPr>
            </w:pPr>
            <w:r>
              <w:rPr>
                <w:rFonts w:ascii="Times New Roman"/>
                <w:sz w:val="18"/>
              </w:rPr>
              <w:t>-2,225,55</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0,335.98</w:t>
            </w:r>
          </w:p>
        </w:tc>
      </w:tr>
      <w:tr>
        <w:trPr>
          <w:trHeight w:val="715"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49"/>
              <w:jc w:val="left"/>
              <w:rPr>
                <w:rFonts w:ascii="宋体" w:hAnsi="宋体" w:cs="宋体" w:eastAsia="宋体" w:hint="default"/>
                <w:sz w:val="18"/>
                <w:szCs w:val="18"/>
              </w:rPr>
            </w:pPr>
            <w:r>
              <w:rPr>
                <w:rFonts w:ascii="宋体" w:hAnsi="宋体" w:cs="宋体" w:eastAsia="宋体" w:hint="default"/>
                <w:sz w:val="18"/>
                <w:szCs w:val="18"/>
              </w:rPr>
              <w:t>（二）所有者投入和 减少资本</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3"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．所有者投入的普通</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883"/>
        <w:gridCol w:w="665"/>
        <w:gridCol w:w="574"/>
        <w:gridCol w:w="497"/>
        <w:gridCol w:w="434"/>
        <w:gridCol w:w="742"/>
        <w:gridCol w:w="713"/>
        <w:gridCol w:w="742"/>
        <w:gridCol w:w="626"/>
        <w:gridCol w:w="689"/>
        <w:gridCol w:w="689"/>
        <w:gridCol w:w="384"/>
        <w:gridCol w:w="931"/>
      </w:tblGrid>
      <w:tr>
        <w:trPr>
          <w:trHeight w:val="363"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0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．其他权益工具持有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者投入资本</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0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．股份支付计入所有</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者权益的金额</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-209,1</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10,96</w:t>
            </w:r>
          </w:p>
          <w:p>
            <w:pPr>
              <w:pStyle w:val="TableParagraph"/>
              <w:spacing w:line="240" w:lineRule="auto" w:before="105"/>
              <w:ind w:left="164" w:right="0"/>
              <w:jc w:val="center"/>
              <w:rPr>
                <w:rFonts w:ascii="Times New Roman" w:hAnsi="Times New Roman" w:cs="Times New Roman" w:eastAsia="Times New Roman" w:hint="default"/>
                <w:sz w:val="18"/>
                <w:szCs w:val="18"/>
              </w:rPr>
            </w:pPr>
            <w:r>
              <w:rPr>
                <w:rFonts w:ascii="Times New Roman"/>
                <w:sz w:val="18"/>
              </w:rPr>
              <w:t>7.60</w:t>
            </w: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-209,110,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967.60</w:t>
            </w:r>
          </w:p>
        </w:tc>
      </w:tr>
      <w:tr>
        <w:trPr>
          <w:trHeight w:val="401"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02" w:right="12"/>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2</w:t>
            </w:r>
            <w:r>
              <w:rPr>
                <w:rFonts w:ascii="宋体" w:hAnsi="宋体" w:cs="宋体" w:eastAsia="宋体" w:hint="default"/>
                <w:spacing w:val="-13"/>
                <w:sz w:val="18"/>
                <w:szCs w:val="18"/>
              </w:rPr>
              <w:t>．对所有者（或股东）</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的分配</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-209,1</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10,96</w:t>
            </w:r>
          </w:p>
          <w:p>
            <w:pPr>
              <w:pStyle w:val="TableParagraph"/>
              <w:spacing w:line="240" w:lineRule="auto" w:before="105"/>
              <w:ind w:left="164" w:right="0"/>
              <w:jc w:val="center"/>
              <w:rPr>
                <w:rFonts w:ascii="Times New Roman" w:hAnsi="Times New Roman" w:cs="Times New Roman" w:eastAsia="Times New Roman" w:hint="default"/>
                <w:sz w:val="18"/>
                <w:szCs w:val="18"/>
              </w:rPr>
            </w:pPr>
            <w:r>
              <w:rPr>
                <w:rFonts w:ascii="Times New Roman"/>
                <w:sz w:val="18"/>
              </w:rPr>
              <w:t>7.60</w:t>
            </w: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 w:right="0"/>
              <w:jc w:val="center"/>
              <w:rPr>
                <w:rFonts w:ascii="Times New Roman" w:hAnsi="Times New Roman" w:cs="Times New Roman" w:eastAsia="Times New Roman" w:hint="default"/>
                <w:sz w:val="18"/>
                <w:szCs w:val="18"/>
              </w:rPr>
            </w:pPr>
            <w:r>
              <w:rPr>
                <w:rFonts w:ascii="Times New Roman"/>
                <w:sz w:val="18"/>
              </w:rPr>
              <w:t>-209,110,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967.60</w:t>
            </w:r>
          </w:p>
        </w:tc>
      </w:tr>
      <w:tr>
        <w:trPr>
          <w:trHeight w:val="401"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2" w:right="149"/>
              <w:jc w:val="left"/>
              <w:rPr>
                <w:rFonts w:ascii="宋体" w:hAnsi="宋体" w:cs="宋体" w:eastAsia="宋体" w:hint="default"/>
                <w:sz w:val="18"/>
                <w:szCs w:val="18"/>
              </w:rPr>
            </w:pPr>
            <w:r>
              <w:rPr>
                <w:rFonts w:ascii="宋体" w:hAnsi="宋体" w:cs="宋体" w:eastAsia="宋体" w:hint="default"/>
                <w:sz w:val="18"/>
                <w:szCs w:val="18"/>
              </w:rPr>
              <w:t>（四）所有者权益内 部结转</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．盈余公积弥补亏损</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0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．设定受益计划变动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额结转留存收益</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01"/>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．其他综合收益结转</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留存收益</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65" w:type="dxa"/>
            <w:tcBorders>
              <w:top w:val="single" w:sz="4" w:space="0" w:color="000000"/>
              <w:left w:val="single" w:sz="4" w:space="0" w:color="000000"/>
              <w:bottom w:val="single" w:sz="4" w:space="0" w:color="000000"/>
              <w:right w:val="single" w:sz="4" w:space="0" w:color="000000"/>
            </w:tcBorders>
          </w:tcPr>
          <w:p>
            <w:pP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8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 w:right="0"/>
              <w:jc w:val="left"/>
              <w:rPr>
                <w:rFonts w:ascii="Times New Roman" w:hAnsi="Times New Roman" w:cs="Times New Roman" w:eastAsia="Times New Roman" w:hint="default"/>
                <w:sz w:val="18"/>
                <w:szCs w:val="18"/>
              </w:rPr>
            </w:pPr>
            <w:r>
              <w:rPr>
                <w:rFonts w:ascii="Times New Roman"/>
                <w:sz w:val="18"/>
              </w:rPr>
              <w:t>522,7</w:t>
            </w:r>
          </w:p>
          <w:p>
            <w:pPr>
              <w:pStyle w:val="TableParagraph"/>
              <w:spacing w:line="240" w:lineRule="auto" w:before="105"/>
              <w:ind w:left="146" w:right="0"/>
              <w:jc w:val="left"/>
              <w:rPr>
                <w:rFonts w:ascii="Times New Roman" w:hAnsi="Times New Roman" w:cs="Times New Roman" w:eastAsia="Times New Roman" w:hint="default"/>
                <w:sz w:val="18"/>
                <w:szCs w:val="18"/>
              </w:rPr>
            </w:pPr>
            <w:r>
              <w:rPr>
                <w:rFonts w:ascii="Times New Roman"/>
                <w:sz w:val="18"/>
              </w:rPr>
              <w:t>77,41</w:t>
            </w:r>
          </w:p>
          <w:p>
            <w:pPr>
              <w:pStyle w:val="TableParagraph"/>
              <w:spacing w:line="240" w:lineRule="auto" w:before="105"/>
              <w:ind w:left="237" w:right="0"/>
              <w:jc w:val="left"/>
              <w:rPr>
                <w:rFonts w:ascii="Times New Roman" w:hAnsi="Times New Roman" w:cs="Times New Roman" w:eastAsia="Times New Roman" w:hint="default"/>
                <w:sz w:val="18"/>
                <w:szCs w:val="18"/>
              </w:rPr>
            </w:pPr>
            <w:r>
              <w:rPr>
                <w:rFonts w:ascii="Times New Roman"/>
                <w:sz w:val="18"/>
              </w:rPr>
              <w:t>9.00</w:t>
            </w:r>
          </w:p>
        </w:tc>
        <w:tc>
          <w:tcPr>
            <w:tcW w:w="574" w:type="dxa"/>
            <w:tcBorders>
              <w:top w:val="single" w:sz="4" w:space="0" w:color="000000"/>
              <w:left w:val="single" w:sz="4" w:space="0" w:color="000000"/>
              <w:bottom w:val="single" w:sz="4" w:space="0" w:color="000000"/>
              <w:right w:val="single" w:sz="4" w:space="0" w:color="000000"/>
            </w:tcBorders>
          </w:tcPr>
          <w:p>
            <w:pPr/>
          </w:p>
        </w:tc>
        <w:tc>
          <w:tcPr>
            <w:tcW w:w="497" w:type="dxa"/>
            <w:tcBorders>
              <w:top w:val="single" w:sz="4" w:space="0" w:color="000000"/>
              <w:left w:val="single" w:sz="4" w:space="0" w:color="000000"/>
              <w:bottom w:val="single" w:sz="4" w:space="0" w:color="000000"/>
              <w:right w:val="single" w:sz="4" w:space="0" w:color="000000"/>
            </w:tcBorders>
          </w:tcPr>
          <w:p>
            <w:pPr/>
          </w:p>
        </w:tc>
        <w:tc>
          <w:tcPr>
            <w:tcW w:w="434"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 w:right="0"/>
              <w:jc w:val="center"/>
              <w:rPr>
                <w:rFonts w:ascii="Times New Roman" w:hAnsi="Times New Roman" w:cs="Times New Roman" w:eastAsia="Times New Roman" w:hint="default"/>
                <w:sz w:val="18"/>
                <w:szCs w:val="18"/>
              </w:rPr>
            </w:pPr>
            <w:r>
              <w:rPr>
                <w:rFonts w:ascii="Times New Roman"/>
                <w:sz w:val="18"/>
              </w:rPr>
              <w:t>4,313,</w:t>
            </w:r>
          </w:p>
          <w:p>
            <w:pPr>
              <w:pStyle w:val="TableParagraph"/>
              <w:spacing w:line="240" w:lineRule="auto" w:before="105"/>
              <w:ind w:left="31" w:right="0"/>
              <w:jc w:val="center"/>
              <w:rPr>
                <w:rFonts w:ascii="Times New Roman" w:hAnsi="Times New Roman" w:cs="Times New Roman" w:eastAsia="Times New Roman" w:hint="default"/>
                <w:sz w:val="18"/>
                <w:szCs w:val="18"/>
              </w:rPr>
            </w:pPr>
            <w:r>
              <w:rPr>
                <w:rFonts w:ascii="Times New Roman"/>
                <w:sz w:val="18"/>
              </w:rPr>
              <w:t>368,23</w:t>
            </w:r>
          </w:p>
          <w:p>
            <w:pPr>
              <w:pStyle w:val="TableParagraph"/>
              <w:spacing w:line="240" w:lineRule="auto" w:before="105"/>
              <w:ind w:left="211" w:right="0"/>
              <w:jc w:val="center"/>
              <w:rPr>
                <w:rFonts w:ascii="Times New Roman" w:hAnsi="Times New Roman" w:cs="Times New Roman" w:eastAsia="Times New Roman" w:hint="default"/>
                <w:sz w:val="18"/>
                <w:szCs w:val="18"/>
              </w:rPr>
            </w:pPr>
            <w:r>
              <w:rPr>
                <w:rFonts w:ascii="Times New Roman"/>
                <w:sz w:val="18"/>
              </w:rPr>
              <w:t>4.61</w:t>
            </w:r>
          </w:p>
        </w:tc>
        <w:tc>
          <w:tcPr>
            <w:tcW w:w="713"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626" w:type="dxa"/>
            <w:tcBorders>
              <w:top w:val="single" w:sz="4" w:space="0" w:color="000000"/>
              <w:left w:val="single" w:sz="4" w:space="0" w:color="000000"/>
              <w:bottom w:val="single" w:sz="4" w:space="0" w:color="000000"/>
              <w:right w:val="single" w:sz="4" w:space="0" w:color="000000"/>
            </w:tcBorders>
          </w:tcPr>
          <w:p>
            <w:pP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37,39</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0,480.</w:t>
            </w:r>
          </w:p>
          <w:p>
            <w:pPr>
              <w:pStyle w:val="TableParagraph"/>
              <w:spacing w:line="240" w:lineRule="auto" w:before="105"/>
              <w:ind w:left="395" w:right="0"/>
              <w:jc w:val="left"/>
              <w:rPr>
                <w:rFonts w:ascii="Times New Roman" w:hAnsi="Times New Roman" w:cs="Times New Roman" w:eastAsia="Times New Roman" w:hint="default"/>
                <w:sz w:val="18"/>
                <w:szCs w:val="18"/>
              </w:rPr>
            </w:pPr>
            <w:r>
              <w:rPr>
                <w:rFonts w:ascii="Times New Roman"/>
                <w:sz w:val="18"/>
              </w:rPr>
              <w:t>30</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-2,183</w:t>
            </w:r>
          </w:p>
          <w:p>
            <w:pPr>
              <w:pStyle w:val="TableParagraph"/>
              <w:spacing w:line="240" w:lineRule="auto" w:before="105"/>
              <w:ind w:left="127" w:right="0"/>
              <w:jc w:val="left"/>
              <w:rPr>
                <w:rFonts w:ascii="Times New Roman" w:hAnsi="Times New Roman" w:cs="Times New Roman" w:eastAsia="Times New Roman" w:hint="default"/>
                <w:sz w:val="18"/>
                <w:szCs w:val="18"/>
              </w:rPr>
            </w:pPr>
            <w:r>
              <w:rPr>
                <w:rFonts w:ascii="Times New Roman"/>
                <w:sz w:val="18"/>
              </w:rPr>
              <w:t>,804,1</w:t>
            </w:r>
          </w:p>
          <w:p>
            <w:pPr>
              <w:pStyle w:val="TableParagraph"/>
              <w:spacing w:line="240" w:lineRule="auto" w:before="105"/>
              <w:ind w:left="173" w:right="0"/>
              <w:jc w:val="left"/>
              <w:rPr>
                <w:rFonts w:ascii="Times New Roman" w:hAnsi="Times New Roman" w:cs="Times New Roman" w:eastAsia="Times New Roman" w:hint="default"/>
                <w:sz w:val="18"/>
                <w:szCs w:val="18"/>
              </w:rPr>
            </w:pPr>
            <w:r>
              <w:rPr>
                <w:rFonts w:ascii="Times New Roman"/>
                <w:sz w:val="18"/>
              </w:rPr>
              <w:t>81.09</w:t>
            </w:r>
          </w:p>
        </w:tc>
        <w:tc>
          <w:tcPr>
            <w:tcW w:w="384"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2,689,73</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1,952.82</w:t>
            </w:r>
          </w:p>
        </w:tc>
      </w:tr>
    </w:tbl>
    <w:p>
      <w:pPr>
        <w:spacing w:line="240" w:lineRule="auto" w:before="1"/>
        <w:rPr>
          <w:rFonts w:ascii="宋体" w:hAnsi="宋体" w:cs="宋体" w:eastAsia="宋体" w:hint="default"/>
          <w:sz w:val="18"/>
          <w:szCs w:val="18"/>
        </w:rPr>
      </w:pPr>
    </w:p>
    <w:p>
      <w:pPr>
        <w:pStyle w:val="Heading2"/>
        <w:spacing w:line="240" w:lineRule="auto" w:before="26"/>
        <w:ind w:right="986"/>
        <w:jc w:val="left"/>
        <w:rPr>
          <w:b w:val="0"/>
          <w:bCs w:val="0"/>
        </w:rPr>
      </w:pPr>
      <w:bookmarkStart w:name="三、公司基本情况" w:id="168"/>
      <w:bookmarkEnd w:id="168"/>
      <w:r>
        <w:rPr>
          <w:b w:val="0"/>
          <w:bCs w:val="0"/>
        </w:rPr>
      </w: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5534"/>
        <w:jc w:val="left"/>
      </w:pPr>
      <w:r>
        <w:rPr/>
        <w:t>公司名称：深圳大通实业股份有限公司 注册地址：深圳市南山区沙河街道恩平街华侨城东部工业区东</w:t>
      </w:r>
      <w:r>
        <w:rPr>
          <w:rFonts w:ascii="宋体" w:hAnsi="宋体" w:cs="宋体" w:eastAsia="宋体" w:hint="default"/>
        </w:rPr>
        <w:t>E4</w:t>
      </w:r>
      <w:r>
        <w:rPr/>
        <w:t>栋</w:t>
      </w:r>
      <w:r>
        <w:rPr>
          <w:spacing w:val="-87"/>
        </w:rPr>
        <w:t> </w:t>
      </w:r>
      <w:r>
        <w:rPr/>
        <w:t>注册资本：</w:t>
      </w:r>
      <w:r>
        <w:rPr>
          <w:rFonts w:ascii="宋体" w:hAnsi="宋体" w:cs="宋体" w:eastAsia="宋体" w:hint="default"/>
        </w:rPr>
        <w:t>522,777,419.00</w:t>
      </w:r>
      <w:r>
        <w:rPr/>
        <w:t>元</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ind w:right="986"/>
        <w:jc w:val="left"/>
      </w:pPr>
      <w:r>
        <w:rPr/>
        <w:t>股本：</w:t>
      </w:r>
      <w:r>
        <w:rPr>
          <w:rFonts w:ascii="宋体" w:hAnsi="宋体" w:cs="宋体" w:eastAsia="宋体" w:hint="default"/>
        </w:rPr>
        <w:t>522,777,419.00</w:t>
      </w:r>
      <w:r>
        <w:rPr/>
        <w:t>元</w:t>
      </w:r>
    </w:p>
    <w:p>
      <w:pPr>
        <w:pStyle w:val="BodyText"/>
        <w:spacing w:line="316" w:lineRule="auto" w:before="77"/>
        <w:ind w:right="7514"/>
        <w:jc w:val="left"/>
      </w:pPr>
      <w:r>
        <w:rPr/>
        <w:t>统一社会信用代码：</w:t>
      </w:r>
      <w:r>
        <w:rPr>
          <w:rFonts w:ascii="宋体" w:hAnsi="宋体" w:cs="宋体" w:eastAsia="宋体" w:hint="default"/>
        </w:rPr>
        <w:t>91440300618850293F </w:t>
      </w:r>
      <w:r>
        <w:rPr/>
        <w:t>董事长：史利军</w:t>
      </w:r>
    </w:p>
    <w:p>
      <w:pPr>
        <w:pStyle w:val="BodyText"/>
        <w:spacing w:line="316" w:lineRule="auto" w:before="19"/>
        <w:ind w:right="1128"/>
        <w:jc w:val="left"/>
      </w:pPr>
      <w:r>
        <w:rPr>
          <w:spacing w:val="-2"/>
        </w:rPr>
        <w:t>经营范围：房地产开发、经营；国内贸易</w:t>
      </w:r>
      <w:r>
        <w:rPr>
          <w:rFonts w:ascii="宋体" w:hAnsi="宋体" w:cs="宋体" w:eastAsia="宋体" w:hint="default"/>
          <w:spacing w:val="-2"/>
        </w:rPr>
        <w:t>(</w:t>
      </w:r>
      <w:r>
        <w:rPr>
          <w:spacing w:val="-2"/>
        </w:rPr>
        <w:t>不含专营、专控、专卖商品</w:t>
      </w:r>
      <w:r>
        <w:rPr>
          <w:rFonts w:ascii="宋体" w:hAnsi="宋体" w:cs="宋体" w:eastAsia="宋体" w:hint="default"/>
          <w:spacing w:val="-2"/>
        </w:rPr>
        <w:t>)</w:t>
      </w:r>
      <w:r>
        <w:rPr>
          <w:spacing w:val="-2"/>
        </w:rPr>
        <w:t>；兴办实业</w:t>
      </w:r>
      <w:r>
        <w:rPr>
          <w:rFonts w:ascii="宋体" w:hAnsi="宋体" w:cs="宋体" w:eastAsia="宋体" w:hint="default"/>
          <w:spacing w:val="-2"/>
        </w:rPr>
        <w:t>(</w:t>
      </w:r>
      <w:r>
        <w:rPr>
          <w:spacing w:val="-2"/>
        </w:rPr>
        <w:t>具体项目另行申报</w:t>
      </w:r>
      <w:r>
        <w:rPr>
          <w:rFonts w:ascii="宋体" w:hAnsi="宋体" w:cs="宋体" w:eastAsia="宋体" w:hint="default"/>
          <w:spacing w:val="-2"/>
        </w:rPr>
        <w:t>)</w:t>
      </w:r>
      <w:r>
        <w:rPr>
          <w:spacing w:val="-2"/>
        </w:rPr>
        <w:t>，计算机领域的技术</w:t>
      </w:r>
      <w:r>
        <w:rPr>
          <w:spacing w:val="-67"/>
        </w:rPr>
        <w:t> </w:t>
      </w:r>
      <w:r>
        <w:rPr>
          <w:spacing w:val="-67"/>
        </w:rPr>
      </w:r>
      <w:r>
        <w:rPr/>
        <w:t>开发、技术转让、技术咨询和技术服务，计算机软硬件开发及销售；经营进出口业务</w:t>
      </w:r>
      <w:r>
        <w:rPr>
          <w:rFonts w:ascii="宋体" w:hAnsi="宋体" w:cs="宋体" w:eastAsia="宋体" w:hint="default"/>
        </w:rPr>
        <w:t>(</w:t>
      </w:r>
      <w:r>
        <w:rPr/>
        <w:t>具体按照深贸管准证字第</w:t>
      </w:r>
      <w:r>
        <w:rPr>
          <w:rFonts w:ascii="宋体" w:hAnsi="宋体" w:cs="宋体" w:eastAsia="宋体" w:hint="default"/>
        </w:rPr>
        <w:t>2003-3670 </w:t>
      </w:r>
      <w:r>
        <w:rPr/>
        <w:t>号资格证书办理</w:t>
      </w:r>
      <w:r>
        <w:rPr>
          <w:rFonts w:ascii="宋体" w:hAnsi="宋体" w:cs="宋体" w:eastAsia="宋体" w:hint="default"/>
        </w:rPr>
        <w:t>)</w:t>
      </w:r>
      <w:r>
        <w:rPr/>
        <w:t>；设计、制作、代理、发布各类广告，电脑图文设计制作，影视策划，企业形象策划，市场营销策划；展 </w:t>
      </w:r>
      <w:r>
        <w:rPr>
          <w:spacing w:val="-5"/>
        </w:rPr>
        <w:t>览展示设计服务，会务服务；文化产业园区的投资</w:t>
      </w:r>
      <w:r>
        <w:rPr>
          <w:rFonts w:ascii="宋体" w:hAnsi="宋体" w:cs="宋体" w:eastAsia="宋体" w:hint="default"/>
          <w:spacing w:val="-5"/>
        </w:rPr>
        <w:t>(</w:t>
      </w:r>
      <w:r>
        <w:rPr>
          <w:spacing w:val="-5"/>
        </w:rPr>
        <w:t>具体项目另行申报</w:t>
      </w:r>
      <w:r>
        <w:rPr>
          <w:rFonts w:ascii="宋体" w:hAnsi="宋体" w:cs="宋体" w:eastAsia="宋体" w:hint="default"/>
          <w:spacing w:val="-5"/>
        </w:rPr>
        <w:t>)</w:t>
      </w:r>
      <w:r>
        <w:rPr>
          <w:spacing w:val="-5"/>
        </w:rPr>
        <w:t>，文化旅游项目的投资</w:t>
      </w:r>
      <w:r>
        <w:rPr>
          <w:rFonts w:ascii="宋体" w:hAnsi="宋体" w:cs="宋体" w:eastAsia="宋体" w:hint="default"/>
          <w:spacing w:val="-5"/>
        </w:rPr>
        <w:t>(</w:t>
      </w:r>
      <w:r>
        <w:rPr>
          <w:spacing w:val="-5"/>
        </w:rPr>
        <w:t>具体项目另行申报</w:t>
      </w:r>
      <w:r>
        <w:rPr>
          <w:rFonts w:ascii="宋体" w:hAnsi="宋体" w:cs="宋体" w:eastAsia="宋体" w:hint="default"/>
          <w:spacing w:val="-5"/>
        </w:rPr>
        <w:t>)</w:t>
      </w:r>
      <w:r>
        <w:rPr>
          <w:spacing w:val="-5"/>
        </w:rPr>
        <w:t>；物联网、</w:t>
      </w:r>
      <w:r>
        <w:rPr>
          <w:spacing w:val="-67"/>
        </w:rPr>
        <w:t> </w:t>
      </w:r>
      <w:r>
        <w:rPr>
          <w:spacing w:val="-67"/>
        </w:rPr>
      </w:r>
      <w:r>
        <w:rPr/>
        <w:t>人工智能的技术研发。</w:t>
      </w:r>
      <w:r>
        <w:rPr>
          <w:rFonts w:ascii="宋体" w:hAnsi="宋体" w:cs="宋体" w:eastAsia="宋体" w:hint="default"/>
        </w:rPr>
        <w:t>(</w:t>
      </w:r>
      <w:r>
        <w:rPr/>
        <w:t>以上项目法律、行政法规、国务院决定禁止的项目除外，限制的项目须取得许可后方可经营</w:t>
      </w:r>
      <w:r>
        <w:rPr>
          <w:rFonts w:ascii="宋体" w:hAnsi="宋体" w:cs="宋体" w:eastAsia="宋体" w:hint="default"/>
        </w:rPr>
        <w:t>)</w:t>
      </w:r>
      <w:r>
        <w:rPr/>
        <w:t>。</w:t>
      </w:r>
      <w:r>
        <w:rPr>
          <w:spacing w:val="-87"/>
        </w:rPr>
        <w:t> </w:t>
      </w:r>
      <w:r>
        <w:rPr/>
        <w:t>深圳大通实业股份有限公司</w:t>
      </w:r>
      <w:r>
        <w:rPr>
          <w:rFonts w:ascii="宋体" w:hAnsi="宋体" w:cs="宋体" w:eastAsia="宋体" w:hint="default"/>
        </w:rPr>
        <w:t>(</w:t>
      </w:r>
      <w:r>
        <w:rPr/>
        <w:t>以下简称本公司或公司</w:t>
      </w:r>
      <w:r>
        <w:rPr>
          <w:rFonts w:ascii="宋体" w:hAnsi="宋体" w:cs="宋体" w:eastAsia="宋体" w:hint="default"/>
        </w:rPr>
        <w:t>)</w:t>
      </w:r>
      <w:r>
        <w:rPr/>
        <w:t>前身为大通实业</w:t>
      </w:r>
      <w:r>
        <w:rPr>
          <w:rFonts w:ascii="宋体" w:hAnsi="宋体" w:cs="宋体" w:eastAsia="宋体" w:hint="default"/>
        </w:rPr>
        <w:t>(</w:t>
      </w:r>
      <w:r>
        <w:rPr/>
        <w:t>深圳</w:t>
      </w:r>
      <w:r>
        <w:rPr>
          <w:rFonts w:ascii="宋体" w:hAnsi="宋体" w:cs="宋体" w:eastAsia="宋体" w:hint="default"/>
        </w:rPr>
        <w:t>)</w:t>
      </w:r>
      <w:r>
        <w:rPr/>
        <w:t>有限公司，系经深圳市人民政府深府外复 </w:t>
      </w:r>
      <w:r>
        <w:rPr>
          <w:rFonts w:ascii="宋体" w:hAnsi="宋体" w:cs="宋体" w:eastAsia="宋体" w:hint="default"/>
        </w:rPr>
        <w:t>(1987)97</w:t>
      </w:r>
      <w:r>
        <w:rPr/>
        <w:t>号文批准，于</w:t>
      </w:r>
      <w:r>
        <w:rPr>
          <w:rFonts w:ascii="宋体" w:hAnsi="宋体" w:cs="宋体" w:eastAsia="宋体" w:hint="default"/>
        </w:rPr>
        <w:t>1987</w:t>
      </w:r>
      <w:r>
        <w:rPr/>
        <w:t>年</w:t>
      </w:r>
      <w:r>
        <w:rPr>
          <w:rFonts w:ascii="宋体" w:hAnsi="宋体" w:cs="宋体" w:eastAsia="宋体" w:hint="default"/>
        </w:rPr>
        <w:t>6</w:t>
      </w:r>
      <w:r>
        <w:rPr/>
        <w:t>月</w:t>
      </w:r>
      <w:r>
        <w:rPr>
          <w:rFonts w:ascii="宋体" w:hAnsi="宋体" w:cs="宋体" w:eastAsia="宋体" w:hint="default"/>
        </w:rPr>
        <w:t>24</w:t>
      </w:r>
      <w:r>
        <w:rPr/>
        <w:t>日由香港益通电子有限公司投资兴办的外商独资企业，注册资本为</w:t>
      </w:r>
      <w:r>
        <w:rPr>
          <w:rFonts w:ascii="宋体" w:hAnsi="宋体" w:cs="宋体" w:eastAsia="宋体" w:hint="default"/>
        </w:rPr>
        <w:t>250</w:t>
      </w:r>
      <w:r>
        <w:rPr/>
        <w:t>万美元。 </w:t>
      </w:r>
      <w:r>
        <w:rPr>
          <w:rFonts w:ascii="宋体" w:hAnsi="宋体" w:cs="宋体" w:eastAsia="宋体" w:hint="default"/>
          <w:spacing w:val="-2"/>
        </w:rPr>
        <w:t>1990</w:t>
      </w:r>
      <w:r>
        <w:rPr>
          <w:spacing w:val="-2"/>
        </w:rPr>
        <w:t>年</w:t>
      </w:r>
      <w:r>
        <w:rPr>
          <w:rFonts w:ascii="宋体" w:hAnsi="宋体" w:cs="宋体" w:eastAsia="宋体" w:hint="default"/>
          <w:spacing w:val="-2"/>
        </w:rPr>
        <w:t>9</w:t>
      </w:r>
      <w:r>
        <w:rPr>
          <w:spacing w:val="-2"/>
        </w:rPr>
        <w:t>月</w:t>
      </w:r>
      <w:r>
        <w:rPr>
          <w:rFonts w:ascii="宋体" w:hAnsi="宋体" w:cs="宋体" w:eastAsia="宋体" w:hint="default"/>
          <w:spacing w:val="-2"/>
        </w:rPr>
        <w:t>26</w:t>
      </w:r>
      <w:r>
        <w:rPr>
          <w:spacing w:val="-2"/>
        </w:rPr>
        <w:t>日，经深圳市人民政府外复</w:t>
      </w:r>
      <w:r>
        <w:rPr>
          <w:rFonts w:ascii="宋体" w:hAnsi="宋体" w:cs="宋体" w:eastAsia="宋体" w:hint="default"/>
          <w:spacing w:val="-2"/>
        </w:rPr>
        <w:t>(1990)686</w:t>
      </w:r>
      <w:r>
        <w:rPr>
          <w:spacing w:val="-2"/>
        </w:rPr>
        <w:t>号文批准，原大通实业</w:t>
      </w:r>
      <w:r>
        <w:rPr>
          <w:rFonts w:ascii="宋体" w:hAnsi="宋体" w:cs="宋体" w:eastAsia="宋体" w:hint="default"/>
          <w:spacing w:val="-2"/>
        </w:rPr>
        <w:t>(</w:t>
      </w:r>
      <w:r>
        <w:rPr>
          <w:spacing w:val="-2"/>
        </w:rPr>
        <w:t>深圳</w:t>
      </w:r>
      <w:r>
        <w:rPr>
          <w:rFonts w:ascii="宋体" w:hAnsi="宋体" w:cs="宋体" w:eastAsia="宋体" w:hint="default"/>
          <w:spacing w:val="-2"/>
        </w:rPr>
        <w:t>)</w:t>
      </w:r>
      <w:r>
        <w:rPr>
          <w:spacing w:val="-2"/>
        </w:rPr>
        <w:t>有限公司进行股份制改组，由广东华侨投资</w:t>
      </w:r>
      <w:r>
        <w:rPr>
          <w:spacing w:val="-56"/>
        </w:rPr>
        <w:t> </w:t>
      </w:r>
      <w:r>
        <w:rPr>
          <w:spacing w:val="-56"/>
        </w:rPr>
      </w:r>
      <w:r>
        <w:rPr>
          <w:spacing w:val="-2"/>
        </w:rPr>
        <w:t>公司、香港益通电子有限公司、深圳新通阳电子元件工业有限公司、运通电子</w:t>
      </w:r>
      <w:r>
        <w:rPr>
          <w:rFonts w:ascii="宋体" w:hAnsi="宋体" w:cs="宋体" w:eastAsia="宋体" w:hint="default"/>
          <w:spacing w:val="-2"/>
        </w:rPr>
        <w:t>(</w:t>
      </w:r>
      <w:r>
        <w:rPr>
          <w:spacing w:val="-2"/>
        </w:rPr>
        <w:t>深圳</w:t>
      </w:r>
      <w:r>
        <w:rPr>
          <w:rFonts w:ascii="宋体" w:hAnsi="宋体" w:cs="宋体" w:eastAsia="宋体" w:hint="default"/>
          <w:spacing w:val="-2"/>
        </w:rPr>
        <w:t>)</w:t>
      </w:r>
      <w:r>
        <w:rPr>
          <w:spacing w:val="-2"/>
        </w:rPr>
        <w:t>实业有限公司、香港威利马电器有限公</w:t>
      </w:r>
      <w:r>
        <w:rPr>
          <w:spacing w:val="-62"/>
        </w:rPr>
        <w:t> </w:t>
      </w:r>
      <w:r>
        <w:rPr>
          <w:spacing w:val="-62"/>
        </w:rPr>
      </w:r>
      <w:r>
        <w:rPr/>
        <w:t>司共同发起设立深圳大通实业股份有限公司，改组后注册资本变更为人民币</w:t>
      </w:r>
      <w:r>
        <w:rPr>
          <w:rFonts w:ascii="宋体" w:hAnsi="宋体" w:cs="宋体" w:eastAsia="宋体" w:hint="default"/>
        </w:rPr>
        <w:t>6,000</w:t>
      </w:r>
      <w:r>
        <w:rPr/>
        <w:t>万元。 </w:t>
      </w:r>
      <w:r>
        <w:rPr>
          <w:rFonts w:ascii="宋体" w:hAnsi="宋体" w:cs="宋体" w:eastAsia="宋体" w:hint="default"/>
        </w:rPr>
        <w:t>1993</w:t>
      </w:r>
      <w:r>
        <w:rPr/>
        <w:t>年</w:t>
      </w:r>
      <w:r>
        <w:rPr>
          <w:rFonts w:ascii="宋体" w:hAnsi="宋体" w:cs="宋体" w:eastAsia="宋体" w:hint="default"/>
        </w:rPr>
        <w:t>11</w:t>
      </w:r>
      <w:r>
        <w:rPr/>
        <w:t>月</w:t>
      </w:r>
      <w:r>
        <w:rPr>
          <w:rFonts w:ascii="宋体" w:hAnsi="宋体" w:cs="宋体" w:eastAsia="宋体" w:hint="default"/>
        </w:rPr>
        <w:t>11</w:t>
      </w:r>
      <w:r>
        <w:rPr/>
        <w:t>日，经深圳市人民政府深府办复</w:t>
      </w:r>
      <w:r>
        <w:rPr>
          <w:rFonts w:ascii="宋体" w:hAnsi="宋体" w:cs="宋体" w:eastAsia="宋体" w:hint="default"/>
        </w:rPr>
        <w:t>(1993)888</w:t>
      </w:r>
      <w:r>
        <w:rPr/>
        <w:t>号文批准，本公司进行公众股份公司改组，并经深圳市证管办深证 </w:t>
      </w:r>
      <w:r>
        <w:rPr>
          <w:spacing w:val="-2"/>
        </w:rPr>
        <w:t>办复</w:t>
      </w:r>
      <w:r>
        <w:rPr>
          <w:rFonts w:ascii="宋体" w:hAnsi="宋体" w:cs="宋体" w:eastAsia="宋体" w:hint="default"/>
          <w:spacing w:val="-2"/>
        </w:rPr>
        <w:t>(1993)147</w:t>
      </w:r>
      <w:r>
        <w:rPr>
          <w:spacing w:val="-2"/>
        </w:rPr>
        <w:t>号文批准，原有股东以其拥有的净资产按每股</w:t>
      </w:r>
      <w:r>
        <w:rPr>
          <w:rFonts w:ascii="宋体" w:hAnsi="宋体" w:cs="宋体" w:eastAsia="宋体" w:hint="default"/>
          <w:spacing w:val="-2"/>
        </w:rPr>
        <w:t>1.40</w:t>
      </w:r>
      <w:r>
        <w:rPr>
          <w:spacing w:val="-2"/>
        </w:rPr>
        <w:t>元的价格折合</w:t>
      </w:r>
      <w:r>
        <w:rPr>
          <w:rFonts w:ascii="宋体" w:hAnsi="宋体" w:cs="宋体" w:eastAsia="宋体" w:hint="default"/>
          <w:spacing w:val="-2"/>
        </w:rPr>
        <w:t>5,640</w:t>
      </w:r>
      <w:r>
        <w:rPr>
          <w:spacing w:val="-2"/>
        </w:rPr>
        <w:t>万股，同时以每股</w:t>
      </w:r>
      <w:r>
        <w:rPr>
          <w:rFonts w:ascii="宋体" w:hAnsi="宋体" w:cs="宋体" w:eastAsia="宋体" w:hint="default"/>
          <w:spacing w:val="-2"/>
        </w:rPr>
        <w:t>3.68</w:t>
      </w:r>
      <w:r>
        <w:rPr>
          <w:spacing w:val="-2"/>
        </w:rPr>
        <w:t>元的价格向境内</w:t>
      </w:r>
      <w:r>
        <w:rPr>
          <w:spacing w:val="-52"/>
        </w:rPr>
        <w:t> </w:t>
      </w:r>
      <w:r>
        <w:rPr>
          <w:spacing w:val="-52"/>
        </w:rPr>
      </w:r>
      <w:r>
        <w:rPr/>
        <w:t>社会公众发行</w:t>
      </w:r>
      <w:r>
        <w:rPr>
          <w:rFonts w:ascii="宋体" w:hAnsi="宋体" w:cs="宋体" w:eastAsia="宋体" w:hint="default"/>
        </w:rPr>
        <w:t>1,000</w:t>
      </w:r>
      <w:r>
        <w:rPr/>
        <w:t>万股，向内部职工发行</w:t>
      </w:r>
      <w:r>
        <w:rPr>
          <w:rFonts w:ascii="宋体" w:hAnsi="宋体" w:cs="宋体" w:eastAsia="宋体" w:hint="default"/>
        </w:rPr>
        <w:t>200</w:t>
      </w:r>
      <w:r>
        <w:rPr/>
        <w:t>万股，总计发行面值</w:t>
      </w:r>
      <w:r>
        <w:rPr>
          <w:rFonts w:ascii="宋体" w:hAnsi="宋体" w:cs="宋体" w:eastAsia="宋体" w:hint="default"/>
        </w:rPr>
        <w:t>1</w:t>
      </w:r>
      <w:r>
        <w:rPr/>
        <w:t>元的人民币普通股</w:t>
      </w:r>
      <w:r>
        <w:rPr>
          <w:rFonts w:ascii="宋体" w:hAnsi="宋体" w:cs="宋体" w:eastAsia="宋体" w:hint="default"/>
        </w:rPr>
        <w:t>6,840</w:t>
      </w:r>
      <w:r>
        <w:rPr/>
        <w:t>万股，总股本为人民币</w:t>
      </w:r>
      <w:r>
        <w:rPr>
          <w:rFonts w:ascii="宋体" w:hAnsi="宋体" w:cs="宋体" w:eastAsia="宋体" w:hint="default"/>
        </w:rPr>
        <w:t>6,840</w:t>
      </w:r>
      <w:r>
        <w:rPr/>
        <w:t>万 元。公司股票于</w:t>
      </w:r>
      <w:r>
        <w:rPr>
          <w:rFonts w:ascii="宋体" w:hAnsi="宋体" w:cs="宋体" w:eastAsia="宋体" w:hint="default"/>
        </w:rPr>
        <w:t>1994</w:t>
      </w:r>
      <w:r>
        <w:rPr/>
        <w:t>年</w:t>
      </w:r>
      <w:r>
        <w:rPr>
          <w:rFonts w:ascii="宋体" w:hAnsi="宋体" w:cs="宋体" w:eastAsia="宋体" w:hint="default"/>
        </w:rPr>
        <w:t>8</w:t>
      </w:r>
      <w:r>
        <w:rPr/>
        <w:t>月</w:t>
      </w:r>
      <w:r>
        <w:rPr>
          <w:rFonts w:ascii="宋体" w:hAnsi="宋体" w:cs="宋体" w:eastAsia="宋体" w:hint="default"/>
        </w:rPr>
        <w:t>8</w:t>
      </w:r>
      <w:r>
        <w:rPr/>
        <w:t>日在深圳证券交易所挂牌交易。 </w:t>
      </w:r>
      <w:r>
        <w:rPr>
          <w:rFonts w:ascii="宋体" w:hAnsi="宋体" w:cs="宋体" w:eastAsia="宋体" w:hint="default"/>
          <w:spacing w:val="-6"/>
        </w:rPr>
        <w:t>1996</w:t>
      </w:r>
      <w:r>
        <w:rPr>
          <w:spacing w:val="-6"/>
        </w:rPr>
        <w:t>年</w:t>
      </w:r>
      <w:r>
        <w:rPr>
          <w:rFonts w:ascii="宋体" w:hAnsi="宋体" w:cs="宋体" w:eastAsia="宋体" w:hint="default"/>
          <w:spacing w:val="-6"/>
        </w:rPr>
        <w:t>9</w:t>
      </w:r>
      <w:r>
        <w:rPr>
          <w:spacing w:val="-6"/>
        </w:rPr>
        <w:t>月，本公司实施配股方案，以每股</w:t>
      </w:r>
      <w:r>
        <w:rPr>
          <w:rFonts w:ascii="宋体" w:hAnsi="宋体" w:cs="宋体" w:eastAsia="宋体" w:hint="default"/>
          <w:spacing w:val="-6"/>
        </w:rPr>
        <w:t>4.50</w:t>
      </w:r>
      <w:r>
        <w:rPr>
          <w:spacing w:val="-6"/>
        </w:rPr>
        <w:t>元的价格向个人股东配售</w:t>
      </w:r>
      <w:r>
        <w:rPr>
          <w:rFonts w:ascii="宋体" w:hAnsi="宋体" w:cs="宋体" w:eastAsia="宋体" w:hint="default"/>
          <w:spacing w:val="-6"/>
        </w:rPr>
        <w:t>360</w:t>
      </w:r>
      <w:r>
        <w:rPr>
          <w:spacing w:val="-6"/>
        </w:rPr>
        <w:t>万股。此次配股后，公司总股本变更为人民币</w:t>
      </w:r>
      <w:r>
        <w:rPr>
          <w:rFonts w:ascii="宋体" w:hAnsi="宋体" w:cs="宋体" w:eastAsia="宋体" w:hint="default"/>
          <w:spacing w:val="-6"/>
        </w:rPr>
        <w:t>7,200</w:t>
      </w:r>
      <w:r>
        <w:rPr>
          <w:rFonts w:ascii="宋体" w:hAnsi="宋体" w:cs="宋体" w:eastAsia="宋体" w:hint="default"/>
          <w:spacing w:val="-64"/>
        </w:rPr>
        <w:t> </w:t>
      </w:r>
      <w:r>
        <w:rPr>
          <w:rFonts w:ascii="宋体" w:hAnsi="宋体" w:cs="宋体" w:eastAsia="宋体" w:hint="default"/>
          <w:spacing w:val="-64"/>
        </w:rPr>
      </w:r>
      <w:r>
        <w:rPr/>
        <w:t>万元。 </w:t>
      </w:r>
      <w:r>
        <w:rPr>
          <w:rFonts w:ascii="宋体" w:hAnsi="宋体" w:cs="宋体" w:eastAsia="宋体" w:hint="default"/>
        </w:rPr>
        <w:t>1996</w:t>
      </w:r>
      <w:r>
        <w:rPr/>
        <w:t>年</w:t>
      </w:r>
      <w:r>
        <w:rPr>
          <w:rFonts w:ascii="宋体" w:hAnsi="宋体" w:cs="宋体" w:eastAsia="宋体" w:hint="default"/>
        </w:rPr>
        <w:t>10</w:t>
      </w:r>
      <w:r>
        <w:rPr/>
        <w:t>月，本公司以</w:t>
      </w:r>
      <w:r>
        <w:rPr>
          <w:rFonts w:ascii="宋体" w:hAnsi="宋体" w:cs="宋体" w:eastAsia="宋体" w:hint="default"/>
        </w:rPr>
        <w:t>1996</w:t>
      </w:r>
      <w:r>
        <w:rPr/>
        <w:t>年</w:t>
      </w:r>
      <w:r>
        <w:rPr>
          <w:rFonts w:ascii="宋体" w:hAnsi="宋体" w:cs="宋体" w:eastAsia="宋体" w:hint="default"/>
        </w:rPr>
        <w:t>9</w:t>
      </w:r>
      <w:r>
        <w:rPr/>
        <w:t>月实施配股前的总股本</w:t>
      </w:r>
      <w:r>
        <w:rPr>
          <w:rFonts w:ascii="宋体" w:hAnsi="宋体" w:cs="宋体" w:eastAsia="宋体" w:hint="default"/>
        </w:rPr>
        <w:t>6,840</w:t>
      </w:r>
      <w:r>
        <w:rPr/>
        <w:t>万股为基数，向全体股东按每</w:t>
      </w:r>
      <w:r>
        <w:rPr>
          <w:rFonts w:ascii="宋体" w:hAnsi="宋体" w:cs="宋体" w:eastAsia="宋体" w:hint="default"/>
        </w:rPr>
        <w:t>10</w:t>
      </w:r>
      <w:r>
        <w:rPr/>
        <w:t>股送</w:t>
      </w:r>
      <w:r>
        <w:rPr>
          <w:rFonts w:ascii="宋体" w:hAnsi="宋体" w:cs="宋体" w:eastAsia="宋体" w:hint="default"/>
        </w:rPr>
        <w:t>0.5</w:t>
      </w:r>
      <w:r>
        <w:rPr/>
        <w:t>股并以资本公积每</w:t>
      </w:r>
      <w:r>
        <w:rPr>
          <w:rFonts w:ascii="宋体" w:hAnsi="宋体" w:cs="宋体" w:eastAsia="宋体" w:hint="default"/>
        </w:rPr>
        <w:t>10</w:t>
      </w:r>
      <w:r>
        <w:rPr/>
        <w:t>股 </w:t>
      </w:r>
      <w:r>
        <w:rPr>
          <w:spacing w:val="-3"/>
        </w:rPr>
        <w:t>转增</w:t>
      </w:r>
      <w:r>
        <w:rPr>
          <w:rFonts w:ascii="宋体" w:hAnsi="宋体" w:cs="宋体" w:eastAsia="宋体" w:hint="default"/>
          <w:spacing w:val="-3"/>
        </w:rPr>
        <w:t>1</w:t>
      </w:r>
      <w:r>
        <w:rPr>
          <w:spacing w:val="-3"/>
        </w:rPr>
        <w:t>股，共计送红股及资本公积转增</w:t>
      </w:r>
      <w:r>
        <w:rPr>
          <w:rFonts w:ascii="宋体" w:hAnsi="宋体" w:cs="宋体" w:eastAsia="宋体" w:hint="default"/>
          <w:spacing w:val="-3"/>
        </w:rPr>
        <w:t>1,026</w:t>
      </w:r>
      <w:r>
        <w:rPr>
          <w:spacing w:val="-3"/>
        </w:rPr>
        <w:t>万股。此次送红股及资本公积转增股本后，公司总股本变更为人民币</w:t>
      </w:r>
      <w:r>
        <w:rPr>
          <w:rFonts w:ascii="宋体" w:hAnsi="宋体" w:cs="宋体" w:eastAsia="宋体" w:hint="default"/>
          <w:spacing w:val="-3"/>
        </w:rPr>
        <w:t>8,226</w:t>
      </w:r>
      <w:r>
        <w:rPr>
          <w:spacing w:val="-3"/>
        </w:rPr>
        <w:t>万元。</w:t>
      </w:r>
      <w:r>
        <w:rPr>
          <w:spacing w:val="-85"/>
        </w:rPr>
        <w:t> </w:t>
      </w:r>
      <w:r>
        <w:rPr>
          <w:spacing w:val="-85"/>
        </w:rPr>
      </w:r>
      <w:r>
        <w:rPr>
          <w:rFonts w:ascii="宋体" w:hAnsi="宋体" w:cs="宋体" w:eastAsia="宋体" w:hint="default"/>
          <w:spacing w:val="-2"/>
        </w:rPr>
        <w:t>1998</w:t>
      </w:r>
      <w:r>
        <w:rPr>
          <w:spacing w:val="-2"/>
        </w:rPr>
        <w:t>年</w:t>
      </w:r>
      <w:r>
        <w:rPr>
          <w:rFonts w:ascii="宋体" w:hAnsi="宋体" w:cs="宋体" w:eastAsia="宋体" w:hint="default"/>
          <w:spacing w:val="-2"/>
        </w:rPr>
        <w:t>6</w:t>
      </w:r>
      <w:r>
        <w:rPr>
          <w:spacing w:val="-2"/>
        </w:rPr>
        <w:t>月，本公司以</w:t>
      </w:r>
      <w:r>
        <w:rPr>
          <w:rFonts w:ascii="宋体" w:hAnsi="宋体" w:cs="宋体" w:eastAsia="宋体" w:hint="default"/>
          <w:spacing w:val="-2"/>
        </w:rPr>
        <w:t>1997</w:t>
      </w:r>
      <w:r>
        <w:rPr>
          <w:spacing w:val="-2"/>
        </w:rPr>
        <w:t>年末总股本</w:t>
      </w:r>
      <w:r>
        <w:rPr>
          <w:rFonts w:ascii="宋体" w:hAnsi="宋体" w:cs="宋体" w:eastAsia="宋体" w:hint="default"/>
          <w:spacing w:val="-2"/>
        </w:rPr>
        <w:t>8,226</w:t>
      </w:r>
      <w:r>
        <w:rPr>
          <w:spacing w:val="-2"/>
        </w:rPr>
        <w:t>万股为基数，向全体股东以资本公积每</w:t>
      </w:r>
      <w:r>
        <w:rPr>
          <w:rFonts w:ascii="宋体" w:hAnsi="宋体" w:cs="宋体" w:eastAsia="宋体" w:hint="default"/>
          <w:spacing w:val="-2"/>
        </w:rPr>
        <w:t>10</w:t>
      </w:r>
      <w:r>
        <w:rPr>
          <w:spacing w:val="-2"/>
        </w:rPr>
        <w:t>股转增</w:t>
      </w:r>
      <w:r>
        <w:rPr>
          <w:rFonts w:ascii="宋体" w:hAnsi="宋体" w:cs="宋体" w:eastAsia="宋体" w:hint="default"/>
          <w:spacing w:val="-2"/>
        </w:rPr>
        <w:t>1</w:t>
      </w:r>
      <w:r>
        <w:rPr>
          <w:spacing w:val="-2"/>
        </w:rPr>
        <w:t>股，共计转增</w:t>
      </w:r>
      <w:r>
        <w:rPr>
          <w:rFonts w:ascii="宋体" w:hAnsi="宋体" w:cs="宋体" w:eastAsia="宋体" w:hint="default"/>
          <w:spacing w:val="-2"/>
        </w:rPr>
        <w:t>822.6</w:t>
      </w:r>
      <w:r>
        <w:rPr>
          <w:spacing w:val="-2"/>
        </w:rPr>
        <w:t>万股。此次</w:t>
      </w:r>
      <w:r>
        <w:rPr>
          <w:spacing w:val="-51"/>
        </w:rPr>
        <w:t> </w:t>
      </w:r>
      <w:r>
        <w:rPr>
          <w:spacing w:val="-51"/>
        </w:rPr>
      </w:r>
      <w:r>
        <w:rPr/>
        <w:t>资本公积转增股本后，公司总股本变更为人民币</w:t>
      </w:r>
      <w:r>
        <w:rPr>
          <w:rFonts w:ascii="宋体" w:hAnsi="宋体" w:cs="宋体" w:eastAsia="宋体" w:hint="default"/>
        </w:rPr>
        <w:t>9,048.6</w:t>
      </w:r>
      <w:r>
        <w:rPr/>
        <w:t>万元。 </w:t>
      </w:r>
      <w:r>
        <w:rPr>
          <w:rFonts w:ascii="宋体" w:hAnsi="宋体" w:cs="宋体" w:eastAsia="宋体" w:hint="default"/>
        </w:rPr>
        <w:t>2009</w:t>
      </w:r>
      <w:r>
        <w:rPr/>
        <w:t>年</w:t>
      </w:r>
      <w:r>
        <w:rPr>
          <w:rFonts w:ascii="宋体" w:hAnsi="宋体" w:cs="宋体" w:eastAsia="宋体" w:hint="default"/>
        </w:rPr>
        <w:t>4</w:t>
      </w:r>
      <w:r>
        <w:rPr/>
        <w:t>月，根据公司</w:t>
      </w:r>
      <w:r>
        <w:rPr>
          <w:rFonts w:ascii="宋体" w:hAnsi="宋体" w:cs="宋体" w:eastAsia="宋体" w:hint="default"/>
        </w:rPr>
        <w:t>2008</w:t>
      </w:r>
      <w:r>
        <w:rPr/>
        <w:t>年第一次临时股东大会审议通过的《资产赠与、资本公积金定向转增股本暨股权分置改革方案的 </w:t>
      </w:r>
      <w:r>
        <w:rPr>
          <w:spacing w:val="-2"/>
        </w:rPr>
        <w:t>议案》，公司以总股本</w:t>
      </w:r>
      <w:r>
        <w:rPr>
          <w:rFonts w:ascii="宋体" w:hAnsi="宋体" w:cs="宋体" w:eastAsia="宋体" w:hint="default"/>
          <w:spacing w:val="-2"/>
        </w:rPr>
        <w:t>9,048.6</w:t>
      </w:r>
      <w:r>
        <w:rPr>
          <w:spacing w:val="-2"/>
        </w:rPr>
        <w:t>万股中的</w:t>
      </w:r>
      <w:r>
        <w:rPr>
          <w:rFonts w:ascii="宋体" w:hAnsi="宋体" w:cs="宋体" w:eastAsia="宋体" w:hint="default"/>
          <w:spacing w:val="-2"/>
        </w:rPr>
        <w:t>1,914</w:t>
      </w:r>
      <w:r>
        <w:rPr>
          <w:spacing w:val="-2"/>
        </w:rPr>
        <w:t>万股流通股为基数，以截至</w:t>
      </w:r>
      <w:r>
        <w:rPr>
          <w:rFonts w:ascii="宋体" w:hAnsi="宋体" w:cs="宋体" w:eastAsia="宋体" w:hint="default"/>
          <w:spacing w:val="-2"/>
        </w:rPr>
        <w:t>2007</w:t>
      </w:r>
      <w:r>
        <w:rPr>
          <w:spacing w:val="-2"/>
        </w:rPr>
        <w:t>年</w:t>
      </w:r>
      <w:r>
        <w:rPr>
          <w:rFonts w:ascii="宋体" w:hAnsi="宋体" w:cs="宋体" w:eastAsia="宋体" w:hint="default"/>
          <w:spacing w:val="-2"/>
        </w:rPr>
        <w:t>11</w:t>
      </w:r>
      <w:r>
        <w:rPr>
          <w:spacing w:val="-2"/>
        </w:rPr>
        <w:t>月</w:t>
      </w:r>
      <w:r>
        <w:rPr>
          <w:rFonts w:ascii="宋体" w:hAnsi="宋体" w:cs="宋体" w:eastAsia="宋体" w:hint="default"/>
          <w:spacing w:val="-2"/>
        </w:rPr>
        <w:t>30</w:t>
      </w:r>
      <w:r>
        <w:rPr>
          <w:spacing w:val="-2"/>
        </w:rPr>
        <w:t>日经审计的资本公积向全体流通股股</w:t>
      </w:r>
      <w:r>
        <w:rPr>
          <w:spacing w:val="-60"/>
        </w:rPr>
        <w:t> </w:t>
      </w:r>
      <w:r>
        <w:rPr>
          <w:spacing w:val="-60"/>
        </w:rPr>
      </w:r>
      <w:r>
        <w:rPr/>
        <w:t>东按每</w:t>
      </w:r>
      <w:r>
        <w:rPr>
          <w:rFonts w:ascii="宋体" w:hAnsi="宋体" w:cs="宋体" w:eastAsia="宋体" w:hint="default"/>
        </w:rPr>
        <w:t>10</w:t>
      </w:r>
      <w:r>
        <w:rPr/>
        <w:t>股定向转增</w:t>
      </w:r>
      <w:r>
        <w:rPr>
          <w:rFonts w:ascii="宋体" w:hAnsi="宋体" w:cs="宋体" w:eastAsia="宋体" w:hint="default"/>
        </w:rPr>
        <w:t>3</w:t>
      </w:r>
      <w:r>
        <w:rPr/>
        <w:t>股，共计转增股本</w:t>
      </w:r>
      <w:r>
        <w:rPr>
          <w:rFonts w:ascii="宋体" w:hAnsi="宋体" w:cs="宋体" w:eastAsia="宋体" w:hint="default"/>
        </w:rPr>
        <w:t>5,741,998</w:t>
      </w:r>
      <w:r>
        <w:rPr/>
        <w:t>股。此次资本公积转增股本后，公司总股本变更为人民币</w:t>
      </w:r>
      <w:r>
        <w:rPr>
          <w:rFonts w:ascii="宋体" w:hAnsi="宋体" w:cs="宋体" w:eastAsia="宋体" w:hint="default"/>
        </w:rPr>
        <w:t>96,227,998.00 </w:t>
      </w:r>
      <w:r>
        <w:rPr/>
        <w:t>元。 </w:t>
      </w:r>
      <w:r>
        <w:rPr>
          <w:spacing w:val="-2"/>
        </w:rPr>
        <w:t>经中国证券监督管理委员会</w:t>
      </w:r>
      <w:r>
        <w:rPr>
          <w:rFonts w:ascii="宋体" w:hAnsi="宋体" w:cs="宋体" w:eastAsia="宋体" w:hint="default"/>
          <w:spacing w:val="-2"/>
        </w:rPr>
        <w:t>(</w:t>
      </w:r>
      <w:r>
        <w:rPr>
          <w:spacing w:val="-2"/>
        </w:rPr>
        <w:t>以下简称中国证监会</w:t>
      </w:r>
      <w:r>
        <w:rPr>
          <w:rFonts w:ascii="宋体" w:hAnsi="宋体" w:cs="宋体" w:eastAsia="宋体" w:hint="default"/>
          <w:spacing w:val="-2"/>
        </w:rPr>
        <w:t>)</w:t>
      </w:r>
      <w:r>
        <w:rPr>
          <w:spacing w:val="-2"/>
        </w:rPr>
        <w:t>于</w:t>
      </w:r>
      <w:r>
        <w:rPr>
          <w:rFonts w:ascii="宋体" w:hAnsi="宋体" w:cs="宋体" w:eastAsia="宋体" w:hint="default"/>
          <w:spacing w:val="-2"/>
        </w:rPr>
        <w:t>2015</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16</w:t>
      </w:r>
      <w:r>
        <w:rPr>
          <w:spacing w:val="-2"/>
        </w:rPr>
        <w:t>日以证监许可</w:t>
      </w:r>
      <w:r>
        <w:rPr>
          <w:rFonts w:ascii="宋体" w:hAnsi="宋体" w:cs="宋体" w:eastAsia="宋体" w:hint="default"/>
          <w:spacing w:val="-2"/>
        </w:rPr>
        <w:t>[2015]2944</w:t>
      </w:r>
      <w:r>
        <w:rPr>
          <w:spacing w:val="-2"/>
        </w:rPr>
        <w:t>号《关于核准深圳大通实业股份</w:t>
      </w:r>
      <w:r>
        <w:rPr>
          <w:spacing w:val="-50"/>
        </w:rPr>
        <w:t> </w:t>
      </w:r>
      <w:r>
        <w:rPr>
          <w:spacing w:val="-50"/>
        </w:rPr>
      </w:r>
      <w:r>
        <w:rPr>
          <w:spacing w:val="-4"/>
        </w:rPr>
        <w:t>有限公司向曹林芳等发行股份购买资产并募集配套资金的批复》，本公司于</w:t>
      </w:r>
      <w:r>
        <w:rPr>
          <w:rFonts w:ascii="宋体" w:hAnsi="宋体" w:cs="宋体" w:eastAsia="宋体" w:hint="default"/>
          <w:spacing w:val="-4"/>
        </w:rPr>
        <w:t>2016</w:t>
      </w:r>
      <w:r>
        <w:rPr>
          <w:spacing w:val="-4"/>
        </w:rPr>
        <w:t>年</w:t>
      </w:r>
      <w:r>
        <w:rPr>
          <w:rFonts w:ascii="宋体" w:hAnsi="宋体" w:cs="宋体" w:eastAsia="宋体" w:hint="default"/>
          <w:spacing w:val="-4"/>
        </w:rPr>
        <w:t>1</w:t>
      </w:r>
      <w:r>
        <w:rPr>
          <w:spacing w:val="-4"/>
        </w:rPr>
        <w:t>月通过发行股份及支付现金的方式，购买</w:t>
      </w:r>
      <w:r>
        <w:rPr>
          <w:spacing w:val="-36"/>
        </w:rPr>
        <w:t> </w:t>
      </w:r>
      <w:r>
        <w:rPr>
          <w:spacing w:val="-36"/>
        </w:rPr>
      </w:r>
      <w:r>
        <w:rPr/>
        <w:t>曹林芳、李勇、莫清雅等</w:t>
      </w:r>
      <w:r>
        <w:rPr>
          <w:rFonts w:ascii="宋体" w:hAnsi="宋体" w:cs="宋体" w:eastAsia="宋体" w:hint="default"/>
        </w:rPr>
        <w:t>3</w:t>
      </w:r>
      <w:r>
        <w:rPr/>
        <w:t>名股东合计持有的冉十科技</w:t>
      </w:r>
      <w:r>
        <w:rPr>
          <w:rFonts w:ascii="宋体" w:hAnsi="宋体" w:cs="宋体" w:eastAsia="宋体" w:hint="default"/>
        </w:rPr>
        <w:t>(</w:t>
      </w:r>
      <w:r>
        <w:rPr/>
        <w:t>北京</w:t>
      </w:r>
      <w:r>
        <w:rPr>
          <w:rFonts w:ascii="宋体" w:hAnsi="宋体" w:cs="宋体" w:eastAsia="宋体" w:hint="default"/>
        </w:rPr>
        <w:t>)</w:t>
      </w:r>
      <w:r>
        <w:rPr/>
        <w:t>有限公司</w:t>
      </w:r>
      <w:r>
        <w:rPr>
          <w:rFonts w:ascii="宋体" w:hAnsi="宋体" w:cs="宋体" w:eastAsia="宋体" w:hint="default"/>
        </w:rPr>
        <w:t>(</w:t>
      </w:r>
      <w:r>
        <w:rPr/>
        <w:t>以下简称冉十科技</w:t>
      </w:r>
      <w:r>
        <w:rPr>
          <w:rFonts w:ascii="宋体" w:hAnsi="宋体" w:cs="宋体" w:eastAsia="宋体" w:hint="default"/>
        </w:rPr>
        <w:t>)100%</w:t>
      </w:r>
      <w:r>
        <w:rPr/>
        <w:t>股权和夏东明、朱兰英、罗</w:t>
      </w:r>
      <w:r>
        <w:rPr>
          <w:spacing w:val="-87"/>
        </w:rPr>
        <w:t> </w:t>
      </w:r>
      <w:r>
        <w:rPr>
          <w:spacing w:val="-5"/>
        </w:rPr>
        <w:t>承、修涞贵、蒋纪平、黄艳红、龚莉蓉及宁波华夏嘉源管理咨询有限公司等</w:t>
      </w:r>
      <w:r>
        <w:rPr>
          <w:rFonts w:ascii="宋体" w:hAnsi="宋体" w:cs="宋体" w:eastAsia="宋体" w:hint="default"/>
          <w:spacing w:val="-5"/>
        </w:rPr>
        <w:t>8</w:t>
      </w:r>
      <w:r>
        <w:rPr>
          <w:spacing w:val="-5"/>
        </w:rPr>
        <w:t>名股东合计持有的浙江视科文化传播有限公司</w:t>
      </w:r>
      <w:r>
        <w:rPr>
          <w:rFonts w:ascii="宋体" w:hAnsi="宋体" w:cs="宋体" w:eastAsia="宋体" w:hint="default"/>
          <w:spacing w:val="-5"/>
        </w:rPr>
        <w:t>(</w:t>
      </w:r>
      <w:r>
        <w:rPr>
          <w:spacing w:val="-5"/>
        </w:rPr>
        <w:t>以</w:t>
      </w:r>
      <w:r>
        <w:rPr>
          <w:spacing w:val="-70"/>
        </w:rPr>
        <w:t> </w:t>
      </w:r>
      <w:r>
        <w:rPr/>
        <w:t>下简称视科传媒</w:t>
      </w:r>
      <w:r>
        <w:rPr>
          <w:rFonts w:ascii="宋体" w:hAnsi="宋体" w:cs="宋体" w:eastAsia="宋体" w:hint="default"/>
        </w:rPr>
        <w:t>)100%</w:t>
      </w:r>
      <w:r>
        <w:rPr/>
        <w:t>股权，此次交易共计发行股份</w:t>
      </w:r>
      <w:r>
        <w:rPr>
          <w:rFonts w:ascii="宋体" w:hAnsi="宋体" w:cs="宋体" w:eastAsia="宋体" w:hint="default"/>
        </w:rPr>
        <w:t>95,836,003</w:t>
      </w:r>
      <w:r>
        <w:rPr/>
        <w:t>股，每股发行价格</w:t>
      </w:r>
      <w:r>
        <w:rPr>
          <w:rFonts w:ascii="宋体" w:hAnsi="宋体" w:cs="宋体" w:eastAsia="宋体" w:hint="default"/>
        </w:rPr>
        <w:t>20.42</w:t>
      </w:r>
      <w:r>
        <w:rPr/>
        <w:t>元。公司于</w:t>
      </w:r>
      <w:r>
        <w:rPr>
          <w:rFonts w:ascii="宋体" w:hAnsi="宋体" w:cs="宋体" w:eastAsia="宋体" w:hint="default"/>
        </w:rPr>
        <w:t>2016</w:t>
      </w:r>
      <w:r>
        <w:rPr/>
        <w:t>年</w:t>
      </w:r>
      <w:r>
        <w:rPr>
          <w:rFonts w:ascii="宋体" w:hAnsi="宋体" w:cs="宋体" w:eastAsia="宋体" w:hint="default"/>
        </w:rPr>
        <w:t>6</w:t>
      </w:r>
      <w:r>
        <w:rPr/>
        <w:t>月向姜剑、朱兰 英等</w:t>
      </w:r>
      <w:r>
        <w:rPr>
          <w:rFonts w:ascii="宋体" w:hAnsi="宋体" w:cs="宋体" w:eastAsia="宋体" w:hint="default"/>
        </w:rPr>
        <w:t>8</w:t>
      </w:r>
      <w:r>
        <w:rPr/>
        <w:t>名特定投资者非公开发行</w:t>
      </w:r>
      <w:r>
        <w:rPr>
          <w:rFonts w:ascii="宋体" w:hAnsi="宋体" w:cs="宋体" w:eastAsia="宋体" w:hint="default"/>
        </w:rPr>
        <w:t>134,671,886</w:t>
      </w:r>
      <w:r>
        <w:rPr/>
        <w:t>股股份，每股发行价格</w:t>
      </w:r>
      <w:r>
        <w:rPr>
          <w:rFonts w:ascii="宋体" w:hAnsi="宋体" w:cs="宋体" w:eastAsia="宋体" w:hint="default"/>
        </w:rPr>
        <w:t>20.42</w:t>
      </w:r>
      <w:r>
        <w:rPr/>
        <w:t>元，共计募集资金人民币</w:t>
      </w:r>
      <w:r>
        <w:rPr>
          <w:rFonts w:ascii="宋体" w:hAnsi="宋体" w:cs="宋体" w:eastAsia="宋体" w:hint="default"/>
        </w:rPr>
        <w:t>2,749,999,912.12</w:t>
      </w:r>
      <w:r>
        <w:rPr/>
        <w:t>元。此 次购买资产及募集配套资金发行股份完成后，公司总股本变更为人民币</w:t>
      </w:r>
      <w:r>
        <w:rPr>
          <w:rFonts w:ascii="宋体" w:hAnsi="宋体" w:cs="宋体" w:eastAsia="宋体" w:hint="default"/>
        </w:rPr>
        <w:t>326,735,887.00</w:t>
      </w:r>
      <w:r>
        <w:rPr/>
        <w:t>元。</w:t>
      </w:r>
      <w:r>
        <w:rPr>
          <w:spacing w:val="-3"/>
        </w:rPr>
        <w:t> </w:t>
      </w:r>
      <w:r>
        <w:rPr>
          <w:rFonts w:ascii="宋体" w:hAnsi="宋体" w:cs="宋体" w:eastAsia="宋体" w:hint="default"/>
          <w:spacing w:val="-2"/>
        </w:rPr>
        <w:t>2017</w:t>
      </w:r>
      <w:r>
        <w:rPr>
          <w:spacing w:val="-2"/>
        </w:rPr>
        <w:t>年</w:t>
      </w:r>
      <w:r>
        <w:rPr>
          <w:rFonts w:ascii="宋体" w:hAnsi="宋体" w:cs="宋体" w:eastAsia="宋体" w:hint="default"/>
          <w:spacing w:val="-2"/>
        </w:rPr>
        <w:t>7</w:t>
      </w:r>
      <w:r>
        <w:rPr>
          <w:spacing w:val="-2"/>
        </w:rPr>
        <w:t>月，本公司以</w:t>
      </w:r>
      <w:r>
        <w:rPr>
          <w:rFonts w:ascii="宋体" w:hAnsi="宋体" w:cs="宋体" w:eastAsia="宋体" w:hint="default"/>
          <w:spacing w:val="-2"/>
        </w:rPr>
        <w:t>2016</w:t>
      </w:r>
      <w:r>
        <w:rPr>
          <w:spacing w:val="-2"/>
        </w:rPr>
        <w:t>年末总股本</w:t>
      </w:r>
      <w:r>
        <w:rPr>
          <w:rFonts w:ascii="宋体" w:hAnsi="宋体" w:cs="宋体" w:eastAsia="宋体" w:hint="default"/>
          <w:spacing w:val="-2"/>
        </w:rPr>
        <w:t>326,735,887</w:t>
      </w:r>
      <w:r>
        <w:rPr>
          <w:spacing w:val="-2"/>
        </w:rPr>
        <w:t>股为基数，向全体股东以资本公积每</w:t>
      </w:r>
      <w:r>
        <w:rPr>
          <w:rFonts w:ascii="宋体" w:hAnsi="宋体" w:cs="宋体" w:eastAsia="宋体" w:hint="default"/>
          <w:spacing w:val="-2"/>
        </w:rPr>
        <w:t>10</w:t>
      </w:r>
      <w:r>
        <w:rPr>
          <w:spacing w:val="-2"/>
        </w:rPr>
        <w:t>股转增</w:t>
      </w:r>
      <w:r>
        <w:rPr>
          <w:rFonts w:ascii="宋体" w:hAnsi="宋体" w:cs="宋体" w:eastAsia="宋体" w:hint="default"/>
          <w:spacing w:val="-2"/>
        </w:rPr>
        <w:t>6</w:t>
      </w:r>
      <w:r>
        <w:rPr>
          <w:spacing w:val="-2"/>
        </w:rPr>
        <w:t>股，共计转增</w:t>
      </w:r>
      <w:r>
        <w:rPr>
          <w:rFonts w:ascii="宋体" w:hAnsi="宋体" w:cs="宋体" w:eastAsia="宋体" w:hint="default"/>
          <w:spacing w:val="-2"/>
        </w:rPr>
        <w:t>196,041,532</w:t>
      </w:r>
      <w:r>
        <w:rPr>
          <w:rFonts w:ascii="宋体" w:hAnsi="宋体" w:cs="宋体" w:eastAsia="宋体" w:hint="default"/>
          <w:spacing w:val="-50"/>
        </w:rPr>
        <w:t> </w:t>
      </w:r>
      <w:r>
        <w:rPr>
          <w:rFonts w:ascii="宋体" w:hAnsi="宋体" w:cs="宋体" w:eastAsia="宋体" w:hint="default"/>
          <w:spacing w:val="-50"/>
        </w:rPr>
      </w:r>
      <w:r>
        <w:rPr/>
        <w:t>股。此次资本公积转增股本后，公司总股本变更为人民币</w:t>
      </w:r>
      <w:r>
        <w:rPr>
          <w:rFonts w:ascii="宋体" w:hAnsi="宋体" w:cs="宋体" w:eastAsia="宋体" w:hint="default"/>
        </w:rPr>
        <w:t>522,777,419.00</w:t>
      </w:r>
      <w:r>
        <w:rPr/>
        <w:t>元。 截止</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日，公司总股本为</w:t>
      </w:r>
      <w:r>
        <w:rPr>
          <w:rFonts w:ascii="宋体" w:hAnsi="宋体" w:cs="宋体" w:eastAsia="宋体" w:hint="default"/>
        </w:rPr>
        <w:t>522,777,419</w:t>
      </w:r>
      <w:r>
        <w:rPr/>
        <w:t>股，其中有限售条件的流通股份</w:t>
      </w:r>
      <w:r>
        <w:rPr>
          <w:rFonts w:ascii="宋体" w:hAnsi="宋体" w:cs="宋体" w:eastAsia="宋体" w:hint="default"/>
        </w:rPr>
        <w:t>A</w:t>
      </w:r>
      <w:r>
        <w:rPr/>
        <w:t>股</w:t>
      </w:r>
      <w:r>
        <w:rPr>
          <w:rFonts w:ascii="宋体" w:hAnsi="宋体" w:cs="宋体" w:eastAsia="宋体" w:hint="default"/>
        </w:rPr>
        <w:t>290,700,622</w:t>
      </w:r>
      <w:r>
        <w:rPr/>
        <w:t>股；无限售条件的流通股 份</w:t>
      </w:r>
      <w:r>
        <w:rPr>
          <w:rFonts w:ascii="宋体" w:hAnsi="宋体" w:cs="宋体" w:eastAsia="宋体" w:hint="default"/>
        </w:rPr>
        <w:t>A</w:t>
      </w:r>
      <w:r>
        <w:rPr/>
        <w:t>股</w:t>
      </w:r>
      <w:r>
        <w:rPr>
          <w:rFonts w:ascii="宋体" w:hAnsi="宋体" w:cs="宋体" w:eastAsia="宋体" w:hint="default"/>
        </w:rPr>
        <w:t>232,076,797</w:t>
      </w:r>
      <w:r>
        <w:rPr/>
        <w:t>股。</w:t>
      </w:r>
    </w:p>
    <w:p>
      <w:pPr>
        <w:pStyle w:val="BodyText"/>
        <w:spacing w:line="316" w:lineRule="auto" w:before="19"/>
        <w:ind w:right="1129"/>
        <w:jc w:val="left"/>
      </w:pPr>
      <w:r>
        <w:rPr>
          <w:spacing w:val="-2"/>
        </w:rPr>
        <w:t>本公司的基本组织架构：根据国家法律法规和公司章程的规定，建立了由股东大会、董事会、监事会及经营管理层组成的规</w:t>
      </w:r>
      <w:r>
        <w:rPr>
          <w:spacing w:val="-64"/>
        </w:rPr>
        <w:t> </w:t>
      </w:r>
      <w:r>
        <w:rPr>
          <w:spacing w:val="-64"/>
        </w:rPr>
      </w:r>
      <w:r>
        <w:rPr>
          <w:spacing w:val="-2"/>
        </w:rPr>
        <w:t>范的多层次治理结构；董事会下设战略委员会、审计委员会、薪酬与考核委员会、提名委员会等四个专门委员会。公司下设</w:t>
      </w:r>
      <w:r>
        <w:rPr>
          <w:spacing w:val="-67"/>
        </w:rPr>
        <w:t> </w:t>
      </w:r>
      <w:r>
        <w:rPr>
          <w:spacing w:val="-67"/>
        </w:rPr>
      </w:r>
      <w:r>
        <w:rPr>
          <w:spacing w:val="-5"/>
        </w:rPr>
        <w:t>创投中心、区块链中心、战略运营部、信用审查部、人力行政部、法律事务部、技术中心、财务部、投融资部、证券事务部、</w:t>
      </w:r>
      <w:r>
        <w:rPr>
          <w:spacing w:val="-76"/>
        </w:rPr>
        <w:t> </w:t>
      </w:r>
      <w:r>
        <w:rPr>
          <w:spacing w:val="-76"/>
        </w:rPr>
      </w:r>
      <w:r>
        <w:rPr/>
        <w:t>投资者关系部、审计监察部等主要职能部门。 公司主要业务为新媒体传媒运营、广告发布和供应链管理业务、租赁和商业保理业务，所属行业为商务服务业。 本财务报表及财务报表附注已于</w:t>
      </w:r>
      <w:r>
        <w:rPr>
          <w:rFonts w:ascii="宋体" w:hAnsi="宋体" w:cs="宋体" w:eastAsia="宋体" w:hint="default"/>
        </w:rPr>
        <w:t>2020</w:t>
      </w:r>
      <w:r>
        <w:rPr/>
        <w:t>年</w:t>
      </w:r>
      <w:r>
        <w:rPr>
          <w:rFonts w:ascii="宋体" w:hAnsi="宋体" w:cs="宋体" w:eastAsia="宋体" w:hint="default"/>
        </w:rPr>
        <w:t>04</w:t>
      </w:r>
      <w:r>
        <w:rPr/>
        <w:t>月</w:t>
      </w:r>
      <w:r>
        <w:rPr>
          <w:rFonts w:ascii="宋体" w:hAnsi="宋体" w:cs="宋体" w:eastAsia="宋体" w:hint="default"/>
        </w:rPr>
        <w:t>22</w:t>
      </w:r>
      <w:r>
        <w:rPr/>
        <w:t>日经公司第十届董事会第五次会议批准对外报出。</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ind w:right="1127"/>
        <w:jc w:val="left"/>
      </w:pPr>
      <w:r>
        <w:rPr/>
        <w:t>本公司</w:t>
      </w:r>
      <w:r>
        <w:rPr>
          <w:rFonts w:ascii="宋体" w:hAnsi="宋体" w:cs="宋体" w:eastAsia="宋体" w:hint="default"/>
          <w:spacing w:val="1"/>
        </w:rPr>
        <w:t>20</w:t>
      </w:r>
      <w:r>
        <w:rPr>
          <w:rFonts w:ascii="宋体" w:hAnsi="宋体" w:cs="宋体" w:eastAsia="宋体" w:hint="default"/>
          <w:spacing w:val="-2"/>
        </w:rPr>
        <w:t>1</w:t>
      </w:r>
      <w:r>
        <w:rPr>
          <w:rFonts w:ascii="宋体" w:hAnsi="宋体" w:cs="宋体" w:eastAsia="宋体" w:hint="default"/>
          <w:spacing w:val="1"/>
        </w:rPr>
        <w:t>9</w:t>
      </w:r>
      <w:r>
        <w:rPr/>
        <w:t>年度纳入合并范</w:t>
      </w:r>
      <w:r>
        <w:rPr>
          <w:spacing w:val="-3"/>
        </w:rPr>
        <w:t>围</w:t>
      </w:r>
      <w:r>
        <w:rPr/>
        <w:t>的子公司共</w:t>
      </w:r>
      <w:r>
        <w:rPr>
          <w:rFonts w:ascii="宋体" w:hAnsi="宋体" w:cs="宋体" w:eastAsia="宋体" w:hint="default"/>
          <w:spacing w:val="1"/>
        </w:rPr>
        <w:t>20</w:t>
      </w:r>
      <w:r>
        <w:rPr/>
        <w:t>家，详见本附</w:t>
      </w:r>
      <w:r>
        <w:rPr>
          <w:spacing w:val="-3"/>
        </w:rPr>
        <w:t>注</w:t>
      </w:r>
      <w:r>
        <w:rPr/>
        <w:t>九“在其他主体中的权益</w:t>
      </w:r>
      <w:r>
        <w:rPr>
          <w:spacing w:val="-92"/>
        </w:rPr>
        <w:t>”</w:t>
      </w:r>
      <w:r>
        <w:rPr/>
        <w:t>。</w:t>
      </w:r>
      <w:r>
        <w:rPr>
          <w:spacing w:val="2"/>
        </w:rPr>
        <w:t>与</w:t>
      </w:r>
      <w:r>
        <w:rPr/>
        <w:t>上年度相比，本公司本年度合并</w:t>
      </w:r>
      <w:r>
        <w:rPr/>
        <w:t> 范围增加</w:t>
      </w:r>
      <w:r>
        <w:rPr>
          <w:rFonts w:ascii="宋体" w:hAnsi="宋体" w:cs="宋体" w:eastAsia="宋体" w:hint="default"/>
          <w:spacing w:val="1"/>
        </w:rPr>
        <w:t>6</w:t>
      </w:r>
      <w:r>
        <w:rPr/>
        <w:t>家，减</w:t>
      </w:r>
      <w:r>
        <w:rPr>
          <w:spacing w:val="-1"/>
        </w:rPr>
        <w:t>少</w:t>
      </w:r>
      <w:r>
        <w:rPr>
          <w:rFonts w:ascii="宋体" w:hAnsi="宋体" w:cs="宋体" w:eastAsia="宋体" w:hint="default"/>
          <w:spacing w:val="1"/>
        </w:rPr>
        <w:t>11</w:t>
      </w:r>
      <w:r>
        <w:rPr>
          <w:spacing w:val="-3"/>
        </w:rPr>
        <w:t>家</w:t>
      </w:r>
      <w:r>
        <w:rPr>
          <w:rFonts w:ascii="宋体" w:hAnsi="宋体" w:cs="宋体" w:eastAsia="宋体" w:hint="default"/>
          <w:spacing w:val="1"/>
        </w:rPr>
        <w:t>,</w:t>
      </w:r>
      <w:r>
        <w:rPr/>
        <w:t>详</w:t>
      </w:r>
      <w:r>
        <w:rPr>
          <w:spacing w:val="-3"/>
        </w:rPr>
        <w:t>见</w:t>
      </w:r>
      <w:r>
        <w:rPr/>
        <w:t>本附注八“合并范围的变更</w:t>
      </w:r>
      <w:r>
        <w:rPr>
          <w:spacing w:val="-92"/>
        </w:rPr>
        <w:t>”</w:t>
      </w:r>
      <w:r>
        <w:rPr/>
        <w:t>。</w:t>
      </w:r>
    </w:p>
    <w:p>
      <w:pPr>
        <w:spacing w:line="240" w:lineRule="auto" w:before="9"/>
        <w:rPr>
          <w:rFonts w:ascii="宋体" w:hAnsi="宋体" w:cs="宋体" w:eastAsia="宋体" w:hint="default"/>
          <w:sz w:val="20"/>
          <w:szCs w:val="20"/>
        </w:rPr>
      </w:pPr>
    </w:p>
    <w:p>
      <w:pPr>
        <w:pStyle w:val="Heading2"/>
        <w:spacing w:line="240" w:lineRule="auto"/>
        <w:ind w:right="986"/>
        <w:jc w:val="left"/>
        <w:rPr>
          <w:b w:val="0"/>
          <w:bCs w:val="0"/>
        </w:rPr>
      </w:pPr>
      <w:bookmarkStart w:name="四、财务报表的编制基础" w:id="169"/>
      <w:bookmarkEnd w:id="169"/>
      <w:r>
        <w:rPr>
          <w:b w:val="0"/>
          <w:bCs w:val="0"/>
        </w:rPr>
      </w:r>
      <w:r>
        <w:rPr/>
        <w:t>四、财务报表的编制基础</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编制基础" w:id="170"/>
      <w:bookmarkEnd w:id="170"/>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29"/>
        <w:jc w:val="both"/>
      </w:pPr>
      <w:r>
        <w:rPr>
          <w:spacing w:val="-2"/>
        </w:rPr>
        <w:t>本公司以持续经营为基础，根据实际发生的交易和事项，按照财政部颁布的《企业会计准则——基本准则》和各项具体会计</w:t>
      </w:r>
      <w:r>
        <w:rPr>
          <w:spacing w:val="-63"/>
        </w:rPr>
        <w:t> </w:t>
      </w:r>
      <w:r>
        <w:rPr>
          <w:spacing w:val="-63"/>
        </w:rPr>
      </w:r>
      <w:r>
        <w:rPr>
          <w:spacing w:val="-2"/>
        </w:rPr>
        <w:t>准则、企业会计准则应用指南、企业会计准则解释及其他相关规定</w:t>
      </w:r>
      <w:r>
        <w:rPr>
          <w:rFonts w:ascii="宋体" w:hAnsi="宋体" w:cs="宋体" w:eastAsia="宋体" w:hint="default"/>
          <w:spacing w:val="-2"/>
        </w:rPr>
        <w:t>(</w:t>
      </w:r>
      <w:r>
        <w:rPr>
          <w:spacing w:val="-2"/>
        </w:rPr>
        <w:t>以下合称“企业会计准则”</w:t>
      </w:r>
      <w:r>
        <w:rPr>
          <w:rFonts w:ascii="宋体" w:hAnsi="宋体" w:cs="宋体" w:eastAsia="宋体" w:hint="default"/>
          <w:spacing w:val="-2"/>
        </w:rPr>
        <w:t>)</w:t>
      </w:r>
      <w:r>
        <w:rPr>
          <w:spacing w:val="-2"/>
        </w:rPr>
        <w:t>，以及中国证券监督管理委</w:t>
      </w:r>
      <w:r>
        <w:rPr>
          <w:spacing w:val="-62"/>
        </w:rPr>
        <w:t> </w:t>
      </w:r>
      <w:r>
        <w:rPr>
          <w:spacing w:val="-62"/>
        </w:rPr>
      </w:r>
      <w:r>
        <w:rPr/>
        <w:t>员会《公开发行证券的公司信息披露编报规则第</w:t>
      </w:r>
      <w:r>
        <w:rPr>
          <w:rFonts w:ascii="宋体" w:hAnsi="宋体" w:cs="宋体" w:eastAsia="宋体" w:hint="default"/>
        </w:rPr>
        <w:t>15</w:t>
      </w:r>
      <w:r>
        <w:rPr/>
        <w:t>号——财务报告的一般规定》</w:t>
      </w:r>
      <w:r>
        <w:rPr>
          <w:rFonts w:ascii="宋体" w:hAnsi="宋体" w:cs="宋体" w:eastAsia="宋体" w:hint="default"/>
        </w:rPr>
        <w:t>(2014</w:t>
      </w:r>
      <w:r>
        <w:rPr/>
        <w:t>年修订</w:t>
      </w:r>
      <w:r>
        <w:rPr>
          <w:rFonts w:ascii="宋体" w:hAnsi="宋体" w:cs="宋体" w:eastAsia="宋体" w:hint="default"/>
        </w:rPr>
        <w:t>)</w:t>
      </w:r>
      <w:r>
        <w:rPr/>
        <w:t>的披露规定编制财务报表。</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2、持续经营" w:id="171"/>
      <w:bookmarkEnd w:id="171"/>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本公司不存在导致对报告期末起</w:t>
      </w:r>
      <w:r>
        <w:rPr>
          <w:rFonts w:ascii="宋体" w:hAnsi="宋体" w:cs="宋体" w:eastAsia="宋体" w:hint="default"/>
        </w:rPr>
        <w:t>12</w:t>
      </w:r>
      <w:r>
        <w:rPr/>
        <w:t>个月内的持续经营假设产生重大疑虑的事项或情况。</w:t>
      </w:r>
    </w:p>
    <w:p>
      <w:pPr>
        <w:spacing w:line="240" w:lineRule="auto" w:before="3"/>
        <w:rPr>
          <w:rFonts w:ascii="宋体" w:hAnsi="宋体" w:cs="宋体" w:eastAsia="宋体" w:hint="default"/>
          <w:sz w:val="25"/>
          <w:szCs w:val="25"/>
        </w:rPr>
      </w:pPr>
    </w:p>
    <w:p>
      <w:pPr>
        <w:pStyle w:val="Heading2"/>
        <w:spacing w:line="240" w:lineRule="auto"/>
        <w:ind w:right="986"/>
        <w:jc w:val="left"/>
        <w:rPr>
          <w:b w:val="0"/>
          <w:bCs w:val="0"/>
        </w:rPr>
      </w:pPr>
      <w:bookmarkStart w:name="五、重要会计政策及会计估计" w:id="172"/>
      <w:bookmarkEnd w:id="172"/>
      <w:r>
        <w:rPr>
          <w:b w:val="0"/>
          <w:bCs w:val="0"/>
        </w:rPr>
      </w:r>
      <w:r>
        <w:rPr/>
        <w:t>五、重要会计政策及会计估计</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1034"/>
        <w:jc w:val="left"/>
      </w:pPr>
      <w:r>
        <w:rPr/>
        <w:t>具体会计政策和会计估计提示： </w:t>
      </w:r>
      <w:r>
        <w:rPr>
          <w:spacing w:val="-5"/>
        </w:rPr>
        <w:t>本公司及各子公司根据实际生产经营特点，依据相关企业会计准则的规定，对应收款项坏账准备、存货计价、固定资产折旧、</w:t>
      </w:r>
      <w:r>
        <w:rPr>
          <w:spacing w:val="-75"/>
        </w:rPr>
        <w:t> </w:t>
      </w:r>
      <w:r>
        <w:rPr>
          <w:spacing w:val="-75"/>
        </w:rPr>
      </w:r>
      <w:r>
        <w:rPr/>
        <w:t>收入确认等交易和事项指定了若干具体会计政策和会计估计，具体会计政策参见本附注五</w:t>
      </w:r>
      <w:r>
        <w:rPr>
          <w:rFonts w:ascii="宋体" w:hAnsi="宋体" w:cs="宋体" w:eastAsia="宋体" w:hint="default"/>
        </w:rPr>
        <w:t>(12)</w:t>
      </w:r>
      <w:r>
        <w:rPr/>
        <w:t>应收账款、附注五</w:t>
      </w:r>
      <w:r>
        <w:rPr>
          <w:rFonts w:ascii="宋体" w:hAnsi="宋体" w:cs="宋体" w:eastAsia="宋体" w:hint="default"/>
        </w:rPr>
        <w:t>(15)</w:t>
      </w:r>
      <w:r>
        <w:rPr/>
        <w:t>存货、</w:t>
      </w:r>
    </w:p>
    <w:p>
      <w:pPr>
        <w:pStyle w:val="BodyText"/>
        <w:spacing w:line="240" w:lineRule="auto" w:before="2"/>
        <w:ind w:right="986"/>
        <w:jc w:val="left"/>
      </w:pPr>
      <w:r>
        <w:rPr/>
        <w:t>附注五</w:t>
      </w:r>
      <w:r>
        <w:rPr>
          <w:rFonts w:ascii="宋体" w:hAnsi="宋体" w:cs="宋体" w:eastAsia="宋体" w:hint="default"/>
        </w:rPr>
        <w:t>(24)</w:t>
      </w:r>
      <w:r>
        <w:rPr/>
        <w:t>固定资产和附注五</w:t>
      </w:r>
      <w:r>
        <w:rPr>
          <w:rFonts w:ascii="宋体" w:hAnsi="宋体" w:cs="宋体" w:eastAsia="宋体" w:hint="default"/>
        </w:rPr>
        <w:t>(39)</w:t>
      </w:r>
      <w:r>
        <w:rPr/>
        <w:t>收入等相关说明。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1、遵循企业会计准则的声明" w:id="173"/>
      <w:bookmarkEnd w:id="173"/>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t>本公司编制的财务报表符合企业会计准则的要求，真实、完整地反映了公司的财务状况、经营成果和现金流量等有关信息。</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会计期间" w:id="174"/>
      <w:bookmarkEnd w:id="174"/>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会计年度自公历</w:t>
      </w:r>
      <w:r>
        <w:rPr>
          <w:rFonts w:ascii="宋体" w:hAnsi="宋体" w:cs="宋体" w:eastAsia="宋体" w:hint="default"/>
        </w:rPr>
        <w:t>1</w:t>
      </w:r>
      <w:r>
        <w:rPr/>
        <w:t>月</w:t>
      </w:r>
      <w:r>
        <w:rPr>
          <w:rFonts w:ascii="宋体" w:hAnsi="宋体" w:cs="宋体" w:eastAsia="宋体" w:hint="default"/>
        </w:rPr>
        <w:t>1</w:t>
      </w:r>
      <w:r>
        <w:rPr/>
        <w:t>日起至</w:t>
      </w:r>
      <w:r>
        <w:rPr>
          <w:rFonts w:ascii="宋体" w:hAnsi="宋体" w:cs="宋体" w:eastAsia="宋体" w:hint="default"/>
        </w:rPr>
        <w:t>12</w:t>
      </w:r>
      <w:r>
        <w:rPr/>
        <w:t>月</w:t>
      </w:r>
      <w:r>
        <w:rPr>
          <w:rFonts w:ascii="宋体" w:hAnsi="宋体" w:cs="宋体" w:eastAsia="宋体" w:hint="default"/>
        </w:rPr>
        <w:t>31</w:t>
      </w:r>
      <w:r>
        <w:rPr/>
        <w:t>日止。</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3、营业周期" w:id="175"/>
      <w:bookmarkEnd w:id="175"/>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86"/>
        <w:jc w:val="left"/>
      </w:pPr>
      <w:r>
        <w:rPr>
          <w:spacing w:val="-2"/>
        </w:rPr>
        <w:t>正常营业周期是指本公司从购买用于服务的资产起至实现现金或现金等价物的期间。本公司以</w:t>
      </w:r>
      <w:r>
        <w:rPr>
          <w:rFonts w:ascii="宋体" w:hAnsi="宋体" w:cs="宋体" w:eastAsia="宋体" w:hint="default"/>
          <w:spacing w:val="-2"/>
        </w:rPr>
        <w:t>12</w:t>
      </w:r>
      <w:r>
        <w:rPr>
          <w:spacing w:val="-2"/>
        </w:rPr>
        <w:t>个月作为一个营业周期，并</w:t>
      </w:r>
      <w:r>
        <w:rPr>
          <w:spacing w:val="-62"/>
        </w:rPr>
        <w:t> </w:t>
      </w:r>
      <w:r>
        <w:rPr>
          <w:spacing w:val="-62"/>
        </w:rPr>
      </w:r>
      <w:r>
        <w:rPr/>
        <w:t>以其作为资产和负债的流动性划分标准。</w:t>
      </w:r>
    </w:p>
    <w:p>
      <w:pPr>
        <w:spacing w:line="240" w:lineRule="auto" w:before="11"/>
        <w:rPr>
          <w:rFonts w:ascii="宋体" w:hAnsi="宋体" w:cs="宋体" w:eastAsia="宋体" w:hint="default"/>
          <w:sz w:val="22"/>
          <w:szCs w:val="22"/>
        </w:rPr>
      </w:pPr>
    </w:p>
    <w:p>
      <w:pPr>
        <w:pStyle w:val="Heading4"/>
        <w:spacing w:line="240" w:lineRule="auto"/>
        <w:ind w:right="986"/>
        <w:jc w:val="left"/>
        <w:rPr>
          <w:b w:val="0"/>
          <w:bCs w:val="0"/>
        </w:rPr>
      </w:pPr>
      <w:bookmarkStart w:name="4、记账本位币" w:id="176"/>
      <w:bookmarkEnd w:id="176"/>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本公司及子公司采用人民币为记账本位币。</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5、同一控制下和非同一控制下企业合并的会计处理方法" w:id="177"/>
      <w:bookmarkEnd w:id="177"/>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86"/>
        <w:jc w:val="left"/>
      </w:pPr>
      <w:r>
        <w:rPr>
          <w:spacing w:val="-2"/>
        </w:rPr>
        <w:t>企业合并，是指将两个或两个以上单独的企业合并形成一个报告主体的交易或事项。企业合并分为同一控制下企业合并和非</w:t>
      </w:r>
      <w:r>
        <w:rPr>
          <w:spacing w:val="-64"/>
        </w:rPr>
        <w:t> </w:t>
      </w:r>
      <w:r>
        <w:rPr>
          <w:spacing w:val="-64"/>
        </w:rPr>
      </w:r>
      <w:r>
        <w:rPr/>
        <w:t>同一控制下企业合并。</w:t>
      </w:r>
    </w:p>
    <w:p>
      <w:pPr>
        <w:pStyle w:val="BodyText"/>
        <w:spacing w:line="316" w:lineRule="auto" w:before="18"/>
        <w:ind w:right="1574"/>
        <w:jc w:val="left"/>
      </w:pPr>
      <w:r>
        <w:rPr>
          <w:rFonts w:ascii="宋体" w:hAnsi="宋体" w:cs="宋体" w:eastAsia="宋体" w:hint="default"/>
        </w:rPr>
        <w:t>1</w:t>
      </w:r>
      <w:r>
        <w:rPr/>
        <w:t>．同一控制下企业合并的会计处理 参与合并的企业在合并前后均受同一方或相同的多方最终控制，且该控制并非暂时性的，为同一控制下的企业合并。</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ind w:right="986"/>
        <w:jc w:val="left"/>
      </w:pPr>
      <w:r>
        <w:rPr>
          <w:spacing w:val="-2"/>
        </w:rPr>
        <w:t>公司在企业合并中取得的被合并方的资产、负债，除因会计政策不同而进行的调整以外，按照合并日被合并方在最终控制方</w:t>
      </w:r>
      <w:r>
        <w:rPr>
          <w:spacing w:val="-66"/>
        </w:rPr>
        <w:t> </w:t>
      </w:r>
      <w:r>
        <w:rPr>
          <w:spacing w:val="-66"/>
        </w:rPr>
      </w:r>
      <w:r>
        <w:rPr>
          <w:spacing w:val="-2"/>
        </w:rPr>
        <w:t>合并财务报表中的账面价值计量。公司取得的被合并方所有者权益在最终控制方合并财务报表中的账面价值的份额与支付的</w:t>
      </w:r>
      <w:r>
        <w:rPr>
          <w:spacing w:val="-64"/>
        </w:rPr>
        <w:t> </w:t>
      </w:r>
      <w:r>
        <w:rPr>
          <w:spacing w:val="-64"/>
        </w:rPr>
      </w:r>
      <w:r>
        <w:rPr/>
        <w:t>合并对价账面价值</w:t>
      </w:r>
      <w:r>
        <w:rPr>
          <w:rFonts w:ascii="宋体" w:hAnsi="宋体" w:cs="宋体" w:eastAsia="宋体" w:hint="default"/>
        </w:rPr>
        <w:t>(</w:t>
      </w:r>
      <w:r>
        <w:rPr/>
        <w:t>或发行股份面值总额</w:t>
      </w:r>
      <w:r>
        <w:rPr>
          <w:rFonts w:ascii="宋体" w:hAnsi="宋体" w:cs="宋体" w:eastAsia="宋体" w:hint="default"/>
        </w:rPr>
        <w:t>)</w:t>
      </w:r>
      <w:r>
        <w:rPr/>
        <w:t>的差额，调整资本公积；资本公积不足冲减的，调整留存收益。 </w:t>
      </w:r>
      <w:r>
        <w:rPr>
          <w:spacing w:val="-2"/>
        </w:rPr>
        <w:t>通过多次交易分步实现同一控制下的企业合并，合并前持有投资的账面价值加上合并日新支付对价的账面价值之和，与合并</w:t>
      </w:r>
      <w:r>
        <w:rPr>
          <w:spacing w:val="-64"/>
        </w:rPr>
        <w:t> </w:t>
      </w:r>
      <w:r>
        <w:rPr>
          <w:spacing w:val="-64"/>
        </w:rPr>
      </w:r>
      <w:r>
        <w:rPr>
          <w:spacing w:val="-2"/>
        </w:rPr>
        <w:t>中取得的净资产账面价值的差额，调整资本公积</w:t>
      </w:r>
      <w:r>
        <w:rPr>
          <w:rFonts w:ascii="宋体" w:hAnsi="宋体" w:cs="宋体" w:eastAsia="宋体" w:hint="default"/>
          <w:spacing w:val="-2"/>
        </w:rPr>
        <w:t>(</w:t>
      </w:r>
      <w:r>
        <w:rPr>
          <w:spacing w:val="-2"/>
        </w:rPr>
        <w:t>股本溢价</w:t>
      </w:r>
      <w:r>
        <w:rPr>
          <w:rFonts w:ascii="宋体" w:hAnsi="宋体" w:cs="宋体" w:eastAsia="宋体" w:hint="default"/>
          <w:spacing w:val="-2"/>
        </w:rPr>
        <w:t>)</w:t>
      </w:r>
      <w:r>
        <w:rPr>
          <w:spacing w:val="-2"/>
        </w:rPr>
        <w:t>，资本公积不足冲减的，调整留存收益。合并方在取得被合并方</w:t>
      </w:r>
      <w:r>
        <w:rPr>
          <w:spacing w:val="-61"/>
        </w:rPr>
        <w:t> </w:t>
      </w:r>
      <w:r>
        <w:rPr>
          <w:spacing w:val="-61"/>
        </w:rPr>
      </w:r>
      <w:r>
        <w:rPr>
          <w:spacing w:val="-2"/>
        </w:rPr>
        <w:t>控制权之前持有的长期股权投资，在取得原股权之日与合并方与被合并方同处于同一方最终控制之日孰晚日起至合并日之间</w:t>
      </w:r>
      <w:r>
        <w:rPr>
          <w:spacing w:val="-64"/>
        </w:rPr>
        <w:t> </w:t>
      </w:r>
      <w:r>
        <w:rPr>
          <w:spacing w:val="-64"/>
        </w:rPr>
      </w:r>
      <w:r>
        <w:rPr>
          <w:spacing w:val="-2"/>
        </w:rPr>
        <w:t>已确认有关损益、其他综合收益和其他所有者权益变动，应分别冲减比较报表期间的期初留存收益或当期损益，由于被投资</w:t>
      </w:r>
      <w:r>
        <w:rPr>
          <w:spacing w:val="-63"/>
        </w:rPr>
        <w:t> </w:t>
      </w:r>
      <w:r>
        <w:rPr>
          <w:spacing w:val="-63"/>
        </w:rPr>
      </w:r>
      <w:r>
        <w:rPr/>
        <w:t>方重新计量设定受益计划净负债或净资产变动而产生的其他综合收益除外。</w:t>
      </w:r>
    </w:p>
    <w:p>
      <w:pPr>
        <w:pStyle w:val="BodyText"/>
        <w:spacing w:line="316" w:lineRule="auto" w:before="19"/>
        <w:ind w:right="1034"/>
        <w:jc w:val="left"/>
      </w:pPr>
      <w:r>
        <w:rPr>
          <w:rFonts w:ascii="宋体" w:hAnsi="宋体" w:cs="宋体" w:eastAsia="宋体" w:hint="default"/>
        </w:rPr>
        <w:t>2</w:t>
      </w:r>
      <w:r>
        <w:rPr/>
        <w:t>．非同一控制下企业合并的会计处理 参与合并的企业在合并前后不受同一方或相同的多方最终控制的，为非同一控制下的企业合并。 </w:t>
      </w:r>
      <w:r>
        <w:rPr>
          <w:spacing w:val="-2"/>
        </w:rPr>
        <w:t>公司在购买日对合并成本大于合并中取得的被购买方可辨认净资产公允价值份额的差额，确认为商誉；对于合并成本小于合</w:t>
      </w:r>
      <w:r>
        <w:rPr>
          <w:spacing w:val="-63"/>
        </w:rPr>
        <w:t> </w:t>
      </w:r>
      <w:r>
        <w:rPr>
          <w:spacing w:val="-63"/>
        </w:rPr>
      </w:r>
      <w:r>
        <w:rPr>
          <w:spacing w:val="-2"/>
        </w:rPr>
        <w:t>并中取得的被购买方可辨认净资产公允价值份额，首先对取得的被购买方各项可辨认资产、负债及或有负债的公允价值以及</w:t>
      </w:r>
      <w:r>
        <w:rPr>
          <w:spacing w:val="-64"/>
        </w:rPr>
        <w:t> </w:t>
      </w:r>
      <w:r>
        <w:rPr>
          <w:spacing w:val="-64"/>
        </w:rPr>
      </w:r>
      <w:r>
        <w:rPr>
          <w:spacing w:val="-2"/>
        </w:rPr>
        <w:t>合并成本的计量进行复核，经复核后合并成本仍小于合并中取得的被购买方可辨认净资产公允价值份额的，其差额计入当期</w:t>
      </w:r>
      <w:r>
        <w:rPr>
          <w:spacing w:val="-64"/>
        </w:rPr>
        <w:t> </w:t>
      </w:r>
      <w:r>
        <w:rPr>
          <w:spacing w:val="-64"/>
        </w:rPr>
      </w:r>
      <w:r>
        <w:rPr/>
        <w:t>损益。 </w:t>
      </w:r>
      <w:r>
        <w:rPr>
          <w:spacing w:val="-2"/>
        </w:rPr>
        <w:t>如果在购买日或合并当期期末，因各种因素影响无法合理确定作为合并对价付出的各项资产的公允价值，或合并中取得被购</w:t>
      </w:r>
      <w:r>
        <w:rPr>
          <w:spacing w:val="-64"/>
        </w:rPr>
        <w:t> </w:t>
      </w:r>
      <w:r>
        <w:rPr>
          <w:spacing w:val="-64"/>
        </w:rPr>
      </w:r>
      <w:r>
        <w:rPr>
          <w:spacing w:val="-2"/>
        </w:rPr>
        <w:t>买方各项可辨认资产、负债的公允价值，合并当期期末，公司以暂时确定的价值为基础对企业合并进行核算。自购买日算起</w:t>
      </w:r>
      <w:r>
        <w:rPr>
          <w:spacing w:val="-64"/>
        </w:rPr>
        <w:t> </w:t>
      </w:r>
      <w:r>
        <w:rPr>
          <w:spacing w:val="-64"/>
        </w:rPr>
      </w:r>
      <w:r>
        <w:rPr>
          <w:rFonts w:ascii="宋体" w:hAnsi="宋体" w:cs="宋体" w:eastAsia="宋体" w:hint="default"/>
          <w:spacing w:val="-2"/>
        </w:rPr>
        <w:t>12</w:t>
      </w:r>
      <w:r>
        <w:rPr>
          <w:spacing w:val="-2"/>
        </w:rPr>
        <w:t>个月内取得进一步的信息表明需对原暂时确定的价值进行调整的，则视同在购买日发生，进行追溯调整，同时对以暂时性</w:t>
      </w:r>
      <w:r>
        <w:rPr>
          <w:spacing w:val="-65"/>
        </w:rPr>
        <w:t> </w:t>
      </w:r>
      <w:r>
        <w:rPr>
          <w:spacing w:val="-65"/>
        </w:rPr>
      </w:r>
      <w:r>
        <w:rPr>
          <w:spacing w:val="-2"/>
        </w:rPr>
        <w:t>价值为基础提供的比较报表信息进行相关的调整；自购买日算起</w:t>
      </w:r>
      <w:r>
        <w:rPr>
          <w:rFonts w:ascii="宋体" w:hAnsi="宋体" w:cs="宋体" w:eastAsia="宋体" w:hint="default"/>
          <w:spacing w:val="-2"/>
        </w:rPr>
        <w:t>12</w:t>
      </w:r>
      <w:r>
        <w:rPr>
          <w:spacing w:val="-2"/>
        </w:rPr>
        <w:t>个月以后对企业合并成本或合并中取得的可辨认资产、负</w:t>
      </w:r>
      <w:r>
        <w:rPr>
          <w:spacing w:val="-62"/>
        </w:rPr>
        <w:t> </w:t>
      </w:r>
      <w:r>
        <w:rPr>
          <w:spacing w:val="-62"/>
        </w:rPr>
      </w:r>
      <w:r>
        <w:rPr/>
        <w:t>债价值的调整，按照《企业会计准则第</w:t>
      </w:r>
      <w:r>
        <w:rPr>
          <w:rFonts w:ascii="宋体" w:hAnsi="宋体" w:cs="宋体" w:eastAsia="宋体" w:hint="default"/>
        </w:rPr>
        <w:t>28</w:t>
      </w:r>
      <w:r>
        <w:rPr/>
        <w:t>号——会计政策、会计估计变更和会计差错更正》的原则进行处理。 </w:t>
      </w:r>
      <w:r>
        <w:rPr>
          <w:spacing w:val="-2"/>
        </w:rPr>
        <w:t>公司在企业合并中取得的被购买方的可抵扣暂时性差异，在购买日不符合递延所得税资产确认条件的，不予以确认。购买日</w:t>
      </w:r>
      <w:r>
        <w:rPr>
          <w:spacing w:val="-66"/>
        </w:rPr>
        <w:t> </w:t>
      </w:r>
      <w:r>
        <w:rPr>
          <w:spacing w:val="-66"/>
        </w:rPr>
      </w:r>
      <w:r>
        <w:rPr>
          <w:spacing w:val="-2"/>
        </w:rPr>
        <w:t>后</w:t>
      </w:r>
      <w:r>
        <w:rPr>
          <w:rFonts w:ascii="宋体" w:hAnsi="宋体" w:cs="宋体" w:eastAsia="宋体" w:hint="default"/>
          <w:spacing w:val="-2"/>
        </w:rPr>
        <w:t>12</w:t>
      </w:r>
      <w:r>
        <w:rPr>
          <w:spacing w:val="-2"/>
        </w:rPr>
        <w:t>个月内，如取得新的或进一步的信息表明购买日的相关情况已经存在，预期被购买方在购买日可抵扣暂时性差异带来的</w:t>
      </w:r>
      <w:r>
        <w:rPr>
          <w:spacing w:val="-63"/>
        </w:rPr>
        <w:t> </w:t>
      </w:r>
      <w:r>
        <w:rPr>
          <w:spacing w:val="-63"/>
        </w:rPr>
      </w:r>
      <w:r>
        <w:rPr>
          <w:spacing w:val="-2"/>
        </w:rPr>
        <w:t>经济利益能够实现的，确认相关的递延所得税资产，同时减少商誉，商誉不足冲减的，差额部分确认为当期损益；除上述情</w:t>
      </w:r>
      <w:r>
        <w:rPr>
          <w:spacing w:val="-67"/>
        </w:rPr>
        <w:t> </w:t>
      </w:r>
      <w:r>
        <w:rPr>
          <w:spacing w:val="-67"/>
        </w:rPr>
      </w:r>
      <w:r>
        <w:rPr/>
        <w:t>况以外，确认与企业合并相关的递延所得税资产，计入当期损益。 </w:t>
      </w:r>
      <w:r>
        <w:rPr>
          <w:spacing w:val="-2"/>
        </w:rPr>
        <w:t>通过多次交易分步实现的非同一控制下企业合并，根据企业会计准则判断该多次交易是否属于“一揽子交易”。多次交易的</w:t>
      </w:r>
      <w:r>
        <w:rPr>
          <w:spacing w:val="-72"/>
        </w:rPr>
        <w:t> </w:t>
      </w:r>
      <w:r>
        <w:rPr>
          <w:spacing w:val="-72"/>
        </w:rPr>
      </w:r>
      <w:r>
        <w:rPr/>
        <w:t>条款、条件以及经济影响符合以下一种或多种情况，通常表明应将多次交易事项作为一揽子交易进行会计处理：</w:t>
      </w:r>
      <w:r>
        <w:rPr>
          <w:rFonts w:ascii="宋体" w:hAnsi="宋体" w:cs="宋体" w:eastAsia="宋体" w:hint="default"/>
        </w:rPr>
        <w:t>(1)</w:t>
      </w:r>
      <w:r>
        <w:rPr/>
        <w:t>这些交 </w:t>
      </w:r>
      <w:r>
        <w:rPr>
          <w:spacing w:val="-2"/>
        </w:rPr>
        <w:t>易是同时或者在考虑了彼此影响的情况下订立的；</w:t>
      </w:r>
      <w:r>
        <w:rPr>
          <w:rFonts w:ascii="宋体" w:hAnsi="宋体" w:cs="宋体" w:eastAsia="宋体" w:hint="default"/>
          <w:spacing w:val="-2"/>
        </w:rPr>
        <w:t>(2)</w:t>
      </w:r>
      <w:r>
        <w:rPr>
          <w:spacing w:val="-2"/>
        </w:rPr>
        <w:t>这些交易整体才能达成一项完整的商业结果；</w:t>
      </w:r>
      <w:r>
        <w:rPr>
          <w:rFonts w:ascii="宋体" w:hAnsi="宋体" w:cs="宋体" w:eastAsia="宋体" w:hint="default"/>
          <w:spacing w:val="-2"/>
        </w:rPr>
        <w:t>(3)</w:t>
      </w:r>
      <w:r>
        <w:rPr>
          <w:spacing w:val="-2"/>
        </w:rPr>
        <w:t>一项交易的发生取决</w:t>
      </w:r>
      <w:r>
        <w:rPr>
          <w:spacing w:val="-62"/>
        </w:rPr>
        <w:t> </w:t>
      </w:r>
      <w:r>
        <w:rPr>
          <w:spacing w:val="-62"/>
        </w:rPr>
      </w:r>
      <w:r>
        <w:rPr/>
        <w:t>于其他至少一项交易的发生；</w:t>
      </w:r>
      <w:r>
        <w:rPr>
          <w:rFonts w:ascii="宋体" w:hAnsi="宋体" w:cs="宋体" w:eastAsia="宋体" w:hint="default"/>
        </w:rPr>
        <w:t>(4)</w:t>
      </w:r>
      <w:r>
        <w:rPr/>
        <w:t>一项交易单独看是不经济的，但是和其他交易一并考虑时是经济的。 </w:t>
      </w:r>
      <w:r>
        <w:rPr>
          <w:spacing w:val="-2"/>
        </w:rPr>
        <w:t>属于“一揽子交易”的，将各项交易作为一项取得控制权的交易进行会计处理。不属于“一揽子交易”的，在合并财务报表</w:t>
      </w:r>
      <w:r>
        <w:rPr>
          <w:spacing w:val="-73"/>
        </w:rPr>
        <w:t> </w:t>
      </w:r>
      <w:r>
        <w:rPr>
          <w:spacing w:val="-73"/>
        </w:rPr>
      </w:r>
      <w:r>
        <w:rPr>
          <w:spacing w:val="-2"/>
        </w:rPr>
        <w:t>中，对于购买日之前持有的被购买方的股权，按照该股权在购买日的公允价值进行重新计量，公允价值与其账面价值的差额</w:t>
      </w:r>
      <w:r>
        <w:rPr>
          <w:spacing w:val="-63"/>
        </w:rPr>
        <w:t> </w:t>
      </w:r>
      <w:r>
        <w:rPr>
          <w:spacing w:val="-63"/>
        </w:rPr>
      </w:r>
      <w:r>
        <w:rPr/>
        <w:t>计入当期投资收益；购买日之前已经持有的被购买方的股权涉及其他综合收益、其他所有者权益变动转为购买日当期收益，</w:t>
      </w:r>
      <w:r>
        <w:rPr>
          <w:spacing w:val="-86"/>
        </w:rPr>
        <w:t> </w:t>
      </w:r>
      <w:r>
        <w:rPr>
          <w:spacing w:val="-86"/>
        </w:rPr>
      </w:r>
      <w:r>
        <w:rPr/>
        <w:t>由于被投资方重新计量设定受益计划净负债或净资产变动而产生的其他综合收益除外。</w:t>
      </w:r>
    </w:p>
    <w:p>
      <w:pPr>
        <w:pStyle w:val="BodyText"/>
        <w:spacing w:line="316" w:lineRule="auto" w:before="19"/>
        <w:ind w:right="986"/>
        <w:jc w:val="left"/>
      </w:pPr>
      <w:r>
        <w:rPr>
          <w:rFonts w:ascii="宋体" w:hAnsi="宋体" w:cs="宋体" w:eastAsia="宋体" w:hint="default"/>
        </w:rPr>
        <w:t>3</w:t>
      </w:r>
      <w:r>
        <w:rPr/>
        <w:t>．企业合并中有关交易费用的处理 </w:t>
      </w:r>
      <w:r>
        <w:rPr>
          <w:spacing w:val="-2"/>
        </w:rPr>
        <w:t>为进行企业合并发生的审计、法律服务、评估咨询等中介费用以及其他相关管理费用，于发生时计入当期损益。作为合并对</w:t>
      </w:r>
      <w:r>
        <w:rPr>
          <w:spacing w:val="-65"/>
        </w:rPr>
        <w:t> </w:t>
      </w:r>
      <w:r>
        <w:rPr>
          <w:spacing w:val="-65"/>
        </w:rPr>
      </w:r>
      <w:r>
        <w:rPr/>
        <w:t>价发行的权益性证券或债务性证券的交易费用，计入权益性证券或债务性证券的初始确认金额。</w:t>
      </w:r>
    </w:p>
    <w:p>
      <w:pPr>
        <w:spacing w:line="240" w:lineRule="auto" w:before="11"/>
        <w:rPr>
          <w:rFonts w:ascii="宋体" w:hAnsi="宋体" w:cs="宋体" w:eastAsia="宋体" w:hint="default"/>
          <w:sz w:val="22"/>
          <w:szCs w:val="22"/>
        </w:rPr>
      </w:pPr>
    </w:p>
    <w:p>
      <w:pPr>
        <w:pStyle w:val="Heading4"/>
        <w:spacing w:line="240" w:lineRule="auto"/>
        <w:ind w:right="986"/>
        <w:jc w:val="left"/>
        <w:rPr>
          <w:b w:val="0"/>
          <w:bCs w:val="0"/>
        </w:rPr>
      </w:pPr>
      <w:bookmarkStart w:name="6、合并财务报表的编制方法" w:id="178"/>
      <w:bookmarkEnd w:id="178"/>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86"/>
        <w:jc w:val="left"/>
      </w:pPr>
      <w:r>
        <w:rPr>
          <w:rFonts w:ascii="宋体" w:hAnsi="宋体" w:cs="宋体" w:eastAsia="宋体" w:hint="default"/>
        </w:rPr>
        <w:t>1</w:t>
      </w:r>
      <w:r>
        <w:rPr/>
        <w:t>．合并范围 </w:t>
      </w:r>
      <w:r>
        <w:rPr>
          <w:spacing w:val="-2"/>
        </w:rPr>
        <w:t>合并财务报表的合并范围以控制为基础确定。控制是指本公司拥有对被投资方的权力，通过参与被投资方的相关活动而享有</w:t>
      </w:r>
      <w:r>
        <w:rPr>
          <w:spacing w:val="-64"/>
        </w:rPr>
        <w:t> </w:t>
      </w:r>
      <w:r>
        <w:rPr>
          <w:spacing w:val="-64"/>
        </w:rPr>
      </w:r>
      <w:r>
        <w:rPr>
          <w:spacing w:val="-2"/>
        </w:rPr>
        <w:t>可变回报，并且有能力运用对被投资方的权力影响该回报金额。合并范围包括本公司及全部子公司。子公司，是指被本公司</w:t>
      </w:r>
      <w:r>
        <w:rPr>
          <w:spacing w:val="-64"/>
        </w:rPr>
        <w:t> </w:t>
      </w:r>
      <w:r>
        <w:rPr>
          <w:spacing w:val="-64"/>
        </w:rPr>
      </w:r>
      <w:r>
        <w:rPr/>
        <w:t>控制的主体</w:t>
      </w:r>
      <w:r>
        <w:rPr>
          <w:rFonts w:ascii="宋体" w:hAnsi="宋体" w:cs="宋体" w:eastAsia="宋体" w:hint="default"/>
        </w:rPr>
        <w:t>(</w:t>
      </w:r>
      <w:r>
        <w:rPr/>
        <w:t>含企业、被投资单位中可分割的部分、结构化主体等</w:t>
      </w:r>
      <w:r>
        <w:rPr>
          <w:rFonts w:ascii="宋体" w:hAnsi="宋体" w:cs="宋体" w:eastAsia="宋体" w:hint="default"/>
        </w:rPr>
        <w:t>)</w:t>
      </w:r>
      <w:r>
        <w:rPr/>
        <w:t>。</w:t>
      </w:r>
    </w:p>
    <w:p>
      <w:pPr>
        <w:pStyle w:val="BodyText"/>
        <w:spacing w:line="316" w:lineRule="auto" w:before="19"/>
        <w:ind w:right="1034"/>
        <w:jc w:val="left"/>
      </w:pPr>
      <w:r>
        <w:rPr>
          <w:rFonts w:ascii="宋体" w:hAnsi="宋体" w:cs="宋体" w:eastAsia="宋体" w:hint="default"/>
        </w:rPr>
        <w:t>2</w:t>
      </w:r>
      <w:r>
        <w:rPr/>
        <w:t>．合并报表的编制方法 </w:t>
      </w:r>
      <w:r>
        <w:rPr>
          <w:spacing w:val="-2"/>
        </w:rPr>
        <w:t>本公司以自身和各子公司的财务报表为基础，根据其他有关资料，编制合并报表。本公司编制合并财务报表，将整个企业集</w:t>
      </w:r>
      <w:r>
        <w:rPr>
          <w:spacing w:val="-64"/>
        </w:rPr>
        <w:t> </w:t>
      </w:r>
      <w:r>
        <w:rPr>
          <w:spacing w:val="-64"/>
        </w:rPr>
      </w:r>
      <w:r>
        <w:rPr/>
        <w:t>团视为一个会计主体，依据相关企业会计准则的确定、计量和列报要求，按照统一的会计政策，反映本公司整体财务状况、</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ind w:right="986"/>
        <w:jc w:val="left"/>
      </w:pPr>
      <w:r>
        <w:rPr/>
        <w:t>经营成果和现金流量。 </w:t>
      </w:r>
      <w:r>
        <w:rPr>
          <w:spacing w:val="-2"/>
        </w:rPr>
        <w:t>合并财务报表时抵销本公司与各子公司、各子公司相互之间发生的内部交易和往来对合并资产负债表、合并利润表、合并现</w:t>
      </w:r>
      <w:r>
        <w:rPr>
          <w:spacing w:val="-66"/>
        </w:rPr>
        <w:t> </w:t>
      </w:r>
      <w:r>
        <w:rPr>
          <w:spacing w:val="-66"/>
        </w:rPr>
      </w:r>
      <w:r>
        <w:rPr/>
        <w:t>金流量表、合并所有者权益变动表的影响。 </w:t>
      </w:r>
      <w:r>
        <w:rPr>
          <w:spacing w:val="-2"/>
        </w:rPr>
        <w:t>在报告期内因同一控制下企业合并增加的子公司以及业务，视同该子公司以及业务自同受最终控制方控制之日起纳入本公司</w:t>
      </w:r>
      <w:r>
        <w:rPr>
          <w:spacing w:val="-64"/>
        </w:rPr>
        <w:t> </w:t>
      </w:r>
      <w:r>
        <w:rPr>
          <w:spacing w:val="-64"/>
        </w:rPr>
      </w:r>
      <w:r>
        <w:rPr>
          <w:spacing w:val="-2"/>
        </w:rPr>
        <w:t>的合并范围，将其自同受最终控制方控制之日起的经营成果、现金流量分别纳入合并利润表、合并现金流量表中。在报告期</w:t>
      </w:r>
      <w:r>
        <w:rPr>
          <w:spacing w:val="-64"/>
        </w:rPr>
        <w:t> </w:t>
      </w:r>
      <w:r>
        <w:rPr>
          <w:spacing w:val="-64"/>
        </w:rPr>
      </w:r>
      <w:r>
        <w:rPr>
          <w:spacing w:val="-2"/>
        </w:rPr>
        <w:t>内，同时调整合并资产负债表的期初数，同时对比较报表的相关项目进行调整，视同合并后的报表主体自最终控制方开始控</w:t>
      </w:r>
      <w:r>
        <w:rPr>
          <w:spacing w:val="-63"/>
        </w:rPr>
        <w:t> </w:t>
      </w:r>
      <w:r>
        <w:rPr>
          <w:spacing w:val="-63"/>
        </w:rPr>
      </w:r>
      <w:r>
        <w:rPr/>
        <w:t>制时点起一直存在。 </w:t>
      </w:r>
      <w:r>
        <w:rPr>
          <w:spacing w:val="-2"/>
        </w:rPr>
        <w:t>本期若因非同一控制下企业合并增加子公司的，则不调整合并资产负债表期初数；以购买日可辨认净资产公允价值为基础对</w:t>
      </w:r>
      <w:r>
        <w:rPr>
          <w:spacing w:val="-64"/>
        </w:rPr>
        <w:t> </w:t>
      </w:r>
      <w:r>
        <w:rPr>
          <w:spacing w:val="-64"/>
        </w:rPr>
      </w:r>
      <w:r>
        <w:rPr>
          <w:spacing w:val="-2"/>
        </w:rPr>
        <w:t>其财务报表进行调整。将子公司自购买日至期末的收入、费用、利润纳入合并利润表；该子公司自购买日至期末的现金流量</w:t>
      </w:r>
      <w:r>
        <w:rPr>
          <w:spacing w:val="-63"/>
        </w:rPr>
        <w:t> </w:t>
      </w:r>
      <w:r>
        <w:rPr>
          <w:spacing w:val="-63"/>
        </w:rPr>
      </w:r>
      <w:r>
        <w:rPr/>
        <w:t>纳入合并现金流量表。 </w:t>
      </w:r>
      <w:r>
        <w:rPr>
          <w:spacing w:val="-2"/>
        </w:rPr>
        <w:t>子公司少数股东应占的权益、损益和当期综合收益中分别在合并资产负债表中所有者权益项目下、合并利润表中净利润项目</w:t>
      </w:r>
      <w:r>
        <w:rPr>
          <w:spacing w:val="-64"/>
        </w:rPr>
        <w:t> </w:t>
      </w:r>
      <w:r>
        <w:rPr>
          <w:spacing w:val="-64"/>
        </w:rPr>
      </w:r>
      <w:r>
        <w:rPr>
          <w:spacing w:val="-2"/>
        </w:rPr>
        <w:t>和综合收益总额项下单独列示。子公司少数股东分担的当期亏损超过了少数股东在该子公司期初所有者权益中所享有份额而</w:t>
      </w:r>
      <w:r>
        <w:rPr>
          <w:spacing w:val="-64"/>
        </w:rPr>
        <w:t> </w:t>
      </w:r>
      <w:r>
        <w:rPr>
          <w:spacing w:val="-64"/>
        </w:rPr>
      </w:r>
      <w:r>
        <w:rPr/>
        <w:t>形成的余额，冲减少数股东权益。</w:t>
      </w:r>
    </w:p>
    <w:p>
      <w:pPr>
        <w:pStyle w:val="BodyText"/>
        <w:spacing w:line="316" w:lineRule="auto" w:before="19"/>
        <w:ind w:right="986"/>
        <w:jc w:val="left"/>
      </w:pPr>
      <w:r>
        <w:rPr>
          <w:rFonts w:ascii="宋体" w:hAnsi="宋体" w:cs="宋体" w:eastAsia="宋体" w:hint="default"/>
        </w:rPr>
        <w:t>3</w:t>
      </w:r>
      <w:r>
        <w:rPr/>
        <w:t>．购买少数股东股权及不丧失控制权的部分处置子公司股权 本公司因购买少数股权新取得的长期股权投资成本与按照新增持股比例计算应享有子公司自购买日或合并日开始持续计算 </w:t>
      </w:r>
      <w:r>
        <w:rPr>
          <w:spacing w:val="-2"/>
        </w:rPr>
        <w:t>的净资产份额之间的差额，以及在不丧失控制权的情况下因部分处置对子公司的股权投资而取得的处置价款与处置长期股权</w:t>
      </w:r>
      <w:r>
        <w:rPr>
          <w:spacing w:val="-64"/>
        </w:rPr>
        <w:t> </w:t>
      </w:r>
      <w:r>
        <w:rPr>
          <w:spacing w:val="-64"/>
        </w:rPr>
      </w:r>
      <w:r>
        <w:rPr>
          <w:spacing w:val="-2"/>
        </w:rPr>
        <w:t>投资相对应享有子公司自购买日或合并日开始持续计算的净资产份额之间的差额，均调整合并资产负债表中的资本公积中的</w:t>
      </w:r>
      <w:r>
        <w:rPr>
          <w:spacing w:val="-64"/>
        </w:rPr>
        <w:t> </w:t>
      </w:r>
      <w:r>
        <w:rPr>
          <w:spacing w:val="-64"/>
        </w:rPr>
      </w:r>
      <w:r>
        <w:rPr/>
        <w:t>股本溢价，资本公积中的股本溢价不足冲减的，调整留存收益。</w:t>
      </w:r>
    </w:p>
    <w:p>
      <w:pPr>
        <w:pStyle w:val="BodyText"/>
        <w:spacing w:line="316" w:lineRule="auto" w:before="19"/>
        <w:ind w:right="1124"/>
        <w:jc w:val="left"/>
      </w:pPr>
      <w:r>
        <w:rPr>
          <w:rFonts w:ascii="宋体" w:hAnsi="宋体" w:cs="宋体" w:eastAsia="宋体" w:hint="default"/>
        </w:rPr>
        <w:t>4</w:t>
      </w:r>
      <w:r>
        <w:rPr/>
        <w:t>．丧失控制权的处置子公司股权 </w:t>
      </w:r>
      <w:r>
        <w:rPr>
          <w:spacing w:val="-2"/>
        </w:rPr>
        <w:t>本期本公司处置子公司，则该子公司期初至处置日的收入、费用、利润纳入合并利润表；该子公司期初至处置日的现金流量</w:t>
      </w:r>
      <w:r>
        <w:rPr>
          <w:spacing w:val="-64"/>
        </w:rPr>
        <w:t> </w:t>
      </w:r>
      <w:r>
        <w:rPr>
          <w:spacing w:val="-64"/>
        </w:rPr>
      </w:r>
      <w:r>
        <w:rPr>
          <w:spacing w:val="-2"/>
        </w:rPr>
        <w:t>纳入合并现金流量表。因处置部分股权投资或其他原因丧失了对原有子公司控制权时，对于处置后的剩余股权投资，本公司</w:t>
      </w:r>
      <w:r>
        <w:rPr>
          <w:spacing w:val="-63"/>
        </w:rPr>
        <w:t> </w:t>
      </w:r>
      <w:r>
        <w:rPr>
          <w:spacing w:val="-63"/>
        </w:rPr>
      </w:r>
      <w:r>
        <w:rPr>
          <w:spacing w:val="-2"/>
        </w:rPr>
        <w:t>按照其在丧失控制权日的公允价值进行重新计量。处置股权取得的对价与剩余股权公允价值之和，减去按原持股比例计算应</w:t>
      </w:r>
      <w:r>
        <w:rPr>
          <w:spacing w:val="-64"/>
        </w:rPr>
        <w:t> </w:t>
      </w:r>
      <w:r>
        <w:rPr>
          <w:spacing w:val="-64"/>
        </w:rPr>
      </w:r>
      <w:r>
        <w:rPr>
          <w:spacing w:val="-2"/>
        </w:rPr>
        <w:t>享有原有子公司自购买日开始持续计算的净资产的份额与商誉之和，形成的差额计入丧失控制权当期的投资收益。与原有子</w:t>
      </w:r>
      <w:r>
        <w:rPr>
          <w:spacing w:val="-64"/>
        </w:rPr>
        <w:t> </w:t>
      </w:r>
      <w:r>
        <w:rPr>
          <w:spacing w:val="-64"/>
        </w:rPr>
      </w:r>
      <w:r>
        <w:rPr/>
        <w:t>公司股权投资相关的其他综合收益，在丧失控制权时采用被购买方直接处置相关资产和负债相同的基础进行会计处理</w:t>
      </w:r>
      <w:r>
        <w:rPr>
          <w:rFonts w:ascii="宋体" w:hAnsi="宋体" w:cs="宋体" w:eastAsia="宋体" w:hint="default"/>
        </w:rPr>
        <w:t>(</w:t>
      </w:r>
      <w:r>
        <w:rPr/>
        <w:t>即除</w:t>
      </w:r>
      <w:r>
        <w:rPr>
          <w:spacing w:val="-87"/>
        </w:rPr>
        <w:t> </w:t>
      </w:r>
      <w:r>
        <w:rPr/>
        <w:t>了在该原有子公司重新计量设定受益计划外净负债或者净资产导致的变动以外，其余一并转入当期投资收益</w:t>
      </w:r>
      <w:r>
        <w:rPr>
          <w:rFonts w:ascii="宋体" w:hAnsi="宋体" w:cs="宋体" w:eastAsia="宋体" w:hint="default"/>
        </w:rPr>
        <w:t>)</w:t>
      </w:r>
      <w:r>
        <w:rPr/>
        <w:t>。其后，对该</w:t>
      </w:r>
      <w:r>
        <w:rPr>
          <w:spacing w:val="-87"/>
        </w:rPr>
        <w:t> </w:t>
      </w:r>
      <w:r>
        <w:rPr/>
        <w:t>部分剩余股权按照《企业会计准则第</w:t>
      </w:r>
      <w:r>
        <w:rPr>
          <w:rFonts w:ascii="宋体" w:hAnsi="宋体" w:cs="宋体" w:eastAsia="宋体" w:hint="default"/>
        </w:rPr>
        <w:t>2</w:t>
      </w:r>
      <w:r>
        <w:rPr/>
        <w:t>号——长期股权投资》或《企业会计准则第</w:t>
      </w:r>
      <w:r>
        <w:rPr>
          <w:rFonts w:ascii="宋体" w:hAnsi="宋体" w:cs="宋体" w:eastAsia="宋体" w:hint="default"/>
        </w:rPr>
        <w:t>22</w:t>
      </w:r>
      <w:r>
        <w:rPr/>
        <w:t>号——金融工具确认和计量》等相关规 定进行后续计量，详见本附注</w:t>
      </w:r>
      <w:r>
        <w:rPr>
          <w:rFonts w:ascii="宋体" w:hAnsi="宋体" w:cs="宋体" w:eastAsia="宋体" w:hint="default"/>
        </w:rPr>
        <w:t>22</w:t>
      </w:r>
      <w:r>
        <w:rPr/>
        <w:t>“长期股权投资的确认和计量”及本附注</w:t>
      </w:r>
      <w:r>
        <w:rPr>
          <w:rFonts w:ascii="宋体" w:hAnsi="宋体" w:cs="宋体" w:eastAsia="宋体" w:hint="default"/>
        </w:rPr>
        <w:t>10</w:t>
      </w:r>
      <w:r>
        <w:rPr/>
        <w:t>“金融工具”有关内容。 </w:t>
      </w:r>
      <w:r>
        <w:rPr>
          <w:rFonts w:ascii="宋体" w:hAnsi="宋体" w:cs="宋体" w:eastAsia="宋体" w:hint="default"/>
        </w:rPr>
        <w:t>5</w:t>
      </w:r>
      <w:r>
        <w:rPr/>
        <w:t>．分步处置对子公司股权投资至丧失控制权的处理 </w:t>
      </w:r>
      <w:r>
        <w:rPr>
          <w:spacing w:val="-2"/>
        </w:rPr>
        <w:t>本公司通过多次交易分步处置对子公司股权投资直至丧失控制权的，需区分处置对子公司股权投资直至丧失控制权的各项交</w:t>
      </w:r>
      <w:r>
        <w:rPr>
          <w:spacing w:val="-64"/>
        </w:rPr>
        <w:t> </w:t>
      </w:r>
      <w:r>
        <w:rPr>
          <w:spacing w:val="-64"/>
        </w:rPr>
      </w:r>
      <w:r>
        <w:rPr/>
        <w:t>易是否属于一揽子交易。 </w:t>
      </w:r>
      <w:r>
        <w:rPr>
          <w:spacing w:val="-2"/>
        </w:rPr>
        <w:t>处置对子公司股权投资直至丧失控制权的各项交易属于一揽子交易的，将各项交易作为一项处置子公司并丧失控制权的交易</w:t>
      </w:r>
      <w:r>
        <w:rPr>
          <w:spacing w:val="-64"/>
        </w:rPr>
        <w:t> </w:t>
      </w:r>
      <w:r>
        <w:rPr>
          <w:spacing w:val="-64"/>
        </w:rPr>
      </w:r>
      <w:r>
        <w:rPr>
          <w:spacing w:val="-2"/>
        </w:rPr>
        <w:t>进行会计处理；但是，在丧失控制权之前每一次处置价款与处置投资对应的享有该子公司净资产份额的差额，在合并财务报</w:t>
      </w:r>
      <w:r>
        <w:rPr>
          <w:spacing w:val="-66"/>
        </w:rPr>
        <w:t> </w:t>
      </w:r>
      <w:r>
        <w:rPr>
          <w:spacing w:val="-66"/>
        </w:rPr>
      </w:r>
      <w:r>
        <w:rPr/>
        <w:t>表中确认为其他综合收益，在丧失控制权时一并转入丧失控制权当期的损益。 </w:t>
      </w:r>
      <w:r>
        <w:rPr>
          <w:spacing w:val="-2"/>
        </w:rPr>
        <w:t>不属于一揽子交易的，对其中的每一项交易视情况分别按照“不丧失控制权的情况下部分处置对子公司的长期股权投资”和</w:t>
      </w:r>
      <w:r>
        <w:rPr>
          <w:spacing w:val="-63"/>
        </w:rPr>
        <w:t> </w:t>
      </w:r>
      <w:r>
        <w:rPr>
          <w:spacing w:val="-63"/>
        </w:rPr>
      </w:r>
      <w:r>
        <w:rPr>
          <w:spacing w:val="-2"/>
        </w:rPr>
        <w:t>“因处置部分股权投资或其他原因丧失了对原有子公司的控制权”</w:t>
      </w:r>
      <w:r>
        <w:rPr>
          <w:rFonts w:ascii="宋体" w:hAnsi="宋体" w:cs="宋体" w:eastAsia="宋体" w:hint="default"/>
          <w:spacing w:val="-2"/>
        </w:rPr>
        <w:t>(</w:t>
      </w:r>
      <w:r>
        <w:rPr>
          <w:spacing w:val="-2"/>
        </w:rPr>
        <w:t>详见前段</w:t>
      </w:r>
      <w:r>
        <w:rPr>
          <w:rFonts w:ascii="宋体" w:hAnsi="宋体" w:cs="宋体" w:eastAsia="宋体" w:hint="default"/>
          <w:spacing w:val="-2"/>
        </w:rPr>
        <w:t>)</w:t>
      </w:r>
      <w:r>
        <w:rPr>
          <w:spacing w:val="-2"/>
        </w:rPr>
        <w:t>适用的原则进行会计处理。即在丧失控制权之</w:t>
      </w:r>
      <w:r>
        <w:rPr>
          <w:spacing w:val="-62"/>
        </w:rPr>
        <w:t> </w:t>
      </w:r>
      <w:r>
        <w:rPr>
          <w:spacing w:val="-62"/>
        </w:rPr>
      </w:r>
      <w:r>
        <w:rPr>
          <w:spacing w:val="-2"/>
        </w:rPr>
        <w:t>前每一次处置价款与处置投资对应的享有该子公司自购买日开始持续计算的净资产账面价值份额之间的差额，作为权益性交</w:t>
      </w:r>
      <w:r>
        <w:rPr>
          <w:spacing w:val="-64"/>
        </w:rPr>
        <w:t> </w:t>
      </w:r>
      <w:r>
        <w:rPr>
          <w:spacing w:val="-64"/>
        </w:rPr>
      </w:r>
      <w:r>
        <w:rPr/>
        <w:t>易计入资本公积</w:t>
      </w:r>
      <w:r>
        <w:rPr>
          <w:rFonts w:ascii="宋体" w:hAnsi="宋体" w:cs="宋体" w:eastAsia="宋体" w:hint="default"/>
        </w:rPr>
        <w:t>(</w:t>
      </w:r>
      <w:r>
        <w:rPr/>
        <w:t>股本溢价</w:t>
      </w:r>
      <w:r>
        <w:rPr>
          <w:rFonts w:ascii="宋体" w:hAnsi="宋体" w:cs="宋体" w:eastAsia="宋体" w:hint="default"/>
        </w:rPr>
        <w:t>)</w:t>
      </w:r>
      <w:r>
        <w:rPr/>
        <w:t>。在丧失控制权时不得转入丧失控制权当期的损益。</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7、合营安排分类及共同经营会计处理方法" w:id="179"/>
      <w:bookmarkEnd w:id="179"/>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86"/>
        <w:jc w:val="left"/>
      </w:pPr>
      <w:r>
        <w:rPr>
          <w:spacing w:val="-2"/>
        </w:rPr>
        <w:t>合营安排，是指一项由两个或两个以上的参与方共同控制的安排。本公司根据在合营安排中享有的权利和承担的义务，将合</w:t>
      </w:r>
      <w:r>
        <w:rPr>
          <w:spacing w:val="-63"/>
        </w:rPr>
        <w:t> </w:t>
      </w:r>
      <w:r>
        <w:rPr>
          <w:spacing w:val="-63"/>
        </w:rPr>
      </w:r>
      <w:r>
        <w:rPr/>
        <w:t>营安排分为共同经营和合营企业。 </w:t>
      </w:r>
      <w:r>
        <w:rPr>
          <w:spacing w:val="-2"/>
        </w:rPr>
        <w:t>合营企业，是指本公司仅对该安排的净资产享有权利的合营安排。本公司对合营企业的投资采用权益法核算，按照本附注五</w:t>
      </w:r>
      <w:r>
        <w:rPr>
          <w:spacing w:val="-63"/>
        </w:rPr>
        <w:t> </w:t>
      </w:r>
      <w:r>
        <w:rPr>
          <w:spacing w:val="-63"/>
        </w:rPr>
      </w:r>
      <w:r>
        <w:rPr>
          <w:rFonts w:ascii="宋体" w:hAnsi="宋体" w:cs="宋体" w:eastAsia="宋体" w:hint="default"/>
        </w:rPr>
        <w:t>22</w:t>
      </w:r>
      <w:r>
        <w:rPr/>
        <w:t>“长期股权投资”中所述的会计政策处理。</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ind w:right="986"/>
        <w:jc w:val="left"/>
      </w:pPr>
      <w:r>
        <w:rPr>
          <w:spacing w:val="-2"/>
        </w:rPr>
        <w:t>共同经营，是指本公司享有该安排相关资产且承担该安排相关负债的合营安排。本公司确认与共同经营中利益份额相关的下</w:t>
      </w:r>
      <w:r>
        <w:rPr>
          <w:spacing w:val="-64"/>
        </w:rPr>
        <w:t> </w:t>
      </w:r>
      <w:r>
        <w:rPr>
          <w:spacing w:val="-64"/>
        </w:rPr>
      </w:r>
      <w:r>
        <w:rPr/>
        <w:t>列项目，并按照相关企业会计准则的规定进行会计处理： </w:t>
      </w:r>
      <w:r>
        <w:rPr>
          <w:rFonts w:ascii="宋体" w:hAnsi="宋体" w:cs="宋体" w:eastAsia="宋体" w:hint="default"/>
        </w:rPr>
        <w:t>1</w:t>
      </w:r>
      <w:r>
        <w:rPr/>
        <w:t>．确认本公司单独所持有的资产，以及按本公司份额确认共同持有的资产；</w:t>
      </w:r>
    </w:p>
    <w:p>
      <w:pPr>
        <w:pStyle w:val="BodyText"/>
        <w:spacing w:line="240" w:lineRule="auto" w:before="17"/>
        <w:ind w:right="986"/>
        <w:jc w:val="left"/>
      </w:pPr>
      <w:r>
        <w:rPr>
          <w:rFonts w:ascii="宋体" w:hAnsi="宋体" w:cs="宋体" w:eastAsia="宋体" w:hint="default"/>
        </w:rPr>
        <w:t>2</w:t>
      </w:r>
      <w:r>
        <w:rPr/>
        <w:t>．确认本公司单独所承担的负债，以及按本公司份额确认共同承担的负债；</w:t>
      </w:r>
    </w:p>
    <w:p>
      <w:pPr>
        <w:pStyle w:val="BodyText"/>
        <w:spacing w:line="240" w:lineRule="auto" w:before="76"/>
        <w:ind w:right="986"/>
        <w:jc w:val="left"/>
      </w:pPr>
      <w:r>
        <w:rPr>
          <w:rFonts w:ascii="宋体" w:hAnsi="宋体" w:cs="宋体" w:eastAsia="宋体" w:hint="default"/>
        </w:rPr>
        <w:t>3</w:t>
      </w:r>
      <w:r>
        <w:rPr/>
        <w:t>．确认出售本公司享有的共同经营产出份额所产生的收入；</w:t>
      </w:r>
    </w:p>
    <w:p>
      <w:pPr>
        <w:pStyle w:val="BodyText"/>
        <w:spacing w:line="240" w:lineRule="auto" w:before="76"/>
        <w:ind w:right="986"/>
        <w:jc w:val="left"/>
      </w:pPr>
      <w:r>
        <w:rPr>
          <w:rFonts w:ascii="宋体" w:hAnsi="宋体" w:cs="宋体" w:eastAsia="宋体" w:hint="default"/>
        </w:rPr>
        <w:t>4</w:t>
      </w:r>
      <w:r>
        <w:rPr/>
        <w:t>．按本公司份额确认共同经营因出售产出所产生的收入；</w:t>
      </w:r>
    </w:p>
    <w:p>
      <w:pPr>
        <w:pStyle w:val="BodyText"/>
        <w:spacing w:line="316" w:lineRule="auto" w:before="76"/>
        <w:ind w:right="1124"/>
        <w:jc w:val="left"/>
      </w:pPr>
      <w:r>
        <w:rPr>
          <w:rFonts w:ascii="宋体" w:hAnsi="宋体" w:cs="宋体" w:eastAsia="宋体" w:hint="default"/>
        </w:rPr>
        <w:t>5</w:t>
      </w:r>
      <w:r>
        <w:rPr/>
        <w:t>．确认单独所发生的费用，以及按本公司份额确认共同经营发生的费用。 </w:t>
      </w:r>
      <w:r>
        <w:rPr>
          <w:spacing w:val="-2"/>
        </w:rPr>
        <w:t>当本公司作为合营方向共同经营投出或出售资产</w:t>
      </w:r>
      <w:r>
        <w:rPr>
          <w:rFonts w:ascii="宋体" w:hAnsi="宋体" w:cs="宋体" w:eastAsia="宋体" w:hint="default"/>
          <w:spacing w:val="-2"/>
        </w:rPr>
        <w:t>(</w:t>
      </w:r>
      <w:r>
        <w:rPr>
          <w:spacing w:val="-2"/>
        </w:rPr>
        <w:t>该资产不构成业务，下同</w:t>
      </w:r>
      <w:r>
        <w:rPr>
          <w:rFonts w:ascii="宋体" w:hAnsi="宋体" w:cs="宋体" w:eastAsia="宋体" w:hint="default"/>
          <w:spacing w:val="-2"/>
        </w:rPr>
        <w:t>)</w:t>
      </w:r>
      <w:r>
        <w:rPr>
          <w:spacing w:val="-2"/>
        </w:rPr>
        <w:t>或者自共同经营购买资产时，在该等资产出售给</w:t>
      </w:r>
      <w:r>
        <w:rPr>
          <w:spacing w:val="-62"/>
        </w:rPr>
        <w:t> </w:t>
      </w:r>
      <w:r>
        <w:rPr>
          <w:spacing w:val="-62"/>
        </w:rPr>
      </w:r>
      <w:r>
        <w:rPr>
          <w:spacing w:val="-2"/>
        </w:rPr>
        <w:t>第三方之前，本公司仅确认因该项交易产生的损益中属于共同经营其他参与方的部分。该等资产发生符合《企业会计准则第</w:t>
      </w:r>
      <w:r>
        <w:rPr>
          <w:spacing w:val="-63"/>
        </w:rPr>
        <w:t> </w:t>
      </w:r>
      <w:r>
        <w:rPr>
          <w:spacing w:val="-63"/>
        </w:rPr>
      </w:r>
      <w:r>
        <w:rPr>
          <w:rFonts w:ascii="宋体" w:hAnsi="宋体" w:cs="宋体" w:eastAsia="宋体" w:hint="default"/>
        </w:rPr>
        <w:t>8</w:t>
      </w:r>
      <w:r>
        <w:rPr/>
        <w:t>号——资产减值》等规定的资产减值损失的，对于由本公司向共同经营投出或者出售资产的情况，本公司全额确认损失； 对于本公司自共同经营购买资产的情况，本公司按承担的份额确认该损失。</w:t>
      </w:r>
    </w:p>
    <w:p>
      <w:pPr>
        <w:spacing w:line="240" w:lineRule="auto" w:before="11"/>
        <w:rPr>
          <w:rFonts w:ascii="宋体" w:hAnsi="宋体" w:cs="宋体" w:eastAsia="宋体" w:hint="default"/>
          <w:sz w:val="22"/>
          <w:szCs w:val="22"/>
        </w:rPr>
      </w:pPr>
    </w:p>
    <w:p>
      <w:pPr>
        <w:pStyle w:val="Heading4"/>
        <w:spacing w:line="240" w:lineRule="auto"/>
        <w:ind w:right="986"/>
        <w:jc w:val="left"/>
        <w:rPr>
          <w:b w:val="0"/>
          <w:bCs w:val="0"/>
        </w:rPr>
      </w:pPr>
      <w:bookmarkStart w:name="8、现金及现金等价物的确定标准" w:id="180"/>
      <w:bookmarkEnd w:id="180"/>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24"/>
        <w:jc w:val="left"/>
      </w:pPr>
      <w:r>
        <w:rPr/>
        <w:t>在编制现金流量表时，将本公司库存现金及可以随时用于支付的存款确认为现金。现金等价物是指企业持有的期限短</w:t>
      </w:r>
      <w:r>
        <w:rPr>
          <w:rFonts w:ascii="宋体" w:hAnsi="宋体" w:cs="宋体" w:eastAsia="宋体" w:hint="default"/>
        </w:rPr>
        <w:t>(</w:t>
      </w:r>
      <w:r>
        <w:rPr/>
        <w:t>一般</w:t>
      </w:r>
      <w:r>
        <w:rPr>
          <w:spacing w:val="-87"/>
        </w:rPr>
        <w:t> </w:t>
      </w:r>
      <w:r>
        <w:rPr/>
        <w:t>是指从购买日起</w:t>
      </w:r>
      <w:r>
        <w:rPr>
          <w:rFonts w:ascii="宋体" w:hAnsi="宋体" w:cs="宋体" w:eastAsia="宋体" w:hint="default"/>
        </w:rPr>
        <w:t>3</w:t>
      </w:r>
      <w:r>
        <w:rPr/>
        <w:t>个月内到期</w:t>
      </w:r>
      <w:r>
        <w:rPr>
          <w:rFonts w:ascii="宋体" w:hAnsi="宋体" w:cs="宋体" w:eastAsia="宋体" w:hint="default"/>
        </w:rPr>
        <w:t>)</w:t>
      </w:r>
      <w:r>
        <w:rPr/>
        <w:t>、流动性强、易于转换为已知金额现金、价值变动风险很小的投资。</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9、外币业务和外币报表折算" w:id="181"/>
      <w:bookmarkEnd w:id="181"/>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034"/>
        <w:jc w:val="left"/>
      </w:pPr>
      <w:r>
        <w:rPr>
          <w:rFonts w:ascii="宋体" w:hAnsi="宋体" w:cs="宋体" w:eastAsia="宋体" w:hint="default"/>
        </w:rPr>
        <w:t>1</w:t>
      </w:r>
      <w:r>
        <w:rPr/>
        <w:t>．外币交易业务 </w:t>
      </w:r>
      <w:r>
        <w:rPr>
          <w:spacing w:val="-2"/>
        </w:rPr>
        <w:t>对发生的外币业务，采用交易发生日的即期汇率</w:t>
      </w:r>
      <w:r>
        <w:rPr>
          <w:rFonts w:ascii="宋体" w:hAnsi="宋体" w:cs="宋体" w:eastAsia="宋体" w:hint="default"/>
          <w:spacing w:val="-2"/>
        </w:rPr>
        <w:t>(</w:t>
      </w:r>
      <w:r>
        <w:rPr>
          <w:spacing w:val="-2"/>
        </w:rPr>
        <w:t>通常指中国人民银行公布的当日外汇牌价的中间价，下同</w:t>
      </w:r>
      <w:r>
        <w:rPr>
          <w:rFonts w:ascii="宋体" w:hAnsi="宋体" w:cs="宋体" w:eastAsia="宋体" w:hint="default"/>
          <w:spacing w:val="-2"/>
        </w:rPr>
        <w:t>)</w:t>
      </w:r>
      <w:r>
        <w:rPr>
          <w:spacing w:val="-2"/>
        </w:rPr>
        <w:t>折合记账本位币</w:t>
      </w:r>
      <w:r>
        <w:rPr>
          <w:spacing w:val="-61"/>
        </w:rPr>
        <w:t> </w:t>
      </w:r>
      <w:r>
        <w:rPr>
          <w:spacing w:val="-61"/>
        </w:rPr>
      </w:r>
      <w:r>
        <w:rPr/>
        <w:t>记账。但公司发生的外币兑换业务或涉及外币兑换的交易事项，按照实际采用的汇率折算为记账本位币金额。 </w:t>
      </w:r>
      <w:r>
        <w:rPr>
          <w:rFonts w:ascii="宋体" w:hAnsi="宋体" w:cs="宋体" w:eastAsia="宋体" w:hint="default"/>
        </w:rPr>
        <w:t>2</w:t>
      </w:r>
      <w:r>
        <w:rPr/>
        <w:t>．外币货币性项目和非货币性项目的折算方法 资产负债表日，对于外币货币性项目采用资产负债表日即期汇率折算，由此产生的汇兑差额，除：</w:t>
      </w:r>
      <w:r>
        <w:rPr>
          <w:rFonts w:ascii="宋体" w:hAnsi="宋体" w:cs="宋体" w:eastAsia="宋体" w:hint="default"/>
        </w:rPr>
        <w:t>(1)</w:t>
      </w:r>
      <w:r>
        <w:rPr/>
        <w:t>属于与购建符合资本 化条件的资产相关的外币专门借款产生的汇兑差额按照借款费用资本化的原则处理；</w:t>
      </w:r>
      <w:r>
        <w:rPr>
          <w:rFonts w:ascii="宋体" w:hAnsi="宋体" w:cs="宋体" w:eastAsia="宋体" w:hint="default"/>
        </w:rPr>
        <w:t>(2)</w:t>
      </w:r>
      <w:r>
        <w:rPr/>
        <w:t>用于境外经营净投资有效套期的套 期工具的汇兑差额</w:t>
      </w:r>
      <w:r>
        <w:rPr>
          <w:rFonts w:ascii="宋体" w:hAnsi="宋体" w:cs="宋体" w:eastAsia="宋体" w:hint="default"/>
        </w:rPr>
        <w:t>(</w:t>
      </w:r>
      <w:r>
        <w:rPr/>
        <w:t>该差额计入其他综合收益，直至净投资被处置才被确认为当期损益</w:t>
      </w:r>
      <w:r>
        <w:rPr>
          <w:rFonts w:ascii="宋体" w:hAnsi="宋体" w:cs="宋体" w:eastAsia="宋体" w:hint="default"/>
        </w:rPr>
        <w:t>)</w:t>
      </w:r>
      <w:r>
        <w:rPr/>
        <w:t>；以及</w:t>
      </w:r>
      <w:r>
        <w:rPr>
          <w:rFonts w:ascii="宋体" w:hAnsi="宋体" w:cs="宋体" w:eastAsia="宋体" w:hint="default"/>
        </w:rPr>
        <w:t>(3)</w:t>
      </w:r>
      <w:r>
        <w:rPr/>
        <w:t>可供出售的外币货币性项</w:t>
      </w:r>
      <w:r>
        <w:rPr>
          <w:spacing w:val="-85"/>
        </w:rPr>
        <w:t> </w:t>
      </w:r>
      <w:r>
        <w:rPr/>
        <w:t>目除摊余成本之外的其他账面余额变动产生的汇兑差额计入其他综合收益之外，均计入当期损益。 </w:t>
      </w:r>
      <w:r>
        <w:rPr>
          <w:spacing w:val="-2"/>
        </w:rPr>
        <w:t>以历史成本计量的外币非货币性项目，仍采用交易发生日的即期汇率折算的记账本位币金额计量。以公允价值计量的外币非</w:t>
      </w:r>
      <w:r>
        <w:rPr>
          <w:spacing w:val="-64"/>
        </w:rPr>
        <w:t> </w:t>
      </w:r>
      <w:r>
        <w:rPr>
          <w:spacing w:val="-64"/>
        </w:rPr>
      </w:r>
      <w:r>
        <w:rPr/>
        <w:t>货币性项目，采用公允价值确定日的即期汇率折算，折算后的记账本位币金额与原记账本位币金额的差额，计入当期损益。</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10、金融工具" w:id="182"/>
      <w:bookmarkEnd w:id="182"/>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034"/>
        <w:jc w:val="left"/>
      </w:pPr>
      <w:r>
        <w:rPr>
          <w:spacing w:val="-2"/>
        </w:rPr>
        <w:t>金融工具，是指形成一方的金融资产并形成其他方的金融负债或权益工具的合同。当本公司成为金融工具合同的一方时，确</w:t>
      </w:r>
      <w:r>
        <w:rPr>
          <w:spacing w:val="-63"/>
        </w:rPr>
        <w:t> </w:t>
      </w:r>
      <w:r>
        <w:rPr>
          <w:spacing w:val="-63"/>
        </w:rPr>
      </w:r>
      <w:r>
        <w:rPr/>
        <w:t>认相关的金融资产或金融负债。 金融资产和金融负债在初始确认时以公允价值计量：①对于以公允价值计量且其变动计入当期损益的金融资产和金融负债，</w:t>
      </w:r>
      <w:r>
        <w:rPr>
          <w:spacing w:val="-86"/>
        </w:rPr>
        <w:t> </w:t>
      </w:r>
      <w:r>
        <w:rPr>
          <w:spacing w:val="-86"/>
        </w:rPr>
      </w:r>
      <w:r>
        <w:rPr>
          <w:spacing w:val="-2"/>
        </w:rPr>
        <w:t>相关交易费用直接计入当期损益；②对于其他类别的金融资产和金融负债，相关交易费用计入初始确认金额。金融资产和金</w:t>
      </w:r>
      <w:r>
        <w:rPr>
          <w:spacing w:val="-63"/>
        </w:rPr>
        <w:t> </w:t>
      </w:r>
      <w:r>
        <w:rPr>
          <w:spacing w:val="-63"/>
        </w:rPr>
      </w:r>
      <w:r>
        <w:rPr/>
        <w:t>融负债的后续计量取决于其分类。 </w:t>
      </w:r>
      <w:r>
        <w:rPr>
          <w:spacing w:val="-2"/>
        </w:rPr>
        <w:t>金融资产或金融负债满足下列条件之一的，表明持有目的是交易性的：①取得相关金融资产或承担相关金融负债的目的，主</w:t>
      </w:r>
      <w:r>
        <w:rPr>
          <w:spacing w:val="-63"/>
        </w:rPr>
        <w:t> </w:t>
      </w:r>
      <w:r>
        <w:rPr>
          <w:spacing w:val="-63"/>
        </w:rPr>
      </w:r>
      <w:r>
        <w:rPr>
          <w:spacing w:val="-2"/>
        </w:rPr>
        <w:t>要是为了近期内出售或回购；②初始确认时属于集中管理的可辨认金融工具组合的一部分，且有客观证据表明近期实际存在</w:t>
      </w:r>
      <w:r>
        <w:rPr>
          <w:spacing w:val="-64"/>
        </w:rPr>
        <w:t> </w:t>
      </w:r>
      <w:r>
        <w:rPr>
          <w:spacing w:val="-64"/>
        </w:rPr>
      </w:r>
      <w:r>
        <w:rPr/>
        <w:t>短期获利模式；③属于衍生工具，但符合财务担保合同定义的衍生工具以及被指定为有效套期工具的衍生工具除外。</w:t>
      </w:r>
    </w:p>
    <w:p>
      <w:pPr>
        <w:pStyle w:val="BodyText"/>
        <w:spacing w:line="316" w:lineRule="auto" w:before="19"/>
        <w:ind w:right="986"/>
        <w:jc w:val="left"/>
      </w:pPr>
      <w:r>
        <w:rPr/>
        <w:t>（</w:t>
      </w:r>
      <w:r>
        <w:rPr>
          <w:rFonts w:ascii="宋体" w:hAnsi="宋体" w:cs="宋体" w:eastAsia="宋体" w:hint="default"/>
        </w:rPr>
        <w:t>1</w:t>
      </w:r>
      <w:r>
        <w:rPr/>
        <w:t>）债务工具 </w:t>
      </w:r>
      <w:r>
        <w:rPr>
          <w:spacing w:val="-2"/>
        </w:rPr>
        <w:t>债务工具是指从发行方角度分析符合金融负债定义的工具。债务工具的分类和后续计量取决于本公司管理金融资产的业务模</w:t>
      </w:r>
      <w:r>
        <w:rPr>
          <w:spacing w:val="-64"/>
        </w:rPr>
        <w:t> </w:t>
      </w:r>
      <w:r>
        <w:rPr>
          <w:spacing w:val="-64"/>
        </w:rPr>
      </w:r>
      <w:r>
        <w:rPr>
          <w:spacing w:val="-2"/>
        </w:rPr>
        <w:t>式，以及金融资产的合同现金流量特征。不能通过现金流量特征测试的，直接分类为以公允价值计量且其变动计入当期损益</w:t>
      </w:r>
      <w:r>
        <w:rPr>
          <w:spacing w:val="-63"/>
        </w:rPr>
        <w:t> </w:t>
      </w:r>
      <w:r>
        <w:rPr>
          <w:spacing w:val="-63"/>
        </w:rPr>
      </w:r>
      <w:r>
        <w:rPr>
          <w:spacing w:val="-2"/>
        </w:rPr>
        <w:t>的金融资产；能够通过现金流量特征测试的，其分类取决于管理金融资产的业务模式，以及是否将其指定为以公允价值计量</w:t>
      </w:r>
      <w:r>
        <w:rPr>
          <w:spacing w:val="-63"/>
        </w:rPr>
        <w:t> </w:t>
      </w:r>
      <w:r>
        <w:rPr>
          <w:spacing w:val="-63"/>
        </w:rPr>
      </w:r>
      <w:r>
        <w:rPr/>
        <w:t>且其变动计入当期损益的金融资产。</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ind w:right="1130"/>
        <w:jc w:val="both"/>
      </w:pPr>
      <w:r>
        <w:rPr>
          <w:spacing w:val="-2"/>
        </w:rPr>
        <w:t>①以摊余成本计量。本公司管理此类金融资产的业务模式为以收取合同现金流量为目标，且此类金融资产的合同现金流量特</w:t>
      </w:r>
      <w:r>
        <w:rPr>
          <w:spacing w:val="-63"/>
        </w:rPr>
        <w:t> </w:t>
      </w:r>
      <w:r>
        <w:rPr>
          <w:spacing w:val="-63"/>
        </w:rPr>
      </w:r>
      <w:r>
        <w:rPr>
          <w:spacing w:val="-2"/>
        </w:rPr>
        <w:t>征与基本借贷安排相一致，即在特定日期产生的现金流量，仅为对本金和以未偿付本金金额为基础的利息的支付，同时并未</w:t>
      </w:r>
      <w:r>
        <w:rPr>
          <w:spacing w:val="-63"/>
        </w:rPr>
        <w:t> </w:t>
      </w:r>
      <w:r>
        <w:rPr>
          <w:spacing w:val="-63"/>
        </w:rPr>
      </w:r>
      <w:r>
        <w:rPr>
          <w:spacing w:val="-2"/>
        </w:rPr>
        <w:t>指定此类金融资产为以公允价值计量且其变动计入当期损益。本公司对于此类金融资产按照实际利率法确认利息收入。此类</w:t>
      </w:r>
      <w:r>
        <w:rPr>
          <w:spacing w:val="-64"/>
        </w:rPr>
        <w:t> </w:t>
      </w:r>
      <w:r>
        <w:rPr>
          <w:spacing w:val="-64"/>
        </w:rPr>
      </w:r>
      <w:r>
        <w:rPr/>
        <w:t>金融资产因终止确认产生的利得或损失以及因减值导致的损失直接计入当期损益。</w:t>
      </w:r>
    </w:p>
    <w:p>
      <w:pPr>
        <w:pStyle w:val="BodyText"/>
        <w:spacing w:line="316" w:lineRule="auto" w:before="17"/>
        <w:ind w:right="986"/>
        <w:jc w:val="left"/>
      </w:pPr>
      <w:r>
        <w:rPr>
          <w:spacing w:val="-2"/>
        </w:rPr>
        <w:t>②以公允价值计量且其变动计入其他综合收益。本公司管理此类金融资产的业务模式为既以收取合同现金流量为目标又以出</w:t>
      </w:r>
      <w:r>
        <w:rPr>
          <w:spacing w:val="-64"/>
        </w:rPr>
        <w:t> </w:t>
      </w:r>
      <w:r>
        <w:rPr>
          <w:spacing w:val="-64"/>
        </w:rPr>
      </w:r>
      <w:r>
        <w:rPr>
          <w:spacing w:val="-2"/>
        </w:rPr>
        <w:t>售为目标，且此类金融资产的合同现金流量特征与基本借贷安排相一致，即在特定日期产生的现金流量，仅为对本金和以未</w:t>
      </w:r>
      <w:r>
        <w:rPr>
          <w:spacing w:val="-62"/>
        </w:rPr>
        <w:t> </w:t>
      </w:r>
      <w:r>
        <w:rPr>
          <w:spacing w:val="-62"/>
        </w:rPr>
      </w:r>
      <w:r>
        <w:rPr>
          <w:spacing w:val="-2"/>
        </w:rPr>
        <w:t>偿付本金金额为基础的利息的支付，同时并未指定此类金融资产为以公允价值计量且其变动计入当期损益。此类金融资产按</w:t>
      </w:r>
      <w:r>
        <w:rPr>
          <w:spacing w:val="-64"/>
        </w:rPr>
        <w:t> </w:t>
      </w:r>
      <w:r>
        <w:rPr>
          <w:spacing w:val="-64"/>
        </w:rPr>
      </w:r>
      <w:r>
        <w:rPr>
          <w:spacing w:val="-4"/>
        </w:rPr>
        <w:t>照公允价值计量且其变动计入其他综合收益，但减值损失或利得、汇兑损益和按照实际利率法计算的利息收入计入当期损益。</w:t>
      </w:r>
      <w:r>
        <w:rPr>
          <w:spacing w:val="-44"/>
        </w:rPr>
        <w:t> </w:t>
      </w:r>
      <w:r>
        <w:rPr>
          <w:spacing w:val="-44"/>
        </w:rPr>
      </w:r>
      <w:r>
        <w:rPr>
          <w:spacing w:val="-4"/>
        </w:rPr>
        <w:t>此类金融资产终止确认时，累计计入其他综合收益的公允价值变动将结转计入当期损益。此类金融资产列示为其他债权投资。</w:t>
      </w:r>
    </w:p>
    <w:p>
      <w:pPr>
        <w:pStyle w:val="BodyText"/>
        <w:spacing w:line="316" w:lineRule="auto" w:before="19"/>
        <w:ind w:right="1129"/>
        <w:jc w:val="both"/>
      </w:pPr>
      <w:r>
        <w:rPr>
          <w:spacing w:val="-2"/>
        </w:rPr>
        <w:t>③以公允价值计量且其变动计入当期损益。本公司将持有的未划分为以摊余成本计量和以公允价值计量且其变动计入其他综</w:t>
      </w:r>
      <w:r>
        <w:rPr>
          <w:spacing w:val="-64"/>
        </w:rPr>
        <w:t> </w:t>
      </w:r>
      <w:r>
        <w:rPr>
          <w:spacing w:val="-64"/>
        </w:rPr>
      </w:r>
      <w:r>
        <w:rPr>
          <w:spacing w:val="-2"/>
        </w:rPr>
        <w:t>合收益的债务工具，以公允价值计量且其变动计入当期损益，分类为以公允价值计量且其变动计入当期损益的金融资产，列</w:t>
      </w:r>
      <w:r>
        <w:rPr>
          <w:spacing w:val="-62"/>
        </w:rPr>
        <w:t> </w:t>
      </w:r>
      <w:r>
        <w:rPr>
          <w:spacing w:val="-62"/>
        </w:rPr>
      </w:r>
      <w:r>
        <w:rPr/>
        <w:t>示为交易性金融资产或其他非流动金融资产。</w:t>
      </w:r>
    </w:p>
    <w:p>
      <w:pPr>
        <w:pStyle w:val="BodyText"/>
        <w:spacing w:line="316" w:lineRule="auto" w:before="19"/>
        <w:ind w:right="986"/>
        <w:jc w:val="left"/>
      </w:pPr>
      <w:r>
        <w:rPr/>
        <w:t>（</w:t>
      </w:r>
      <w:r>
        <w:rPr>
          <w:rFonts w:ascii="宋体" w:hAnsi="宋体" w:cs="宋体" w:eastAsia="宋体" w:hint="default"/>
        </w:rPr>
        <w:t>2</w:t>
      </w:r>
      <w:r>
        <w:rPr/>
        <w:t>）权益工具 </w:t>
      </w:r>
      <w:r>
        <w:rPr>
          <w:spacing w:val="-2"/>
        </w:rPr>
        <w:t>权益工具是指从发行方角度分析符合权益工具定义的工具。权益工具投资以公允价值计量且其变动计入当期损益，列示为交</w:t>
      </w:r>
      <w:r>
        <w:rPr>
          <w:spacing w:val="-64"/>
        </w:rPr>
        <w:t> </w:t>
      </w:r>
      <w:r>
        <w:rPr>
          <w:spacing w:val="-64"/>
        </w:rPr>
      </w:r>
      <w:r>
        <w:rPr>
          <w:spacing w:val="-2"/>
        </w:rPr>
        <w:t>易性金融资产，但本公司管理层指定为以公允价值计量且其变动计入其他综合收益除外。指定为以公允价值计量且其变动计</w:t>
      </w:r>
      <w:r>
        <w:rPr>
          <w:spacing w:val="-64"/>
        </w:rPr>
        <w:t> </w:t>
      </w:r>
      <w:r>
        <w:rPr>
          <w:spacing w:val="-64"/>
        </w:rPr>
      </w:r>
      <w:r>
        <w:rPr>
          <w:spacing w:val="-2"/>
        </w:rPr>
        <w:t>入综合收益的，列示为其他权益工具投资，相关公允价值变动不得结转至当期损益，且该指定一经作出不得撤销。相关股利</w:t>
      </w:r>
      <w:r>
        <w:rPr>
          <w:spacing w:val="-65"/>
        </w:rPr>
        <w:t> </w:t>
      </w:r>
      <w:r>
        <w:rPr>
          <w:spacing w:val="-65"/>
        </w:rPr>
      </w:r>
      <w:r>
        <w:rPr>
          <w:spacing w:val="-2"/>
        </w:rPr>
        <w:t>收入计入当期损益。其他权益工具投资不计提减值准备，终止确认时，之前计入其他综合收益的累计利得或损失从其他综合</w:t>
      </w:r>
      <w:r>
        <w:rPr>
          <w:spacing w:val="-63"/>
        </w:rPr>
        <w:t> </w:t>
      </w:r>
      <w:r>
        <w:rPr>
          <w:spacing w:val="-63"/>
        </w:rPr>
      </w:r>
      <w:r>
        <w:rPr/>
        <w:t>收益转出，计入留存收益。</w:t>
      </w:r>
    </w:p>
    <w:p>
      <w:pPr>
        <w:pStyle w:val="BodyText"/>
        <w:spacing w:line="316" w:lineRule="auto" w:before="19"/>
        <w:ind w:right="3014"/>
        <w:jc w:val="left"/>
      </w:pPr>
      <w:r>
        <w:rPr/>
        <w:t>（</w:t>
      </w:r>
      <w:r>
        <w:rPr>
          <w:rFonts w:ascii="宋体" w:hAnsi="宋体" w:cs="宋体" w:eastAsia="宋体" w:hint="default"/>
        </w:rPr>
        <w:t>3</w:t>
      </w:r>
      <w:r>
        <w:rPr/>
        <w:t>）金融负债 金融负债于初始确认时分类为以公允价值计量且其变动计入当期损益的金融负债及其他金融负债。</w:t>
      </w:r>
    </w:p>
    <w:p>
      <w:pPr>
        <w:pStyle w:val="BodyText"/>
        <w:spacing w:line="316" w:lineRule="auto" w:before="19"/>
        <w:ind w:right="986"/>
        <w:jc w:val="left"/>
      </w:pPr>
      <w:r>
        <w:rPr>
          <w:spacing w:val="-2"/>
        </w:rPr>
        <w:t>以公允价值计量且其变动计入当期损益的金融负债，包括交易性金融负债和指定为以公允价值计量且其变动计入当期损益的</w:t>
      </w:r>
      <w:r>
        <w:rPr>
          <w:spacing w:val="-64"/>
        </w:rPr>
        <w:t> </w:t>
      </w:r>
      <w:r>
        <w:rPr>
          <w:spacing w:val="-64"/>
        </w:rPr>
      </w:r>
      <w:r>
        <w:rPr>
          <w:spacing w:val="-2"/>
        </w:rPr>
        <w:t>金融负债。满足以下条件之一时，金融负债可在初始计量时指定为以公允价值计量且其变动计入当期损益的金融负债：①该</w:t>
      </w:r>
      <w:r>
        <w:rPr>
          <w:spacing w:val="-63"/>
        </w:rPr>
        <w:t> </w:t>
      </w:r>
      <w:r>
        <w:rPr>
          <w:spacing w:val="-63"/>
        </w:rPr>
      </w:r>
      <w:r>
        <w:rPr>
          <w:spacing w:val="-2"/>
        </w:rPr>
        <w:t>项指定能够消除或显著减少会计错配；②根据正式书面文件载明的风险管理或投资策略，以公允价值为基础对金融负债组合</w:t>
      </w:r>
      <w:r>
        <w:rPr>
          <w:spacing w:val="-64"/>
        </w:rPr>
        <w:t> </w:t>
      </w:r>
      <w:r>
        <w:rPr>
          <w:spacing w:val="-64"/>
        </w:rPr>
      </w:r>
      <w:r>
        <w:rPr>
          <w:spacing w:val="-2"/>
        </w:rPr>
        <w:t>或金融资产和金融负债组合进行管理和业绩评价，并在公司内部以此为基础向关键管理人员报告。该指定一经作出，不得撤</w:t>
      </w:r>
      <w:r>
        <w:rPr>
          <w:spacing w:val="-66"/>
        </w:rPr>
        <w:t> </w:t>
      </w:r>
      <w:r>
        <w:rPr>
          <w:spacing w:val="-66"/>
        </w:rPr>
      </w:r>
      <w:r>
        <w:rPr/>
        <w:t>销。 </w:t>
      </w:r>
      <w:r>
        <w:rPr>
          <w:spacing w:val="-2"/>
        </w:rPr>
        <w:t>指定为以公允价值计量且变动计入当期损益的金融负债，由公司自身信用风险变动引起的公允价值的变动金额，计入其他综</w:t>
      </w:r>
      <w:r>
        <w:rPr>
          <w:spacing w:val="-64"/>
        </w:rPr>
        <w:t> </w:t>
      </w:r>
      <w:r>
        <w:rPr>
          <w:spacing w:val="-64"/>
        </w:rPr>
      </w:r>
      <w:r>
        <w:rPr>
          <w:spacing w:val="-2"/>
        </w:rPr>
        <w:t>合收益；其他公允价值变动，计入当期损益。该金融负债终止确认时，之前计入其他综合收益的累计利得或损失从其他综合</w:t>
      </w:r>
      <w:r>
        <w:rPr>
          <w:spacing w:val="-64"/>
        </w:rPr>
        <w:t> </w:t>
      </w:r>
      <w:r>
        <w:rPr>
          <w:spacing w:val="-64"/>
        </w:rPr>
      </w:r>
      <w:r>
        <w:rPr/>
        <w:t>收益转出，计入留存收益。 </w:t>
      </w:r>
      <w:r>
        <w:rPr>
          <w:spacing w:val="-2"/>
        </w:rPr>
        <w:t>本公司其他金融负债主要包括短期借款、长期借款、应付债券等。对于此类金融负债，采用实际利率法，按照摊余成本进行</w:t>
      </w:r>
      <w:r>
        <w:rPr>
          <w:spacing w:val="-67"/>
        </w:rPr>
        <w:t> </w:t>
      </w:r>
      <w:r>
        <w:rPr>
          <w:spacing w:val="-67"/>
        </w:rPr>
      </w:r>
      <w:r>
        <w:rPr/>
        <w:t>后续计量。 </w:t>
      </w:r>
      <w:r>
        <w:rPr>
          <w:spacing w:val="-2"/>
        </w:rPr>
        <w:t>财务担保合同，是指当特定债务人到期不能按照最初或修改后的债务工具条款偿付债务时，要求发行方向蒙受损失的合同持</w:t>
      </w:r>
      <w:r>
        <w:rPr>
          <w:spacing w:val="-64"/>
        </w:rPr>
        <w:t> </w:t>
      </w:r>
      <w:r>
        <w:rPr>
          <w:spacing w:val="-64"/>
        </w:rPr>
      </w:r>
      <w:r>
        <w:rPr>
          <w:spacing w:val="-2"/>
        </w:rPr>
        <w:t>有人赔付特定金额的合同。贷款承诺，是指按照预先规定的条款和条件提供信用的确定性承诺。不属于以公允价值计量且其</w:t>
      </w:r>
      <w:r>
        <w:rPr>
          <w:spacing w:val="-62"/>
        </w:rPr>
        <w:t> </w:t>
      </w:r>
      <w:r>
        <w:rPr>
          <w:spacing w:val="-62"/>
        </w:rPr>
      </w:r>
      <w:r>
        <w:rPr>
          <w:spacing w:val="-2"/>
        </w:rPr>
        <w:t>变动计入当期损益的金融负债的财务担保合同，以及以低于市场利率贷款的贷款承诺，本公司作为发行方的，在初始确认后</w:t>
      </w:r>
      <w:r>
        <w:rPr>
          <w:spacing w:val="-63"/>
        </w:rPr>
        <w:t> </w:t>
      </w:r>
      <w:r>
        <w:rPr>
          <w:spacing w:val="-63"/>
        </w:rPr>
      </w:r>
      <w:r>
        <w:rPr>
          <w:spacing w:val="-2"/>
        </w:rPr>
        <w:t>按照以下二者孰高进行计量：①损失准备金额；②初始确认金额扣除依据《企业会计准则第</w:t>
      </w:r>
      <w:r>
        <w:rPr>
          <w:rFonts w:ascii="宋体" w:hAnsi="宋体" w:cs="宋体" w:eastAsia="宋体" w:hint="default"/>
          <w:spacing w:val="-2"/>
        </w:rPr>
        <w:t>14</w:t>
      </w:r>
      <w:r>
        <w:rPr>
          <w:spacing w:val="-2"/>
        </w:rPr>
        <w:t>号——收入》确定的累计摊销</w:t>
      </w:r>
      <w:r>
        <w:rPr>
          <w:spacing w:val="-62"/>
        </w:rPr>
        <w:t> </w:t>
      </w:r>
      <w:r>
        <w:rPr>
          <w:spacing w:val="-62"/>
        </w:rPr>
      </w:r>
      <w:r>
        <w:rPr/>
        <w:t>额后的余额。</w:t>
      </w:r>
    </w:p>
    <w:p>
      <w:pPr>
        <w:pStyle w:val="BodyText"/>
        <w:spacing w:line="316" w:lineRule="auto" w:before="19"/>
        <w:ind w:right="6974"/>
        <w:jc w:val="left"/>
      </w:pPr>
      <w:r>
        <w:rPr/>
        <w:t>（</w:t>
      </w:r>
      <w:r>
        <w:rPr>
          <w:rFonts w:ascii="宋体" w:hAnsi="宋体" w:cs="宋体" w:eastAsia="宋体" w:hint="default"/>
        </w:rPr>
        <w:t>4</w:t>
      </w:r>
      <w:r>
        <w:rPr/>
        <w:t>）金融资产和金融负债的终止确认 金融资产满足下列条件之一的，予以终止确认：</w:t>
      </w:r>
    </w:p>
    <w:p>
      <w:pPr>
        <w:pStyle w:val="BodyText"/>
        <w:spacing w:line="240" w:lineRule="auto" w:before="19"/>
        <w:ind w:right="986"/>
        <w:jc w:val="left"/>
      </w:pPr>
      <w:r>
        <w:rPr/>
        <w:t>①收取该金融资产现金流量的合同权利终止；</w:t>
      </w:r>
    </w:p>
    <w:p>
      <w:pPr>
        <w:pStyle w:val="BodyText"/>
        <w:spacing w:line="240" w:lineRule="auto" w:before="76"/>
        <w:ind w:right="986"/>
        <w:jc w:val="left"/>
      </w:pPr>
      <w:r>
        <w:rPr/>
        <w:t>②该金融资产已转移，且本公司将金融资产所有权上几乎所有的风险和报酬转移给转入方；</w:t>
      </w:r>
    </w:p>
    <w:p>
      <w:pPr>
        <w:pStyle w:val="BodyText"/>
        <w:spacing w:line="316" w:lineRule="auto" w:before="76"/>
        <w:ind w:right="986"/>
        <w:jc w:val="left"/>
      </w:pPr>
      <w:r>
        <w:rPr>
          <w:spacing w:val="-2"/>
        </w:rPr>
        <w:t>③该金融资产已转移，虽然本公司既没有转移也没有保留金融资产所有权上几乎所有的风险和报酬，但是放弃了对该金融资</w:t>
      </w:r>
      <w:r>
        <w:rPr>
          <w:spacing w:val="-63"/>
        </w:rPr>
        <w:t> </w:t>
      </w:r>
      <w:r>
        <w:rPr>
          <w:spacing w:val="-63"/>
        </w:rPr>
      </w:r>
      <w:r>
        <w:rPr/>
        <w:t>产的控制。</w:t>
      </w:r>
    </w:p>
    <w:p>
      <w:pPr>
        <w:pStyle w:val="BodyText"/>
        <w:spacing w:line="240" w:lineRule="auto" w:before="19"/>
        <w:ind w:right="986"/>
        <w:jc w:val="left"/>
      </w:pPr>
      <w:r>
        <w:rPr/>
        <w:t>金融负债（或其一部分）的现时义务已经解除的，本公司终止确认该金融负债（或该部分金融负债</w:t>
      </w:r>
      <w:r>
        <w:rPr>
          <w:spacing w:val="-92"/>
        </w:rPr>
        <w:t>）</w:t>
      </w:r>
      <w:r>
        <w:rPr/>
        <w:t>。</w:t>
      </w:r>
    </w:p>
    <w:p>
      <w:pPr>
        <w:pStyle w:val="BodyText"/>
        <w:spacing w:line="316" w:lineRule="auto" w:before="76"/>
        <w:ind w:right="986"/>
        <w:jc w:val="left"/>
      </w:pPr>
      <w:r>
        <w:rPr/>
        <w:t>（</w:t>
      </w:r>
      <w:r>
        <w:rPr>
          <w:rFonts w:ascii="宋体" w:hAnsi="宋体" w:cs="宋体" w:eastAsia="宋体" w:hint="default"/>
        </w:rPr>
        <w:t>5</w:t>
      </w:r>
      <w:r>
        <w:rPr/>
        <w:t>）金融工具的减值 </w:t>
      </w:r>
      <w:r>
        <w:rPr>
          <w:spacing w:val="-2"/>
        </w:rPr>
        <w:t>本公司以预期信用损失为基础进行金融工具减值会计处理并确认损失准备。预期信用损失，是指以发生违约的风险为权重的</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ind w:right="986"/>
        <w:jc w:val="left"/>
      </w:pPr>
      <w:r>
        <w:rPr>
          <w:spacing w:val="-2"/>
        </w:rPr>
        <w:t>金融工具信用损失的加权平均值。信用损失，是指按照原实际利率折现的、根据合同应收的所有合同现金流量与预期收取的</w:t>
      </w:r>
      <w:r>
        <w:rPr>
          <w:spacing w:val="-66"/>
        </w:rPr>
        <w:t> </w:t>
      </w:r>
      <w:r>
        <w:rPr>
          <w:spacing w:val="-66"/>
        </w:rPr>
      </w:r>
      <w:r>
        <w:rPr/>
        <w:t>所有现金流量之间的差额，即全部现金短缺的现值。 </w:t>
      </w:r>
      <w:r>
        <w:rPr>
          <w:spacing w:val="-2"/>
        </w:rPr>
        <w:t>本公司计量金融工具预期信用损失的方法反映的因素包括：通过评价一系列可能的结果而确定的无偏概率加权平均金额；货</w:t>
      </w:r>
      <w:r>
        <w:rPr>
          <w:spacing w:val="-64"/>
        </w:rPr>
        <w:t> </w:t>
      </w:r>
      <w:r>
        <w:rPr>
          <w:spacing w:val="-64"/>
        </w:rPr>
      </w:r>
      <w:r>
        <w:rPr>
          <w:spacing w:val="-2"/>
        </w:rPr>
        <w:t>币时间价值；在资产负债表日无须付出不必要的额外成本或努力即可获得的有关过去事项、当前状况以及未来经济状况预测</w:t>
      </w:r>
      <w:r>
        <w:rPr>
          <w:spacing w:val="-64"/>
        </w:rPr>
        <w:t> </w:t>
      </w:r>
      <w:r>
        <w:rPr>
          <w:spacing w:val="-64"/>
        </w:rPr>
      </w:r>
      <w:r>
        <w:rPr/>
        <w:t>的合理且有依据的信息。本公司按照下列方法确定相关金融工具的预期信用损失：</w:t>
      </w:r>
    </w:p>
    <w:p>
      <w:pPr>
        <w:pStyle w:val="BodyText"/>
        <w:spacing w:line="240" w:lineRule="auto" w:before="17"/>
        <w:ind w:right="986"/>
        <w:jc w:val="left"/>
      </w:pPr>
      <w:r>
        <w:rPr/>
        <w:t>①对于金融资产，信用损失为本公司应收取的合同现金流量与预期收取的现金流量之间差额的现值；</w:t>
      </w:r>
    </w:p>
    <w:p>
      <w:pPr>
        <w:pStyle w:val="BodyText"/>
        <w:spacing w:line="240" w:lineRule="auto" w:before="76"/>
        <w:ind w:right="986"/>
        <w:jc w:val="left"/>
      </w:pPr>
      <w:r>
        <w:rPr/>
        <w:t>②对于租赁应收款项，信用损失为本公司应收取的合同现金流量与预期收取的现金流量之间差额的现值；</w:t>
      </w:r>
    </w:p>
    <w:p>
      <w:pPr>
        <w:pStyle w:val="BodyText"/>
        <w:spacing w:line="316" w:lineRule="auto" w:before="76"/>
        <w:ind w:right="986"/>
        <w:jc w:val="left"/>
      </w:pPr>
      <w:r>
        <w:rPr>
          <w:spacing w:val="-2"/>
        </w:rPr>
        <w:t>③对于未提用的贷款承诺，信用损失为在贷款承诺持有人提用相应贷款的情况下，本公司应收取的合同现金流量与预期收取</w:t>
      </w:r>
      <w:r>
        <w:rPr>
          <w:spacing w:val="-63"/>
        </w:rPr>
        <w:t> </w:t>
      </w:r>
      <w:r>
        <w:rPr>
          <w:spacing w:val="-63"/>
        </w:rPr>
      </w:r>
      <w:r>
        <w:rPr/>
        <w:t>的现金流量之间差额的现值。本公司对贷款承诺预期信用损失的估计，与其对该贷款承诺提用情况的预期保持一致；</w:t>
      </w:r>
    </w:p>
    <w:p>
      <w:pPr>
        <w:pStyle w:val="BodyText"/>
        <w:spacing w:line="316" w:lineRule="auto" w:before="19"/>
        <w:ind w:right="986"/>
        <w:jc w:val="left"/>
      </w:pPr>
      <w:r>
        <w:rPr>
          <w:spacing w:val="-2"/>
        </w:rPr>
        <w:t>④对于财务担保合同，信用损失为本公司就该合同持有人发生的信用损失向其做出赔付的预计付款额，减去本公司预期向该</w:t>
      </w:r>
      <w:r>
        <w:rPr>
          <w:spacing w:val="-64"/>
        </w:rPr>
        <w:t> </w:t>
      </w:r>
      <w:r>
        <w:rPr>
          <w:spacing w:val="-64"/>
        </w:rPr>
      </w:r>
      <w:r>
        <w:rPr/>
        <w:t>合同持有人、债务人或任何其他方收取的金额之间差额的现值；</w:t>
      </w:r>
    </w:p>
    <w:p>
      <w:pPr>
        <w:pStyle w:val="BodyText"/>
        <w:spacing w:line="316" w:lineRule="auto" w:before="19"/>
        <w:ind w:right="986"/>
        <w:jc w:val="left"/>
      </w:pPr>
      <w:r>
        <w:rPr>
          <w:spacing w:val="-2"/>
        </w:rPr>
        <w:t>⑤对于资产负债表日已发生信用减值但并非购买或源生已发生信用减值的金融资产，信用损失为该金融资产账面余额与按原</w:t>
      </w:r>
      <w:r>
        <w:rPr>
          <w:spacing w:val="-64"/>
        </w:rPr>
        <w:t> </w:t>
      </w:r>
      <w:r>
        <w:rPr>
          <w:spacing w:val="-64"/>
        </w:rPr>
      </w:r>
      <w:r>
        <w:rPr/>
        <w:t>实际利率折现的估计未来现金流量的现值之间的差额。 </w:t>
      </w:r>
      <w:r>
        <w:rPr>
          <w:spacing w:val="-2"/>
        </w:rPr>
        <w:t>对于购买或源生的未发生信用减值的金融工具，每个资产负债表日，考虑合理且有依据的信息（包括前瞻性信息），评估其</w:t>
      </w:r>
      <w:r>
        <w:rPr>
          <w:spacing w:val="-72"/>
        </w:rPr>
        <w:t> </w:t>
      </w:r>
      <w:r>
        <w:rPr>
          <w:spacing w:val="-72"/>
        </w:rPr>
      </w:r>
      <w:r>
        <w:rPr>
          <w:spacing w:val="-2"/>
        </w:rPr>
        <w:t>信用风险自初始确认后是否显著增加，按照三阶段分别确认预期信用损失。信用风险自初始确认后未显著增加的，处于第一</w:t>
      </w:r>
      <w:r>
        <w:rPr>
          <w:spacing w:val="-63"/>
        </w:rPr>
        <w:t> </w:t>
      </w:r>
      <w:r>
        <w:rPr>
          <w:spacing w:val="-63"/>
        </w:rPr>
      </w:r>
      <w:r>
        <w:rPr>
          <w:spacing w:val="-2"/>
        </w:rPr>
        <w:t>阶段，按照该金融工具未来</w:t>
      </w:r>
      <w:r>
        <w:rPr>
          <w:rFonts w:ascii="宋体" w:hAnsi="宋体" w:cs="宋体" w:eastAsia="宋体" w:hint="default"/>
          <w:spacing w:val="-2"/>
        </w:rPr>
        <w:t>12</w:t>
      </w:r>
      <w:r>
        <w:rPr>
          <w:spacing w:val="-2"/>
        </w:rPr>
        <w:t>个月内的预期信用损失计量损失准备；信用风险自初始确认后已显著增加但尚未发生信用减值</w:t>
      </w:r>
      <w:r>
        <w:rPr>
          <w:spacing w:val="-63"/>
        </w:rPr>
        <w:t> </w:t>
      </w:r>
      <w:r>
        <w:rPr>
          <w:spacing w:val="-63"/>
        </w:rPr>
      </w:r>
      <w:r>
        <w:rPr>
          <w:spacing w:val="-2"/>
        </w:rPr>
        <w:t>的，处于第二阶段，按照该金融工具整个存续期的预期信用损失计量损失准备；自初始确认后已经发生信用减值的，处于第</w:t>
      </w:r>
      <w:r>
        <w:rPr>
          <w:spacing w:val="-64"/>
        </w:rPr>
        <w:t> </w:t>
      </w:r>
      <w:r>
        <w:rPr>
          <w:spacing w:val="-64"/>
        </w:rPr>
      </w:r>
      <w:r>
        <w:rPr>
          <w:spacing w:val="-2"/>
        </w:rPr>
        <w:t>三阶段，按照该金融工具整个存续期的预期信用损失计量损失准备。处于第一阶段和第二阶段的金融工具，按照其账面余额</w:t>
      </w:r>
      <w:r>
        <w:rPr>
          <w:spacing w:val="-61"/>
        </w:rPr>
        <w:t> </w:t>
      </w:r>
      <w:r>
        <w:rPr>
          <w:spacing w:val="-61"/>
        </w:rPr>
      </w:r>
      <w:r>
        <w:rPr/>
        <w:t>和实际利率计算利息收入；处于第三阶段的金融工具，按照其摊余成本和实际利率计算确定利息收入。 </w:t>
      </w:r>
      <w:r>
        <w:rPr>
          <w:spacing w:val="-2"/>
        </w:rPr>
        <w:t>对于购买或源生的已发生信用减值的金融资产，在资产负债表日仅将自初始确认后整个存续期内预期信用损失的累计变动确</w:t>
      </w:r>
      <w:r>
        <w:rPr>
          <w:spacing w:val="-64"/>
        </w:rPr>
        <w:t> </w:t>
      </w:r>
      <w:r>
        <w:rPr>
          <w:spacing w:val="-64"/>
        </w:rPr>
      </w:r>
      <w:r>
        <w:rPr/>
        <w:t>认为损失准备，其利息收入按照金融资产的摊余成本和经信用调整的实际利率计算确定。 </w:t>
      </w:r>
      <w:r>
        <w:rPr>
          <w:spacing w:val="-2"/>
        </w:rPr>
        <w:t>损失准备的增加或转回，作为减值损失或利得，计入当期损益。对于持有的以公允价值计量且其变动计入其他综合收益的债</w:t>
      </w:r>
      <w:r>
        <w:rPr>
          <w:spacing w:val="-63"/>
        </w:rPr>
        <w:t> </w:t>
      </w:r>
      <w:r>
        <w:rPr>
          <w:spacing w:val="-63"/>
        </w:rPr>
      </w:r>
      <w:r>
        <w:rPr/>
        <w:t>务工具，减值损失或利得计入当期损益的同时调整其他综合收益。 </w:t>
      </w:r>
      <w:r>
        <w:rPr>
          <w:rFonts w:ascii="宋体" w:hAnsi="宋体" w:cs="宋体" w:eastAsia="宋体" w:hint="default"/>
        </w:rPr>
        <w:t>A.</w:t>
      </w:r>
      <w:r>
        <w:rPr/>
        <w:t>对于应收票据和应收账款，无论是否存在重大融资成分，本公司均按照整个存续期的预期信用损失计量损失准备。 </w:t>
      </w:r>
      <w:r>
        <w:rPr>
          <w:spacing w:val="-2"/>
        </w:rPr>
        <w:t>当单项应收票据和应收账款无法以合理成本取得评估预期信用损失的信息时，本公司依据信用风险特征，将应收票据和应收</w:t>
      </w:r>
      <w:r>
        <w:rPr>
          <w:spacing w:val="-64"/>
        </w:rPr>
        <w:t> </w:t>
      </w:r>
      <w:r>
        <w:rPr>
          <w:spacing w:val="-64"/>
        </w:rPr>
      </w:r>
      <w:r>
        <w:rPr/>
        <w:t>账款划分为若干组合，在组合基础上计算预期信用损失。 </w:t>
      </w:r>
      <w:r>
        <w:rPr>
          <w:spacing w:val="-2"/>
        </w:rPr>
        <w:t>对于划分为组合的应收票据，本公司参考历史信用损失经验，结合当前状况以及对未来经济状况的预测，通过违约风险敞口</w:t>
      </w:r>
      <w:r>
        <w:rPr>
          <w:spacing w:val="-63"/>
        </w:rPr>
        <w:t> </w:t>
      </w:r>
      <w:r>
        <w:rPr>
          <w:spacing w:val="-63"/>
        </w:rPr>
      </w:r>
      <w:r>
        <w:rPr/>
        <w:t>和整个存续期预期信用损失率，计算预期信用损失。确定组合的依据如下：</w:t>
      </w:r>
    </w:p>
    <w:p>
      <w:pPr>
        <w:pStyle w:val="BodyText"/>
        <w:tabs>
          <w:tab w:pos="1555" w:val="left" w:leader="none"/>
        </w:tabs>
        <w:spacing w:line="316" w:lineRule="auto" w:before="19"/>
        <w:ind w:right="8248"/>
        <w:jc w:val="left"/>
      </w:pPr>
      <w:r>
        <w:rPr/>
        <w:t>应收票据组合</w:t>
      </w:r>
      <w:r>
        <w:rPr>
          <w:rFonts w:ascii="宋体" w:hAnsi="宋体" w:cs="宋体" w:eastAsia="宋体" w:hint="default"/>
        </w:rPr>
        <w:t>1</w:t>
        <w:tab/>
      </w:r>
      <w:r>
        <w:rPr/>
        <w:t>商业承兑汇票 应收票据组合</w:t>
      </w:r>
      <w:r>
        <w:rPr>
          <w:rFonts w:ascii="宋体" w:hAnsi="宋体" w:cs="宋体" w:eastAsia="宋体" w:hint="default"/>
        </w:rPr>
        <w:t>2</w:t>
        <w:tab/>
      </w:r>
      <w:r>
        <w:rPr/>
        <w:t>银行承兑汇票</w:t>
      </w:r>
    </w:p>
    <w:p>
      <w:pPr>
        <w:pStyle w:val="BodyText"/>
        <w:spacing w:line="316" w:lineRule="auto" w:before="19"/>
        <w:ind w:right="986"/>
        <w:jc w:val="left"/>
      </w:pPr>
      <w:r>
        <w:rPr>
          <w:spacing w:val="-2"/>
        </w:rPr>
        <w:t>对于划分为组合的应收账款，本公司参考历史信用损失经验，结合当前状况以及对未来经济状况的预测，编制应收账款账龄</w:t>
      </w:r>
      <w:r>
        <w:rPr>
          <w:spacing w:val="-62"/>
        </w:rPr>
        <w:t> </w:t>
      </w:r>
      <w:r>
        <w:rPr>
          <w:spacing w:val="-62"/>
        </w:rPr>
      </w:r>
      <w:r>
        <w:rPr/>
        <w:t>与整个存续期预期信用损失率对照表，计算预期信用损失。确定组合的依据如下：</w:t>
      </w:r>
    </w:p>
    <w:tbl>
      <w:tblPr>
        <w:tblW w:w="0" w:type="auto"/>
        <w:jc w:val="left"/>
        <w:tblInd w:w="105" w:type="dxa"/>
        <w:tblLayout w:type="fixed"/>
        <w:tblCellMar>
          <w:top w:w="0" w:type="dxa"/>
          <w:left w:w="0" w:type="dxa"/>
          <w:bottom w:w="0" w:type="dxa"/>
          <w:right w:w="0" w:type="dxa"/>
        </w:tblCellMar>
        <w:tblLook w:val="01E0"/>
      </w:tblPr>
      <w:tblGrid>
        <w:gridCol w:w="1440"/>
        <w:gridCol w:w="4623"/>
      </w:tblGrid>
      <w:tr>
        <w:trPr>
          <w:trHeight w:val="348"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5"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4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center"/>
              <w:rPr>
                <w:rFonts w:ascii="宋体" w:hAnsi="宋体" w:cs="宋体" w:eastAsia="宋体" w:hint="default"/>
                <w:sz w:val="20"/>
                <w:szCs w:val="20"/>
              </w:rPr>
            </w:pPr>
            <w:r>
              <w:rPr>
                <w:rFonts w:ascii="宋体" w:hAnsi="宋体" w:cs="宋体" w:eastAsia="宋体" w:hint="default"/>
                <w:sz w:val="20"/>
                <w:szCs w:val="20"/>
              </w:rPr>
              <w:t>确定组合的依据</w:t>
            </w:r>
          </w:p>
        </w:tc>
      </w:tr>
      <w:tr>
        <w:trPr>
          <w:trHeight w:val="346"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组合</w:t>
            </w:r>
            <w:r>
              <w:rPr>
                <w:rFonts w:ascii="宋体" w:hAnsi="宋体" w:cs="宋体" w:eastAsia="宋体" w:hint="default"/>
                <w:sz w:val="20"/>
                <w:szCs w:val="20"/>
              </w:rPr>
              <w:t>1</w:t>
            </w:r>
          </w:p>
        </w:tc>
        <w:tc>
          <w:tcPr>
            <w:tcW w:w="4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以应收款项的账龄作为信用风险特征</w:t>
            </w:r>
          </w:p>
        </w:tc>
      </w:tr>
      <w:tr>
        <w:trPr>
          <w:trHeight w:val="348"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组合</w:t>
            </w:r>
            <w:r>
              <w:rPr>
                <w:rFonts w:ascii="宋体" w:hAnsi="宋体" w:cs="宋体" w:eastAsia="宋体" w:hint="default"/>
                <w:sz w:val="20"/>
                <w:szCs w:val="20"/>
              </w:rPr>
              <w:t>2</w:t>
            </w:r>
          </w:p>
        </w:tc>
        <w:tc>
          <w:tcPr>
            <w:tcW w:w="4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保理业务应收款项及应收利息</w:t>
            </w:r>
          </w:p>
        </w:tc>
      </w:tr>
      <w:tr>
        <w:trPr>
          <w:trHeight w:val="346"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组合</w:t>
            </w:r>
            <w:r>
              <w:rPr>
                <w:rFonts w:ascii="宋体" w:hAnsi="宋体" w:cs="宋体" w:eastAsia="宋体" w:hint="default"/>
                <w:sz w:val="20"/>
                <w:szCs w:val="20"/>
              </w:rPr>
              <w:t>3</w:t>
            </w:r>
          </w:p>
        </w:tc>
        <w:tc>
          <w:tcPr>
            <w:tcW w:w="4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民间资本管理应收款项及应收利息</w:t>
            </w:r>
          </w:p>
        </w:tc>
      </w:tr>
      <w:tr>
        <w:trPr>
          <w:trHeight w:val="348" w:hRule="exact"/>
        </w:trPr>
        <w:tc>
          <w:tcPr>
            <w:tcW w:w="14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组合</w:t>
            </w:r>
            <w:r>
              <w:rPr>
                <w:rFonts w:ascii="宋体" w:hAnsi="宋体" w:cs="宋体" w:eastAsia="宋体" w:hint="default"/>
                <w:sz w:val="20"/>
                <w:szCs w:val="20"/>
              </w:rPr>
              <w:t>4</w:t>
            </w:r>
          </w:p>
        </w:tc>
        <w:tc>
          <w:tcPr>
            <w:tcW w:w="46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应收本公司合并报表范围内关联方应收款项</w:t>
            </w:r>
          </w:p>
        </w:tc>
      </w:tr>
    </w:tbl>
    <w:p>
      <w:pPr>
        <w:pStyle w:val="BodyText"/>
        <w:spacing w:line="316" w:lineRule="auto" w:before="19"/>
        <w:ind w:right="986"/>
        <w:jc w:val="left"/>
      </w:pPr>
      <w:r>
        <w:rPr>
          <w:rFonts w:ascii="宋体" w:hAnsi="宋体" w:cs="宋体" w:eastAsia="宋体" w:hint="default"/>
          <w:spacing w:val="-2"/>
        </w:rPr>
        <w:t>B.</w:t>
      </w:r>
      <w:r>
        <w:rPr>
          <w:spacing w:val="-2"/>
        </w:rPr>
        <w:t>当单项其他应收款无法以合理成本取得评估预期信用损失的信息时，本公司依据信用风险特征将其他应收款划分为若干组</w:t>
      </w:r>
      <w:r>
        <w:rPr>
          <w:spacing w:val="-63"/>
        </w:rPr>
        <w:t> </w:t>
      </w:r>
      <w:r>
        <w:rPr>
          <w:spacing w:val="-63"/>
        </w:rPr>
      </w:r>
      <w:r>
        <w:rPr/>
        <w:t>合，在组合基础上计算预期信用损失。确定组合的依据如下：</w:t>
      </w:r>
    </w:p>
    <w:tbl>
      <w:tblPr>
        <w:tblW w:w="0" w:type="auto"/>
        <w:jc w:val="left"/>
        <w:tblInd w:w="105" w:type="dxa"/>
        <w:tblLayout w:type="fixed"/>
        <w:tblCellMar>
          <w:top w:w="0" w:type="dxa"/>
          <w:left w:w="0" w:type="dxa"/>
          <w:bottom w:w="0" w:type="dxa"/>
          <w:right w:w="0" w:type="dxa"/>
        </w:tblCellMar>
        <w:tblLook w:val="01E0"/>
      </w:tblPr>
      <w:tblGrid>
        <w:gridCol w:w="1354"/>
        <w:gridCol w:w="4436"/>
      </w:tblGrid>
      <w:tr>
        <w:trPr>
          <w:trHeight w:val="348" w:hRule="exact"/>
        </w:trPr>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5"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center"/>
              <w:rPr>
                <w:rFonts w:ascii="宋体" w:hAnsi="宋体" w:cs="宋体" w:eastAsia="宋体" w:hint="default"/>
                <w:sz w:val="20"/>
                <w:szCs w:val="20"/>
              </w:rPr>
            </w:pPr>
            <w:r>
              <w:rPr>
                <w:rFonts w:ascii="宋体" w:hAnsi="宋体" w:cs="宋体" w:eastAsia="宋体" w:hint="default"/>
                <w:sz w:val="20"/>
                <w:szCs w:val="20"/>
              </w:rPr>
              <w:t>确定组合的依据</w:t>
            </w:r>
          </w:p>
        </w:tc>
      </w:tr>
      <w:tr>
        <w:trPr>
          <w:trHeight w:val="346" w:hRule="exact"/>
        </w:trPr>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组合</w:t>
            </w:r>
            <w:r>
              <w:rPr>
                <w:rFonts w:ascii="宋体" w:hAnsi="宋体" w:cs="宋体" w:eastAsia="宋体" w:hint="default"/>
                <w:sz w:val="20"/>
                <w:szCs w:val="20"/>
              </w:rPr>
              <w:t>1</w:t>
            </w:r>
          </w:p>
        </w:tc>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以应收款项的账龄作为信用风险特征</w:t>
            </w:r>
          </w:p>
        </w:tc>
      </w:tr>
      <w:tr>
        <w:trPr>
          <w:trHeight w:val="348" w:hRule="exact"/>
        </w:trPr>
        <w:tc>
          <w:tcPr>
            <w:tcW w:w="13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组合</w:t>
            </w:r>
            <w:r>
              <w:rPr>
                <w:rFonts w:ascii="宋体" w:hAnsi="宋体" w:cs="宋体" w:eastAsia="宋体" w:hint="default"/>
                <w:sz w:val="20"/>
                <w:szCs w:val="20"/>
              </w:rPr>
              <w:t>2</w:t>
            </w:r>
          </w:p>
        </w:tc>
        <w:tc>
          <w:tcPr>
            <w:tcW w:w="44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应收本公司合并报表范围内关联方款项</w:t>
            </w:r>
          </w:p>
        </w:tc>
      </w:tr>
    </w:tbl>
    <w:p>
      <w:pPr>
        <w:pStyle w:val="BodyText"/>
        <w:spacing w:line="240" w:lineRule="auto" w:before="19"/>
        <w:ind w:right="986"/>
        <w:jc w:val="left"/>
      </w:pPr>
      <w:r>
        <w:rPr/>
        <w:t>对于应收租赁款，本公司参考历史信用损失经验，结合当前状况以及对未来经济状况的预测，通过违约风险敞口和整个存续</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ind w:right="986"/>
        <w:jc w:val="left"/>
      </w:pPr>
      <w:r>
        <w:rPr>
          <w:spacing w:val="-2"/>
        </w:rPr>
        <w:t>期预期信用损失率，计算预期信用损失。除应收租赁款之外的划分为组合的其他应收款和长期应收款，通过违约风险敞口和</w:t>
      </w:r>
      <w:r>
        <w:rPr>
          <w:spacing w:val="-63"/>
        </w:rPr>
        <w:t> </w:t>
      </w:r>
      <w:r>
        <w:rPr>
          <w:spacing w:val="-63"/>
        </w:rPr>
      </w:r>
      <w:r>
        <w:rPr/>
        <w:t>未来</w:t>
      </w:r>
      <w:r>
        <w:rPr>
          <w:rFonts w:ascii="宋体" w:hAnsi="宋体" w:cs="宋体" w:eastAsia="宋体" w:hint="default"/>
        </w:rPr>
        <w:t>12</w:t>
      </w:r>
      <w:r>
        <w:rPr/>
        <w:t>个月内或整个存续期预期信用损失率，计算预期信用损失。</w:t>
      </w:r>
    </w:p>
    <w:p>
      <w:pPr>
        <w:pStyle w:val="BodyText"/>
        <w:spacing w:line="316" w:lineRule="auto" w:before="17"/>
        <w:ind w:right="986"/>
        <w:jc w:val="left"/>
      </w:pPr>
      <w:r>
        <w:rPr/>
        <w:t>（</w:t>
      </w:r>
      <w:r>
        <w:rPr>
          <w:rFonts w:ascii="宋体" w:hAnsi="宋体" w:cs="宋体" w:eastAsia="宋体" w:hint="default"/>
        </w:rPr>
        <w:t>6</w:t>
      </w:r>
      <w:r>
        <w:rPr/>
        <w:t>）衍生工具及嵌入衍生工具 </w:t>
      </w:r>
      <w:r>
        <w:rPr>
          <w:spacing w:val="-2"/>
        </w:rPr>
        <w:t>本公司衍生工具主要包括远期合同、期货合同、互换合同。衍生工具初始以衍生交易合同签订当日的公允价值进行计量，并</w:t>
      </w:r>
      <w:r>
        <w:rPr>
          <w:spacing w:val="-66"/>
        </w:rPr>
        <w:t> </w:t>
      </w:r>
      <w:r>
        <w:rPr>
          <w:spacing w:val="-66"/>
        </w:rPr>
      </w:r>
      <w:r>
        <w:rPr/>
        <w:t>以其公允价值进行后续计量。本公司衍生工具公允价值变动而产生的利得或损失，直接计入当期损益。 </w:t>
      </w:r>
      <w:r>
        <w:rPr>
          <w:spacing w:val="-2"/>
        </w:rPr>
        <w:t>嵌入衍生工具是指嵌入到非衍生工具（即主合同）中的衍生工具，与主合同构成混合合同。混合合同包含的主合同属于金融</w:t>
      </w:r>
      <w:r>
        <w:rPr>
          <w:spacing w:val="-64"/>
        </w:rPr>
        <w:t> </w:t>
      </w:r>
      <w:r>
        <w:rPr>
          <w:spacing w:val="-64"/>
        </w:rPr>
      </w:r>
      <w:r>
        <w:rPr>
          <w:spacing w:val="-2"/>
        </w:rPr>
        <w:t>工具准则规范的资产的，本公司不从该混合合同中分拆嵌入衍生工具，而是将该混合合同作为一个整体适用金融工具准则关</w:t>
      </w:r>
      <w:r>
        <w:rPr>
          <w:spacing w:val="-64"/>
        </w:rPr>
        <w:t> </w:t>
      </w:r>
      <w:r>
        <w:rPr>
          <w:spacing w:val="-64"/>
        </w:rPr>
      </w:r>
      <w:r>
        <w:rPr/>
        <w:t>于金融资产分类的相关规定。 </w:t>
      </w:r>
      <w:r>
        <w:rPr>
          <w:spacing w:val="-2"/>
        </w:rPr>
        <w:t>混合合同包含的主合同不属于金融工具准则规范的资产，且同时符合下列条件的，本公司从主合同中分拆嵌入衍生工具，将</w:t>
      </w:r>
      <w:r>
        <w:rPr>
          <w:spacing w:val="-63"/>
        </w:rPr>
        <w:t> </w:t>
      </w:r>
      <w:r>
        <w:rPr>
          <w:spacing w:val="-63"/>
        </w:rPr>
      </w:r>
      <w:r>
        <w:rPr/>
        <w:t>其作为单独存在的衍生工具进行处理：</w:t>
      </w:r>
    </w:p>
    <w:p>
      <w:pPr>
        <w:pStyle w:val="BodyText"/>
        <w:spacing w:line="240" w:lineRule="auto" w:before="19"/>
        <w:ind w:right="986"/>
        <w:jc w:val="left"/>
      </w:pPr>
      <w:r>
        <w:rPr/>
        <w:t>①嵌入衍生工具的经济特征和风险与主合同的经济特征和风险不紧密相关；</w:t>
      </w:r>
    </w:p>
    <w:p>
      <w:pPr>
        <w:pStyle w:val="BodyText"/>
        <w:spacing w:line="240" w:lineRule="auto" w:before="76"/>
        <w:ind w:right="986"/>
        <w:jc w:val="left"/>
      </w:pPr>
      <w:r>
        <w:rPr/>
        <w:t>②与嵌入衍生工具具有相关条款的单独工具符合衍生工具的定义；</w:t>
      </w:r>
    </w:p>
    <w:p>
      <w:pPr>
        <w:pStyle w:val="BodyText"/>
        <w:spacing w:line="240" w:lineRule="auto" w:before="77"/>
        <w:ind w:right="986"/>
        <w:jc w:val="left"/>
      </w:pPr>
      <w:r>
        <w:rPr/>
        <w:t>③该混合合同不是以公允价值计量且其变动计入当期损益进行会计处理。</w:t>
      </w:r>
    </w:p>
    <w:p>
      <w:pPr>
        <w:pStyle w:val="BodyText"/>
        <w:spacing w:line="316" w:lineRule="auto" w:before="76"/>
        <w:ind w:right="986"/>
        <w:jc w:val="left"/>
      </w:pPr>
      <w:r>
        <w:rPr/>
        <w:t>（</w:t>
      </w:r>
      <w:r>
        <w:rPr>
          <w:rFonts w:ascii="宋体" w:hAnsi="宋体" w:cs="宋体" w:eastAsia="宋体" w:hint="default"/>
        </w:rPr>
        <w:t>7</w:t>
      </w:r>
      <w:r>
        <w:rPr/>
        <w:t>）金融资产和金融负债的抵销 </w:t>
      </w:r>
      <w:r>
        <w:rPr>
          <w:spacing w:val="-2"/>
        </w:rPr>
        <w:t>当本公司具有抵销已确认金融资产和金融负债的法定权利，且目前可执行该种法定权利，同时本公司计划以净额结算或同时</w:t>
      </w:r>
      <w:r>
        <w:rPr>
          <w:spacing w:val="-64"/>
        </w:rPr>
        <w:t> </w:t>
      </w:r>
      <w:r>
        <w:rPr>
          <w:spacing w:val="-64"/>
        </w:rPr>
      </w:r>
      <w:r>
        <w:rPr>
          <w:spacing w:val="-2"/>
        </w:rPr>
        <w:t>变现该金融资产和清偿该金融负债时，金融资产和金融负债以相互抵销后的金额在资产负债表内列示。除此以外，金融资产</w:t>
      </w:r>
      <w:r>
        <w:rPr>
          <w:spacing w:val="-66"/>
        </w:rPr>
        <w:t> </w:t>
      </w:r>
      <w:r>
        <w:rPr>
          <w:spacing w:val="-66"/>
        </w:rPr>
      </w:r>
      <w:r>
        <w:rPr/>
        <w:t>和金融负债在资产负债表内分别列示，不予相互抵销。</w:t>
      </w:r>
    </w:p>
    <w:p>
      <w:pPr>
        <w:pStyle w:val="BodyText"/>
        <w:spacing w:line="316" w:lineRule="auto" w:before="19"/>
        <w:ind w:right="986"/>
        <w:jc w:val="left"/>
      </w:pPr>
      <w:r>
        <w:rPr/>
        <w:t>（</w:t>
      </w:r>
      <w:r>
        <w:rPr>
          <w:rFonts w:ascii="宋体" w:hAnsi="宋体" w:cs="宋体" w:eastAsia="宋体" w:hint="default"/>
        </w:rPr>
        <w:t>8</w:t>
      </w:r>
      <w:r>
        <w:rPr/>
        <w:t>）金融工具的公允价值确定 </w:t>
      </w:r>
      <w:r>
        <w:rPr>
          <w:spacing w:val="-2"/>
        </w:rPr>
        <w:t>存在活跃市场的金融工具，以市场参与者在计量日发生的有序交易中，出售一项资产所能收到或者转移一项负债所需支付的</w:t>
      </w:r>
      <w:r>
        <w:rPr>
          <w:spacing w:val="-64"/>
        </w:rPr>
        <w:t> </w:t>
      </w:r>
      <w:r>
        <w:rPr>
          <w:spacing w:val="-64"/>
        </w:rPr>
      </w:r>
      <w:r>
        <w:rPr>
          <w:spacing w:val="-2"/>
        </w:rPr>
        <w:t>价格确定其公允价值。不存在活跃市场的金融工具，采用估值技术确定其公允价值。在估值时，本公司采用在当前情况下适</w:t>
      </w:r>
      <w:r>
        <w:rPr>
          <w:spacing w:val="-65"/>
        </w:rPr>
        <w:t> </w:t>
      </w:r>
      <w:r>
        <w:rPr>
          <w:spacing w:val="-65"/>
        </w:rPr>
      </w:r>
      <w:r>
        <w:rPr>
          <w:spacing w:val="-2"/>
        </w:rPr>
        <w:t>用并且有足够可利用数据和其他信息支持的估值技术，选择与市场参与者在相关资产或负债的交易中所考虑的资产或负债特</w:t>
      </w:r>
      <w:r>
        <w:rPr>
          <w:spacing w:val="-64"/>
        </w:rPr>
        <w:t> </w:t>
      </w:r>
      <w:r>
        <w:rPr>
          <w:spacing w:val="-64"/>
        </w:rPr>
      </w:r>
      <w:r>
        <w:rPr>
          <w:spacing w:val="-2"/>
        </w:rPr>
        <w:t>征相一致的输入值，并尽可能优先使用相关可观察输入值。在相关可观察输入值无法取得或取得不切实可行时，使用不可观</w:t>
      </w:r>
      <w:r>
        <w:rPr>
          <w:spacing w:val="-63"/>
        </w:rPr>
        <w:t> </w:t>
      </w:r>
      <w:r>
        <w:rPr>
          <w:spacing w:val="-63"/>
        </w:rPr>
      </w:r>
      <w:r>
        <w:rPr/>
        <w:t>察输入值。</w:t>
      </w:r>
    </w:p>
    <w:p>
      <w:pPr>
        <w:spacing w:line="240" w:lineRule="auto" w:before="11"/>
        <w:rPr>
          <w:rFonts w:ascii="宋体" w:hAnsi="宋体" w:cs="宋体" w:eastAsia="宋体" w:hint="default"/>
          <w:sz w:val="22"/>
          <w:szCs w:val="22"/>
        </w:rPr>
      </w:pPr>
    </w:p>
    <w:p>
      <w:pPr>
        <w:pStyle w:val="Heading4"/>
        <w:spacing w:line="240" w:lineRule="auto"/>
        <w:ind w:right="986"/>
        <w:jc w:val="left"/>
        <w:rPr>
          <w:b w:val="0"/>
          <w:bCs w:val="0"/>
        </w:rPr>
      </w:pPr>
      <w:bookmarkStart w:name="11、应收票据" w:id="183"/>
      <w:bookmarkEnd w:id="183"/>
      <w:r>
        <w:rPr>
          <w:b w:val="0"/>
          <w:bCs w:val="0"/>
        </w:rPr>
      </w:r>
      <w:r>
        <w:rPr>
          <w:rFonts w:ascii="Times New Roman" w:hAnsi="Times New Roman" w:cs="Times New Roman" w:eastAsia="Times New Roman" w:hint="default"/>
        </w:rPr>
        <w:t>11</w:t>
      </w:r>
      <w:r>
        <w:rPr/>
        <w:t>、应收票据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详见本附注第五、</w:t>
      </w:r>
      <w:r>
        <w:rPr>
          <w:rFonts w:ascii="宋体" w:hAnsi="宋体" w:cs="宋体" w:eastAsia="宋体" w:hint="default"/>
        </w:rPr>
        <w:t>10</w:t>
      </w:r>
      <w:r>
        <w:rPr/>
        <w:t>“金融工具”及本附注第五、</w:t>
      </w:r>
      <w:r>
        <w:rPr>
          <w:rFonts w:ascii="宋体" w:hAnsi="宋体" w:cs="宋体" w:eastAsia="宋体" w:hint="default"/>
        </w:rPr>
        <w:t>12</w:t>
      </w:r>
      <w:r>
        <w:rPr/>
        <w:t>“应收账款”有关内容。</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12、应收账款" w:id="184"/>
      <w:bookmarkEnd w:id="184"/>
      <w:r>
        <w:rPr>
          <w:b w:val="0"/>
          <w:bCs w:val="0"/>
        </w:rPr>
      </w:r>
      <w:r>
        <w:rPr>
          <w:rFonts w:ascii="Times New Roman" w:hAnsi="Times New Roman" w:cs="Times New Roman" w:eastAsia="Times New Roman" w:hint="default"/>
        </w:rPr>
        <w:t>12</w:t>
      </w:r>
      <w:r>
        <w:rPr/>
        <w:t>、应收账款</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t>（</w:t>
      </w:r>
      <w:r>
        <w:rPr>
          <w:rFonts w:ascii="宋体" w:hAnsi="宋体" w:cs="宋体" w:eastAsia="宋体" w:hint="default"/>
        </w:rPr>
        <w:t>1</w:t>
      </w:r>
      <w:r>
        <w:rPr/>
        <w:t>）单项金额重大并单独计提坏账准备的应收款项</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3543"/>
        <w:gridCol w:w="6351"/>
      </w:tblGrid>
      <w:tr>
        <w:trPr>
          <w:trHeight w:val="660" w:hRule="exact"/>
        </w:trPr>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单项金额重大的判断依据或金额标准</w:t>
            </w:r>
          </w:p>
        </w:tc>
        <w:tc>
          <w:tcPr>
            <w:tcW w:w="635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4" w:right="31"/>
              <w:jc w:val="left"/>
              <w:rPr>
                <w:rFonts w:ascii="宋体" w:hAnsi="宋体" w:cs="宋体" w:eastAsia="宋体" w:hint="default"/>
                <w:sz w:val="20"/>
                <w:szCs w:val="20"/>
              </w:rPr>
            </w:pPr>
            <w:r>
              <w:rPr>
                <w:rFonts w:ascii="宋体" w:hAnsi="宋体" w:cs="宋体" w:eastAsia="宋体" w:hint="default"/>
                <w:sz w:val="20"/>
                <w:szCs w:val="20"/>
              </w:rPr>
              <w:t>单项金额重大的应收款项确认标准为金额达到人民币</w:t>
            </w:r>
            <w:r>
              <w:rPr>
                <w:rFonts w:ascii="宋体" w:hAnsi="宋体" w:cs="宋体" w:eastAsia="宋体" w:hint="default"/>
                <w:sz w:val="20"/>
                <w:szCs w:val="20"/>
              </w:rPr>
              <w:t>300</w:t>
            </w:r>
            <w:r>
              <w:rPr>
                <w:rFonts w:ascii="宋体" w:hAnsi="宋体" w:cs="宋体" w:eastAsia="宋体" w:hint="default"/>
                <w:sz w:val="20"/>
                <w:szCs w:val="20"/>
              </w:rPr>
              <w:t>万元以上</w:t>
            </w:r>
            <w:r>
              <w:rPr>
                <w:rFonts w:ascii="宋体" w:hAnsi="宋体" w:cs="宋体" w:eastAsia="宋体" w:hint="default"/>
                <w:sz w:val="20"/>
                <w:szCs w:val="20"/>
              </w:rPr>
              <w:t>(</w:t>
            </w:r>
            <w:r>
              <w:rPr>
                <w:rFonts w:ascii="宋体" w:hAnsi="宋体" w:cs="宋体" w:eastAsia="宋体" w:hint="default"/>
                <w:sz w:val="20"/>
                <w:szCs w:val="20"/>
              </w:rPr>
              <w:t>含</w:t>
            </w:r>
            <w:r>
              <w:rPr>
                <w:rFonts w:ascii="宋体" w:hAnsi="宋体" w:cs="宋体" w:eastAsia="宋体" w:hint="default"/>
                <w:sz w:val="20"/>
                <w:szCs w:val="20"/>
              </w:rPr>
              <w:t>)</w:t>
            </w:r>
            <w:r>
              <w:rPr>
                <w:rFonts w:ascii="宋体" w:hAnsi="宋体" w:cs="宋体" w:eastAsia="宋体" w:hint="default"/>
                <w:sz w:val="20"/>
                <w:szCs w:val="20"/>
              </w:rPr>
              <w:t>的</w:t>
            </w:r>
            <w:r>
              <w:rPr>
                <w:rFonts w:ascii="宋体" w:hAnsi="宋体" w:cs="宋体" w:eastAsia="宋体" w:hint="default"/>
                <w:w w:val="99"/>
                <w:sz w:val="20"/>
                <w:szCs w:val="20"/>
              </w:rPr>
              <w:t> </w:t>
            </w:r>
            <w:r>
              <w:rPr>
                <w:rFonts w:ascii="宋体" w:hAnsi="宋体" w:cs="宋体" w:eastAsia="宋体" w:hint="default"/>
                <w:sz w:val="20"/>
                <w:szCs w:val="20"/>
              </w:rPr>
              <w:t>款项。</w:t>
            </w:r>
          </w:p>
        </w:tc>
      </w:tr>
      <w:tr>
        <w:trPr>
          <w:trHeight w:val="970" w:hRule="exact"/>
        </w:trPr>
        <w:tc>
          <w:tcPr>
            <w:tcW w:w="354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4" w:right="124"/>
              <w:jc w:val="left"/>
              <w:rPr>
                <w:rFonts w:ascii="宋体" w:hAnsi="宋体" w:cs="宋体" w:eastAsia="宋体" w:hint="default"/>
                <w:sz w:val="20"/>
                <w:szCs w:val="20"/>
              </w:rPr>
            </w:pPr>
            <w:r>
              <w:rPr>
                <w:rFonts w:ascii="宋体" w:hAnsi="宋体" w:cs="宋体" w:eastAsia="宋体" w:hint="default"/>
                <w:sz w:val="20"/>
                <w:szCs w:val="20"/>
              </w:rPr>
              <w:t>单项金额重大并单项计提坏账准备的计</w:t>
            </w:r>
            <w:r>
              <w:rPr>
                <w:rFonts w:ascii="宋体" w:hAnsi="宋体" w:cs="宋体" w:eastAsia="宋体" w:hint="default"/>
                <w:w w:val="99"/>
                <w:sz w:val="20"/>
                <w:szCs w:val="20"/>
              </w:rPr>
              <w:t> </w:t>
            </w:r>
            <w:r>
              <w:rPr>
                <w:rFonts w:ascii="宋体" w:hAnsi="宋体" w:cs="宋体" w:eastAsia="宋体" w:hint="default"/>
                <w:sz w:val="20"/>
                <w:szCs w:val="20"/>
              </w:rPr>
              <w:t>提方法</w:t>
            </w:r>
          </w:p>
        </w:tc>
        <w:tc>
          <w:tcPr>
            <w:tcW w:w="635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4" w:right="3"/>
              <w:jc w:val="both"/>
              <w:rPr>
                <w:rFonts w:ascii="宋体" w:hAnsi="宋体" w:cs="宋体" w:eastAsia="宋体" w:hint="default"/>
                <w:sz w:val="20"/>
                <w:szCs w:val="20"/>
              </w:rPr>
            </w:pPr>
            <w:r>
              <w:rPr>
                <w:rFonts w:ascii="宋体" w:hAnsi="宋体" w:cs="宋体" w:eastAsia="宋体" w:hint="default"/>
                <w:spacing w:val="-2"/>
                <w:sz w:val="20"/>
                <w:szCs w:val="20"/>
              </w:rPr>
              <w:t>经单独进行减值测试有客观证据表明发生减值的，根据其未来现金流量现</w:t>
            </w:r>
            <w:r>
              <w:rPr>
                <w:rFonts w:ascii="宋体" w:hAnsi="宋体" w:cs="宋体" w:eastAsia="宋体" w:hint="default"/>
                <w:w w:val="99"/>
                <w:sz w:val="20"/>
                <w:szCs w:val="20"/>
              </w:rPr>
              <w:t> </w:t>
            </w:r>
            <w:r>
              <w:rPr>
                <w:rFonts w:ascii="宋体" w:hAnsi="宋体" w:cs="宋体" w:eastAsia="宋体" w:hint="default"/>
                <w:spacing w:val="-2"/>
                <w:sz w:val="20"/>
                <w:szCs w:val="20"/>
              </w:rPr>
              <w:t>值低于其账面价值的差额计提坏账准备；经单独进行减值测试未发生减值</w:t>
            </w:r>
            <w:r>
              <w:rPr>
                <w:rFonts w:ascii="宋体" w:hAnsi="宋体" w:cs="宋体" w:eastAsia="宋体" w:hint="default"/>
                <w:w w:val="99"/>
                <w:sz w:val="20"/>
                <w:szCs w:val="20"/>
              </w:rPr>
              <w:t> </w:t>
            </w:r>
            <w:r>
              <w:rPr>
                <w:rFonts w:ascii="宋体" w:hAnsi="宋体" w:cs="宋体" w:eastAsia="宋体" w:hint="default"/>
                <w:sz w:val="20"/>
                <w:szCs w:val="20"/>
              </w:rPr>
              <w:t>的，将其划入具有类似信用风险特征的若干组合计提坏账准备。</w:t>
            </w:r>
          </w:p>
        </w:tc>
      </w:tr>
    </w:tbl>
    <w:p>
      <w:pPr>
        <w:pStyle w:val="BodyText"/>
        <w:spacing w:line="240" w:lineRule="auto" w:before="8"/>
        <w:ind w:right="986"/>
        <w:jc w:val="left"/>
      </w:pPr>
      <w:r>
        <w:rPr/>
        <w:t>（</w:t>
      </w:r>
      <w:r>
        <w:rPr>
          <w:rFonts w:ascii="宋体" w:hAnsi="宋体" w:cs="宋体" w:eastAsia="宋体" w:hint="default"/>
        </w:rPr>
        <w:t>2</w:t>
      </w:r>
      <w:r>
        <w:rPr/>
        <w:t>）按信用风险特征组合计提坏账准备的应收款项</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268"/>
        <w:gridCol w:w="3183"/>
        <w:gridCol w:w="3443"/>
      </w:tblGrid>
      <w:tr>
        <w:trPr>
          <w:trHeight w:val="348" w:hRule="exact"/>
        </w:trPr>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28" w:right="0"/>
              <w:jc w:val="left"/>
              <w:rPr>
                <w:rFonts w:ascii="宋体" w:hAnsi="宋体" w:cs="宋体" w:eastAsia="宋体" w:hint="default"/>
                <w:sz w:val="20"/>
                <w:szCs w:val="20"/>
              </w:rPr>
            </w:pPr>
            <w:r>
              <w:rPr>
                <w:rFonts w:ascii="宋体" w:hAnsi="宋体" w:cs="宋体" w:eastAsia="宋体" w:hint="default"/>
                <w:sz w:val="20"/>
                <w:szCs w:val="20"/>
              </w:rPr>
              <w:t>组合名称</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885" w:right="0"/>
              <w:jc w:val="left"/>
              <w:rPr>
                <w:rFonts w:ascii="宋体" w:hAnsi="宋体" w:cs="宋体" w:eastAsia="宋体" w:hint="default"/>
                <w:sz w:val="20"/>
                <w:szCs w:val="20"/>
              </w:rPr>
            </w:pPr>
            <w:r>
              <w:rPr>
                <w:rFonts w:ascii="宋体" w:hAnsi="宋体" w:cs="宋体" w:eastAsia="宋体" w:hint="default"/>
                <w:sz w:val="20"/>
                <w:szCs w:val="20"/>
              </w:rPr>
              <w:t>确定组合的依据</w:t>
            </w:r>
          </w:p>
        </w:tc>
        <w:tc>
          <w:tcPr>
            <w:tcW w:w="3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813" w:right="0"/>
              <w:jc w:val="left"/>
              <w:rPr>
                <w:rFonts w:ascii="宋体" w:hAnsi="宋体" w:cs="宋体" w:eastAsia="宋体" w:hint="default"/>
                <w:sz w:val="20"/>
                <w:szCs w:val="20"/>
              </w:rPr>
            </w:pPr>
            <w:r>
              <w:rPr>
                <w:rFonts w:ascii="宋体" w:hAnsi="宋体" w:cs="宋体" w:eastAsia="宋体" w:hint="default"/>
                <w:sz w:val="20"/>
                <w:szCs w:val="20"/>
              </w:rPr>
              <w:t>坏账准备的计提方法</w:t>
            </w:r>
          </w:p>
        </w:tc>
      </w:tr>
      <w:tr>
        <w:trPr>
          <w:trHeight w:val="348" w:hRule="exact"/>
        </w:trPr>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账龄组合</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以账龄为信用风险组合确认依据</w:t>
            </w:r>
          </w:p>
        </w:tc>
        <w:tc>
          <w:tcPr>
            <w:tcW w:w="34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账龄分析法</w:t>
            </w:r>
          </w:p>
        </w:tc>
      </w:tr>
      <w:tr>
        <w:trPr>
          <w:trHeight w:val="658" w:hRule="exact"/>
        </w:trPr>
        <w:tc>
          <w:tcPr>
            <w:tcW w:w="1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关联方组合</w:t>
            </w:r>
          </w:p>
        </w:tc>
        <w:tc>
          <w:tcPr>
            <w:tcW w:w="318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4" w:right="165"/>
              <w:jc w:val="left"/>
              <w:rPr>
                <w:rFonts w:ascii="宋体" w:hAnsi="宋体" w:cs="宋体" w:eastAsia="宋体" w:hint="default"/>
                <w:sz w:val="20"/>
                <w:szCs w:val="20"/>
              </w:rPr>
            </w:pPr>
            <w:r>
              <w:rPr>
                <w:rFonts w:ascii="宋体" w:hAnsi="宋体" w:cs="宋体" w:eastAsia="宋体" w:hint="default"/>
                <w:sz w:val="20"/>
                <w:szCs w:val="20"/>
              </w:rPr>
              <w:t>应收本公司合并报表范围内关联方</w:t>
            </w:r>
            <w:r>
              <w:rPr>
                <w:rFonts w:ascii="宋体" w:hAnsi="宋体" w:cs="宋体" w:eastAsia="宋体" w:hint="default"/>
                <w:w w:val="99"/>
                <w:sz w:val="20"/>
                <w:szCs w:val="20"/>
              </w:rPr>
              <w:t> </w:t>
            </w:r>
            <w:r>
              <w:rPr>
                <w:rFonts w:ascii="宋体" w:hAnsi="宋体" w:cs="宋体" w:eastAsia="宋体" w:hint="default"/>
                <w:sz w:val="20"/>
                <w:szCs w:val="20"/>
              </w:rPr>
              <w:t>款项</w:t>
            </w:r>
          </w:p>
        </w:tc>
        <w:tc>
          <w:tcPr>
            <w:tcW w:w="344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4" w:right="24"/>
              <w:jc w:val="left"/>
              <w:rPr>
                <w:rFonts w:ascii="宋体" w:hAnsi="宋体" w:cs="宋体" w:eastAsia="宋体" w:hint="default"/>
                <w:sz w:val="20"/>
                <w:szCs w:val="20"/>
              </w:rPr>
            </w:pPr>
            <w:r>
              <w:rPr>
                <w:rFonts w:ascii="宋体" w:hAnsi="宋体" w:cs="宋体" w:eastAsia="宋体" w:hint="default"/>
                <w:sz w:val="20"/>
                <w:szCs w:val="20"/>
              </w:rPr>
              <w:t>根据其未来现金流量现值低于其账面价</w:t>
            </w:r>
            <w:r>
              <w:rPr>
                <w:rFonts w:ascii="宋体" w:hAnsi="宋体" w:cs="宋体" w:eastAsia="宋体" w:hint="default"/>
                <w:w w:val="99"/>
                <w:sz w:val="20"/>
                <w:szCs w:val="20"/>
              </w:rPr>
              <w:t> </w:t>
            </w:r>
            <w:r>
              <w:rPr>
                <w:rFonts w:ascii="宋体" w:hAnsi="宋体" w:cs="宋体" w:eastAsia="宋体" w:hint="default"/>
                <w:sz w:val="20"/>
                <w:szCs w:val="20"/>
              </w:rPr>
              <w:t>值的差额计提坏账准备</w:t>
            </w:r>
          </w:p>
        </w:tc>
      </w:tr>
    </w:tbl>
    <w:p>
      <w:pPr>
        <w:pStyle w:val="BodyText"/>
        <w:spacing w:line="240" w:lineRule="auto" w:before="8"/>
        <w:ind w:right="986"/>
        <w:jc w:val="left"/>
      </w:pPr>
      <w:r>
        <w:rPr/>
        <w:t>以账龄为信用风险组合的应收款项坏账准备计提方法：</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939"/>
        <w:gridCol w:w="2059"/>
        <w:gridCol w:w="2178"/>
      </w:tblGrid>
      <w:tr>
        <w:trPr>
          <w:trHeight w:val="348"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账龄</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4" w:right="0"/>
              <w:jc w:val="left"/>
              <w:rPr>
                <w:rFonts w:ascii="宋体" w:hAnsi="宋体" w:cs="宋体" w:eastAsia="宋体" w:hint="default"/>
                <w:sz w:val="20"/>
                <w:szCs w:val="20"/>
              </w:rPr>
            </w:pPr>
            <w:r>
              <w:rPr>
                <w:rFonts w:ascii="宋体" w:hAnsi="宋体" w:cs="宋体" w:eastAsia="宋体" w:hint="default"/>
                <w:sz w:val="20"/>
                <w:szCs w:val="20"/>
              </w:rPr>
              <w:t>应收账款计提比例</w:t>
            </w:r>
            <w:r>
              <w:rPr>
                <w:rFonts w:ascii="宋体" w:hAnsi="宋体" w:cs="宋体" w:eastAsia="宋体" w:hint="default"/>
                <w:sz w:val="20"/>
                <w:szCs w:val="20"/>
              </w:rPr>
              <w:t>(%)</w:t>
            </w:r>
          </w:p>
        </w:tc>
        <w:tc>
          <w:tcPr>
            <w:tcW w:w="2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1" w:right="0"/>
              <w:jc w:val="left"/>
              <w:rPr>
                <w:rFonts w:ascii="宋体" w:hAnsi="宋体" w:cs="宋体" w:eastAsia="宋体" w:hint="default"/>
                <w:sz w:val="20"/>
                <w:szCs w:val="20"/>
              </w:rPr>
            </w:pPr>
            <w:r>
              <w:rPr>
                <w:rFonts w:ascii="宋体" w:hAnsi="宋体" w:cs="宋体" w:eastAsia="宋体" w:hint="default"/>
                <w:sz w:val="20"/>
                <w:szCs w:val="20"/>
              </w:rPr>
              <w:t>其他应收款计提比例</w:t>
            </w:r>
            <w:r>
              <w:rPr>
                <w:rFonts w:ascii="宋体" w:hAnsi="宋体" w:cs="宋体" w:eastAsia="宋体" w:hint="default"/>
                <w:sz w:val="20"/>
                <w:szCs w:val="20"/>
              </w:rPr>
              <w:t>(%)</w:t>
            </w:r>
          </w:p>
        </w:tc>
      </w:tr>
    </w:tbl>
    <w:p>
      <w:pPr>
        <w:spacing w:after="0" w:line="240" w:lineRule="auto"/>
        <w:jc w:val="left"/>
        <w:rPr>
          <w:rFonts w:ascii="宋体" w:hAnsi="宋体" w:cs="宋体" w:eastAsia="宋体" w:hint="default"/>
          <w:sz w:val="20"/>
          <w:szCs w:val="20"/>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5" w:type="dxa"/>
        <w:tblLayout w:type="fixed"/>
        <w:tblCellMar>
          <w:top w:w="0" w:type="dxa"/>
          <w:left w:w="0" w:type="dxa"/>
          <w:bottom w:w="0" w:type="dxa"/>
          <w:right w:w="0" w:type="dxa"/>
        </w:tblCellMar>
        <w:tblLook w:val="01E0"/>
      </w:tblPr>
      <w:tblGrid>
        <w:gridCol w:w="2939"/>
        <w:gridCol w:w="2059"/>
        <w:gridCol w:w="2175"/>
      </w:tblGrid>
      <w:tr>
        <w:trPr>
          <w:trHeight w:val="348"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6</w:t>
            </w:r>
            <w:r>
              <w:rPr>
                <w:rFonts w:ascii="宋体" w:hAnsi="宋体" w:cs="宋体" w:eastAsia="宋体" w:hint="default"/>
                <w:sz w:val="20"/>
                <w:szCs w:val="20"/>
              </w:rPr>
              <w:t>个月以内</w:t>
            </w:r>
          </w:p>
        </w:tc>
        <w:tc>
          <w:tcPr>
            <w:tcW w:w="2059" w:type="dxa"/>
            <w:tcBorders>
              <w:top w:val="single" w:sz="6" w:space="0" w:color="000000"/>
              <w:left w:val="single" w:sz="6" w:space="0" w:color="000000"/>
              <w:bottom w:val="single" w:sz="6" w:space="0" w:color="000000"/>
              <w:right w:val="single" w:sz="6" w:space="0" w:color="000000"/>
            </w:tcBorders>
          </w:tcPr>
          <w:p>
            <w:pPr/>
          </w:p>
        </w:tc>
        <w:tc>
          <w:tcPr>
            <w:tcW w:w="2175"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6</w:t>
            </w:r>
            <w:r>
              <w:rPr>
                <w:rFonts w:ascii="宋体" w:hAnsi="宋体" w:cs="宋体" w:eastAsia="宋体" w:hint="default"/>
                <w:sz w:val="20"/>
                <w:szCs w:val="20"/>
              </w:rPr>
              <w:t>个月</w:t>
            </w:r>
            <w:r>
              <w:rPr>
                <w:rFonts w:ascii="宋体" w:hAnsi="宋体" w:cs="宋体" w:eastAsia="宋体" w:hint="default"/>
                <w:sz w:val="20"/>
                <w:szCs w:val="20"/>
              </w:rPr>
              <w:t>-1</w:t>
            </w:r>
            <w:r>
              <w:rPr>
                <w:rFonts w:ascii="宋体" w:hAnsi="宋体" w:cs="宋体" w:eastAsia="宋体" w:hint="default"/>
                <w:sz w:val="20"/>
                <w:szCs w:val="20"/>
              </w:rPr>
              <w:t>年</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w w:val="99"/>
                <w:sz w:val="20"/>
              </w:rPr>
              <w:t>2</w:t>
            </w:r>
            <w:r>
              <w:rPr>
                <w:rFonts w:ascii="宋体"/>
                <w:sz w:val="20"/>
              </w:rPr>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w w:val="99"/>
                <w:sz w:val="20"/>
              </w:rPr>
              <w:t>2</w:t>
            </w:r>
            <w:r>
              <w:rPr>
                <w:rFonts w:ascii="宋体"/>
                <w:sz w:val="20"/>
              </w:rPr>
            </w:r>
          </w:p>
        </w:tc>
      </w:tr>
      <w:tr>
        <w:trPr>
          <w:trHeight w:val="348"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z w:val="20"/>
                <w:szCs w:val="20"/>
              </w:rPr>
              <w:t>年</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3"/>
              <w:jc w:val="right"/>
              <w:rPr>
                <w:rFonts w:ascii="宋体" w:hAnsi="宋体" w:cs="宋体" w:eastAsia="宋体" w:hint="default"/>
                <w:sz w:val="20"/>
                <w:szCs w:val="20"/>
              </w:rPr>
            </w:pPr>
            <w:r>
              <w:rPr>
                <w:rFonts w:ascii="宋体"/>
                <w:sz w:val="20"/>
              </w:rPr>
              <w:t>20</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sz w:val="20"/>
              </w:rPr>
              <w:t>20</w:t>
            </w:r>
          </w:p>
        </w:tc>
      </w:tr>
      <w:tr>
        <w:trPr>
          <w:trHeight w:val="346"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2-3</w:t>
            </w:r>
            <w:r>
              <w:rPr>
                <w:rFonts w:ascii="宋体" w:hAnsi="宋体" w:cs="宋体" w:eastAsia="宋体" w:hint="default"/>
                <w:sz w:val="20"/>
                <w:szCs w:val="20"/>
              </w:rPr>
              <w:t>年</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3"/>
              <w:jc w:val="right"/>
              <w:rPr>
                <w:rFonts w:ascii="宋体" w:hAnsi="宋体" w:cs="宋体" w:eastAsia="宋体" w:hint="default"/>
                <w:sz w:val="20"/>
                <w:szCs w:val="20"/>
              </w:rPr>
            </w:pPr>
            <w:r>
              <w:rPr>
                <w:rFonts w:ascii="宋体"/>
                <w:sz w:val="20"/>
              </w:rPr>
              <w:t>50</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sz w:val="20"/>
              </w:rPr>
              <w:t>50</w:t>
            </w:r>
          </w:p>
        </w:tc>
      </w:tr>
      <w:tr>
        <w:trPr>
          <w:trHeight w:val="348" w:hRule="exact"/>
        </w:trPr>
        <w:tc>
          <w:tcPr>
            <w:tcW w:w="29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3</w:t>
            </w:r>
            <w:r>
              <w:rPr>
                <w:rFonts w:ascii="宋体" w:hAnsi="宋体" w:cs="宋体" w:eastAsia="宋体" w:hint="default"/>
                <w:sz w:val="20"/>
                <w:szCs w:val="20"/>
              </w:rPr>
              <w:t>年以上</w:t>
            </w:r>
          </w:p>
        </w:tc>
        <w:tc>
          <w:tcPr>
            <w:tcW w:w="205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3"/>
              <w:jc w:val="right"/>
              <w:rPr>
                <w:rFonts w:ascii="宋体" w:hAnsi="宋体" w:cs="宋体" w:eastAsia="宋体" w:hint="default"/>
                <w:sz w:val="20"/>
                <w:szCs w:val="20"/>
              </w:rPr>
            </w:pPr>
            <w:r>
              <w:rPr>
                <w:rFonts w:ascii="宋体"/>
                <w:sz w:val="20"/>
              </w:rPr>
              <w:t>100</w:t>
            </w:r>
          </w:p>
        </w:tc>
        <w:tc>
          <w:tcPr>
            <w:tcW w:w="2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sz w:val="20"/>
              </w:rPr>
              <w:t>100</w:t>
            </w:r>
          </w:p>
        </w:tc>
      </w:tr>
    </w:tbl>
    <w:p>
      <w:pPr>
        <w:pStyle w:val="BodyText"/>
        <w:spacing w:line="240" w:lineRule="auto" w:before="8"/>
        <w:ind w:right="986"/>
        <w:jc w:val="left"/>
      </w:pPr>
      <w:r>
        <w:rPr/>
        <w:t>（</w:t>
      </w:r>
      <w:r>
        <w:rPr>
          <w:rFonts w:ascii="宋体" w:hAnsi="宋体" w:cs="宋体" w:eastAsia="宋体" w:hint="default"/>
        </w:rPr>
        <w:t>3</w:t>
      </w:r>
      <w:r>
        <w:rPr/>
        <w:t>）单项金额不重大但单独计提坏账准备的应收款项</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2549"/>
        <w:gridCol w:w="3803"/>
      </w:tblGrid>
      <w:tr>
        <w:trPr>
          <w:trHeight w:val="348" w:hRule="exact"/>
        </w:trPr>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单项计提坏账准备的理由</w:t>
            </w:r>
          </w:p>
        </w:tc>
        <w:tc>
          <w:tcPr>
            <w:tcW w:w="38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有确凿证据表明可收回性存在明显差异</w:t>
            </w:r>
          </w:p>
        </w:tc>
      </w:tr>
      <w:tr>
        <w:trPr>
          <w:trHeight w:val="660" w:hRule="exact"/>
        </w:trPr>
        <w:tc>
          <w:tcPr>
            <w:tcW w:w="2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坏账准备的计提方法</w:t>
            </w:r>
          </w:p>
        </w:tc>
        <w:tc>
          <w:tcPr>
            <w:tcW w:w="380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4" w:right="184"/>
              <w:jc w:val="left"/>
              <w:rPr>
                <w:rFonts w:ascii="宋体" w:hAnsi="宋体" w:cs="宋体" w:eastAsia="宋体" w:hint="default"/>
                <w:sz w:val="20"/>
                <w:szCs w:val="20"/>
              </w:rPr>
            </w:pPr>
            <w:r>
              <w:rPr>
                <w:rFonts w:ascii="宋体" w:hAnsi="宋体" w:cs="宋体" w:eastAsia="宋体" w:hint="default"/>
                <w:sz w:val="20"/>
                <w:szCs w:val="20"/>
              </w:rPr>
              <w:t>根据其未来现金流量现值低于其账面价值</w:t>
            </w:r>
            <w:r>
              <w:rPr>
                <w:rFonts w:ascii="宋体" w:hAnsi="宋体" w:cs="宋体" w:eastAsia="宋体" w:hint="default"/>
                <w:w w:val="99"/>
                <w:sz w:val="20"/>
                <w:szCs w:val="20"/>
              </w:rPr>
              <w:t> </w:t>
            </w:r>
            <w:r>
              <w:rPr>
                <w:rFonts w:ascii="宋体" w:hAnsi="宋体" w:cs="宋体" w:eastAsia="宋体" w:hint="default"/>
                <w:sz w:val="20"/>
                <w:szCs w:val="20"/>
              </w:rPr>
              <w:t>的差额计提坏账准备</w:t>
            </w:r>
          </w:p>
        </w:tc>
      </w:tr>
    </w:tbl>
    <w:p>
      <w:pPr>
        <w:pStyle w:val="BodyText"/>
        <w:spacing w:line="319" w:lineRule="auto" w:before="8"/>
        <w:ind w:right="1034"/>
        <w:jc w:val="left"/>
      </w:pPr>
      <w:r>
        <w:rPr/>
        <w:t>（</w:t>
      </w:r>
      <w:r>
        <w:rPr>
          <w:rFonts w:ascii="宋体" w:hAnsi="宋体" w:cs="宋体" w:eastAsia="宋体" w:hint="default"/>
        </w:rPr>
        <w:t>4</w:t>
      </w:r>
      <w:r>
        <w:rPr/>
        <w:t>）民间资本管理业务损失准备计提方法 根据五级分类结果按以下比例计提贷款损失专项准备：对于正常类贷款，计提比例为</w:t>
      </w:r>
      <w:r>
        <w:rPr>
          <w:rFonts w:ascii="宋体" w:hAnsi="宋体" w:cs="宋体" w:eastAsia="宋体" w:hint="default"/>
        </w:rPr>
        <w:t>1%</w:t>
      </w:r>
      <w:r>
        <w:rPr/>
        <w:t>；对于关注类贷款，计提比例为</w:t>
      </w:r>
      <w:r>
        <w:rPr>
          <w:rFonts w:ascii="宋体" w:hAnsi="宋体" w:cs="宋体" w:eastAsia="宋体" w:hint="default"/>
        </w:rPr>
        <w:t>2%</w:t>
      </w:r>
      <w:r>
        <w:rPr/>
        <w:t>；</w:t>
      </w:r>
      <w:r>
        <w:rPr>
          <w:spacing w:val="-85"/>
        </w:rPr>
        <w:t> </w:t>
      </w:r>
      <w:r>
        <w:rPr/>
        <w:t>对于次级类贷款，计提比例为</w:t>
      </w:r>
      <w:r>
        <w:rPr>
          <w:rFonts w:ascii="宋体" w:hAnsi="宋体" w:cs="宋体" w:eastAsia="宋体" w:hint="default"/>
        </w:rPr>
        <w:t>25%</w:t>
      </w:r>
      <w:r>
        <w:rPr/>
        <w:t>；对于可疑类贷款，计提比例为</w:t>
      </w:r>
      <w:r>
        <w:rPr>
          <w:rFonts w:ascii="宋体" w:hAnsi="宋体" w:cs="宋体" w:eastAsia="宋体" w:hint="default"/>
        </w:rPr>
        <w:t>50%</w:t>
      </w:r>
      <w:r>
        <w:rPr/>
        <w:t>；对于损失类贷款，计提比例为</w:t>
      </w:r>
      <w:r>
        <w:rPr>
          <w:rFonts w:ascii="宋体" w:hAnsi="宋体" w:cs="宋体" w:eastAsia="宋体" w:hint="default"/>
        </w:rPr>
        <w:t>100%</w:t>
      </w:r>
      <w:r>
        <w:rPr/>
        <w:t>。</w:t>
      </w:r>
    </w:p>
    <w:p>
      <w:pPr>
        <w:pStyle w:val="BodyText"/>
        <w:spacing w:line="316" w:lineRule="auto" w:before="17"/>
        <w:ind w:right="1034"/>
        <w:jc w:val="left"/>
      </w:pPr>
      <w:r>
        <w:rPr/>
        <w:t>（</w:t>
      </w:r>
      <w:r>
        <w:rPr>
          <w:rFonts w:ascii="宋体" w:hAnsi="宋体" w:cs="宋体" w:eastAsia="宋体" w:hint="default"/>
        </w:rPr>
        <w:t>5</w:t>
      </w:r>
      <w:r>
        <w:rPr/>
        <w:t>）商业保理业务损失准备计提方法 根据五级分类结果按以下比例计提贷款损失专项准备：对于正常类贷款，计提比例为</w:t>
      </w:r>
      <w:r>
        <w:rPr>
          <w:rFonts w:ascii="宋体" w:hAnsi="宋体" w:cs="宋体" w:eastAsia="宋体" w:hint="default"/>
        </w:rPr>
        <w:t>0%</w:t>
      </w:r>
      <w:r>
        <w:rPr/>
        <w:t>；对于关注类贷款，计提比例为</w:t>
      </w:r>
      <w:r>
        <w:rPr>
          <w:rFonts w:ascii="宋体" w:hAnsi="宋体" w:cs="宋体" w:eastAsia="宋体" w:hint="default"/>
        </w:rPr>
        <w:t>2%</w:t>
      </w:r>
      <w:r>
        <w:rPr/>
        <w:t>；</w:t>
      </w:r>
      <w:r>
        <w:rPr>
          <w:spacing w:val="-85"/>
        </w:rPr>
        <w:t> </w:t>
      </w:r>
      <w:r>
        <w:rPr/>
        <w:t>对于次级类贷款，计提比例为</w:t>
      </w:r>
      <w:r>
        <w:rPr>
          <w:rFonts w:ascii="宋体" w:hAnsi="宋体" w:cs="宋体" w:eastAsia="宋体" w:hint="default"/>
        </w:rPr>
        <w:t>25%</w:t>
      </w:r>
      <w:r>
        <w:rPr/>
        <w:t>；对于可疑类贷款，计提比例为</w:t>
      </w:r>
      <w:r>
        <w:rPr>
          <w:rFonts w:ascii="宋体" w:hAnsi="宋体" w:cs="宋体" w:eastAsia="宋体" w:hint="default"/>
        </w:rPr>
        <w:t>50%</w:t>
      </w:r>
      <w:r>
        <w:rPr/>
        <w:t>；对于损失类贷款，计提比例为</w:t>
      </w:r>
      <w:r>
        <w:rPr>
          <w:rFonts w:ascii="宋体" w:hAnsi="宋体" w:cs="宋体" w:eastAsia="宋体" w:hint="default"/>
        </w:rPr>
        <w:t>100%</w:t>
      </w:r>
      <w:r>
        <w:rPr/>
        <w:t>。</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13、应收款项融资" w:id="185"/>
      <w:bookmarkEnd w:id="185"/>
      <w:r>
        <w:rPr>
          <w:b w:val="0"/>
          <w:bCs w:val="0"/>
        </w:rPr>
      </w:r>
      <w:r>
        <w:rPr>
          <w:rFonts w:ascii="Times New Roman" w:hAnsi="Times New Roman" w:cs="Times New Roman" w:eastAsia="Times New Roman" w:hint="default"/>
        </w:rPr>
        <w:t>13</w:t>
      </w:r>
      <w:r>
        <w:rPr/>
        <w:t>、应收款项融资</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14、其他应收款" w:id="186"/>
      <w:bookmarkEnd w:id="186"/>
      <w:r>
        <w:rPr>
          <w:b w:val="0"/>
          <w:bCs w:val="0"/>
        </w:rPr>
      </w:r>
      <w:r>
        <w:rPr>
          <w:rFonts w:ascii="Times New Roman" w:hAnsi="Times New Roman" w:cs="Times New Roman" w:eastAsia="Times New Roman" w:hint="default"/>
        </w:rPr>
        <w:t>14</w:t>
      </w:r>
      <w:r>
        <w:rPr/>
        <w:t>、其他应收款</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4634"/>
        <w:jc w:val="left"/>
      </w:pPr>
      <w:r>
        <w:rPr/>
        <w:t>其他应收款的预期信用损失的确定方法及会计处理方法 详见本附注第五、</w:t>
      </w:r>
      <w:r>
        <w:rPr>
          <w:rFonts w:ascii="宋体" w:hAnsi="宋体" w:cs="宋体" w:eastAsia="宋体" w:hint="default"/>
        </w:rPr>
        <w:t>10</w:t>
      </w:r>
      <w:r>
        <w:rPr/>
        <w:t>“金融工具”及本附注第五、</w:t>
      </w:r>
      <w:r>
        <w:rPr>
          <w:rFonts w:ascii="宋体" w:hAnsi="宋体" w:cs="宋体" w:eastAsia="宋体" w:hint="default"/>
        </w:rPr>
        <w:t>12</w:t>
      </w:r>
      <w:r>
        <w:rPr/>
        <w:t>“应收账款”有关内容。</w:t>
      </w:r>
    </w:p>
    <w:p>
      <w:pPr>
        <w:spacing w:line="240" w:lineRule="auto" w:before="6"/>
        <w:rPr>
          <w:rFonts w:ascii="宋体" w:hAnsi="宋体" w:cs="宋体" w:eastAsia="宋体" w:hint="default"/>
          <w:sz w:val="20"/>
          <w:szCs w:val="20"/>
        </w:rPr>
      </w:pPr>
    </w:p>
    <w:p>
      <w:pPr>
        <w:pStyle w:val="Heading4"/>
        <w:spacing w:line="240" w:lineRule="auto"/>
        <w:ind w:right="986"/>
        <w:jc w:val="left"/>
        <w:rPr>
          <w:b w:val="0"/>
          <w:bCs w:val="0"/>
        </w:rPr>
      </w:pPr>
      <w:bookmarkStart w:name="15、存货" w:id="187"/>
      <w:bookmarkEnd w:id="187"/>
      <w:r>
        <w:rPr>
          <w:b w:val="0"/>
          <w:bCs w:val="0"/>
        </w:rPr>
      </w:r>
      <w:r>
        <w:rPr>
          <w:rFonts w:ascii="Times New Roman" w:hAnsi="Times New Roman" w:cs="Times New Roman" w:eastAsia="Times New Roman" w:hint="default"/>
        </w:rPr>
        <w:t>15</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rFonts w:ascii="宋体" w:hAnsi="宋体" w:cs="宋体" w:eastAsia="宋体" w:hint="default"/>
        </w:rPr>
        <w:t>1</w:t>
      </w:r>
      <w:r>
        <w:rPr/>
        <w:t>．存货包括在日常活动中持有以备出售的产成品或商品等。</w:t>
      </w:r>
    </w:p>
    <w:p>
      <w:pPr>
        <w:pStyle w:val="BodyText"/>
        <w:spacing w:line="316" w:lineRule="auto" w:before="76"/>
        <w:ind w:right="1124"/>
        <w:jc w:val="left"/>
      </w:pPr>
      <w:r>
        <w:rPr>
          <w:rFonts w:ascii="宋体" w:hAnsi="宋体" w:cs="宋体" w:eastAsia="宋体" w:hint="default"/>
          <w:spacing w:val="-2"/>
        </w:rPr>
        <w:t>2</w:t>
      </w:r>
      <w:r>
        <w:rPr>
          <w:spacing w:val="-2"/>
        </w:rPr>
        <w:t>．公司取得存货按实际成本计量。</w:t>
      </w:r>
      <w:r>
        <w:rPr>
          <w:rFonts w:ascii="宋体" w:hAnsi="宋体" w:cs="宋体" w:eastAsia="宋体" w:hint="default"/>
          <w:spacing w:val="-2"/>
        </w:rPr>
        <w:t>(1)</w:t>
      </w:r>
      <w:r>
        <w:rPr>
          <w:spacing w:val="-2"/>
        </w:rPr>
        <w:t>外购存货的成本即为该存货的采购成本，通过进一步加工取得的存货成本由采购成本</w:t>
      </w:r>
      <w:r>
        <w:rPr>
          <w:spacing w:val="-63"/>
        </w:rPr>
        <w:t> </w:t>
      </w:r>
      <w:r>
        <w:rPr>
          <w:spacing w:val="-63"/>
        </w:rPr>
      </w:r>
      <w:r>
        <w:rPr>
          <w:spacing w:val="-2"/>
        </w:rPr>
        <w:t>和加工成本构成。</w:t>
      </w:r>
      <w:r>
        <w:rPr>
          <w:rFonts w:ascii="宋体" w:hAnsi="宋体" w:cs="宋体" w:eastAsia="宋体" w:hint="default"/>
          <w:spacing w:val="-2"/>
        </w:rPr>
        <w:t>(2)</w:t>
      </w:r>
      <w:r>
        <w:rPr>
          <w:spacing w:val="-2"/>
        </w:rPr>
        <w:t>债务重组取得债务人用以抵债的存货，以该存货的公允价值为基础确定其入账价值。</w:t>
      </w:r>
      <w:r>
        <w:rPr>
          <w:rFonts w:ascii="宋体" w:hAnsi="宋体" w:cs="宋体" w:eastAsia="宋体" w:hint="default"/>
          <w:spacing w:val="-2"/>
        </w:rPr>
        <w:t>(3)</w:t>
      </w:r>
      <w:r>
        <w:rPr>
          <w:spacing w:val="-2"/>
        </w:rPr>
        <w:t>在非货币性资</w:t>
      </w:r>
      <w:r>
        <w:rPr>
          <w:spacing w:val="-60"/>
        </w:rPr>
        <w:t> </w:t>
      </w:r>
      <w:r>
        <w:rPr>
          <w:spacing w:val="-60"/>
        </w:rPr>
      </w:r>
      <w:r>
        <w:rPr>
          <w:spacing w:val="-2"/>
        </w:rPr>
        <w:t>产交换具备商业实质和换入资产或换出资产的公允价值能够可靠计量的前提下，非货币性资产交换换入的存货通常以换出资</w:t>
      </w:r>
      <w:r>
        <w:rPr>
          <w:spacing w:val="-64"/>
        </w:rPr>
        <w:t> </w:t>
      </w:r>
      <w:r>
        <w:rPr>
          <w:spacing w:val="-64"/>
        </w:rPr>
      </w:r>
      <w:r>
        <w:rPr>
          <w:spacing w:val="-2"/>
        </w:rPr>
        <w:t>产的公允价值为基础确定其入账价值，除非有确凿证据表明换入资产公允价值更加可靠；不满足上述前提的非货币性资产交</w:t>
      </w:r>
      <w:r>
        <w:rPr>
          <w:spacing w:val="-64"/>
        </w:rPr>
        <w:t> </w:t>
      </w:r>
      <w:r>
        <w:rPr>
          <w:spacing w:val="-64"/>
        </w:rPr>
      </w:r>
      <w:r>
        <w:rPr/>
        <w:t>换，以换出资产的账面价值和应支付的相关税费作为换入存货的成本。</w:t>
      </w:r>
      <w:r>
        <w:rPr>
          <w:rFonts w:ascii="宋体" w:hAnsi="宋体" w:cs="宋体" w:eastAsia="宋体" w:hint="default"/>
        </w:rPr>
        <w:t>(4)</w:t>
      </w:r>
      <w:r>
        <w:rPr/>
        <w:t>以同一控制下的企业吸收合并方式取得的存货按 被合并方的账面价值确定其入账价值；以非同一控制下的企业吸收合并方式取得的存货按公允价值确定其入账价值。 </w:t>
      </w:r>
      <w:r>
        <w:rPr>
          <w:rFonts w:ascii="宋体" w:hAnsi="宋体" w:cs="宋体" w:eastAsia="宋体" w:hint="default"/>
        </w:rPr>
        <w:t>3</w:t>
      </w:r>
      <w:r>
        <w:rPr/>
        <w:t>．公司发出存货的成本计量采用个别计价法。</w:t>
      </w:r>
    </w:p>
    <w:p>
      <w:pPr>
        <w:pStyle w:val="BodyText"/>
        <w:spacing w:line="319" w:lineRule="auto" w:before="19"/>
        <w:ind w:right="6974"/>
        <w:jc w:val="left"/>
      </w:pPr>
      <w:r>
        <w:rPr>
          <w:rFonts w:ascii="宋体" w:hAnsi="宋体" w:cs="宋体" w:eastAsia="宋体" w:hint="default"/>
        </w:rPr>
        <w:t>4</w:t>
      </w:r>
      <w:r>
        <w:rPr/>
        <w:t>．低值易耗品和包装物的摊销方法 低值易耗品和包装物按照一次转销法进行摊销。</w:t>
      </w:r>
    </w:p>
    <w:p>
      <w:pPr>
        <w:pStyle w:val="BodyText"/>
        <w:spacing w:line="316" w:lineRule="auto" w:before="17"/>
        <w:ind w:right="1124"/>
        <w:jc w:val="left"/>
      </w:pPr>
      <w:r>
        <w:rPr>
          <w:rFonts w:ascii="宋体" w:hAnsi="宋体" w:cs="宋体" w:eastAsia="宋体" w:hint="default"/>
        </w:rPr>
        <w:t>5</w:t>
      </w:r>
      <w:r>
        <w:rPr/>
        <w:t>．资产负债表日，存货采用成本与可变现净值孰低计量。存货可变现净值是按存货的估计售价减去至完工时估计将要发生 </w:t>
      </w:r>
      <w:r>
        <w:rPr>
          <w:spacing w:val="-2"/>
        </w:rPr>
        <w:t>的成本、估计的销售费用以及相关税费后的金额。在确定存货的可变现净值时，以取得的确凿证据为基础，同时考虑持有存</w:t>
      </w:r>
      <w:r>
        <w:rPr>
          <w:spacing w:val="-65"/>
        </w:rPr>
        <w:t> </w:t>
      </w:r>
      <w:r>
        <w:rPr>
          <w:spacing w:val="-65"/>
        </w:rPr>
      </w:r>
      <w:r>
        <w:rPr>
          <w:spacing w:val="-2"/>
        </w:rPr>
        <w:t>货的目的以及资产负债表日后事项的影响，除有明确证据表明资产负债表日市场价格异常外，本期期末存货项目的可变现净</w:t>
      </w:r>
      <w:r>
        <w:rPr>
          <w:spacing w:val="-64"/>
        </w:rPr>
        <w:t> </w:t>
      </w:r>
      <w:r>
        <w:rPr>
          <w:spacing w:val="-64"/>
        </w:rPr>
      </w:r>
      <w:r>
        <w:rPr/>
        <w:t>值以资产负债表日市场价格为基础确定，其中： </w:t>
      </w:r>
      <w:r>
        <w:rPr>
          <w:rFonts w:ascii="宋体" w:hAnsi="宋体" w:cs="宋体" w:eastAsia="宋体" w:hint="default"/>
        </w:rPr>
        <w:t>(1)</w:t>
      </w:r>
      <w:r>
        <w:rPr/>
        <w:t>产成品、商品和用于出售的材料等直接用于出售的商品存货，在正常生产经营过程中以该存货的估计售价减去估计的销 售费用和相关税费后的金额确定其可变现净值； </w:t>
      </w:r>
      <w:r>
        <w:rPr>
          <w:rFonts w:ascii="宋体" w:hAnsi="宋体" w:cs="宋体" w:eastAsia="宋体" w:hint="default"/>
        </w:rPr>
        <w:t>(2)</w:t>
      </w:r>
      <w:r>
        <w:rPr/>
        <w:t>需要经过加工的材料存货，在正常生产经营过程中以所生产的产成品的估计售价减去至完工时估计将要发生的成本、估 </w:t>
      </w:r>
      <w:r>
        <w:rPr>
          <w:spacing w:val="-2"/>
        </w:rPr>
        <w:t>计的销售费用和相关税费后的金额确定其可变现净值；资产负债表日，同一项存货中一部分有合同价格约定、其他部分不存</w:t>
      </w:r>
      <w:r>
        <w:rPr>
          <w:spacing w:val="-63"/>
        </w:rPr>
        <w:t> </w:t>
      </w:r>
      <w:r>
        <w:rPr>
          <w:spacing w:val="-63"/>
        </w:rPr>
      </w:r>
      <w:r>
        <w:rPr/>
        <w:t>在合同价格的，分别确定其可变现净值，并与其对应的成本进行比较，分别确定存货跌价准备的计提或转回的金额。</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ind w:right="986"/>
        <w:jc w:val="left"/>
      </w:pPr>
      <w:r>
        <w:rPr>
          <w:spacing w:val="-2"/>
        </w:rPr>
        <w:t>期末按照单个存货项目计提存货跌价准备；但对于数量繁多、单价较低的存货，按照存货类别计提存货跌价准备；与在同一</w:t>
      </w:r>
      <w:r>
        <w:rPr>
          <w:spacing w:val="-64"/>
        </w:rPr>
        <w:t> </w:t>
      </w:r>
      <w:r>
        <w:rPr>
          <w:spacing w:val="-64"/>
        </w:rPr>
      </w:r>
      <w:r>
        <w:rPr>
          <w:spacing w:val="-2"/>
        </w:rPr>
        <w:t>地区生产和销售的产品系列相关、具有相同或者类似最终用途或目的，且难以与其他项目分开计量的存货，则合并计提存货</w:t>
      </w:r>
      <w:r>
        <w:rPr>
          <w:spacing w:val="-62"/>
        </w:rPr>
        <w:t> </w:t>
      </w:r>
      <w:r>
        <w:rPr>
          <w:spacing w:val="-62"/>
        </w:rPr>
      </w:r>
      <w:r>
        <w:rPr/>
        <w:t>跌价准备。 </w:t>
      </w:r>
      <w:r>
        <w:rPr>
          <w:spacing w:val="-2"/>
        </w:rPr>
        <w:t>计提存货跌价准备后，如果以前减记存货价值的影响因素已经消失，导致存货的可变现净值高于其账面价值的，在原已计提</w:t>
      </w:r>
      <w:r>
        <w:rPr>
          <w:spacing w:val="-63"/>
        </w:rPr>
        <w:t> </w:t>
      </w:r>
      <w:r>
        <w:rPr>
          <w:spacing w:val="-63"/>
        </w:rPr>
      </w:r>
      <w:r>
        <w:rPr/>
        <w:t>的存货跌价准备金额内予以转回，转回的金额计入当期损益。</w:t>
      </w:r>
    </w:p>
    <w:p>
      <w:pPr>
        <w:pStyle w:val="BodyText"/>
        <w:spacing w:line="240" w:lineRule="auto" w:before="17"/>
        <w:ind w:right="986"/>
        <w:jc w:val="left"/>
      </w:pPr>
      <w:r>
        <w:rPr>
          <w:rFonts w:ascii="宋体" w:hAnsi="宋体" w:cs="宋体" w:eastAsia="宋体" w:hint="default"/>
        </w:rPr>
        <w:t>6</w:t>
      </w:r>
      <w:r>
        <w:rPr/>
        <w:t>．存货的盘存制度为永续盘存制。</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16、合同资产" w:id="188"/>
      <w:bookmarkEnd w:id="188"/>
      <w:r>
        <w:rPr>
          <w:b w:val="0"/>
          <w:bCs w:val="0"/>
        </w:rPr>
      </w:r>
      <w:r>
        <w:rPr>
          <w:rFonts w:ascii="Times New Roman" w:hAnsi="Times New Roman" w:cs="Times New Roman" w:eastAsia="Times New Roman" w:hint="default"/>
        </w:rPr>
        <w:t>16</w:t>
      </w:r>
      <w:r>
        <w:rPr/>
        <w:t>、合同资产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7、合同成本" w:id="189"/>
      <w:bookmarkEnd w:id="189"/>
      <w:r>
        <w:rPr>
          <w:b w:val="0"/>
          <w:bCs w:val="0"/>
        </w:rPr>
      </w:r>
      <w:r>
        <w:rPr>
          <w:rFonts w:ascii="Times New Roman" w:hAnsi="Times New Roman" w:cs="Times New Roman" w:eastAsia="Times New Roman" w:hint="default"/>
        </w:rPr>
        <w:t>17</w:t>
      </w:r>
      <w:r>
        <w:rPr/>
        <w:t>、合同成本</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18、持有待售资产" w:id="190"/>
      <w:bookmarkEnd w:id="190"/>
      <w:r>
        <w:rPr>
          <w:b w:val="0"/>
          <w:bCs w:val="0"/>
        </w:rPr>
      </w:r>
      <w:r>
        <w:rPr>
          <w:rFonts w:ascii="Times New Roman" w:hAnsi="Times New Roman" w:cs="Times New Roman" w:eastAsia="Times New Roman" w:hint="default"/>
        </w:rPr>
        <w:t>18</w:t>
      </w:r>
      <w:r>
        <w:rPr/>
        <w:t>、持有待售资产</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822"/>
        <w:jc w:val="left"/>
      </w:pPr>
      <w:r>
        <w:rPr>
          <w:rFonts w:ascii="宋体" w:hAnsi="宋体" w:cs="宋体" w:eastAsia="宋体" w:hint="default"/>
        </w:rPr>
        <w:t>1</w:t>
      </w:r>
      <w:r>
        <w:rPr/>
        <w:t>．划分为持有待售类别的条件 </w:t>
      </w:r>
      <w:r>
        <w:rPr>
          <w:spacing w:val="-2"/>
        </w:rPr>
        <w:t>公司主要通过出售</w:t>
      </w:r>
      <w:r>
        <w:rPr>
          <w:rFonts w:ascii="宋体" w:hAnsi="宋体" w:cs="宋体" w:eastAsia="宋体" w:hint="default"/>
          <w:spacing w:val="-2"/>
        </w:rPr>
        <w:t>(</w:t>
      </w:r>
      <w:r>
        <w:rPr>
          <w:spacing w:val="-2"/>
        </w:rPr>
        <w:t>包括具有商业实质的非货币性资产交换，下同</w:t>
      </w:r>
      <w:r>
        <w:rPr>
          <w:rFonts w:ascii="宋体" w:hAnsi="宋体" w:cs="宋体" w:eastAsia="宋体" w:hint="default"/>
          <w:spacing w:val="-2"/>
        </w:rPr>
        <w:t>)</w:t>
      </w:r>
      <w:r>
        <w:rPr>
          <w:spacing w:val="-2"/>
        </w:rPr>
        <w:t>而非持续使用一项非流动资产或处置组收回其账面价值的，</w:t>
      </w:r>
      <w:r>
        <w:rPr>
          <w:spacing w:val="-58"/>
        </w:rPr>
        <w:t> </w:t>
      </w:r>
      <w:r>
        <w:rPr/>
        <w:t>在满足下列条件时，将其划分为持有待售类别： </w:t>
      </w:r>
      <w:r>
        <w:rPr>
          <w:rFonts w:ascii="宋体" w:hAnsi="宋体" w:cs="宋体" w:eastAsia="宋体" w:hint="default"/>
        </w:rPr>
        <w:t>(1)</w:t>
      </w:r>
      <w:r>
        <w:rPr/>
        <w:t>根据类似交易中出售此类资产或处置组的惯例，在当前状况下即可立即出售； </w:t>
      </w:r>
      <w:r>
        <w:rPr>
          <w:rFonts w:ascii="宋体" w:hAnsi="宋体" w:cs="宋体" w:eastAsia="宋体" w:hint="default"/>
        </w:rPr>
        <w:t>(2)</w:t>
      </w:r>
      <w:r>
        <w:rPr/>
        <w:t>出售极可能发生，即公司已经就一项出售计划作出决议且获得确定的购买承诺，预计出售将在一年内完成。有关规定要 求相关权力机构或者监督部门批准后方可出售的，公司已经获得批准。确定的购买承诺，是指公司与其他方签订的具有法律 约束力的购买协议，该协议包含交易价格、时间和足够严厉的违约惩罚等重要条款，使协议出现重大调整或者撤销的可能性 极小。 公司因出售对子公司的投资等原因导致其丧失对子公司控制权的，当拟出售的子公司投资满足持有待售类别划分条件时，在 </w:t>
      </w:r>
      <w:r>
        <w:rPr>
          <w:spacing w:val="-2"/>
        </w:rPr>
        <w:t>母公司个别财务报表中将对子公司投资整体划分为持有待售类别，在合并报表中将子公司所有资产和负债划分为持有待售类</w:t>
      </w:r>
      <w:r>
        <w:rPr>
          <w:spacing w:val="-64"/>
        </w:rPr>
        <w:t> </w:t>
      </w:r>
      <w:r>
        <w:rPr>
          <w:spacing w:val="-64"/>
        </w:rPr>
      </w:r>
      <w:r>
        <w:rPr/>
        <w:t>别。 持有待售的非流动资产或处置组不再满足持有待售类别划分条件的，公司停止将其划分为持有待售类别。部分资产或负债从</w:t>
      </w:r>
      <w:r>
        <w:rPr/>
        <w:t> 持有待售的处置组中移除的，处置组中剩余资产或负债新组成的处置组仍满足持有待售划分条件的，公司将新组成的处置组 划分为持有待售类别，否则将满足持有待售类别划分条件的非流动资产单独划分为持有待售类别。 对于当期首次满足持有待售类别划分条件的非流动资产或处置组，不调整可比会计期间的资产负债表。 </w:t>
      </w:r>
      <w:r>
        <w:rPr>
          <w:rFonts w:ascii="宋体" w:hAnsi="宋体" w:cs="宋体" w:eastAsia="宋体" w:hint="default"/>
        </w:rPr>
        <w:t>2</w:t>
      </w:r>
      <w:r>
        <w:rPr/>
        <w:t>．持有待售类的非流动资产或处置组的初始计量及后续计量 </w:t>
      </w:r>
      <w:r>
        <w:rPr>
          <w:spacing w:val="-2"/>
        </w:rPr>
        <w:t>对于取得日划分为持有待售类别的非流动资产或处置组，公司在初始计量时比较假定其不划分为持有待售类别情况下的初始</w:t>
      </w:r>
      <w:r>
        <w:rPr>
          <w:spacing w:val="-64"/>
        </w:rPr>
        <w:t> </w:t>
      </w:r>
      <w:r>
        <w:rPr>
          <w:spacing w:val="-64"/>
        </w:rPr>
      </w:r>
      <w:r>
        <w:rPr/>
        <w:t>计量金额和公允价值减去出售费用后的净额，以两者孰低计量。除公司合并中取得的非流动资产或处置组外，由非流动资产</w:t>
      </w:r>
      <w:r>
        <w:rPr/>
        <w:t> 或处置组以公允价值减去出售费用后的净额作为初始计量金额而产生的差额，计入当期损益。 </w:t>
      </w:r>
      <w:r>
        <w:rPr>
          <w:spacing w:val="-2"/>
        </w:rPr>
        <w:t>公司将非流动资产或处置组首次划分为持有待售类别前，按照相关会计准则规定计量非流动资产或处置组中各项资产和负债</w:t>
      </w:r>
      <w:r>
        <w:rPr>
          <w:spacing w:val="-64"/>
        </w:rPr>
        <w:t> </w:t>
      </w:r>
      <w:r>
        <w:rPr>
          <w:spacing w:val="-64"/>
        </w:rPr>
      </w:r>
      <w:r>
        <w:rPr/>
        <w:t>的账面价值。在初始计量或资产负债表日重新计量持有待售的非流动资产或处置组时，其账面价值高于公允价值减去出售费</w:t>
      </w:r>
      <w:r>
        <w:rPr/>
        <w:t> 用后的净额的，将账面价值减记至公允价值减去出售费用后的净额，减记的金额确认为资产减值损失，计入当期损益，同时 计提持有待售资产减值准备。持有待售的非流动资产或处置组中的非流动资产不计提折旧或摊销，持有待售的处置组中的负 债的利息和其他费用应继续予以确认。 公司对持有待售的处置组确认资产减值损失金额时，先抵减处置组商誉的账面价值，再根据处置组中适用《企业会计准则第 </w:t>
      </w:r>
      <w:r>
        <w:rPr>
          <w:rFonts w:ascii="宋体" w:hAnsi="宋体" w:cs="宋体" w:eastAsia="宋体" w:hint="default"/>
          <w:spacing w:val="-3"/>
        </w:rPr>
        <w:t>42</w:t>
      </w:r>
      <w:r>
        <w:rPr>
          <w:spacing w:val="-3"/>
        </w:rPr>
        <w:t>号——持有待售的非流动资产、处置组和终止经营》</w:t>
      </w:r>
      <w:r>
        <w:rPr>
          <w:rFonts w:ascii="宋体" w:hAnsi="宋体" w:cs="宋体" w:eastAsia="宋体" w:hint="default"/>
          <w:spacing w:val="-3"/>
        </w:rPr>
        <w:t>(</w:t>
      </w:r>
      <w:r>
        <w:rPr>
          <w:spacing w:val="-3"/>
        </w:rPr>
        <w:t>以下简称第</w:t>
      </w:r>
      <w:r>
        <w:rPr>
          <w:rFonts w:ascii="宋体" w:hAnsi="宋体" w:cs="宋体" w:eastAsia="宋体" w:hint="default"/>
          <w:spacing w:val="-3"/>
        </w:rPr>
        <w:t>42</w:t>
      </w:r>
      <w:r>
        <w:rPr>
          <w:spacing w:val="-3"/>
        </w:rPr>
        <w:t>号准则</w:t>
      </w:r>
      <w:r>
        <w:rPr>
          <w:rFonts w:ascii="宋体" w:hAnsi="宋体" w:cs="宋体" w:eastAsia="宋体" w:hint="default"/>
          <w:spacing w:val="-3"/>
        </w:rPr>
        <w:t>)</w:t>
      </w:r>
      <w:r>
        <w:rPr>
          <w:spacing w:val="-3"/>
        </w:rPr>
        <w:t>计量规定的各项非流动资产账面价值所占比重，</w:t>
      </w:r>
      <w:r>
        <w:rPr/>
        <w:t> 按比例抵减其账面价值。公司在资产负债表日重新计量持有待售的处置组时，首先按照相关会计准则规定计量处置组中不适 用第</w:t>
      </w:r>
      <w:r>
        <w:rPr>
          <w:rFonts w:ascii="宋体" w:hAnsi="宋体" w:cs="宋体" w:eastAsia="宋体" w:hint="default"/>
        </w:rPr>
        <w:t>42</w:t>
      </w:r>
      <w:r>
        <w:rPr/>
        <w:t>号准则计量规定的资产和负债的账面价值，再按照上述相关规定进行会计处理。 后续资产负债表日持有待售的非流动资产公允价值减去出售费用后的净额增加的，以前减记的金额应当予以恢复，并在划分 为持有待售类别后确认的资产减值损失金额内转回，转回金额计入当期损益；划分为持有待售类别前确认的资产减值损失不 得转回。 后续资产负债表日持有待售的处置组公允价值减去出售费用后的净额增加的，以前减记的金额应当予以恢复，并在划分为持</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ind w:right="1132"/>
        <w:jc w:val="both"/>
      </w:pPr>
      <w:r>
        <w:rPr>
          <w:spacing w:val="-2"/>
        </w:rPr>
        <w:t>有待售类别后适用第</w:t>
      </w:r>
      <w:r>
        <w:rPr>
          <w:rFonts w:ascii="宋体" w:hAnsi="宋体" w:cs="宋体" w:eastAsia="宋体" w:hint="default"/>
          <w:spacing w:val="-2"/>
        </w:rPr>
        <w:t>42</w:t>
      </w:r>
      <w:r>
        <w:rPr>
          <w:spacing w:val="-2"/>
        </w:rPr>
        <w:t>号准则计量规定的非流动资产确认的资产减值损失金额内转回，转回金额依据处置组中除商誉外的适</w:t>
      </w:r>
      <w:r>
        <w:rPr>
          <w:spacing w:val="-63"/>
        </w:rPr>
        <w:t> </w:t>
      </w:r>
      <w:r>
        <w:rPr>
          <w:spacing w:val="-63"/>
        </w:rPr>
      </w:r>
      <w:r>
        <w:rPr>
          <w:spacing w:val="-2"/>
        </w:rPr>
        <w:t>用第</w:t>
      </w:r>
      <w:r>
        <w:rPr>
          <w:rFonts w:ascii="宋体" w:hAnsi="宋体" w:cs="宋体" w:eastAsia="宋体" w:hint="default"/>
          <w:spacing w:val="-2"/>
        </w:rPr>
        <w:t>42</w:t>
      </w:r>
      <w:r>
        <w:rPr>
          <w:spacing w:val="-2"/>
        </w:rPr>
        <w:t>号准则计量规定的各项非流动资产账面价值所占比重，按比例增加其账面价值，同时将转回金额计入当期损益。已抵</w:t>
      </w:r>
      <w:r>
        <w:rPr>
          <w:spacing w:val="-65"/>
        </w:rPr>
        <w:t> </w:t>
      </w:r>
      <w:r>
        <w:rPr>
          <w:spacing w:val="-65"/>
        </w:rPr>
      </w:r>
      <w:r>
        <w:rPr/>
        <w:t>减的商誉账面价值以及划分为持有待售类别前确认的资产减值损失不得转回。</w:t>
      </w:r>
    </w:p>
    <w:p>
      <w:pPr>
        <w:pStyle w:val="BodyText"/>
        <w:spacing w:line="316" w:lineRule="auto" w:before="17"/>
        <w:ind w:right="1124"/>
        <w:jc w:val="left"/>
      </w:pPr>
      <w:r>
        <w:rPr>
          <w:rFonts w:ascii="宋体" w:hAnsi="宋体" w:cs="宋体" w:eastAsia="宋体" w:hint="default"/>
        </w:rPr>
        <w:t>3</w:t>
      </w:r>
      <w:r>
        <w:rPr/>
        <w:t>．划分为持有待售类别的终止确认和计量 非流动资产或处置组不再满足持有待售类别的划分条件而不再继续划分为持有待售类别或非流动资产从持有待售的处置组 中移除时，按照以下两者孰低计量：</w:t>
      </w:r>
      <w:r>
        <w:rPr>
          <w:rFonts w:ascii="宋体" w:hAnsi="宋体" w:cs="宋体" w:eastAsia="宋体" w:hint="default"/>
        </w:rPr>
        <w:t>(1)</w:t>
      </w:r>
      <w:r>
        <w:rPr/>
        <w:t>划分为持有待售类别前的账面价值，按照假定不划分为持有待售类别情况下本应确 认的折旧、摊销或减值等进行调整后的金额；</w:t>
      </w:r>
      <w:r>
        <w:rPr>
          <w:rFonts w:ascii="宋体" w:hAnsi="宋体" w:cs="宋体" w:eastAsia="宋体" w:hint="default"/>
        </w:rPr>
        <w:t>(2)</w:t>
      </w:r>
      <w:r>
        <w:rPr/>
        <w:t>可收回金额。 公司终止确认持有待售的非流动资产或处置组时，将尚未确认的利得或损失计入当期损益。</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19、债权投资" w:id="191"/>
      <w:bookmarkEnd w:id="191"/>
      <w:r>
        <w:rPr>
          <w:b w:val="0"/>
          <w:bCs w:val="0"/>
        </w:rPr>
      </w:r>
      <w:r>
        <w:rPr>
          <w:rFonts w:ascii="Times New Roman" w:hAnsi="Times New Roman" w:cs="Times New Roman" w:eastAsia="Times New Roman" w:hint="default"/>
        </w:rPr>
        <w:t>19</w:t>
      </w:r>
      <w:r>
        <w:rPr/>
        <w:t>、债权投资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20、其他债权投资" w:id="192"/>
      <w:bookmarkEnd w:id="192"/>
      <w:r>
        <w:rPr>
          <w:b w:val="0"/>
          <w:bCs w:val="0"/>
        </w:rPr>
      </w:r>
      <w:r>
        <w:rPr>
          <w:rFonts w:ascii="Times New Roman" w:hAnsi="Times New Roman" w:cs="Times New Roman" w:eastAsia="Times New Roman" w:hint="default"/>
        </w:rPr>
        <w:t>20</w:t>
      </w:r>
      <w:r>
        <w:rPr/>
        <w:t>、其他债权投资</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6"/>
        <w:jc w:val="left"/>
        <w:rPr>
          <w:b w:val="0"/>
          <w:bCs w:val="0"/>
        </w:rPr>
      </w:pPr>
      <w:bookmarkStart w:name="21、长期应收款" w:id="193"/>
      <w:bookmarkEnd w:id="193"/>
      <w:r>
        <w:rPr>
          <w:b w:val="0"/>
          <w:bCs w:val="0"/>
        </w:rPr>
      </w:r>
      <w:r>
        <w:rPr>
          <w:rFonts w:ascii="Times New Roman" w:hAnsi="Times New Roman" w:cs="Times New Roman" w:eastAsia="Times New Roman" w:hint="default"/>
        </w:rPr>
        <w:t>21</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22、长期股权投资" w:id="194"/>
      <w:bookmarkEnd w:id="194"/>
      <w:r>
        <w:rPr>
          <w:b w:val="0"/>
          <w:bCs w:val="0"/>
        </w:rPr>
      </w:r>
      <w:r>
        <w:rPr>
          <w:rFonts w:ascii="Times New Roman" w:hAnsi="Times New Roman" w:cs="Times New Roman" w:eastAsia="Times New Roman" w:hint="default"/>
        </w:rPr>
        <w:t>22</w:t>
      </w:r>
      <w:r>
        <w:rPr/>
        <w:t>、长期股权投资</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034"/>
        <w:jc w:val="left"/>
      </w:pPr>
      <w:r>
        <w:rPr>
          <w:spacing w:val="-2"/>
        </w:rPr>
        <w:t>本部分所指的长期股权投资是指本公司对被投资单位具有控制、共同控制或重大影响的长期股权投资，包括对子公司、合营</w:t>
      </w:r>
      <w:r>
        <w:rPr>
          <w:spacing w:val="-64"/>
        </w:rPr>
        <w:t> </w:t>
      </w:r>
      <w:r>
        <w:rPr>
          <w:spacing w:val="-64"/>
        </w:rPr>
      </w:r>
      <w:r>
        <w:rPr>
          <w:spacing w:val="-2"/>
        </w:rPr>
        <w:t>企业和联营企业的权益性投资。本公司对被投资单位不具有控制、共同控制或重大影响的长期股权投资，作为可供出售金融</w:t>
      </w:r>
      <w:r>
        <w:rPr>
          <w:spacing w:val="-63"/>
        </w:rPr>
        <w:t> </w:t>
      </w:r>
      <w:r>
        <w:rPr>
          <w:spacing w:val="-63"/>
        </w:rPr>
      </w:r>
      <w:r>
        <w:rPr>
          <w:spacing w:val="-2"/>
        </w:rPr>
        <w:t>资产或以公允价值计量且其变动计入当期损益的金融资产核算，其会计政策详见本附注三</w:t>
      </w:r>
      <w:r>
        <w:rPr>
          <w:rFonts w:ascii="宋体" w:hAnsi="宋体" w:cs="宋体" w:eastAsia="宋体" w:hint="default"/>
          <w:spacing w:val="-2"/>
        </w:rPr>
        <w:t>(</w:t>
      </w:r>
      <w:r>
        <w:rPr>
          <w:spacing w:val="-2"/>
        </w:rPr>
        <w:t>十</w:t>
      </w:r>
      <w:r>
        <w:rPr>
          <w:rFonts w:ascii="宋体" w:hAnsi="宋体" w:cs="宋体" w:eastAsia="宋体" w:hint="default"/>
          <w:spacing w:val="-2"/>
        </w:rPr>
        <w:t>)</w:t>
      </w:r>
      <w:r>
        <w:rPr>
          <w:spacing w:val="-2"/>
        </w:rPr>
        <w:t>“金融工具的确认和计量”。</w:t>
      </w:r>
      <w:r>
        <w:rPr>
          <w:spacing w:val="-69"/>
        </w:rPr>
        <w:t> </w:t>
      </w:r>
      <w:r>
        <w:rPr>
          <w:spacing w:val="-69"/>
        </w:rPr>
      </w:r>
      <w:r>
        <w:rPr>
          <w:rFonts w:ascii="宋体" w:hAnsi="宋体" w:cs="宋体" w:eastAsia="宋体" w:hint="default"/>
        </w:rPr>
        <w:t>1</w:t>
      </w:r>
      <w:r>
        <w:rPr/>
        <w:t>．共同控制和重大影响的判断标准 </w:t>
      </w:r>
      <w:r>
        <w:rPr>
          <w:spacing w:val="-2"/>
        </w:rPr>
        <w:t>共同控制，是指按照相关约定对某项安排所共有的控制，并且该安排的相关活动必须经过分享控制权的参与方一致同意后才</w:t>
      </w:r>
      <w:r>
        <w:rPr>
          <w:spacing w:val="-64"/>
        </w:rPr>
        <w:t> </w:t>
      </w:r>
      <w:r>
        <w:rPr>
          <w:spacing w:val="-64"/>
        </w:rPr>
      </w:r>
      <w:r>
        <w:rPr>
          <w:spacing w:val="-2"/>
        </w:rPr>
        <w:t>能决策。本公司与其他合营方一同对被投资单位实施共同控制且对被投资单位实施共同控制且对被投资单位净资产享有权利</w:t>
      </w:r>
      <w:r>
        <w:rPr>
          <w:spacing w:val="-64"/>
        </w:rPr>
        <w:t> </w:t>
      </w:r>
      <w:r>
        <w:rPr>
          <w:spacing w:val="-64"/>
        </w:rPr>
      </w:r>
      <w:r>
        <w:rPr/>
        <w:t>的，被投资单位为本公司的合营企业。判断是否存在共同控制时，不考虑享有的保护性权利。 </w:t>
      </w:r>
      <w:r>
        <w:rPr>
          <w:spacing w:val="-2"/>
        </w:rPr>
        <w:t>重大影响，是指对一个企业的财务和经营决策有参与决策的权力，但并不能够控制或者与其他方一起共同控制这些政策的制</w:t>
      </w:r>
      <w:r>
        <w:rPr>
          <w:spacing w:val="-64"/>
        </w:rPr>
        <w:t> </w:t>
      </w:r>
      <w:r>
        <w:rPr>
          <w:spacing w:val="-64"/>
        </w:rPr>
      </w:r>
      <w:r>
        <w:rPr/>
        <w:t>定。本公司能够对被投资单位施加重大影响的，被投资单位为本公司联营企业。在确定能否对被投资单位施加重大影响时，</w:t>
      </w:r>
      <w:r>
        <w:rPr>
          <w:spacing w:val="-86"/>
        </w:rPr>
        <w:t> </w:t>
      </w:r>
      <w:r>
        <w:rPr>
          <w:spacing w:val="-86"/>
        </w:rPr>
      </w:r>
      <w:r>
        <w:rPr/>
        <w:t>考虑投资方直接或间接持有被投资单位的表决权股份以及投资方及其他方持有的当期可执行潜在表决权在假定转换为对被 投资方单位的股权后产生的影响，包括被投资单位发行的当期可转换的认股权证、股份期权及可转换公司债券等的影响。 </w:t>
      </w:r>
      <w:r>
        <w:rPr>
          <w:rFonts w:ascii="宋体" w:hAnsi="宋体" w:cs="宋体" w:eastAsia="宋体" w:hint="default"/>
        </w:rPr>
        <w:t>2</w:t>
      </w:r>
      <w:r>
        <w:rPr/>
        <w:t>．长期股权投资的投资成本的确定 </w:t>
      </w:r>
      <w:r>
        <w:rPr>
          <w:rFonts w:ascii="宋体" w:hAnsi="宋体" w:cs="宋体" w:eastAsia="宋体" w:hint="default"/>
        </w:rPr>
        <w:t>(1)</w:t>
      </w:r>
      <w:r>
        <w:rPr/>
        <w:t>同一控制下的合并形成的，合并方以支付现金、转让非现金资产、承担债务或发行权益性证券作为合并对价的，在合并 </w:t>
      </w:r>
      <w:r>
        <w:rPr>
          <w:spacing w:val="-2"/>
        </w:rPr>
        <w:t>日按取得被合并方所有者权益在最终控制方合并财务报表中的账面价值的份额作为其初始投资成本。长期股权投资初始投资</w:t>
      </w:r>
      <w:r>
        <w:rPr>
          <w:spacing w:val="-64"/>
        </w:rPr>
        <w:t> </w:t>
      </w:r>
      <w:r>
        <w:rPr>
          <w:spacing w:val="-64"/>
        </w:rPr>
      </w:r>
      <w:r>
        <w:rPr>
          <w:spacing w:val="-2"/>
        </w:rPr>
        <w:t>成本与支付的现金、转让的非现金资产、所承担债务账面价值或发行股份的面值总额之间的差额调整资本公积；资本公积不</w:t>
      </w:r>
      <w:r>
        <w:rPr>
          <w:spacing w:val="-63"/>
        </w:rPr>
        <w:t> </w:t>
      </w:r>
      <w:r>
        <w:rPr>
          <w:spacing w:val="-63"/>
        </w:rPr>
      </w:r>
      <w:r>
        <w:rPr>
          <w:spacing w:val="-2"/>
        </w:rPr>
        <w:t>足冲减的，调整留存收益。通过多次交易分步取得同一控制下被合并方的股权，最终形成同一控制下企业合并的，应分别是</w:t>
      </w:r>
      <w:r>
        <w:rPr>
          <w:spacing w:val="-64"/>
        </w:rPr>
        <w:t> </w:t>
      </w:r>
      <w:r>
        <w:rPr>
          <w:spacing w:val="-64"/>
        </w:rPr>
      </w:r>
      <w:r>
        <w:rPr>
          <w:spacing w:val="-5"/>
        </w:rPr>
        <w:t>否属于“一揽子交易”进行处理：属于“一揽子交易”的，将各项交易作为一项取得控制权的交易进行会计处理。不属于“一</w:t>
      </w:r>
      <w:r>
        <w:rPr>
          <w:spacing w:val="-81"/>
        </w:rPr>
        <w:t> </w:t>
      </w:r>
      <w:r>
        <w:rPr>
          <w:spacing w:val="-81"/>
        </w:rPr>
      </w:r>
      <w:r>
        <w:rPr>
          <w:spacing w:val="-2"/>
        </w:rPr>
        <w:t>揽子交易”的，在合并日按照应享有被合并方股东权益在最终控制方合并财务报表中的账面价值的份额作为长期股权投资的</w:t>
      </w:r>
      <w:r>
        <w:rPr>
          <w:spacing w:val="-64"/>
        </w:rPr>
        <w:t> </w:t>
      </w:r>
      <w:r>
        <w:rPr>
          <w:spacing w:val="-64"/>
        </w:rPr>
      </w:r>
      <w:r>
        <w:rPr>
          <w:spacing w:val="-2"/>
        </w:rPr>
        <w:t>初始投资成本，长期股权投资初始投资成本与达到合并前的长期股权投资账面价值加上合并日进一步取得股份新支付对价的</w:t>
      </w:r>
      <w:r>
        <w:rPr>
          <w:spacing w:val="-64"/>
        </w:rPr>
        <w:t> </w:t>
      </w:r>
      <w:r>
        <w:rPr>
          <w:spacing w:val="-64"/>
        </w:rPr>
      </w:r>
      <w:r>
        <w:rPr>
          <w:spacing w:val="-2"/>
        </w:rPr>
        <w:t>账面价值之和的差额，调整资本公积；资本公积不足冲减的，调整留存收益。合并日之前持有的股权投资因采用权益法核算</w:t>
      </w:r>
      <w:r>
        <w:rPr>
          <w:spacing w:val="-64"/>
        </w:rPr>
        <w:t> </w:t>
      </w:r>
      <w:r>
        <w:rPr>
          <w:spacing w:val="-64"/>
        </w:rPr>
      </w:r>
      <w:r>
        <w:rPr/>
        <w:t>或为可供出售金融资产而确认的其他综合收益，暂不进行会计处理。 </w:t>
      </w:r>
      <w:r>
        <w:rPr>
          <w:rFonts w:ascii="宋体" w:hAnsi="宋体" w:cs="宋体" w:eastAsia="宋体" w:hint="default"/>
        </w:rPr>
        <w:t>(2)</w:t>
      </w:r>
      <w:r>
        <w:rPr/>
        <w:t>非同一控制下的企业合并形成的，公司按照购买日确定的合并成本作为长期股权投资的初始投资成本。合并成本为购买 </w:t>
      </w:r>
      <w:r>
        <w:rPr>
          <w:spacing w:val="-2"/>
        </w:rPr>
        <w:t>日购买方为取得对被购买方的控制权而付出的资产、发生或承担的负债以及发行的权益性证券的公允价值。购买方为企业合</w:t>
      </w:r>
      <w:r>
        <w:rPr>
          <w:spacing w:val="-64"/>
        </w:rPr>
        <w:t> </w:t>
      </w:r>
      <w:r>
        <w:rPr>
          <w:spacing w:val="-64"/>
        </w:rPr>
      </w:r>
      <w:r>
        <w:rPr>
          <w:spacing w:val="-2"/>
        </w:rPr>
        <w:t>并而发生的审计、法律服务、评估咨询等中介费用以及其他相关管理费用于发生时计入当期损益；购买方作为合并对价发行</w:t>
      </w:r>
      <w:r>
        <w:rPr>
          <w:spacing w:val="-65"/>
        </w:rPr>
        <w:t> </w:t>
      </w:r>
      <w:r>
        <w:rPr>
          <w:spacing w:val="-65"/>
        </w:rPr>
      </w:r>
      <w:r>
        <w:rPr>
          <w:spacing w:val="-2"/>
        </w:rPr>
        <w:t>的权益性证券或债务性证券的交易费用，计入权益性证券或债务性证券的初始确认金额。本公司将合并协议约定的或有对价</w:t>
      </w:r>
      <w:r>
        <w:rPr>
          <w:spacing w:val="-64"/>
        </w:rPr>
        <w:t> </w:t>
      </w:r>
      <w:r>
        <w:rPr>
          <w:spacing w:val="-64"/>
        </w:rPr>
      </w:r>
      <w:r>
        <w:rPr>
          <w:spacing w:val="-2"/>
        </w:rPr>
        <w:t>作为企业合并转移对价的一部分，按照其在购买日的公允价值计入企业合并成本。通过多次交易分步实现的非同一控制下企</w:t>
      </w:r>
      <w:r>
        <w:rPr>
          <w:spacing w:val="-64"/>
        </w:rPr>
        <w:t> </w:t>
      </w:r>
      <w:r>
        <w:rPr>
          <w:spacing w:val="-64"/>
        </w:rPr>
      </w:r>
      <w:r>
        <w:rPr>
          <w:spacing w:val="-2"/>
        </w:rPr>
        <w:t>业合并，根据企业会计准则判断该多次交易是否属于“一揽子交易”。属于“一揽子交易”的，将各项交易作为一项取得控</w:t>
      </w:r>
      <w:r>
        <w:rPr>
          <w:spacing w:val="-71"/>
        </w:rPr>
        <w:t> </w:t>
      </w:r>
      <w:r>
        <w:rPr>
          <w:spacing w:val="-71"/>
        </w:rPr>
      </w:r>
      <w:r>
        <w:rPr>
          <w:spacing w:val="-2"/>
        </w:rPr>
        <w:t>制权的交易进行会计处理。不属于“一揽子交易”的，按照原持有被购买方的股权投资账面价值加上新增投资成本之和，作</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ind w:right="986"/>
        <w:jc w:val="left"/>
      </w:pPr>
      <w:r>
        <w:rPr>
          <w:spacing w:val="-4"/>
        </w:rPr>
        <w:t>为改按成本法核算的长期股权投资的初始投资成本；原持有的股权采用权益法核算的，相关其他综合收益暂不进行会计处理；</w:t>
      </w:r>
      <w:r>
        <w:rPr>
          <w:spacing w:val="-44"/>
        </w:rPr>
        <w:t> </w:t>
      </w:r>
      <w:r>
        <w:rPr>
          <w:spacing w:val="-44"/>
        </w:rPr>
      </w:r>
      <w:r>
        <w:rPr>
          <w:spacing w:val="-2"/>
        </w:rPr>
        <w:t>原持有股权投资为可供出售金融资产的，其公允价值与账面价值之间的差额，以及原计入其他综合收益的累计公允价值变动</w:t>
      </w:r>
      <w:r>
        <w:rPr>
          <w:spacing w:val="-64"/>
        </w:rPr>
        <w:t> </w:t>
      </w:r>
      <w:r>
        <w:rPr>
          <w:spacing w:val="-64"/>
        </w:rPr>
      </w:r>
      <w:r>
        <w:rPr/>
        <w:t>转入当期损益。 </w:t>
      </w:r>
      <w:r>
        <w:rPr>
          <w:rFonts w:ascii="宋体" w:hAnsi="宋体" w:cs="宋体" w:eastAsia="宋体" w:hint="default"/>
        </w:rPr>
        <w:t>(3)</w:t>
      </w:r>
      <w:r>
        <w:rPr/>
        <w:t>除企业合并形成的长期股权投资外的其他股权投资，按成本进行初始计量：以支付现金取得的，按照实际支付的购买价 </w:t>
      </w:r>
      <w:r>
        <w:rPr>
          <w:spacing w:val="-2"/>
        </w:rPr>
        <w:t>款作为其初始投资成本；以发行权益性证券取得的，按照发行权益性证券的公允价值作为其初始投资成本，与发行权益性证</w:t>
      </w:r>
      <w:r>
        <w:rPr>
          <w:spacing w:val="-63"/>
        </w:rPr>
        <w:t> </w:t>
      </w:r>
      <w:r>
        <w:rPr>
          <w:spacing w:val="-63"/>
        </w:rPr>
      </w:r>
      <w:r>
        <w:rPr>
          <w:spacing w:val="-2"/>
        </w:rPr>
        <w:t>券直接相关的费用，按照《企业会计准则第</w:t>
      </w:r>
      <w:r>
        <w:rPr>
          <w:rFonts w:ascii="宋体" w:hAnsi="宋体" w:cs="宋体" w:eastAsia="宋体" w:hint="default"/>
          <w:spacing w:val="-2"/>
        </w:rPr>
        <w:t>37</w:t>
      </w:r>
      <w:r>
        <w:rPr>
          <w:spacing w:val="-2"/>
        </w:rPr>
        <w:t>号——金融工具列报》的有关规定确定；在非货币性资产交换具有商业实质和</w:t>
      </w:r>
      <w:r>
        <w:rPr>
          <w:spacing w:val="-64"/>
        </w:rPr>
        <w:t> </w:t>
      </w:r>
      <w:r>
        <w:rPr>
          <w:spacing w:val="-64"/>
        </w:rPr>
      </w:r>
      <w:r>
        <w:rPr>
          <w:spacing w:val="-2"/>
        </w:rPr>
        <w:t>换入资产或换出资产的公允价值能够可靠计量的前提下，非货币性资产交换换入的长期股权投资以换出资产的公允价值和应</w:t>
      </w:r>
      <w:r>
        <w:rPr>
          <w:spacing w:val="-64"/>
        </w:rPr>
        <w:t> </w:t>
      </w:r>
      <w:r>
        <w:rPr>
          <w:spacing w:val="-64"/>
        </w:rPr>
      </w:r>
      <w:r>
        <w:rPr>
          <w:spacing w:val="-2"/>
        </w:rPr>
        <w:t>支付的相关税费确定其初始投资成本，除非有确凿证据表明换入资产的公允价值更加可靠；不满足上述前提的非货币性资产</w:t>
      </w:r>
      <w:r>
        <w:rPr>
          <w:spacing w:val="-64"/>
        </w:rPr>
        <w:t> </w:t>
      </w:r>
      <w:r>
        <w:rPr>
          <w:spacing w:val="-64"/>
        </w:rPr>
      </w:r>
      <w:r>
        <w:rPr>
          <w:spacing w:val="-2"/>
        </w:rPr>
        <w:t>交换，以换出资产的账面价值和应支付的相关税费作为换入长期股权投资的初始投资成本。通过债务重组取得的长期股权投</w:t>
      </w:r>
      <w:r>
        <w:rPr>
          <w:spacing w:val="-63"/>
        </w:rPr>
        <w:t> </w:t>
      </w:r>
      <w:r>
        <w:rPr>
          <w:spacing w:val="-63"/>
        </w:rPr>
      </w:r>
      <w:r>
        <w:rPr>
          <w:spacing w:val="-5"/>
        </w:rPr>
        <w:t>资，其初始投资成本按照公允价值为基础确定。与取得长期股权投资直接相关的费用、税金及其他必要支出也计入投资成本。</w:t>
      </w:r>
      <w:r>
        <w:rPr>
          <w:spacing w:val="-76"/>
        </w:rPr>
        <w:t> </w:t>
      </w:r>
      <w:r>
        <w:rPr>
          <w:spacing w:val="-76"/>
        </w:rPr>
      </w:r>
      <w:r>
        <w:rPr>
          <w:spacing w:val="-2"/>
        </w:rPr>
        <w:t>对于因追加投资能够对被投资单位实施重大影响或实施共同控制但不构成控制的，长期股权投资成本为按照《企业会计准则</w:t>
      </w:r>
      <w:r>
        <w:rPr>
          <w:spacing w:val="-64"/>
        </w:rPr>
        <w:t> </w:t>
      </w:r>
      <w:r>
        <w:rPr>
          <w:spacing w:val="-64"/>
        </w:rPr>
      </w:r>
      <w:r>
        <w:rPr>
          <w:spacing w:val="-2"/>
        </w:rPr>
        <w:t>第</w:t>
      </w:r>
      <w:r>
        <w:rPr>
          <w:rFonts w:ascii="宋体" w:hAnsi="宋体" w:cs="宋体" w:eastAsia="宋体" w:hint="default"/>
          <w:spacing w:val="-2"/>
        </w:rPr>
        <w:t>22</w:t>
      </w:r>
      <w:r>
        <w:rPr>
          <w:spacing w:val="-2"/>
        </w:rPr>
        <w:t>号——金融工具确认和计量》确定的原持有股权投资的公允价值加上新增投资成本之和，作为改按权益法核算的初始投</w:t>
      </w:r>
      <w:r>
        <w:rPr>
          <w:spacing w:val="-64"/>
        </w:rPr>
        <w:t> </w:t>
      </w:r>
      <w:r>
        <w:rPr>
          <w:spacing w:val="-64"/>
        </w:rPr>
      </w:r>
      <w:r>
        <w:rPr>
          <w:spacing w:val="-2"/>
        </w:rPr>
        <w:t>资成本。原持有的股权投资分类为可供出售金融资产的，其公允价值与账面价值之间的差额，以及原计入其他综合收益的累</w:t>
      </w:r>
      <w:r>
        <w:rPr>
          <w:spacing w:val="-63"/>
        </w:rPr>
        <w:t> </w:t>
      </w:r>
      <w:r>
        <w:rPr>
          <w:spacing w:val="-63"/>
        </w:rPr>
      </w:r>
      <w:r>
        <w:rPr/>
        <w:t>计公允价值变动应当转入改按权益法核算的当期损益。</w:t>
      </w:r>
    </w:p>
    <w:p>
      <w:pPr>
        <w:pStyle w:val="BodyText"/>
        <w:spacing w:line="316" w:lineRule="auto" w:before="19"/>
        <w:ind w:right="7244"/>
        <w:jc w:val="left"/>
      </w:pPr>
      <w:r>
        <w:rPr>
          <w:rFonts w:ascii="宋体" w:hAnsi="宋体" w:cs="宋体" w:eastAsia="宋体" w:hint="default"/>
        </w:rPr>
        <w:t>3</w:t>
      </w:r>
      <w:r>
        <w:rPr/>
        <w:t>．长期股权投资的后续计量及损益确认方法 </w:t>
      </w:r>
      <w:r>
        <w:rPr>
          <w:rFonts w:ascii="宋体" w:hAnsi="宋体" w:cs="宋体" w:eastAsia="宋体" w:hint="default"/>
        </w:rPr>
        <w:t>(1)</w:t>
      </w:r>
      <w:r>
        <w:rPr/>
        <w:t>成本法核算的长期股权投资</w:t>
      </w:r>
    </w:p>
    <w:p>
      <w:pPr>
        <w:pStyle w:val="BodyText"/>
        <w:spacing w:line="316" w:lineRule="auto" w:before="19"/>
        <w:ind w:right="986"/>
        <w:jc w:val="left"/>
      </w:pPr>
      <w:r>
        <w:rPr>
          <w:spacing w:val="-2"/>
        </w:rPr>
        <w:t>公司对子公司的长期股权投资，采用成本法核算。除取得投资时实际支付的价款或对价中包含的已宣告但尚未发放的现金股</w:t>
      </w:r>
      <w:r>
        <w:rPr>
          <w:spacing w:val="-64"/>
        </w:rPr>
        <w:t> </w:t>
      </w:r>
      <w:r>
        <w:rPr>
          <w:spacing w:val="-64"/>
        </w:rPr>
      </w:r>
      <w:r>
        <w:rPr/>
        <w:t>利或利润外，公司按照享有被投资单位宣告发放的现金股利或利润确认当期投资收益。</w:t>
      </w:r>
    </w:p>
    <w:p>
      <w:pPr>
        <w:pStyle w:val="BodyText"/>
        <w:spacing w:line="316" w:lineRule="auto" w:before="19"/>
        <w:ind w:right="6074"/>
        <w:jc w:val="left"/>
      </w:pPr>
      <w:r>
        <w:rPr>
          <w:rFonts w:ascii="宋体" w:hAnsi="宋体" w:cs="宋体" w:eastAsia="宋体" w:hint="default"/>
        </w:rPr>
        <w:t>(2)</w:t>
      </w:r>
      <w:r>
        <w:rPr/>
        <w:t>权益法核算的长期股权投资</w:t>
      </w:r>
      <w:r>
        <w:rPr>
          <w:spacing w:val="-87"/>
        </w:rPr>
        <w:t> </w:t>
      </w:r>
      <w:r>
        <w:rPr/>
        <w:t>对联营企业和合营企业的长期股权投资，采用权益法核算。</w:t>
      </w:r>
    </w:p>
    <w:p>
      <w:pPr>
        <w:pStyle w:val="BodyText"/>
        <w:spacing w:line="316" w:lineRule="auto" w:before="19"/>
        <w:ind w:right="1034"/>
        <w:jc w:val="left"/>
      </w:pPr>
      <w:r>
        <w:rPr>
          <w:spacing w:val="-2"/>
        </w:rPr>
        <w:t>采用权益法核算的长期股权投资的初始投资成本大于投资时应享有被投资单位可辨认净资产公允价值份额的，不调整长期股</w:t>
      </w:r>
      <w:r>
        <w:rPr>
          <w:spacing w:val="-64"/>
        </w:rPr>
        <w:t> </w:t>
      </w:r>
      <w:r>
        <w:rPr>
          <w:spacing w:val="-64"/>
        </w:rPr>
      </w:r>
      <w:r>
        <w:rPr>
          <w:spacing w:val="-2"/>
        </w:rPr>
        <w:t>权投资的初始投资成本；长期股权投资的初始投资成本小于投资时应享有被投资单位可辨认净资产公允价值份额的，其差额</w:t>
      </w:r>
      <w:r>
        <w:rPr>
          <w:spacing w:val="-64"/>
        </w:rPr>
        <w:t> </w:t>
      </w:r>
      <w:r>
        <w:rPr>
          <w:spacing w:val="-64"/>
        </w:rPr>
      </w:r>
      <w:r>
        <w:rPr>
          <w:spacing w:val="-2"/>
        </w:rPr>
        <w:t>应当计入当期损益，同时调整长期股权投资的成本。取得长期股权投资后，被投资单位采用的会计政策及会计期间与公司不</w:t>
      </w:r>
      <w:r>
        <w:rPr>
          <w:spacing w:val="-63"/>
        </w:rPr>
        <w:t> </w:t>
      </w:r>
      <w:r>
        <w:rPr>
          <w:spacing w:val="-63"/>
        </w:rPr>
      </w:r>
      <w:r>
        <w:rPr>
          <w:spacing w:val="-2"/>
        </w:rPr>
        <w:t>一致的，按照公司的会计政策及会计期间对被投资单位的财务报表进行调整，并据以确认投资损益和其他综合收益等。按照</w:t>
      </w:r>
      <w:r>
        <w:rPr>
          <w:spacing w:val="-63"/>
        </w:rPr>
        <w:t> </w:t>
      </w:r>
      <w:r>
        <w:rPr>
          <w:spacing w:val="-63"/>
        </w:rPr>
      </w:r>
      <w:r>
        <w:rPr>
          <w:spacing w:val="-2"/>
        </w:rPr>
        <w:t>应享有或应分担的被投资单位实现的净损益和其他综合收益的份额，分别确认投资收益和其他综合收益，同时调整长期股权</w:t>
      </w:r>
      <w:r>
        <w:rPr>
          <w:spacing w:val="-63"/>
        </w:rPr>
        <w:t> </w:t>
      </w:r>
      <w:r>
        <w:rPr>
          <w:spacing w:val="-63"/>
        </w:rPr>
      </w:r>
      <w:r>
        <w:rPr>
          <w:spacing w:val="-4"/>
        </w:rPr>
        <w:t>投资的账面价值；在确认应享有被投资单位净损益的份额时，以取得投资时被投资单位各项可辨认资产等的公允价值为基础，</w:t>
      </w:r>
      <w:r>
        <w:rPr>
          <w:spacing w:val="-44"/>
        </w:rPr>
        <w:t> </w:t>
      </w:r>
      <w:r>
        <w:rPr>
          <w:spacing w:val="-44"/>
        </w:rPr>
      </w:r>
      <w:r>
        <w:rPr>
          <w:spacing w:val="-2"/>
        </w:rPr>
        <w:t>对被投资单位的净利润进行调整后确认。按照被投资单位宣告分派的利润或现金股利计算应享有的部分，相应减少长期股权</w:t>
      </w:r>
      <w:r>
        <w:rPr>
          <w:spacing w:val="-64"/>
        </w:rPr>
        <w:t> </w:t>
      </w:r>
      <w:r>
        <w:rPr>
          <w:spacing w:val="-64"/>
        </w:rPr>
      </w:r>
      <w:r>
        <w:rPr>
          <w:spacing w:val="-2"/>
        </w:rPr>
        <w:t>投资的账面价值；对于被投资单位除净损益、其他综合收益和利润分配以外所有者权益的其他变动，调整长期股权投资的账</w:t>
      </w:r>
      <w:r>
        <w:rPr>
          <w:spacing w:val="-63"/>
        </w:rPr>
        <w:t> </w:t>
      </w:r>
      <w:r>
        <w:rPr>
          <w:spacing w:val="-63"/>
        </w:rPr>
      </w:r>
      <w:r>
        <w:rPr>
          <w:spacing w:val="-2"/>
        </w:rPr>
        <w:t>面价值并计入所有者权益。公司与联营企业、合营企业之间发生的未实现内部交易损益按照享有的比例计算归属于公司的部</w:t>
      </w:r>
      <w:r>
        <w:rPr>
          <w:spacing w:val="-64"/>
        </w:rPr>
        <w:t> </w:t>
      </w:r>
      <w:r>
        <w:rPr>
          <w:spacing w:val="-64"/>
        </w:rPr>
      </w:r>
      <w:r>
        <w:rPr/>
        <w:t>分，予以抵销，在此基础上确认投资收益。与被投资单位发生的未实现内部交易损失，属于资产减值损失的，全额确认。</w:t>
      </w:r>
      <w:r>
        <w:rPr/>
        <w:t> </w:t>
      </w:r>
      <w:r>
        <w:rPr>
          <w:spacing w:val="-2"/>
        </w:rPr>
        <w:t>在公司确认应分担被投资单位发生亏损时，按照以下顺序进行处理：首先，冲减长期股权投资的账面价值。其次，长期股权</w:t>
      </w:r>
      <w:r>
        <w:rPr>
          <w:spacing w:val="-67"/>
        </w:rPr>
        <w:t> </w:t>
      </w:r>
      <w:r>
        <w:rPr>
          <w:spacing w:val="-67"/>
        </w:rPr>
      </w:r>
      <w:r>
        <w:rPr>
          <w:spacing w:val="-2"/>
        </w:rPr>
        <w:t>投资的账面价值不足以冲减的，以其他实质上构成对被投资单位净投资的长期权益账面价值为限继续确认投资损失、冲减长</w:t>
      </w:r>
      <w:r>
        <w:rPr>
          <w:spacing w:val="-64"/>
        </w:rPr>
        <w:t> </w:t>
      </w:r>
      <w:r>
        <w:rPr>
          <w:spacing w:val="-64"/>
        </w:rPr>
      </w:r>
      <w:r>
        <w:rPr>
          <w:spacing w:val="-5"/>
        </w:rPr>
        <w:t>期应收项目的账面价值。经过上述处理，按照投资合同或协议约定企业仍承担额外义务的，按预计承担的义务确认预计负债，</w:t>
      </w:r>
      <w:r>
        <w:rPr>
          <w:spacing w:val="-76"/>
        </w:rPr>
        <w:t> </w:t>
      </w:r>
      <w:r>
        <w:rPr>
          <w:spacing w:val="-76"/>
        </w:rPr>
      </w:r>
      <w:r>
        <w:rPr/>
        <w:t>计入当期投资损失。被投资单位以后期间实现净利润的，本公司在收益弥补未确认的亏损分担额后，恢复确认收益分享额。</w:t>
      </w:r>
      <w:r>
        <w:rPr>
          <w:spacing w:val="-86"/>
        </w:rPr>
        <w:t> </w:t>
      </w:r>
      <w:r>
        <w:rPr>
          <w:spacing w:val="-86"/>
        </w:rPr>
      </w:r>
      <w:r>
        <w:rPr>
          <w:spacing w:val="-2"/>
        </w:rPr>
        <w:t>在持有投资期间，被投资单位编制合并财务报表的，以合并财务报表中的净利润、其他综合收益和其他所有者权益变动中归</w:t>
      </w:r>
      <w:r>
        <w:rPr>
          <w:spacing w:val="-63"/>
        </w:rPr>
        <w:t> </w:t>
      </w:r>
      <w:r>
        <w:rPr>
          <w:spacing w:val="-63"/>
        </w:rPr>
      </w:r>
      <w:r>
        <w:rPr/>
        <w:t>属于被投资单位的金额为基础进行核算。 </w:t>
      </w:r>
      <w:r>
        <w:rPr>
          <w:spacing w:val="-2"/>
        </w:rPr>
        <w:t>对于本公司向合营企业与联营企业投出的资产构成业务的，投资方因此取得长期股权投资但未取得控制权的，以投出业务的</w:t>
      </w:r>
      <w:r>
        <w:rPr>
          <w:spacing w:val="-64"/>
        </w:rPr>
        <w:t> </w:t>
      </w:r>
      <w:r>
        <w:rPr>
          <w:spacing w:val="-64"/>
        </w:rPr>
      </w:r>
      <w:r>
        <w:rPr>
          <w:spacing w:val="-2"/>
        </w:rPr>
        <w:t>公允价值作为新增长期股权投资的初始投资成本，初始投资成本与投出业务的账面价值之差，全额计入当期损益。本公司向</w:t>
      </w:r>
      <w:r>
        <w:rPr>
          <w:spacing w:val="-66"/>
        </w:rPr>
        <w:t> </w:t>
      </w:r>
      <w:r>
        <w:rPr>
          <w:spacing w:val="-66"/>
        </w:rPr>
      </w:r>
      <w:r>
        <w:rPr>
          <w:spacing w:val="-2"/>
        </w:rPr>
        <w:t>合营企业或者联营企业出售的资产构成业务的，取得的对价与业务的账面价值之差，全额计入当期损益。本公司自联营及合</w:t>
      </w:r>
      <w:r>
        <w:rPr>
          <w:spacing w:val="-63"/>
        </w:rPr>
        <w:t> </w:t>
      </w:r>
      <w:r>
        <w:rPr>
          <w:spacing w:val="-63"/>
        </w:rPr>
      </w:r>
      <w:r>
        <w:rPr>
          <w:spacing w:val="-2"/>
        </w:rPr>
        <w:t>营企业购入的资产构成业务的，按《企业会计准则第</w:t>
      </w:r>
      <w:r>
        <w:rPr>
          <w:rFonts w:ascii="宋体" w:hAnsi="宋体" w:cs="宋体" w:eastAsia="宋体" w:hint="default"/>
          <w:spacing w:val="-2"/>
        </w:rPr>
        <w:t>20</w:t>
      </w:r>
      <w:r>
        <w:rPr>
          <w:spacing w:val="-2"/>
        </w:rPr>
        <w:t>号——企业合并》的规定进行会计处理，全额确认与交易相关的利得</w:t>
      </w:r>
      <w:r>
        <w:rPr>
          <w:spacing w:val="-61"/>
        </w:rPr>
        <w:t> </w:t>
      </w:r>
      <w:r>
        <w:rPr>
          <w:spacing w:val="-61"/>
        </w:rPr>
      </w:r>
      <w:r>
        <w:rPr/>
        <w:t>或损失。</w:t>
      </w:r>
    </w:p>
    <w:p>
      <w:pPr>
        <w:pStyle w:val="BodyText"/>
        <w:spacing w:line="316" w:lineRule="auto" w:before="19"/>
        <w:ind w:right="4994"/>
        <w:jc w:val="left"/>
      </w:pPr>
      <w:r>
        <w:rPr>
          <w:rFonts w:ascii="宋体" w:hAnsi="宋体" w:cs="宋体" w:eastAsia="宋体" w:hint="default"/>
        </w:rPr>
        <w:t>4</w:t>
      </w:r>
      <w:r>
        <w:rPr/>
        <w:t>．长期股权投资的处置 处置长期股权投资，其账面价值与实际取得价款的差额，计入当期损益。 </w:t>
      </w:r>
      <w:r>
        <w:rPr>
          <w:rFonts w:ascii="宋体" w:hAnsi="宋体" w:cs="宋体" w:eastAsia="宋体" w:hint="default"/>
        </w:rPr>
        <w:t>(1)</w:t>
      </w:r>
      <w:r>
        <w:rPr/>
        <w:t>权益法核算下的长期股权投资的处置</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ind w:right="986"/>
        <w:jc w:val="left"/>
      </w:pPr>
      <w:r>
        <w:rPr>
          <w:spacing w:val="-2"/>
        </w:rPr>
        <w:t>采用权益法核算的长期股权投资，处置后的剩余股权仍采用权益法核算的，在处置该项投资时，采用与被投资单位直接处置</w:t>
      </w:r>
      <w:r>
        <w:rPr>
          <w:spacing w:val="-63"/>
        </w:rPr>
        <w:t> </w:t>
      </w:r>
      <w:r>
        <w:rPr>
          <w:spacing w:val="-63"/>
        </w:rPr>
      </w:r>
      <w:r>
        <w:rPr>
          <w:spacing w:val="-2"/>
        </w:rPr>
        <w:t>相关资产或者负债相同的基础，按相应比例对原计入其他综合收益的部分进行会计处理。因被投资单位除净损益、其他综合</w:t>
      </w:r>
      <w:r>
        <w:rPr>
          <w:spacing w:val="-63"/>
        </w:rPr>
        <w:t> </w:t>
      </w:r>
      <w:r>
        <w:rPr>
          <w:spacing w:val="-63"/>
        </w:rPr>
      </w:r>
      <w:r>
        <w:rPr/>
        <w:t>收益和利润分配以外的其他所有者权益变动而确认的所有者权益，按比例结转入当期损益。 </w:t>
      </w:r>
      <w:r>
        <w:rPr>
          <w:spacing w:val="-2"/>
        </w:rPr>
        <w:t>因处置部分股权投资等原因丧失了对投资单位的共同控制或者重大影响的，处置后的剩余股权改按金融工具确认和计量准则</w:t>
      </w:r>
      <w:r>
        <w:rPr>
          <w:spacing w:val="-64"/>
        </w:rPr>
        <w:t> </w:t>
      </w:r>
      <w:r>
        <w:rPr>
          <w:spacing w:val="-64"/>
        </w:rPr>
      </w:r>
      <w:r>
        <w:rPr>
          <w:spacing w:val="-2"/>
        </w:rPr>
        <w:t>核算，其在丧失共同控制或重大影响之日的公允价值与账面价值之间的差额计入当期损益。原股权投资因采用权益法核算而</w:t>
      </w:r>
      <w:r>
        <w:rPr>
          <w:spacing w:val="-64"/>
        </w:rPr>
        <w:t> </w:t>
      </w:r>
      <w:r>
        <w:rPr>
          <w:spacing w:val="-64"/>
        </w:rPr>
      </w:r>
      <w:r>
        <w:rPr>
          <w:spacing w:val="-2"/>
        </w:rPr>
        <w:t>确认的其他综合收益，在终止确认权益法核算时采用与被投资单位直接处置相关资产或负债相同的基础进行会计处理。因被</w:t>
      </w:r>
      <w:r>
        <w:rPr>
          <w:spacing w:val="-64"/>
        </w:rPr>
        <w:t> </w:t>
      </w:r>
      <w:r>
        <w:rPr>
          <w:spacing w:val="-64"/>
        </w:rPr>
      </w:r>
      <w:r>
        <w:rPr>
          <w:spacing w:val="-2"/>
        </w:rPr>
        <w:t>投资方除净损益、其他综合收益和利润分配以外的其他所有者权益变动而确认的所有者权益，在终止采用权益法核算时全部</w:t>
      </w:r>
      <w:r>
        <w:rPr>
          <w:spacing w:val="-64"/>
        </w:rPr>
        <w:t> </w:t>
      </w:r>
      <w:r>
        <w:rPr>
          <w:spacing w:val="-64"/>
        </w:rPr>
      </w:r>
      <w:r>
        <w:rPr/>
        <w:t>转入当期损益。</w:t>
      </w:r>
    </w:p>
    <w:p>
      <w:pPr>
        <w:pStyle w:val="BodyText"/>
        <w:spacing w:line="316" w:lineRule="auto" w:before="19"/>
        <w:ind w:right="986"/>
        <w:jc w:val="left"/>
      </w:pPr>
      <w:r>
        <w:rPr>
          <w:rFonts w:ascii="宋体" w:hAnsi="宋体" w:cs="宋体" w:eastAsia="宋体" w:hint="default"/>
        </w:rPr>
        <w:t>(2)</w:t>
      </w:r>
      <w:r>
        <w:rPr/>
        <w:t>成本法核算下的长期股权投资的处置 </w:t>
      </w:r>
      <w:r>
        <w:rPr>
          <w:spacing w:val="-2"/>
        </w:rPr>
        <w:t>采用成本法核算的长期股权投资，处置后剩余股权仍采用成本法核算的，其在取得对被投资单位的控制之前因采用权益法核</w:t>
      </w:r>
      <w:r>
        <w:rPr>
          <w:spacing w:val="-64"/>
        </w:rPr>
        <w:t> </w:t>
      </w:r>
      <w:r>
        <w:rPr>
          <w:spacing w:val="-64"/>
        </w:rPr>
      </w:r>
      <w:r>
        <w:rPr>
          <w:spacing w:val="-2"/>
        </w:rPr>
        <w:t>算或者金融工具确认和计量准则核算而确认的其他综合收益，采用与被投资单位直接处置相关资产或者负债相同的基础进行</w:t>
      </w:r>
      <w:r>
        <w:rPr>
          <w:spacing w:val="-64"/>
        </w:rPr>
        <w:t> </w:t>
      </w:r>
      <w:r>
        <w:rPr>
          <w:spacing w:val="-64"/>
        </w:rPr>
      </w:r>
      <w:r>
        <w:rPr>
          <w:spacing w:val="-2"/>
        </w:rPr>
        <w:t>处理，并按比例结转当期损益；因采用权益法核算而确认的被投资单位净资产中除净损益、其他综合收益和净利润分配以外</w:t>
      </w:r>
      <w:r>
        <w:rPr>
          <w:spacing w:val="-63"/>
        </w:rPr>
        <w:t> </w:t>
      </w:r>
      <w:r>
        <w:rPr>
          <w:spacing w:val="-63"/>
        </w:rPr>
      </w:r>
      <w:r>
        <w:rPr/>
        <w:t>的其他所有者权益变动按比例结转当期损益。 </w:t>
      </w:r>
      <w:r>
        <w:rPr>
          <w:spacing w:val="-2"/>
        </w:rPr>
        <w:t>因其他投资方增资而导致本公司持股比例下降、从而丧失控制权但能对被投资单位实施共同控制或施加重大影响的，按照新</w:t>
      </w:r>
      <w:r>
        <w:rPr>
          <w:spacing w:val="-64"/>
        </w:rPr>
        <w:t> </w:t>
      </w:r>
      <w:r>
        <w:rPr>
          <w:spacing w:val="-64"/>
        </w:rPr>
      </w:r>
      <w:r>
        <w:rPr>
          <w:spacing w:val="-2"/>
        </w:rPr>
        <w:t>的持股比例确认本公司应享有的被投资单位因增资扩股而增加净资产的份额，与应结转持股比例下降部分所对应的长期股权</w:t>
      </w:r>
      <w:r>
        <w:rPr>
          <w:spacing w:val="-63"/>
        </w:rPr>
        <w:t> </w:t>
      </w:r>
      <w:r>
        <w:rPr>
          <w:spacing w:val="-63"/>
        </w:rPr>
      </w:r>
      <w:r>
        <w:rPr/>
        <w:t>投资原账面价值之间的差额计入当期损益；然后，按照新的持股比例视同自取得投资时即采用权益法核算进行调整。 </w:t>
      </w:r>
      <w:r>
        <w:rPr>
          <w:spacing w:val="-2"/>
        </w:rPr>
        <w:t>公司因处置部分股权投资或其他原因丧失了对原有子公司控制权的，处置后的剩余股权能够对被投资单位实施共同控制或施</w:t>
      </w:r>
      <w:r>
        <w:rPr>
          <w:spacing w:val="-64"/>
        </w:rPr>
        <w:t> </w:t>
      </w:r>
      <w:r>
        <w:rPr>
          <w:spacing w:val="-64"/>
        </w:rPr>
      </w:r>
      <w:r>
        <w:rPr>
          <w:spacing w:val="-2"/>
        </w:rPr>
        <w:t>加重大影响的，改按权益法核算，并对该剩余股权视同自取得时即采用权益法核算进行调整，购买日之前持有的股权投资因</w:t>
      </w:r>
      <w:r>
        <w:rPr>
          <w:spacing w:val="-63"/>
        </w:rPr>
        <w:t> </w:t>
      </w:r>
      <w:r>
        <w:rPr>
          <w:spacing w:val="-63"/>
        </w:rPr>
      </w:r>
      <w:r>
        <w:rPr>
          <w:spacing w:val="-2"/>
        </w:rPr>
        <w:t>采用权益法核算而确认的其他综合收益和其他所有者权益按比例结转；处置后的剩余股权不能对被投资单位实施共同控制或</w:t>
      </w:r>
      <w:r>
        <w:rPr>
          <w:spacing w:val="-64"/>
        </w:rPr>
        <w:t> </w:t>
      </w:r>
      <w:r>
        <w:rPr>
          <w:spacing w:val="-64"/>
        </w:rPr>
      </w:r>
      <w:r>
        <w:rPr>
          <w:spacing w:val="-2"/>
        </w:rPr>
        <w:t>施加重大影响的，改按《企业会计准则第</w:t>
      </w:r>
      <w:r>
        <w:rPr>
          <w:rFonts w:ascii="宋体" w:hAnsi="宋体" w:cs="宋体" w:eastAsia="宋体" w:hint="default"/>
          <w:spacing w:val="-2"/>
        </w:rPr>
        <w:t>22</w:t>
      </w:r>
      <w:r>
        <w:rPr>
          <w:spacing w:val="-2"/>
        </w:rPr>
        <w:t>号——金融工具确认和计量》的有关规定进行会计处理，其在丧失控制之日的公</w:t>
      </w:r>
      <w:r>
        <w:rPr>
          <w:spacing w:val="-62"/>
        </w:rPr>
        <w:t> </w:t>
      </w:r>
      <w:r>
        <w:rPr>
          <w:spacing w:val="-62"/>
        </w:rPr>
      </w:r>
      <w:r>
        <w:rPr/>
        <w:t>允价值与账面价值间的差额计入当期损益，其他综合收益和其他所有者权益全部结转为当期损益。 </w:t>
      </w:r>
      <w:r>
        <w:rPr>
          <w:spacing w:val="-2"/>
        </w:rPr>
        <w:t>本公司通过多次交易分步处置对子公司股权投资直至丧失控制权，如果上述交易属于一揽子交易的，将各项交易作为一项处</w:t>
      </w:r>
      <w:r>
        <w:rPr>
          <w:spacing w:val="-64"/>
        </w:rPr>
        <w:t> </w:t>
      </w:r>
      <w:r>
        <w:rPr>
          <w:spacing w:val="-64"/>
        </w:rPr>
      </w:r>
      <w:r>
        <w:rPr>
          <w:spacing w:val="-2"/>
        </w:rPr>
        <w:t>置子公司股权投资并丧失控制权的交易进行会计处理，在丧失控制权之前每一次处置价款与所处置的股权对应的长期股权投</w:t>
      </w:r>
      <w:r>
        <w:rPr>
          <w:spacing w:val="-64"/>
        </w:rPr>
        <w:t> </w:t>
      </w:r>
      <w:r>
        <w:rPr>
          <w:spacing w:val="-64"/>
        </w:rPr>
      </w:r>
      <w:r>
        <w:rPr/>
        <w:t>资账面价值之间的差额，先确认为其他综合收益，到丧失控制权时再一并转入丧失控制权的当期损益。</w:t>
      </w:r>
    </w:p>
    <w:p>
      <w:pPr>
        <w:spacing w:line="240" w:lineRule="auto" w:before="11"/>
        <w:rPr>
          <w:rFonts w:ascii="宋体" w:hAnsi="宋体" w:cs="宋体" w:eastAsia="宋体" w:hint="default"/>
          <w:sz w:val="22"/>
          <w:szCs w:val="22"/>
        </w:rPr>
      </w:pPr>
    </w:p>
    <w:p>
      <w:pPr>
        <w:pStyle w:val="Heading4"/>
        <w:spacing w:line="240" w:lineRule="auto"/>
        <w:ind w:right="986"/>
        <w:jc w:val="left"/>
        <w:rPr>
          <w:b w:val="0"/>
          <w:bCs w:val="0"/>
        </w:rPr>
      </w:pPr>
      <w:bookmarkStart w:name="23、投资性房地产" w:id="195"/>
      <w:bookmarkEnd w:id="195"/>
      <w:r>
        <w:rPr>
          <w:b w:val="0"/>
          <w:bCs w:val="0"/>
        </w:rPr>
      </w:r>
      <w:r>
        <w:rPr>
          <w:rFonts w:ascii="Times New Roman" w:hAnsi="Times New Roman" w:cs="Times New Roman" w:eastAsia="Times New Roman" w:hint="default"/>
        </w:rPr>
        <w:t>23</w:t>
      </w:r>
      <w:r>
        <w:rPr/>
        <w:t>、投资性房地产</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8954"/>
        <w:jc w:val="left"/>
      </w:pPr>
      <w:r>
        <w:rPr/>
        <w:t>投资性房地产计量模式 成本法计量 折旧或摊销方法 折旧或摊销方法</w:t>
      </w:r>
    </w:p>
    <w:p>
      <w:pPr>
        <w:pStyle w:val="BodyText"/>
        <w:spacing w:line="224" w:lineRule="exact" w:before="0"/>
        <w:ind w:right="986"/>
        <w:jc w:val="left"/>
      </w:pPr>
      <w:r>
        <w:rPr>
          <w:rFonts w:ascii="宋体" w:hAnsi="宋体" w:cs="宋体" w:eastAsia="宋体" w:hint="default"/>
        </w:rPr>
        <w:t>1</w:t>
      </w:r>
      <w:r>
        <w:rPr/>
        <w:t>．投资性房地产是指为赚取租金或资本增值、或者两者兼有而持有的房地产。包括已出租的土地使用权、持有并准备增值</w:t>
      </w:r>
    </w:p>
    <w:p>
      <w:pPr>
        <w:pStyle w:val="BodyText"/>
        <w:spacing w:line="316" w:lineRule="auto" w:before="76"/>
        <w:ind w:right="1124"/>
        <w:jc w:val="left"/>
      </w:pPr>
      <w:r>
        <w:rPr/>
        <w:t>后转让的土地使用权、已出租的建筑物</w:t>
      </w:r>
      <w:r>
        <w:rPr>
          <w:rFonts w:ascii="宋体" w:hAnsi="宋体" w:cs="宋体" w:eastAsia="宋体" w:hint="default"/>
        </w:rPr>
        <w:t>(</w:t>
      </w:r>
      <w:r>
        <w:rPr/>
        <w:t>含自行建造或开发活动完成后用于出租的建筑物以及正在建造或开发过程中将来用 于出租的建筑物</w:t>
      </w:r>
      <w:r>
        <w:rPr>
          <w:rFonts w:ascii="宋体" w:hAnsi="宋体" w:cs="宋体" w:eastAsia="宋体" w:hint="default"/>
        </w:rPr>
        <w:t>)</w:t>
      </w:r>
      <w:r>
        <w:rPr/>
        <w:t>。 </w:t>
      </w:r>
      <w:r>
        <w:rPr>
          <w:rFonts w:ascii="宋体" w:hAnsi="宋体" w:cs="宋体" w:eastAsia="宋体" w:hint="default"/>
        </w:rPr>
        <w:t>2</w:t>
      </w:r>
      <w:r>
        <w:rPr/>
        <w:t>．投资性房地产按照成本进行初始计量，采用成本模式进行后续计量。如与投资性房地产有关的后续支出，如果与该资产 有关的经济利益很可能流入且其成本能可靠地计量，则计入投资性房地产成本。其他后续支出，在发生时计入当期损益。 </w:t>
      </w:r>
      <w:r>
        <w:rPr>
          <w:rFonts w:ascii="宋体" w:hAnsi="宋体" w:cs="宋体" w:eastAsia="宋体" w:hint="default"/>
        </w:rPr>
        <w:t>3</w:t>
      </w:r>
      <w:r>
        <w:rPr/>
        <w:t>．对成本模式计量的投资性房地产，采用与固定资产和无形资产相同的方法计提折旧或进行摊销。</w:t>
      </w:r>
    </w:p>
    <w:p>
      <w:pPr>
        <w:pStyle w:val="BodyText"/>
        <w:spacing w:line="316" w:lineRule="auto" w:before="19"/>
        <w:ind w:right="1124"/>
        <w:jc w:val="left"/>
      </w:pPr>
      <w:r>
        <w:rPr>
          <w:rFonts w:ascii="宋体" w:hAnsi="宋体" w:cs="宋体" w:eastAsia="宋体" w:hint="default"/>
        </w:rPr>
        <w:t>4. </w:t>
      </w:r>
      <w:r>
        <w:rPr/>
        <w:t>投资性房地产的用途改变为自用时，自改变之日起，将该投资性房地产转换为固定资产或无形资产，按转换前的账面价 </w:t>
      </w:r>
      <w:r>
        <w:rPr>
          <w:spacing w:val="-2"/>
        </w:rPr>
        <w:t>值作为转换后的入账价值。自用房地产的用途或者存货改变为赚取租金或资本增值时，自改变之日起，将固定资产或无形资</w:t>
      </w:r>
      <w:r>
        <w:rPr>
          <w:spacing w:val="-63"/>
        </w:rPr>
        <w:t> </w:t>
      </w:r>
      <w:r>
        <w:rPr>
          <w:spacing w:val="-63"/>
        </w:rPr>
      </w:r>
      <w:r>
        <w:rPr>
          <w:spacing w:val="-2"/>
        </w:rPr>
        <w:t>产转换为投资性房地产，转换为采用成本模式计量的投资性房地产的，以转换前的账面价值作为转换后的入账价值；转换为</w:t>
      </w:r>
      <w:r>
        <w:rPr>
          <w:spacing w:val="-63"/>
        </w:rPr>
        <w:t> </w:t>
      </w:r>
      <w:r>
        <w:rPr>
          <w:spacing w:val="-63"/>
        </w:rPr>
      </w:r>
      <w:r>
        <w:rPr/>
        <w:t>以公允价值模式计量的投资性房地产的，以转换日的公允价值作为转换后的入账价值。 </w:t>
      </w:r>
      <w:r>
        <w:rPr>
          <w:rFonts w:ascii="宋体" w:hAnsi="宋体" w:cs="宋体" w:eastAsia="宋体" w:hint="default"/>
        </w:rPr>
        <w:t>5</w:t>
      </w:r>
      <w:r>
        <w:rPr/>
        <w:t>．当投资性房地产被处置、或者永久退出使用且预计不能从其处置中取得经济利益时，终止确认该项投资性房地产。投资 性房地产出售、转让、报废或毁损的处置收入扣除其账面价值和相关税费后计入当期损益。</w:t>
      </w:r>
    </w:p>
    <w:p>
      <w:pPr>
        <w:spacing w:after="0" w:line="316"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both"/>
        <w:rPr>
          <w:b w:val="0"/>
          <w:bCs w:val="0"/>
        </w:rPr>
      </w:pPr>
      <w:bookmarkStart w:name="24、固定资产" w:id="196"/>
      <w:bookmarkEnd w:id="196"/>
      <w:r>
        <w:rPr>
          <w:b w:val="0"/>
          <w:bCs w:val="0"/>
        </w:rPr>
      </w:r>
      <w:r>
        <w:rPr>
          <w:rFonts w:ascii="Times New Roman" w:hAnsi="Times New Roman" w:cs="Times New Roman" w:eastAsia="Times New Roman" w:hint="default"/>
        </w:rPr>
        <w:t>24</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确认条件" w:id="197"/>
      <w:bookmarkEnd w:id="197"/>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2"/>
        <w:rPr>
          <w:rFonts w:ascii="宋体" w:hAnsi="宋体" w:cs="宋体" w:eastAsia="宋体" w:hint="default"/>
          <w:b/>
          <w:bCs/>
          <w:sz w:val="26"/>
          <w:szCs w:val="26"/>
        </w:rPr>
      </w:pPr>
    </w:p>
    <w:p>
      <w:pPr>
        <w:pStyle w:val="BodyText"/>
        <w:spacing w:line="307" w:lineRule="auto" w:before="0"/>
        <w:ind w:right="1133"/>
        <w:jc w:val="both"/>
      </w:pPr>
      <w:r>
        <w:rPr/>
        <w:t>固定资产是指同时具有下列特征的有形资产：</w:t>
      </w:r>
      <w:r>
        <w:rPr>
          <w:rFonts w:ascii="Times New Roman" w:hAnsi="Times New Roman" w:cs="Times New Roman" w:eastAsia="Times New Roman" w:hint="default"/>
        </w:rPr>
        <w:t>(1)</w:t>
      </w:r>
      <w:r>
        <w:rPr/>
        <w:t>为生产商品、提供劳务、出租或经营管理持有的；</w:t>
      </w:r>
      <w:r>
        <w:rPr>
          <w:rFonts w:ascii="Times New Roman" w:hAnsi="Times New Roman" w:cs="Times New Roman" w:eastAsia="Times New Roman" w:hint="default"/>
        </w:rPr>
        <w:t>(2)</w:t>
      </w:r>
      <w:r>
        <w:rPr/>
        <w:t>使用寿命超过一个会</w:t>
      </w:r>
      <w:r>
        <w:rPr>
          <w:spacing w:val="-86"/>
        </w:rPr>
        <w:t> </w:t>
      </w:r>
      <w:r>
        <w:rPr/>
        <w:t>计年度。固定资产同时满足下列条件的予以确认：</w:t>
      </w:r>
      <w:r>
        <w:rPr>
          <w:rFonts w:ascii="Times New Roman" w:hAnsi="Times New Roman" w:cs="Times New Roman" w:eastAsia="Times New Roman" w:hint="default"/>
        </w:rPr>
        <w:t>(1)</w:t>
      </w:r>
      <w:r>
        <w:rPr/>
        <w:t>与该固定资产有关的经济利益很可能流入企业；</w:t>
      </w:r>
      <w:r>
        <w:rPr>
          <w:rFonts w:ascii="Times New Roman" w:hAnsi="Times New Roman" w:cs="Times New Roman" w:eastAsia="Times New Roman" w:hint="default"/>
        </w:rPr>
        <w:t>(2)</w:t>
      </w:r>
      <w:r>
        <w:rPr/>
        <w:t>该固定资产的成本</w:t>
      </w:r>
      <w:r>
        <w:rPr>
          <w:spacing w:val="-86"/>
        </w:rPr>
        <w:t> </w:t>
      </w:r>
      <w:r>
        <w:rPr>
          <w:spacing w:val="-2"/>
        </w:rPr>
        <w:t>能够可靠地计量。与固定资产有关的后续支出，符合上述确认条件的，计入固定资产成本；不符合上述确认条件的，发生时</w:t>
      </w:r>
      <w:r>
        <w:rPr>
          <w:spacing w:val="-66"/>
        </w:rPr>
        <w:t> </w:t>
      </w:r>
      <w:r>
        <w:rPr>
          <w:spacing w:val="-66"/>
        </w:rPr>
      </w:r>
      <w:r>
        <w:rPr/>
        <w:t>计入当期损益。固定资产按照成本进行初始计量。</w:t>
      </w:r>
    </w:p>
    <w:p>
      <w:pPr>
        <w:spacing w:line="240" w:lineRule="auto" w:before="4"/>
        <w:rPr>
          <w:rFonts w:ascii="宋体" w:hAnsi="宋体" w:cs="宋体" w:eastAsia="宋体" w:hint="default"/>
          <w:sz w:val="23"/>
          <w:szCs w:val="23"/>
        </w:rPr>
      </w:pPr>
    </w:p>
    <w:p>
      <w:pPr>
        <w:pStyle w:val="Heading4"/>
        <w:spacing w:line="240" w:lineRule="auto"/>
        <w:ind w:right="0"/>
        <w:jc w:val="both"/>
        <w:rPr>
          <w:b w:val="0"/>
          <w:bCs w:val="0"/>
        </w:rPr>
      </w:pPr>
      <w:bookmarkStart w:name="（2）折旧方法" w:id="198"/>
      <w:bookmarkEnd w:id="198"/>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类别</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运营设备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19.00%</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9.50-19.00%</w:t>
            </w:r>
          </w:p>
        </w:tc>
      </w:tr>
    </w:tbl>
    <w:p>
      <w:pPr>
        <w:pStyle w:val="BodyText"/>
        <w:spacing w:line="316" w:lineRule="auto" w:before="8"/>
        <w:ind w:right="1124"/>
        <w:jc w:val="left"/>
      </w:pPr>
      <w:r>
        <w:rPr>
          <w:rFonts w:ascii="宋体" w:hAnsi="宋体" w:cs="宋体" w:eastAsia="宋体" w:hint="default"/>
        </w:rPr>
        <w:t>(1)</w:t>
      </w:r>
      <w:r>
        <w:rPr/>
        <w:t>符合资本化条件的固定资产装修费用，在两次装修期间与固定资产尚可使用年限两者中较短的期间内，采用年限平均法 单独计提折旧。</w:t>
      </w:r>
    </w:p>
    <w:p>
      <w:pPr>
        <w:pStyle w:val="BodyText"/>
        <w:spacing w:line="316" w:lineRule="auto" w:before="19"/>
        <w:ind w:right="1304"/>
        <w:jc w:val="left"/>
      </w:pPr>
      <w:r>
        <w:rPr>
          <w:rFonts w:ascii="宋体" w:hAnsi="宋体" w:cs="宋体" w:eastAsia="宋体" w:hint="default"/>
        </w:rPr>
        <w:t>(2)</w:t>
      </w:r>
      <w:r>
        <w:rPr/>
        <w:t>已计提减值准备的固定资产，还应扣除已计提的固定资产减值准备累计金额计算折旧率。 </w:t>
      </w:r>
      <w:r>
        <w:rPr>
          <w:rFonts w:ascii="宋体" w:hAnsi="宋体" w:cs="宋体" w:eastAsia="宋体" w:hint="default"/>
        </w:rPr>
        <w:t>(3)</w:t>
      </w:r>
      <w:r>
        <w:rPr/>
        <w:t>公司至少年度终了对固定资产的使用寿命、预计净残值和折旧方法进行复核，如发生改变则作为会计估计变更处理。</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3）融资租入固定资产的认定依据、计价和折旧方法" w:id="199"/>
      <w:bookmarkEnd w:id="199"/>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5"/>
        <w:rPr>
          <w:rFonts w:ascii="宋体" w:hAnsi="宋体" w:cs="宋体" w:eastAsia="宋体" w:hint="default"/>
          <w:b/>
          <w:bCs/>
          <w:sz w:val="26"/>
          <w:szCs w:val="26"/>
        </w:rPr>
      </w:pPr>
    </w:p>
    <w:p>
      <w:pPr>
        <w:pStyle w:val="BodyText"/>
        <w:spacing w:line="309" w:lineRule="auto" w:before="0"/>
        <w:ind w:right="1117"/>
        <w:jc w:val="left"/>
      </w:pPr>
      <w:r>
        <w:rPr/>
        <w:t>当本公司租入的固定资产符合下列一项或数项标准时，确认为融资租入固定资产：</w:t>
      </w:r>
      <w:r>
        <w:rPr>
          <w:rFonts w:ascii="Times New Roman" w:hAnsi="Times New Roman" w:cs="Times New Roman" w:eastAsia="Times New Roman" w:hint="default"/>
        </w:rPr>
        <w:t>(1)</w:t>
      </w:r>
      <w:r>
        <w:rPr/>
        <w:t>在租赁期届满时，租赁资产的所有权 转移给本公司；</w:t>
      </w:r>
      <w:r>
        <w:rPr>
          <w:rFonts w:ascii="Times New Roman" w:hAnsi="Times New Roman" w:cs="Times New Roman" w:eastAsia="Times New Roman" w:hint="default"/>
        </w:rPr>
        <w:t>(2)</w:t>
      </w:r>
      <w:r>
        <w:rPr/>
        <w:t>本公司有购买租赁资产的选择权，所订立的购买价款预计将远低于行使选择权时租赁资产的公允价值， 因而在租赁开始日就可以合理确定本公司将会行使这种选择权；</w:t>
      </w:r>
      <w:r>
        <w:rPr>
          <w:rFonts w:ascii="Times New Roman" w:hAnsi="Times New Roman" w:cs="Times New Roman" w:eastAsia="Times New Roman" w:hint="default"/>
        </w:rPr>
        <w:t>(3)</w:t>
      </w:r>
      <w:r>
        <w:rPr/>
        <w:t>即使资产的所有权不转移，但租赁期占租赁资产使用寿 命的大部分</w:t>
      </w:r>
      <w:r>
        <w:rPr>
          <w:rFonts w:ascii="Times New Roman" w:hAnsi="Times New Roman" w:cs="Times New Roman" w:eastAsia="Times New Roman" w:hint="default"/>
        </w:rPr>
        <w:t>[</w:t>
      </w:r>
      <w:r>
        <w:rPr/>
        <w:t>通常占租赁资产使用寿命的</w:t>
      </w:r>
      <w:r>
        <w:rPr>
          <w:spacing w:val="-56"/>
        </w:rPr>
        <w:t> </w:t>
      </w:r>
      <w:r>
        <w:rPr>
          <w:rFonts w:ascii="Times New Roman" w:hAnsi="Times New Roman" w:cs="Times New Roman" w:eastAsia="Times New Roman" w:hint="default"/>
        </w:rPr>
        <w:t>75%</w:t>
      </w:r>
      <w:r>
        <w:rPr/>
        <w:t>以上</w:t>
      </w:r>
      <w:r>
        <w:rPr>
          <w:rFonts w:ascii="Times New Roman" w:hAnsi="Times New Roman" w:cs="Times New Roman" w:eastAsia="Times New Roman" w:hint="default"/>
        </w:rPr>
        <w:t>(</w:t>
      </w:r>
      <w:r>
        <w:rPr/>
        <w:t>含</w:t>
      </w:r>
      <w:r>
        <w:rPr>
          <w:spacing w:val="-57"/>
        </w:rPr>
        <w:t> </w:t>
      </w:r>
      <w:r>
        <w:rPr>
          <w:rFonts w:ascii="Times New Roman" w:hAnsi="Times New Roman" w:cs="Times New Roman" w:eastAsia="Times New Roman" w:hint="default"/>
        </w:rPr>
        <w:t>75%)]</w:t>
      </w:r>
      <w:r>
        <w:rPr/>
        <w:t>；</w:t>
      </w:r>
      <w:r>
        <w:rPr>
          <w:rFonts w:ascii="Times New Roman" w:hAnsi="Times New Roman" w:cs="Times New Roman" w:eastAsia="Times New Roman" w:hint="default"/>
        </w:rPr>
        <w:t>(4)</w:t>
      </w:r>
      <w:r>
        <w:rPr/>
        <w:t>本公司在租赁开始日的最低租赁付款额现值，几乎相当于租 赁开始日租赁资产公允价值</w:t>
      </w:r>
      <w:r>
        <w:rPr>
          <w:rFonts w:ascii="Times New Roman" w:hAnsi="Times New Roman" w:cs="Times New Roman" w:eastAsia="Times New Roman" w:hint="default"/>
        </w:rPr>
        <w:t>[90%</w:t>
      </w:r>
      <w:r>
        <w:rPr/>
        <w:t>以上</w:t>
      </w:r>
      <w:r>
        <w:rPr>
          <w:rFonts w:ascii="Times New Roman" w:hAnsi="Times New Roman" w:cs="Times New Roman" w:eastAsia="Times New Roman" w:hint="default"/>
        </w:rPr>
        <w:t>(</w:t>
      </w:r>
      <w:r>
        <w:rPr/>
        <w:t>含</w:t>
      </w:r>
      <w:r>
        <w:rPr>
          <w:spacing w:val="-47"/>
        </w:rPr>
        <w:t> </w:t>
      </w:r>
      <w:r>
        <w:rPr>
          <w:rFonts w:ascii="Times New Roman" w:hAnsi="Times New Roman" w:cs="Times New Roman" w:eastAsia="Times New Roman" w:hint="default"/>
        </w:rPr>
        <w:t>90%)]</w:t>
      </w:r>
      <w:r>
        <w:rPr/>
        <w:t>；出租人在租赁开始日的最低租赁收款额现值，几乎相当于租赁开始日租赁 资产公允价值</w:t>
      </w:r>
      <w:r>
        <w:rPr>
          <w:rFonts w:ascii="Times New Roman" w:hAnsi="Times New Roman" w:cs="Times New Roman" w:eastAsia="Times New Roman" w:hint="default"/>
        </w:rPr>
        <w:t>[90%</w:t>
      </w:r>
      <w:r>
        <w:rPr/>
        <w:t>以上</w:t>
      </w:r>
      <w:r>
        <w:rPr>
          <w:rFonts w:ascii="Times New Roman" w:hAnsi="Times New Roman" w:cs="Times New Roman" w:eastAsia="Times New Roman" w:hint="default"/>
        </w:rPr>
        <w:t>(</w:t>
      </w:r>
      <w:r>
        <w:rPr/>
        <w:t>含</w:t>
      </w:r>
      <w:r>
        <w:rPr>
          <w:spacing w:val="-49"/>
        </w:rPr>
        <w:t> </w:t>
      </w:r>
      <w:r>
        <w:rPr>
          <w:rFonts w:ascii="Times New Roman" w:hAnsi="Times New Roman" w:cs="Times New Roman" w:eastAsia="Times New Roman" w:hint="default"/>
        </w:rPr>
        <w:t>90%)]</w:t>
      </w:r>
      <w:r>
        <w:rPr/>
        <w:t>；</w:t>
      </w:r>
      <w:r>
        <w:rPr>
          <w:rFonts w:ascii="Times New Roman" w:hAnsi="Times New Roman" w:cs="Times New Roman" w:eastAsia="Times New Roman" w:hint="default"/>
        </w:rPr>
        <w:t>(5)</w:t>
      </w:r>
      <w:r>
        <w:rPr/>
        <w:t>租赁资产性质特殊，如果不作较大改造，只有本公司才能使用。融资租赁租入的固定 </w:t>
      </w:r>
      <w:r>
        <w:rPr>
          <w:spacing w:val="-2"/>
        </w:rPr>
        <w:t>资产，按租赁开始日租赁资产公允价值与最低租赁付款额的现值两者中较低者，作为入账价值。最低租赁付款额作为长期应</w:t>
      </w:r>
      <w:r>
        <w:rPr>
          <w:spacing w:val="-61"/>
        </w:rPr>
        <w:t> </w:t>
      </w:r>
      <w:r>
        <w:rPr>
          <w:spacing w:val="-61"/>
        </w:rPr>
      </w:r>
      <w:r>
        <w:rPr>
          <w:spacing w:val="-2"/>
        </w:rPr>
        <w:t>付款的入账价值，其差额作为未确认融资费用。在租赁谈判和签订租赁合同过程中发生的，可归属于租赁项目的手续费、律</w:t>
      </w:r>
      <w:r>
        <w:rPr>
          <w:spacing w:val="-64"/>
        </w:rPr>
        <w:t> </w:t>
      </w:r>
      <w:r>
        <w:rPr>
          <w:spacing w:val="-64"/>
        </w:rPr>
      </w:r>
      <w:r>
        <w:rPr>
          <w:spacing w:val="-5"/>
        </w:rPr>
        <w:t>师费、差旅费、印花税等初始直接费用，计入租入资产价值。未确认融资费用在租赁期内各个期间采用实际利率法进行分摊。</w:t>
      </w:r>
      <w:r>
        <w:rPr>
          <w:spacing w:val="-81"/>
        </w:rPr>
        <w:t> </w:t>
      </w:r>
      <w:r>
        <w:rPr>
          <w:spacing w:val="-81"/>
        </w:rPr>
      </w:r>
      <w:r>
        <w:rPr>
          <w:spacing w:val="-2"/>
        </w:rPr>
        <w:t>融资租入的固定资产采用与自有固定资产一致的政策计提租赁资产折旧。能够合理确定租赁期届满时将会取得租赁资产所有</w:t>
      </w:r>
      <w:r>
        <w:rPr>
          <w:spacing w:val="-64"/>
        </w:rPr>
        <w:t> </w:t>
      </w:r>
      <w:r>
        <w:rPr>
          <w:spacing w:val="-64"/>
        </w:rPr>
      </w:r>
      <w:r>
        <w:rPr>
          <w:spacing w:val="-2"/>
        </w:rPr>
        <w:t>权的，在租赁资产尚可使用年限内计提折旧；无法合理确定租赁期届满时能够取得租赁资产所有权的，在租赁期与租赁资产</w:t>
      </w:r>
      <w:r>
        <w:rPr>
          <w:spacing w:val="-63"/>
        </w:rPr>
        <w:t> </w:t>
      </w:r>
      <w:r>
        <w:rPr>
          <w:spacing w:val="-63"/>
        </w:rPr>
      </w:r>
      <w:r>
        <w:rPr/>
        <w:t>尚可使用年限两者中较短的期间内计提折旧。</w:t>
      </w:r>
    </w:p>
    <w:p>
      <w:pPr>
        <w:spacing w:line="240" w:lineRule="auto" w:before="0"/>
        <w:rPr>
          <w:rFonts w:ascii="宋体" w:hAnsi="宋体" w:cs="宋体" w:eastAsia="宋体" w:hint="default"/>
          <w:sz w:val="23"/>
          <w:szCs w:val="23"/>
        </w:rPr>
      </w:pPr>
    </w:p>
    <w:p>
      <w:pPr>
        <w:pStyle w:val="Heading4"/>
        <w:spacing w:line="240" w:lineRule="auto"/>
        <w:ind w:right="986"/>
        <w:jc w:val="left"/>
        <w:rPr>
          <w:b w:val="0"/>
          <w:bCs w:val="0"/>
        </w:rPr>
      </w:pPr>
      <w:bookmarkStart w:name="25、在建工程" w:id="200"/>
      <w:bookmarkEnd w:id="200"/>
      <w:r>
        <w:rPr>
          <w:b w:val="0"/>
          <w:bCs w:val="0"/>
        </w:rPr>
      </w:r>
      <w:r>
        <w:rPr>
          <w:rFonts w:ascii="Times New Roman" w:hAnsi="Times New Roman" w:cs="Times New Roman" w:eastAsia="Times New Roman" w:hint="default"/>
        </w:rPr>
        <w:t>25</w:t>
      </w:r>
      <w:r>
        <w:rPr/>
        <w:t>、在建工程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24"/>
        <w:jc w:val="left"/>
      </w:pPr>
      <w:r>
        <w:rPr>
          <w:rFonts w:ascii="宋体" w:hAnsi="宋体" w:cs="宋体" w:eastAsia="宋体" w:hint="default"/>
        </w:rPr>
        <w:t>1</w:t>
      </w:r>
      <w:r>
        <w:rPr/>
        <w:t>．在建工程同时满足经济利益很可能流入、成本能够可靠地计量则予以确认。在建工程按建造该项资产达到预定可使用状 态前所发生的实际成本计量。 </w:t>
      </w:r>
      <w:r>
        <w:rPr>
          <w:rFonts w:ascii="宋体" w:hAnsi="宋体" w:cs="宋体" w:eastAsia="宋体" w:hint="default"/>
        </w:rPr>
        <w:t>2</w:t>
      </w:r>
      <w:r>
        <w:rPr/>
        <w:t>．在建工程达到预定可使用状态时，按工程实际成本转入固定资产。已达到预定可使用状态但尚未办理竣工结算的，先按 估计价值转入固定资产，待办理竣工决算后再按实际成本调整原暂估价值，但不再调整原已计提的折旧。</w:t>
      </w:r>
    </w:p>
    <w:p>
      <w:pPr>
        <w:spacing w:after="0" w:line="316" w:lineRule="auto"/>
        <w:jc w:val="left"/>
        <w:sectPr>
          <w:footerReference w:type="default" r:id="rId15"/>
          <w:pgSz w:w="11910" w:h="16840"/>
          <w:pgMar w:footer="1021" w:header="906"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26、借款费用" w:id="201"/>
      <w:bookmarkEnd w:id="201"/>
      <w:r>
        <w:rPr>
          <w:b w:val="0"/>
          <w:bCs w:val="0"/>
        </w:rPr>
      </w:r>
      <w:r>
        <w:rPr>
          <w:rFonts w:ascii="Times New Roman" w:hAnsi="Times New Roman" w:cs="Times New Roman" w:eastAsia="Times New Roman" w:hint="default"/>
        </w:rPr>
        <w:t>26</w:t>
      </w:r>
      <w:r>
        <w:rPr/>
        <w:t>、借款费用</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986"/>
        <w:jc w:val="left"/>
      </w:pPr>
      <w:r>
        <w:rPr/>
        <w:t>借款费用，包括借款利息、折价或者溢价的摊销、辅助费用以及因外币借款而发生的汇兑差额等。 </w:t>
      </w:r>
      <w:r>
        <w:rPr>
          <w:rFonts w:ascii="宋体" w:hAnsi="宋体" w:cs="宋体" w:eastAsia="宋体" w:hint="default"/>
        </w:rPr>
        <w:t>1</w:t>
      </w:r>
      <w:r>
        <w:rPr/>
        <w:t>．借款费用资本化的确认原则 </w:t>
      </w:r>
      <w:r>
        <w:rPr>
          <w:spacing w:val="-2"/>
        </w:rPr>
        <w:t>公司发生的借款费用，可直接归属于符合资本化条件的资产的购建或者生产的，予以资本化，计入相关资产成本；其他借款</w:t>
      </w:r>
      <w:r>
        <w:rPr>
          <w:spacing w:val="-64"/>
        </w:rPr>
        <w:t> </w:t>
      </w:r>
      <w:r>
        <w:rPr>
          <w:spacing w:val="-64"/>
        </w:rPr>
      </w:r>
      <w:r>
        <w:rPr/>
        <w:t>费用，在发生时根据其发生额确认为费用，计入当期损益。</w:t>
      </w:r>
    </w:p>
    <w:p>
      <w:pPr>
        <w:pStyle w:val="BodyText"/>
        <w:spacing w:line="316" w:lineRule="auto" w:before="19"/>
        <w:ind w:right="1034"/>
        <w:jc w:val="left"/>
      </w:pPr>
      <w:r>
        <w:rPr>
          <w:rFonts w:ascii="宋体" w:hAnsi="宋体" w:cs="宋体" w:eastAsia="宋体" w:hint="default"/>
        </w:rPr>
        <w:t>2</w:t>
      </w:r>
      <w:r>
        <w:rPr/>
        <w:t>．借款费用资本化期间 </w:t>
      </w:r>
      <w:r>
        <w:rPr>
          <w:rFonts w:ascii="宋体" w:hAnsi="宋体" w:cs="宋体" w:eastAsia="宋体" w:hint="default"/>
        </w:rPr>
        <w:t>(1)</w:t>
      </w:r>
      <w:r>
        <w:rPr/>
        <w:t>当同时满足下列条件时，开始资本化：</w:t>
      </w:r>
      <w:r>
        <w:rPr>
          <w:rFonts w:ascii="宋体" w:hAnsi="宋体" w:cs="宋体" w:eastAsia="宋体" w:hint="default"/>
        </w:rPr>
        <w:t>1)</w:t>
      </w:r>
      <w:r>
        <w:rPr/>
        <w:t>资产支出已经发生；</w:t>
      </w:r>
      <w:r>
        <w:rPr>
          <w:rFonts w:ascii="宋体" w:hAnsi="宋体" w:cs="宋体" w:eastAsia="宋体" w:hint="default"/>
        </w:rPr>
        <w:t>2)</w:t>
      </w:r>
      <w:r>
        <w:rPr/>
        <w:t>借款费用已经发生；</w:t>
      </w:r>
      <w:r>
        <w:rPr>
          <w:rFonts w:ascii="宋体" w:hAnsi="宋体" w:cs="宋体" w:eastAsia="宋体" w:hint="default"/>
        </w:rPr>
        <w:t>3)</w:t>
      </w:r>
      <w:r>
        <w:rPr/>
        <w:t>为使资产达到预定可使用或可销 售状态所必要的购建或者生产活动已经开始。 </w:t>
      </w:r>
      <w:r>
        <w:rPr>
          <w:rFonts w:ascii="宋体" w:hAnsi="宋体" w:cs="宋体" w:eastAsia="宋体" w:hint="default"/>
          <w:spacing w:val="-2"/>
        </w:rPr>
        <w:t>(2)</w:t>
      </w:r>
      <w:r>
        <w:rPr>
          <w:spacing w:val="-2"/>
        </w:rPr>
        <w:t>暂停资本化：若符合资本化条件的资产在购建或者生产过程中发生非正常中断，并且中断时间连续超过</w:t>
      </w:r>
      <w:r>
        <w:rPr>
          <w:rFonts w:ascii="宋体" w:hAnsi="宋体" w:cs="宋体" w:eastAsia="宋体" w:hint="default"/>
          <w:spacing w:val="-2"/>
        </w:rPr>
        <w:t>3</w:t>
      </w:r>
      <w:r>
        <w:rPr>
          <w:spacing w:val="-2"/>
        </w:rPr>
        <w:t>个月，暂停借款</w:t>
      </w:r>
      <w:r>
        <w:rPr>
          <w:spacing w:val="-63"/>
        </w:rPr>
        <w:t> </w:t>
      </w:r>
      <w:r>
        <w:rPr>
          <w:spacing w:val="-63"/>
        </w:rPr>
      </w:r>
      <w:r>
        <w:rPr>
          <w:spacing w:val="-2"/>
        </w:rPr>
        <w:t>费用的资本化；中断期间发生的借款费用确认为当期费用，直至资产的购建或者生产活动重新开始。该项中断如是所购建或</w:t>
      </w:r>
      <w:r>
        <w:rPr>
          <w:spacing w:val="-62"/>
        </w:rPr>
        <w:t> </w:t>
      </w:r>
      <w:r>
        <w:rPr>
          <w:spacing w:val="-62"/>
        </w:rPr>
      </w:r>
      <w:r>
        <w:rPr/>
        <w:t>生产的符合资本化条件的资产达到预定可使用状态或者可销售状态必要的程序，则借款费用继续资本化。 </w:t>
      </w:r>
      <w:r>
        <w:rPr>
          <w:rFonts w:ascii="宋体" w:hAnsi="宋体" w:cs="宋体" w:eastAsia="宋体" w:hint="default"/>
        </w:rPr>
        <w:t>(3)</w:t>
      </w:r>
      <w:r>
        <w:rPr/>
        <w:t>停止资本化：当所购建或者生产符合资本化条件的资产达到预定可使用或者可销售状态时，借款费用停止资本化。当购 </w:t>
      </w:r>
      <w:r>
        <w:rPr>
          <w:spacing w:val="-2"/>
        </w:rPr>
        <w:t>建或者生产符合资本化的资产中部分项目分别完工且可单独使用时，该部分资产借款费用停止资本化。购建或者生产的资产</w:t>
      </w:r>
      <w:r>
        <w:rPr>
          <w:spacing w:val="-64"/>
        </w:rPr>
        <w:t> </w:t>
      </w:r>
      <w:r>
        <w:rPr>
          <w:spacing w:val="-64"/>
        </w:rPr>
      </w:r>
      <w:r>
        <w:rPr/>
        <w:t>的各部分分别完工，但必须等到整体完工后才可使用或者对外销售的，在该资产整体完工时停止借款费用资本化。 </w:t>
      </w:r>
      <w:r>
        <w:rPr>
          <w:rFonts w:ascii="宋体" w:hAnsi="宋体" w:cs="宋体" w:eastAsia="宋体" w:hint="default"/>
        </w:rPr>
        <w:t>3</w:t>
      </w:r>
      <w:r>
        <w:rPr/>
        <w:t>．借款费用资本化率及资本化金额的计算方法 为购建或者生产符合资本化条件的资产而借入专门借款的，以专门借款当期实际发生的利息费用</w:t>
      </w:r>
      <w:r>
        <w:rPr>
          <w:rFonts w:ascii="宋体" w:hAnsi="宋体" w:cs="宋体" w:eastAsia="宋体" w:hint="default"/>
        </w:rPr>
        <w:t>(</w:t>
      </w:r>
      <w:r>
        <w:rPr/>
        <w:t>包括按照实际利率法确定 的折价或溢价的摊销</w:t>
      </w:r>
      <w:r>
        <w:rPr>
          <w:rFonts w:ascii="宋体" w:hAnsi="宋体" w:cs="宋体" w:eastAsia="宋体" w:hint="default"/>
        </w:rPr>
        <w:t>)</w:t>
      </w:r>
      <w:r>
        <w:rPr/>
        <w:t>，减去将尚未动用的借款资金存入银行取得的利息收入或进行暂时性投资取得的投资收益后的金额， </w:t>
      </w:r>
      <w:r>
        <w:rPr>
          <w:spacing w:val="-2"/>
        </w:rPr>
        <w:t>确定应予资本化的利息金额；为购建或者生产符合资本化条件的资产占用了一般借款的，根据累计资产支出超过专门借款的</w:t>
      </w:r>
      <w:r>
        <w:rPr>
          <w:spacing w:val="-64"/>
        </w:rPr>
        <w:t> </w:t>
      </w:r>
      <w:r>
        <w:rPr>
          <w:spacing w:val="-64"/>
        </w:rPr>
      </w:r>
      <w:r>
        <w:rPr>
          <w:spacing w:val="-2"/>
        </w:rPr>
        <w:t>资产支出加权平均数乘以占用一般借款的资本化率</w:t>
      </w:r>
      <w:r>
        <w:rPr>
          <w:rFonts w:ascii="宋体" w:hAnsi="宋体" w:cs="宋体" w:eastAsia="宋体" w:hint="default"/>
          <w:spacing w:val="-2"/>
        </w:rPr>
        <w:t>(</w:t>
      </w:r>
      <w:r>
        <w:rPr>
          <w:spacing w:val="-2"/>
        </w:rPr>
        <w:t>加权平均利率</w:t>
      </w:r>
      <w:r>
        <w:rPr>
          <w:rFonts w:ascii="宋体" w:hAnsi="宋体" w:cs="宋体" w:eastAsia="宋体" w:hint="default"/>
          <w:spacing w:val="-2"/>
        </w:rPr>
        <w:t>)</w:t>
      </w:r>
      <w:r>
        <w:rPr>
          <w:spacing w:val="-2"/>
        </w:rPr>
        <w:t>，计算确定一般借款应予资本化的利息金额。在资本化期</w:t>
      </w:r>
      <w:r>
        <w:rPr>
          <w:spacing w:val="-62"/>
        </w:rPr>
        <w:t> </w:t>
      </w:r>
      <w:r>
        <w:rPr>
          <w:spacing w:val="-62"/>
        </w:rPr>
      </w:r>
      <w:r>
        <w:rPr>
          <w:spacing w:val="-2"/>
        </w:rPr>
        <w:t>间内，每一会计期间的利息资本化金额不超过当期相关借款实际发生的利息金额。外币专门借款本金及利息的汇兑差额，在</w:t>
      </w:r>
      <w:r>
        <w:rPr>
          <w:spacing w:val="-62"/>
        </w:rPr>
        <w:t> </w:t>
      </w:r>
      <w:r>
        <w:rPr>
          <w:spacing w:val="-62"/>
        </w:rPr>
      </w:r>
      <w:r>
        <w:rPr>
          <w:spacing w:val="-2"/>
        </w:rPr>
        <w:t>资本化期间内予以资本化。专门借款发生的辅助费用，在所购建或生产的符合资本化条件的资产达到预定可使用或者可销售</w:t>
      </w:r>
      <w:r>
        <w:rPr>
          <w:spacing w:val="-64"/>
        </w:rPr>
        <w:t> </w:t>
      </w:r>
      <w:r>
        <w:rPr>
          <w:spacing w:val="-64"/>
        </w:rPr>
      </w:r>
      <w:r>
        <w:rPr/>
        <w:t>状态之前发生的，予以资本化；在达到预定可使用或者可销售状态之后发生的，计入当期损益。一般借款发生的辅助费用，</w:t>
      </w:r>
      <w:r>
        <w:rPr>
          <w:spacing w:val="-86"/>
        </w:rPr>
        <w:t> </w:t>
      </w:r>
      <w:r>
        <w:rPr>
          <w:spacing w:val="-86"/>
        </w:rPr>
      </w:r>
      <w:r>
        <w:rPr>
          <w:spacing w:val="-2"/>
        </w:rPr>
        <w:t>在发生时计入当期损益。借款存在折价或者溢价的，按照实际利率法确定每一会计期间应摊销的折价或者溢价金额，调整每</w:t>
      </w:r>
      <w:r>
        <w:rPr>
          <w:spacing w:val="-63"/>
        </w:rPr>
        <w:t> </w:t>
      </w:r>
      <w:r>
        <w:rPr>
          <w:spacing w:val="-63"/>
        </w:rPr>
      </w:r>
      <w:r>
        <w:rPr/>
        <w:t>期利息金额。</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27、生物资产" w:id="202"/>
      <w:bookmarkEnd w:id="202"/>
      <w:r>
        <w:rPr>
          <w:b w:val="0"/>
          <w:bCs w:val="0"/>
        </w:rPr>
      </w:r>
      <w:r>
        <w:rPr>
          <w:rFonts w:ascii="Times New Roman" w:hAnsi="Times New Roman" w:cs="Times New Roman" w:eastAsia="Times New Roman" w:hint="default"/>
        </w:rPr>
        <w:t>27</w:t>
      </w:r>
      <w:r>
        <w:rPr/>
        <w:t>、生物资产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28、油气资产" w:id="203"/>
      <w:bookmarkEnd w:id="203"/>
      <w:r>
        <w:rPr>
          <w:b w:val="0"/>
          <w:bCs w:val="0"/>
        </w:rPr>
      </w:r>
      <w:r>
        <w:rPr>
          <w:rFonts w:ascii="Times New Roman" w:hAnsi="Times New Roman" w:cs="Times New Roman" w:eastAsia="Times New Roman" w:hint="default"/>
        </w:rPr>
        <w:t>28</w:t>
      </w:r>
      <w:r>
        <w:rPr/>
        <w:t>、油气资产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29、使用权资产" w:id="204"/>
      <w:bookmarkEnd w:id="204"/>
      <w:r>
        <w:rPr>
          <w:b w:val="0"/>
          <w:bCs w:val="0"/>
        </w:rPr>
      </w:r>
      <w:r>
        <w:rPr>
          <w:rFonts w:ascii="Times New Roman" w:hAnsi="Times New Roman" w:cs="Times New Roman" w:eastAsia="Times New Roman" w:hint="default"/>
        </w:rPr>
        <w:t>29</w:t>
      </w:r>
      <w:r>
        <w:rPr/>
        <w:t>、使用权资产</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30、无形资产" w:id="205"/>
      <w:bookmarkEnd w:id="205"/>
      <w:r>
        <w:rPr>
          <w:b w:val="0"/>
          <w:bCs w:val="0"/>
        </w:rPr>
      </w:r>
      <w:r>
        <w:rPr>
          <w:rFonts w:ascii="Times New Roman" w:hAnsi="Times New Roman" w:cs="Times New Roman" w:eastAsia="Times New Roman" w:hint="default"/>
        </w:rPr>
        <w:t>30</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计价方法、使用寿命、减值测试" w:id="206"/>
      <w:bookmarkEnd w:id="20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86"/>
        <w:jc w:val="left"/>
      </w:pPr>
      <w:r>
        <w:rPr>
          <w:rFonts w:ascii="宋体" w:hAnsi="宋体" w:cs="宋体" w:eastAsia="宋体" w:hint="default"/>
        </w:rPr>
        <w:t>1</w:t>
      </w:r>
      <w:r>
        <w:rPr/>
        <w:t>．无形资产的初始计量 </w:t>
      </w:r>
      <w:r>
        <w:rPr>
          <w:spacing w:val="-2"/>
        </w:rPr>
        <w:t>无形资产按成本进行初始计量。外购无形资产的成本，包括购买价、相关税费以及直接归属于该项资产达到预定用途所发生</w:t>
      </w:r>
      <w:r>
        <w:rPr>
          <w:spacing w:val="-66"/>
        </w:rPr>
        <w:t> </w:t>
      </w:r>
      <w:r>
        <w:rPr>
          <w:spacing w:val="-66"/>
        </w:rPr>
      </w:r>
      <w:r>
        <w:rPr>
          <w:spacing w:val="-2"/>
        </w:rPr>
        <w:t>的其他支出。购买无形资产的价款超过正常信用条件延期支付，实质上具有融资性质的，无形资产的成本以购买价款的现值</w:t>
      </w:r>
      <w:r>
        <w:rPr>
          <w:spacing w:val="-65"/>
        </w:rPr>
        <w:t> </w:t>
      </w:r>
      <w:r>
        <w:rPr>
          <w:spacing w:val="-65"/>
        </w:rPr>
      </w:r>
      <w:r>
        <w:rPr>
          <w:spacing w:val="-2"/>
        </w:rPr>
        <w:t>为基础确定。债务重组取得债务人用以抵债的无形资产，以该无形资产的公允价值为基础确定其入账价值，并将重组债务的</w:t>
      </w:r>
      <w:r>
        <w:rPr>
          <w:spacing w:val="-63"/>
        </w:rPr>
        <w:t> </w:t>
      </w:r>
      <w:r>
        <w:rPr>
          <w:spacing w:val="-63"/>
        </w:rPr>
      </w:r>
      <w:r>
        <w:rPr>
          <w:spacing w:val="-2"/>
        </w:rPr>
        <w:t>账面价值与该用以抵债的无形资产公允价值之间的差额，计入当期损益。在非货币性资产交换具备商业实质且换入或换出资</w:t>
      </w:r>
      <w:r>
        <w:rPr>
          <w:spacing w:val="-64"/>
        </w:rPr>
        <w:t> </w:t>
      </w:r>
      <w:r>
        <w:rPr>
          <w:spacing w:val="-64"/>
        </w:rPr>
      </w:r>
      <w:r>
        <w:rPr>
          <w:spacing w:val="-2"/>
        </w:rPr>
        <w:t>产的公允价值能够可靠计量的前提下，非货币性资产交换换入的无形资产以换出资产的公允价值为基础确定其入账价值，除</w:t>
      </w:r>
      <w:r>
        <w:rPr>
          <w:spacing w:val="-62"/>
        </w:rPr>
        <w:t> </w:t>
      </w:r>
      <w:r>
        <w:rPr>
          <w:spacing w:val="-62"/>
        </w:rPr>
      </w:r>
      <w:r>
        <w:rPr>
          <w:spacing w:val="-2"/>
        </w:rPr>
        <w:t>非有确凿证据表明换入资产的公允价值更可靠；不满足上述前提的非货币性资产交换，以换出资产的账面价值和应支付的相</w:t>
      </w:r>
      <w:r>
        <w:rPr>
          <w:spacing w:val="-64"/>
        </w:rPr>
        <w:t> </w:t>
      </w:r>
      <w:r>
        <w:rPr>
          <w:spacing w:val="-64"/>
        </w:rPr>
      </w:r>
      <w:r>
        <w:rPr/>
        <w:t>关税费作为换入无形资产的成本，不确认损益。 </w:t>
      </w:r>
      <w:r>
        <w:rPr>
          <w:spacing w:val="-2"/>
        </w:rPr>
        <w:t>与无形资产有关的支出，如果相关的经济利益很可能流入本公司且成本能可靠地计量，则计入无形资产成本。除此之外的其</w:t>
      </w:r>
    </w:p>
    <w:p>
      <w:pPr>
        <w:spacing w:after="0" w:line="316" w:lineRule="auto"/>
        <w:jc w:val="left"/>
        <w:sectPr>
          <w:footerReference w:type="default" r:id="rId16"/>
          <w:pgSz w:w="11910" w:h="16840"/>
          <w:pgMar w:footer="1021" w:header="906" w:top="1100" w:bottom="1220" w:left="1020" w:right="0"/>
          <w:pgNumType w:start="101"/>
        </w:sectPr>
      </w:pPr>
    </w:p>
    <w:p>
      <w:pPr>
        <w:spacing w:line="240" w:lineRule="auto" w:before="10"/>
        <w:rPr>
          <w:rFonts w:ascii="宋体" w:hAnsi="宋体" w:cs="宋体" w:eastAsia="宋体" w:hint="default"/>
          <w:sz w:val="22"/>
          <w:szCs w:val="22"/>
        </w:rPr>
      </w:pPr>
    </w:p>
    <w:p>
      <w:pPr>
        <w:pStyle w:val="BodyText"/>
        <w:spacing w:line="319" w:lineRule="auto"/>
        <w:ind w:right="986"/>
        <w:jc w:val="left"/>
      </w:pPr>
      <w:r>
        <w:rPr/>
        <w:t>他项目的支出，在发生时计入当期损益。 </w:t>
      </w:r>
      <w:r>
        <w:rPr>
          <w:spacing w:val="-2"/>
        </w:rPr>
        <w:t>取得的土地使用权通常作为无形资产核算。自行开发建造厂房等建筑物，相关的土地使用权支出和建筑物建造成本分别作为</w:t>
      </w:r>
      <w:r>
        <w:rPr>
          <w:spacing w:val="-64"/>
        </w:rPr>
        <w:t> </w:t>
      </w:r>
      <w:r>
        <w:rPr>
          <w:spacing w:val="-64"/>
        </w:rPr>
      </w:r>
      <w:r>
        <w:rPr>
          <w:spacing w:val="-2"/>
        </w:rPr>
        <w:t>无形资产和固定资产核算。如为外购的房屋及建筑物，则将有关价款在土地使用权和建筑物之间分配，难以合理分配的，全</w:t>
      </w:r>
      <w:r>
        <w:rPr>
          <w:spacing w:val="-62"/>
        </w:rPr>
        <w:t> </w:t>
      </w:r>
      <w:r>
        <w:rPr>
          <w:spacing w:val="-62"/>
        </w:rPr>
      </w:r>
      <w:r>
        <w:rPr/>
        <w:t>部作为固定资产处理。</w:t>
      </w:r>
    </w:p>
    <w:p>
      <w:pPr>
        <w:pStyle w:val="BodyText"/>
        <w:spacing w:line="316" w:lineRule="auto" w:before="17"/>
        <w:ind w:right="1124"/>
        <w:jc w:val="left"/>
        <w:rPr>
          <w:rFonts w:ascii="宋体" w:hAnsi="宋体" w:cs="宋体" w:eastAsia="宋体" w:hint="default"/>
        </w:rPr>
      </w:pPr>
      <w:r>
        <w:rPr>
          <w:rFonts w:ascii="宋体" w:hAnsi="宋体" w:cs="宋体" w:eastAsia="宋体" w:hint="default"/>
        </w:rPr>
        <w:t>2</w:t>
      </w:r>
      <w:r>
        <w:rPr/>
        <w:t>．无形资产使用寿命及摊销 </w:t>
      </w:r>
      <w:r>
        <w:rPr>
          <w:spacing w:val="-2"/>
        </w:rPr>
        <w:t>根据无形资产的合同性权利或其他法定权利、同行业情况、历史经验、相关专家论证等综合因素判断，能合理确定无形资产</w:t>
      </w:r>
      <w:r>
        <w:rPr>
          <w:spacing w:val="-64"/>
        </w:rPr>
        <w:t> </w:t>
      </w:r>
      <w:r>
        <w:rPr>
          <w:spacing w:val="-64"/>
        </w:rPr>
      </w:r>
      <w:r>
        <w:rPr>
          <w:spacing w:val="-2"/>
        </w:rPr>
        <w:t>为公司带来经济利益期限的，作为使用寿命有限的无形资产；无法合理确定无形资产为公司带来经济利益期限的，视为使用</w:t>
      </w:r>
      <w:r>
        <w:rPr>
          <w:spacing w:val="-63"/>
        </w:rPr>
        <w:t> </w:t>
      </w:r>
      <w:r>
        <w:rPr>
          <w:spacing w:val="-63"/>
        </w:rPr>
      </w:r>
      <w:r>
        <w:rPr/>
        <w:t>寿命不确定的无形资产。 对使用寿命有限的无形资产，估计其使用寿命时通常考虑以下因素：</w:t>
      </w:r>
      <w:r>
        <w:rPr>
          <w:rFonts w:ascii="宋体" w:hAnsi="宋体" w:cs="宋体" w:eastAsia="宋体" w:hint="default"/>
        </w:rPr>
        <w:t>(1)</w:t>
      </w:r>
      <w:r>
        <w:rPr/>
        <w:t>运用该资产生产的产品通常的寿命周期、可获得的 </w:t>
      </w:r>
      <w:r>
        <w:rPr>
          <w:spacing w:val="-2"/>
        </w:rPr>
        <w:t>类似资产使用寿命的信息；</w:t>
      </w:r>
      <w:r>
        <w:rPr>
          <w:rFonts w:ascii="宋体" w:hAnsi="宋体" w:cs="宋体" w:eastAsia="宋体" w:hint="default"/>
          <w:spacing w:val="-2"/>
        </w:rPr>
        <w:t>(2)</w:t>
      </w:r>
      <w:r>
        <w:rPr>
          <w:spacing w:val="-2"/>
        </w:rPr>
        <w:t>技术、工艺等方面的现阶段情况及对未来发展趋势的估计；</w:t>
      </w:r>
      <w:r>
        <w:rPr>
          <w:rFonts w:ascii="宋体" w:hAnsi="宋体" w:cs="宋体" w:eastAsia="宋体" w:hint="default"/>
          <w:spacing w:val="-2"/>
        </w:rPr>
        <w:t>(3)</w:t>
      </w:r>
      <w:r>
        <w:rPr>
          <w:spacing w:val="-2"/>
        </w:rPr>
        <w:t>以该资产生产的产品或提供劳</w:t>
      </w:r>
      <w:r>
        <w:rPr>
          <w:spacing w:val="-61"/>
        </w:rPr>
        <w:t> </w:t>
      </w:r>
      <w:r>
        <w:rPr>
          <w:spacing w:val="-61"/>
        </w:rPr>
      </w:r>
      <w:r>
        <w:rPr>
          <w:spacing w:val="-2"/>
        </w:rPr>
        <w:t>务的市场需求情况；</w:t>
      </w:r>
      <w:r>
        <w:rPr>
          <w:rFonts w:ascii="宋体" w:hAnsi="宋体" w:cs="宋体" w:eastAsia="宋体" w:hint="default"/>
          <w:spacing w:val="-2"/>
        </w:rPr>
        <w:t>(4)</w:t>
      </w:r>
      <w:r>
        <w:rPr>
          <w:spacing w:val="-2"/>
        </w:rPr>
        <w:t>现在或潜在的竞争者预期采取的行动；</w:t>
      </w:r>
      <w:r>
        <w:rPr>
          <w:rFonts w:ascii="宋体" w:hAnsi="宋体" w:cs="宋体" w:eastAsia="宋体" w:hint="default"/>
          <w:spacing w:val="-2"/>
        </w:rPr>
        <w:t>(5)</w:t>
      </w:r>
      <w:r>
        <w:rPr>
          <w:spacing w:val="-2"/>
        </w:rPr>
        <w:t>为维持该资产带来经济利益能力的预期维护支出，以及公</w:t>
      </w:r>
      <w:r>
        <w:rPr>
          <w:spacing w:val="-61"/>
        </w:rPr>
        <w:t> </w:t>
      </w:r>
      <w:r>
        <w:rPr>
          <w:spacing w:val="-61"/>
        </w:rPr>
      </w:r>
      <w:r>
        <w:rPr>
          <w:spacing w:val="-2"/>
        </w:rPr>
        <w:t>司预计支付有关支出的能力；</w:t>
      </w:r>
      <w:r>
        <w:rPr>
          <w:rFonts w:ascii="宋体" w:hAnsi="宋体" w:cs="宋体" w:eastAsia="宋体" w:hint="default"/>
          <w:spacing w:val="-2"/>
        </w:rPr>
        <w:t>(6)</w:t>
      </w:r>
      <w:r>
        <w:rPr>
          <w:spacing w:val="-2"/>
        </w:rPr>
        <w:t>对该资产控制期限的相关法律规定或类似限制，如特许使用期、租赁期等；</w:t>
      </w:r>
      <w:r>
        <w:rPr>
          <w:rFonts w:ascii="宋体" w:hAnsi="宋体" w:cs="宋体" w:eastAsia="宋体" w:hint="default"/>
          <w:spacing w:val="-2"/>
        </w:rPr>
        <w:t>(7)</w:t>
      </w:r>
      <w:r>
        <w:rPr>
          <w:spacing w:val="-2"/>
        </w:rPr>
        <w:t>与公司持有</w:t>
      </w:r>
      <w:r>
        <w:rPr>
          <w:spacing w:val="-60"/>
        </w:rPr>
        <w:t> </w:t>
      </w:r>
      <w:r>
        <w:rPr>
          <w:spacing w:val="-60"/>
        </w:rPr>
      </w:r>
      <w:r>
        <w:rPr/>
        <w:t>其他资产使用寿命的关联性等。使用寿命有限的无形资产的使用寿命估计情况</w:t>
      </w:r>
      <w:r>
        <w:rPr>
          <w:rFonts w:ascii="宋体" w:hAnsi="宋体" w:cs="宋体" w:eastAsia="宋体" w:hint="default"/>
        </w:rPr>
        <w:t>:</w:t>
      </w:r>
    </w:p>
    <w:tbl>
      <w:tblPr>
        <w:tblW w:w="0" w:type="auto"/>
        <w:jc w:val="left"/>
        <w:tblInd w:w="105" w:type="dxa"/>
        <w:tblLayout w:type="fixed"/>
        <w:tblCellMar>
          <w:top w:w="0" w:type="dxa"/>
          <w:left w:w="0" w:type="dxa"/>
          <w:bottom w:w="0" w:type="dxa"/>
          <w:right w:w="0" w:type="dxa"/>
        </w:tblCellMar>
        <w:tblLook w:val="01E0"/>
      </w:tblPr>
      <w:tblGrid>
        <w:gridCol w:w="2348"/>
        <w:gridCol w:w="2477"/>
        <w:gridCol w:w="1584"/>
      </w:tblGrid>
      <w:tr>
        <w:trPr>
          <w:trHeight w:val="34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预计使用寿命依据</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 w:right="0"/>
              <w:jc w:val="center"/>
              <w:rPr>
                <w:rFonts w:ascii="宋体" w:hAnsi="宋体" w:cs="宋体" w:eastAsia="宋体" w:hint="default"/>
                <w:sz w:val="20"/>
                <w:szCs w:val="20"/>
              </w:rPr>
            </w:pPr>
            <w:r>
              <w:rPr>
                <w:rFonts w:ascii="宋体" w:hAnsi="宋体" w:cs="宋体" w:eastAsia="宋体" w:hint="default"/>
                <w:sz w:val="20"/>
                <w:szCs w:val="20"/>
              </w:rPr>
              <w:t>期限</w:t>
            </w:r>
            <w:r>
              <w:rPr>
                <w:rFonts w:ascii="宋体" w:hAnsi="宋体" w:cs="宋体" w:eastAsia="宋体" w:hint="default"/>
                <w:sz w:val="20"/>
                <w:szCs w:val="20"/>
              </w:rPr>
              <w:t>(</w:t>
            </w:r>
            <w:r>
              <w:rPr>
                <w:rFonts w:ascii="宋体" w:hAnsi="宋体" w:cs="宋体" w:eastAsia="宋体" w:hint="default"/>
                <w:sz w:val="20"/>
                <w:szCs w:val="20"/>
              </w:rPr>
              <w:t>年</w:t>
            </w:r>
            <w:r>
              <w:rPr>
                <w:rFonts w:ascii="宋体" w:hAnsi="宋体" w:cs="宋体" w:eastAsia="宋体" w:hint="default"/>
                <w:sz w:val="20"/>
                <w:szCs w:val="20"/>
              </w:rPr>
              <w:t>)</w:t>
            </w:r>
          </w:p>
        </w:tc>
      </w:tr>
      <w:tr>
        <w:trPr>
          <w:trHeight w:val="34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软件、软件著作权及域名</w:t>
            </w:r>
          </w:p>
        </w:tc>
        <w:tc>
          <w:tcPr>
            <w:tcW w:w="24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预计受益期限</w:t>
            </w:r>
          </w:p>
        </w:tc>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7" w:right="0"/>
              <w:jc w:val="center"/>
              <w:rPr>
                <w:rFonts w:ascii="宋体" w:hAnsi="宋体" w:cs="宋体" w:eastAsia="宋体" w:hint="default"/>
                <w:sz w:val="20"/>
                <w:szCs w:val="20"/>
              </w:rPr>
            </w:pPr>
            <w:r>
              <w:rPr>
                <w:rFonts w:ascii="宋体"/>
                <w:sz w:val="20"/>
              </w:rPr>
              <w:t>1.5-50</w:t>
            </w:r>
          </w:p>
        </w:tc>
      </w:tr>
    </w:tbl>
    <w:p>
      <w:pPr>
        <w:pStyle w:val="BodyText"/>
        <w:spacing w:line="316" w:lineRule="auto" w:before="19"/>
        <w:ind w:right="1034"/>
        <w:jc w:val="left"/>
      </w:pPr>
      <w:r>
        <w:rPr>
          <w:spacing w:val="-2"/>
        </w:rPr>
        <w:t>使用寿命有限的无形资产，在使用寿命内按照与该项无形资产有关的经济利益的预期实现方式系统合理地摊销，无法可靠确</w:t>
      </w:r>
      <w:r>
        <w:rPr>
          <w:spacing w:val="-64"/>
        </w:rPr>
        <w:t> </w:t>
      </w:r>
      <w:r>
        <w:rPr>
          <w:spacing w:val="-64"/>
        </w:rPr>
      </w:r>
      <w:r>
        <w:rPr/>
        <w:t>定预期实现方式的，采用直线法摊销。使用寿命不确定的无形资产不予摊销，但每年均对该无形资产的使用寿命进行复核，</w:t>
      </w:r>
      <w:r>
        <w:rPr>
          <w:spacing w:val="-86"/>
        </w:rPr>
        <w:t> </w:t>
      </w:r>
      <w:r>
        <w:rPr>
          <w:spacing w:val="-86"/>
        </w:rPr>
      </w:r>
      <w:r>
        <w:rPr/>
        <w:t>并进行减值测试。 </w:t>
      </w:r>
      <w:r>
        <w:rPr>
          <w:spacing w:val="-5"/>
        </w:rPr>
        <w:t>本公司于每年年度终了，对使用寿命有限的无形资产的使用寿命及摊销方法进行复核，与以前估计不同的，调整原先估计数，</w:t>
      </w:r>
      <w:r>
        <w:rPr>
          <w:spacing w:val="-76"/>
        </w:rPr>
        <w:t> </w:t>
      </w:r>
      <w:r>
        <w:rPr>
          <w:spacing w:val="-76"/>
        </w:rPr>
      </w:r>
      <w:r>
        <w:rPr>
          <w:spacing w:val="-2"/>
        </w:rPr>
        <w:t>并按会计估计变更处理；预计某项无形资产已经不能给企业带来未来经济利益的，将该项无形资产的账面价值全部转入当期</w:t>
      </w:r>
      <w:r>
        <w:rPr>
          <w:spacing w:val="-64"/>
        </w:rPr>
        <w:t> </w:t>
      </w:r>
      <w:r>
        <w:rPr>
          <w:spacing w:val="-64"/>
        </w:rPr>
      </w:r>
      <w:r>
        <w:rPr/>
        <w:t>损益。</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2）内部研究开发支出会计政策" w:id="207"/>
      <w:bookmarkEnd w:id="20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1034"/>
        <w:jc w:val="left"/>
      </w:pPr>
      <w:r>
        <w:rPr>
          <w:spacing w:val="-2"/>
        </w:rPr>
        <w:t>内部研究开发项目的支出，区分为研究阶段支出和开发阶段支出。划分研究阶段和开发阶段的标准：为获取新的技术和知识</w:t>
      </w:r>
      <w:r>
        <w:rPr>
          <w:spacing w:val="-63"/>
        </w:rPr>
        <w:t> </w:t>
      </w:r>
      <w:r>
        <w:rPr>
          <w:spacing w:val="-63"/>
        </w:rPr>
      </w:r>
      <w:r>
        <w:rPr>
          <w:spacing w:val="-2"/>
        </w:rPr>
        <w:t>等进行的有计划的调查阶段，应确定为研究阶段，该阶段具有计划性和探索性等特点；在进行商业性生产或使用前，将研究</w:t>
      </w:r>
      <w:r>
        <w:rPr>
          <w:spacing w:val="-65"/>
        </w:rPr>
        <w:t> </w:t>
      </w:r>
      <w:r>
        <w:rPr>
          <w:spacing w:val="-65"/>
        </w:rPr>
      </w:r>
      <w:r>
        <w:rPr/>
        <w:t>成果或其他知识应用于某项计划或设计，以生产出新的或具有实质性改进的材料、装置、产品等阶段，应确定为开发阶段，</w:t>
      </w:r>
      <w:r>
        <w:rPr>
          <w:spacing w:val="-86"/>
        </w:rPr>
        <w:t> </w:t>
      </w:r>
      <w:r>
        <w:rPr>
          <w:spacing w:val="-86"/>
        </w:rPr>
      </w:r>
      <w:r>
        <w:rPr/>
        <w:t>该阶段具有针对性和形成成果的可能性较大等特点。 </w:t>
      </w:r>
      <w:r>
        <w:rPr>
          <w:spacing w:val="-2"/>
        </w:rPr>
        <w:t>内部研究开发项目研究阶段的支出，于发生时计入当期损益。内部研究开发项目开发阶段的支出，同时满足下列条件的，确</w:t>
      </w:r>
      <w:r>
        <w:rPr>
          <w:spacing w:val="-64"/>
        </w:rPr>
        <w:t> </w:t>
      </w:r>
      <w:r>
        <w:rPr>
          <w:spacing w:val="-64"/>
        </w:rPr>
      </w:r>
      <w:r>
        <w:rPr>
          <w:spacing w:val="-2"/>
        </w:rPr>
        <w:t>认为无形资产：</w:t>
      </w:r>
      <w:r>
        <w:rPr>
          <w:rFonts w:ascii="宋体" w:hAnsi="宋体" w:cs="宋体" w:eastAsia="宋体" w:hint="default"/>
          <w:spacing w:val="-2"/>
        </w:rPr>
        <w:t>(1)</w:t>
      </w:r>
      <w:r>
        <w:rPr>
          <w:spacing w:val="-2"/>
        </w:rPr>
        <w:t>完成该无形资产以使其能够使用或出售在技术上具有可行性；</w:t>
      </w:r>
      <w:r>
        <w:rPr>
          <w:rFonts w:ascii="宋体" w:hAnsi="宋体" w:cs="宋体" w:eastAsia="宋体" w:hint="default"/>
          <w:spacing w:val="-2"/>
        </w:rPr>
        <w:t>(2)</w:t>
      </w:r>
      <w:r>
        <w:rPr>
          <w:spacing w:val="-2"/>
        </w:rPr>
        <w:t>具有完成该无形资产并使用或出售的意</w:t>
      </w:r>
      <w:r>
        <w:rPr>
          <w:spacing w:val="-64"/>
        </w:rPr>
        <w:t> </w:t>
      </w:r>
      <w:r>
        <w:rPr>
          <w:spacing w:val="-64"/>
        </w:rPr>
      </w:r>
      <w:r>
        <w:rPr/>
        <w:t>图；</w:t>
      </w:r>
      <w:r>
        <w:rPr>
          <w:rFonts w:ascii="宋体" w:hAnsi="宋体" w:cs="宋体" w:eastAsia="宋体" w:hint="default"/>
        </w:rPr>
        <w:t>(3)</w:t>
      </w:r>
      <w:r>
        <w:rPr/>
        <w:t>无形资产产生经济利益的方式，包括能够证明运用该无形资产生产的产品存在市场或无形资产自身存在市场，无形 资产将在内部使用的，可证明其有用性；</w:t>
      </w:r>
      <w:r>
        <w:rPr>
          <w:rFonts w:ascii="宋体" w:hAnsi="宋体" w:cs="宋体" w:eastAsia="宋体" w:hint="default"/>
        </w:rPr>
        <w:t>(4)</w:t>
      </w:r>
      <w:r>
        <w:rPr/>
        <w:t>有足够的技术、财务资源和其他资源支持，以完成该无形资产的开发，并有能 力使用或出售该无形资产；</w:t>
      </w:r>
      <w:r>
        <w:rPr>
          <w:rFonts w:ascii="宋体" w:hAnsi="宋体" w:cs="宋体" w:eastAsia="宋体" w:hint="default"/>
        </w:rPr>
        <w:t>(5)</w:t>
      </w:r>
      <w:r>
        <w:rPr/>
        <w:t>归属于该无形资产开发阶段的支出能够可靠地计量。如不满足上述条件的，于发生时计入当 期损益；无法区分研究阶段支出和开发阶段支出的，将发生的研发支出全部计入当期损益。</w:t>
      </w:r>
    </w:p>
    <w:p>
      <w:pPr>
        <w:spacing w:line="240" w:lineRule="auto" w:before="11"/>
        <w:rPr>
          <w:rFonts w:ascii="宋体" w:hAnsi="宋体" w:cs="宋体" w:eastAsia="宋体" w:hint="default"/>
          <w:sz w:val="22"/>
          <w:szCs w:val="22"/>
        </w:rPr>
      </w:pPr>
    </w:p>
    <w:p>
      <w:pPr>
        <w:pStyle w:val="Heading4"/>
        <w:spacing w:line="240" w:lineRule="auto"/>
        <w:ind w:right="986"/>
        <w:jc w:val="left"/>
        <w:rPr>
          <w:b w:val="0"/>
          <w:bCs w:val="0"/>
        </w:rPr>
      </w:pPr>
      <w:bookmarkStart w:name="31、长期资产减值" w:id="208"/>
      <w:bookmarkEnd w:id="208"/>
      <w:r>
        <w:rPr>
          <w:b w:val="0"/>
          <w:bCs w:val="0"/>
        </w:rPr>
      </w:r>
      <w:r>
        <w:rPr>
          <w:rFonts w:ascii="Times New Roman" w:hAnsi="Times New Roman" w:cs="Times New Roman" w:eastAsia="Times New Roman" w:hint="default"/>
        </w:rPr>
        <w:t>31</w:t>
      </w:r>
      <w:r>
        <w:rPr/>
        <w:t>、长期资产减值</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86"/>
        <w:jc w:val="left"/>
      </w:pPr>
      <w:r>
        <w:rPr>
          <w:spacing w:val="-2"/>
        </w:rPr>
        <w:t>长期股权投资、采用成本模式计量的投资性房地产和生产性生物资产、固定资产、在建工程、油气资产、无形资产、商誉等</w:t>
      </w:r>
      <w:r>
        <w:rPr>
          <w:spacing w:val="-68"/>
        </w:rPr>
        <w:t> </w:t>
      </w:r>
      <w:r>
        <w:rPr>
          <w:spacing w:val="-68"/>
        </w:rPr>
      </w:r>
      <w:r>
        <w:rPr/>
        <w:t>长期资产，存在下列迹象的，表明资产可能发生了减值： </w:t>
      </w:r>
      <w:r>
        <w:rPr>
          <w:rFonts w:ascii="宋体" w:hAnsi="宋体" w:cs="宋体" w:eastAsia="宋体" w:hint="default"/>
        </w:rPr>
        <w:t>1</w:t>
      </w:r>
      <w:r>
        <w:rPr/>
        <w:t>．资产的市价当期大幅度下跌，其跌幅明显高于因时间的推移或者正常使用而预计的下跌；</w:t>
      </w:r>
    </w:p>
    <w:p>
      <w:pPr>
        <w:pStyle w:val="BodyText"/>
        <w:spacing w:line="316" w:lineRule="auto" w:before="19"/>
        <w:ind w:right="1124"/>
        <w:jc w:val="left"/>
      </w:pPr>
      <w:r>
        <w:rPr>
          <w:rFonts w:ascii="宋体" w:hAnsi="宋体" w:cs="宋体" w:eastAsia="宋体" w:hint="default"/>
        </w:rPr>
        <w:t>2</w:t>
      </w:r>
      <w:r>
        <w:rPr/>
        <w:t>．企业经营所处的经济、技术或者法律等环境以及资产所处的市场在当期或者将在近期发生重大变化，从而对企业产生不 利影响； </w:t>
      </w:r>
      <w:r>
        <w:rPr>
          <w:rFonts w:ascii="宋体" w:hAnsi="宋体" w:cs="宋体" w:eastAsia="宋体" w:hint="default"/>
        </w:rPr>
        <w:t>3</w:t>
      </w:r>
      <w:r>
        <w:rPr/>
        <w:t>．市场利率或者其他市场投资报酬率在当期已经提高，从而影响企业计算资产预计未来现金流量现值的折现率，导致资产 可收回金额大幅度降低；</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ind w:right="986"/>
        <w:jc w:val="left"/>
      </w:pPr>
      <w:r>
        <w:rPr>
          <w:rFonts w:ascii="宋体" w:hAnsi="宋体" w:cs="宋体" w:eastAsia="宋体" w:hint="default"/>
        </w:rPr>
        <w:t>4</w:t>
      </w:r>
      <w:r>
        <w:rPr/>
        <w:t>．有证据表明资产已经陈旧过时或者其实体已经损坏；</w:t>
      </w:r>
    </w:p>
    <w:p>
      <w:pPr>
        <w:pStyle w:val="BodyText"/>
        <w:spacing w:line="240" w:lineRule="auto" w:before="77"/>
        <w:ind w:right="986"/>
        <w:jc w:val="left"/>
      </w:pPr>
      <w:r>
        <w:rPr>
          <w:rFonts w:ascii="宋体" w:hAnsi="宋体" w:cs="宋体" w:eastAsia="宋体" w:hint="default"/>
        </w:rPr>
        <w:t>5</w:t>
      </w:r>
      <w:r>
        <w:rPr/>
        <w:t>．资产已经或者将被闲置、终止使用或者计划提前处置；</w:t>
      </w:r>
    </w:p>
    <w:p>
      <w:pPr>
        <w:pStyle w:val="BodyText"/>
        <w:spacing w:line="316" w:lineRule="auto" w:before="76"/>
        <w:ind w:right="986"/>
        <w:jc w:val="left"/>
      </w:pPr>
      <w:r>
        <w:rPr>
          <w:rFonts w:ascii="宋体" w:hAnsi="宋体" w:cs="宋体" w:eastAsia="宋体" w:hint="default"/>
          <w:spacing w:val="-2"/>
        </w:rPr>
        <w:t>6</w:t>
      </w:r>
      <w:r>
        <w:rPr>
          <w:spacing w:val="-2"/>
        </w:rPr>
        <w:t>．企业内部报告的证据表明资产的经济绩效已经低于或者将低于预期，如资产所创造的净现金流量或者实现的营业利润</w:t>
      </w:r>
      <w:r>
        <w:rPr>
          <w:rFonts w:ascii="宋体" w:hAnsi="宋体" w:cs="宋体" w:eastAsia="宋体" w:hint="default"/>
          <w:spacing w:val="-2"/>
        </w:rPr>
        <w:t>(</w:t>
      </w:r>
      <w:r>
        <w:rPr>
          <w:spacing w:val="-2"/>
        </w:rPr>
        <w:t>或</w:t>
      </w:r>
      <w:r>
        <w:rPr>
          <w:spacing w:val="-61"/>
        </w:rPr>
        <w:t> </w:t>
      </w:r>
      <w:r>
        <w:rPr/>
        <w:t>者亏损</w:t>
      </w:r>
      <w:r>
        <w:rPr>
          <w:rFonts w:ascii="宋体" w:hAnsi="宋体" w:cs="宋体" w:eastAsia="宋体" w:hint="default"/>
        </w:rPr>
        <w:t>)</w:t>
      </w:r>
      <w:r>
        <w:rPr/>
        <w:t>远远低于</w:t>
      </w:r>
      <w:r>
        <w:rPr>
          <w:rFonts w:ascii="宋体" w:hAnsi="宋体" w:cs="宋体" w:eastAsia="宋体" w:hint="default"/>
        </w:rPr>
        <w:t>(</w:t>
      </w:r>
      <w:r>
        <w:rPr/>
        <w:t>或者高于</w:t>
      </w:r>
      <w:r>
        <w:rPr>
          <w:rFonts w:ascii="宋体" w:hAnsi="宋体" w:cs="宋体" w:eastAsia="宋体" w:hint="default"/>
        </w:rPr>
        <w:t>)</w:t>
      </w:r>
      <w:r>
        <w:rPr/>
        <w:t>预计金额等；</w:t>
      </w:r>
    </w:p>
    <w:p>
      <w:pPr>
        <w:pStyle w:val="BodyText"/>
        <w:spacing w:line="316" w:lineRule="auto" w:before="19"/>
        <w:ind w:right="1034"/>
        <w:jc w:val="left"/>
      </w:pPr>
      <w:r>
        <w:rPr>
          <w:rFonts w:ascii="宋体" w:hAnsi="宋体" w:cs="宋体" w:eastAsia="宋体" w:hint="default"/>
        </w:rPr>
        <w:t>7</w:t>
      </w:r>
      <w:r>
        <w:rPr/>
        <w:t>．其他表明资产可能已经发生减值的迹象。 上述长期资产于资产负债日存在减值迹象的，应当进行减值测试。减值测试结果表明资产的可收回金额低于其账面价值的，</w:t>
      </w:r>
      <w:r>
        <w:rPr>
          <w:spacing w:val="-86"/>
        </w:rPr>
        <w:t> </w:t>
      </w:r>
      <w:r>
        <w:rPr>
          <w:spacing w:val="-86"/>
        </w:rPr>
      </w:r>
      <w:r>
        <w:rPr>
          <w:spacing w:val="-2"/>
        </w:rPr>
        <w:t>按其差额计提减值准备并计入减值损失。可收回金额为资产的公允价值减去处置费用后的净额与资产预计未来现金流量的现</w:t>
      </w:r>
      <w:r>
        <w:rPr>
          <w:spacing w:val="-63"/>
        </w:rPr>
        <w:t> </w:t>
      </w:r>
      <w:r>
        <w:rPr>
          <w:spacing w:val="-63"/>
        </w:rPr>
      </w:r>
      <w:r>
        <w:rPr>
          <w:spacing w:val="-2"/>
        </w:rPr>
        <w:t>值两者之间的较高者。公允价值的确定方法详见本附注三</w:t>
      </w:r>
      <w:r>
        <w:rPr>
          <w:rFonts w:ascii="宋体" w:hAnsi="宋体" w:cs="宋体" w:eastAsia="宋体" w:hint="default"/>
          <w:spacing w:val="-2"/>
        </w:rPr>
        <w:t>(</w:t>
      </w:r>
      <w:r>
        <w:rPr>
          <w:spacing w:val="-2"/>
        </w:rPr>
        <w:t>十一</w:t>
      </w:r>
      <w:r>
        <w:rPr>
          <w:rFonts w:ascii="宋体" w:hAnsi="宋体" w:cs="宋体" w:eastAsia="宋体" w:hint="default"/>
          <w:spacing w:val="-2"/>
        </w:rPr>
        <w:t>)</w:t>
      </w:r>
      <w:r>
        <w:rPr>
          <w:spacing w:val="-2"/>
        </w:rPr>
        <w:t>；处置费用包括与资产处置有关的法律费用、相关税费、搬</w:t>
      </w:r>
      <w:r>
        <w:rPr>
          <w:spacing w:val="-61"/>
        </w:rPr>
        <w:t> </w:t>
      </w:r>
      <w:r>
        <w:rPr>
          <w:spacing w:val="-61"/>
        </w:rPr>
      </w:r>
      <w:r>
        <w:rPr>
          <w:spacing w:val="-2"/>
        </w:rPr>
        <w:t>运费以及为使资产达到可销售状态所发生的直接费用；资产预计未来现金流量的现值，按照资产在持续使用过程中和最终处</w:t>
      </w:r>
      <w:r>
        <w:rPr>
          <w:spacing w:val="-64"/>
        </w:rPr>
        <w:t> </w:t>
      </w:r>
      <w:r>
        <w:rPr>
          <w:spacing w:val="-64"/>
        </w:rPr>
      </w:r>
      <w:r>
        <w:rPr/>
        <w:t>置时所产生的预计未来现金流量，选择恰当的折现率对其进行折现后的金额加以确定。 </w:t>
      </w:r>
      <w:r>
        <w:rPr>
          <w:spacing w:val="-2"/>
        </w:rPr>
        <w:t>资产减值准备按单项资产为基础计算并确认，如果难以对单项资产的可收回金额进行估计的，以资产组所属的资产组确定资</w:t>
      </w:r>
      <w:r>
        <w:rPr>
          <w:spacing w:val="-64"/>
        </w:rPr>
        <w:t> </w:t>
      </w:r>
      <w:r>
        <w:rPr>
          <w:spacing w:val="-64"/>
        </w:rPr>
      </w:r>
      <w:r>
        <w:rPr/>
        <w:t>产组的可收回金额。资产组是能够独立产生现金流入的最小资产组合。 </w:t>
      </w:r>
      <w:r>
        <w:rPr>
          <w:spacing w:val="-2"/>
        </w:rPr>
        <w:t>在财务报表中单独列示的商誉，在进行减值测试时，将商誉的账面价值分摊至预期从企业合并的协同效应收益中受益的资产</w:t>
      </w:r>
      <w:r>
        <w:rPr>
          <w:spacing w:val="-63"/>
        </w:rPr>
        <w:t> </w:t>
      </w:r>
      <w:r>
        <w:rPr>
          <w:spacing w:val="-63"/>
        </w:rPr>
      </w:r>
      <w:r>
        <w:rPr>
          <w:spacing w:val="-2"/>
        </w:rPr>
        <w:t>组或资产组组合。测试结果表明包含分摊的商誉的资产组或者资产组组合的可收回金额低于其账面价值的，确认相应的减值</w:t>
      </w:r>
      <w:r>
        <w:rPr>
          <w:spacing w:val="-64"/>
        </w:rPr>
        <w:t> </w:t>
      </w:r>
      <w:r>
        <w:rPr>
          <w:spacing w:val="-64"/>
        </w:rPr>
      </w:r>
      <w:r>
        <w:rPr>
          <w:spacing w:val="-2"/>
        </w:rPr>
        <w:t>损失。减值损失金额先抵减分摊至该资产组或者资产组组合的商誉的账面价值，再根据资产组或者资产组组合中除商誉以外</w:t>
      </w:r>
      <w:r>
        <w:rPr>
          <w:spacing w:val="-64"/>
        </w:rPr>
        <w:t> </w:t>
      </w:r>
      <w:r>
        <w:rPr>
          <w:spacing w:val="-64"/>
        </w:rPr>
      </w:r>
      <w:r>
        <w:rPr/>
        <w:t>的其他各项资产的账面价值所占比重，按比例抵减其他各项资产的账面价值。 商誉和使用寿命不确定的无形资产至少在每年年度终了进行减值测试。</w:t>
      </w:r>
    </w:p>
    <w:p>
      <w:pPr>
        <w:pStyle w:val="BodyText"/>
        <w:spacing w:line="240" w:lineRule="auto" w:before="19"/>
        <w:ind w:right="986"/>
        <w:jc w:val="left"/>
      </w:pPr>
      <w:r>
        <w:rPr/>
        <w:t>上述资产减值损失一经确认，在以后期间不予转回。</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32、长期待摊费用" w:id="209"/>
      <w:bookmarkEnd w:id="209"/>
      <w:r>
        <w:rPr>
          <w:b w:val="0"/>
          <w:bCs w:val="0"/>
        </w:rPr>
      </w:r>
      <w:r>
        <w:rPr>
          <w:rFonts w:ascii="Times New Roman" w:hAnsi="Times New Roman" w:cs="Times New Roman" w:eastAsia="Times New Roman" w:hint="default"/>
        </w:rPr>
        <w:t>32</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86"/>
        <w:jc w:val="left"/>
      </w:pPr>
      <w:r>
        <w:rPr>
          <w:spacing w:val="-2"/>
        </w:rPr>
        <w:t>长期待摊费用按实际支出入账，在受益期或规定的期限内平均摊销。如果长期待摊的费用项目不能使以后会计期间受益，则</w:t>
      </w:r>
      <w:r>
        <w:rPr>
          <w:spacing w:val="-63"/>
        </w:rPr>
        <w:t> </w:t>
      </w:r>
      <w:r>
        <w:rPr>
          <w:spacing w:val="-63"/>
        </w:rPr>
      </w:r>
      <w:r>
        <w:rPr/>
        <w:t>将尚未摊销的该项目的摊余价值全部转入当期损益。其中： 预付经营租入固定资产的租金，按租赁合同规定的期限平均摊销。 经营租赁方式租入的固定资产改良支出，按剩余租赁期与租赁资产尚可使用年限两者中较短的期限平均摊销。 </w:t>
      </w:r>
      <w:r>
        <w:rPr>
          <w:spacing w:val="-2"/>
        </w:rPr>
        <w:t>融资租赁方式租入的固定资产符合资本化条件的装修费用，按两次装修间隔期间、剩余租赁期与固定资产尚可使用年限三者</w:t>
      </w:r>
      <w:r>
        <w:rPr>
          <w:spacing w:val="-64"/>
        </w:rPr>
        <w:t> </w:t>
      </w:r>
      <w:r>
        <w:rPr>
          <w:spacing w:val="-64"/>
        </w:rPr>
      </w:r>
      <w:r>
        <w:rPr/>
        <w:t>中较短的期限平均摊销。</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33、合同负债" w:id="210"/>
      <w:bookmarkEnd w:id="210"/>
      <w:r>
        <w:rPr>
          <w:b w:val="0"/>
          <w:bCs w:val="0"/>
        </w:rPr>
      </w:r>
      <w:r>
        <w:rPr>
          <w:rFonts w:ascii="Times New Roman" w:hAnsi="Times New Roman" w:cs="Times New Roman" w:eastAsia="Times New Roman" w:hint="default"/>
        </w:rPr>
        <w:t>33</w:t>
      </w:r>
      <w:r>
        <w:rPr/>
        <w:t>、合同负债</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34、职工薪酬" w:id="211"/>
      <w:bookmarkEnd w:id="211"/>
      <w:r>
        <w:rPr>
          <w:b w:val="0"/>
          <w:bCs w:val="0"/>
        </w:rPr>
      </w:r>
      <w:r>
        <w:rPr>
          <w:rFonts w:ascii="Times New Roman" w:hAnsi="Times New Roman" w:cs="Times New Roman" w:eastAsia="Times New Roman" w:hint="default"/>
        </w:rPr>
        <w:t>34</w:t>
      </w:r>
      <w:r>
        <w:rPr/>
        <w:t>、职工薪酬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短期薪酬的会计处理方法" w:id="212"/>
      <w:bookmarkEnd w:id="212"/>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before="0"/>
        <w:ind w:right="1130"/>
        <w:jc w:val="both"/>
      </w:pPr>
      <w:r>
        <w:rPr>
          <w:spacing w:val="-2"/>
        </w:rPr>
        <w:t>本公司在职工提供服务的会计期间，将实际发生的职工工资、奖金、按规定的基准和比例为职工缴纳的医疗保险费、工伤保</w:t>
      </w:r>
      <w:r>
        <w:rPr>
          <w:spacing w:val="-64"/>
        </w:rPr>
        <w:t> </w:t>
      </w:r>
      <w:r>
        <w:rPr>
          <w:spacing w:val="-64"/>
        </w:rPr>
      </w:r>
      <w:r>
        <w:rPr>
          <w:spacing w:val="-2"/>
        </w:rPr>
        <w:t>险费和生育保险费等社会保险费和住房公积金，确认为负债，并计入当期损益或相关资产成本。职工福利费为非货币性福利</w:t>
      </w:r>
      <w:r>
        <w:rPr>
          <w:spacing w:val="-63"/>
        </w:rPr>
        <w:t> </w:t>
      </w:r>
      <w:r>
        <w:rPr>
          <w:spacing w:val="-63"/>
        </w:rPr>
      </w:r>
      <w:r>
        <w:rPr>
          <w:spacing w:val="-2"/>
        </w:rPr>
        <w:t>的，如能够可靠计量的，按照公允价值计量。如果该负债预期在职工提供相关服务的年度报告期结束后十二个月内不能完全</w:t>
      </w:r>
      <w:r>
        <w:rPr>
          <w:spacing w:val="-66"/>
        </w:rPr>
        <w:t> </w:t>
      </w:r>
      <w:r>
        <w:rPr>
          <w:spacing w:val="-66"/>
        </w:rPr>
      </w:r>
      <w:r>
        <w:rPr/>
        <w:t>支付，且财务影响重大的，则该负债将以折现后的金额计量。</w:t>
      </w:r>
    </w:p>
    <w:p>
      <w:pPr>
        <w:spacing w:line="240" w:lineRule="auto" w:before="9"/>
        <w:rPr>
          <w:rFonts w:ascii="宋体" w:hAnsi="宋体" w:cs="宋体" w:eastAsia="宋体" w:hint="default"/>
          <w:sz w:val="22"/>
          <w:szCs w:val="22"/>
        </w:rPr>
      </w:pPr>
    </w:p>
    <w:p>
      <w:pPr>
        <w:pStyle w:val="Heading4"/>
        <w:spacing w:line="240" w:lineRule="auto"/>
        <w:ind w:right="986"/>
        <w:jc w:val="left"/>
        <w:rPr>
          <w:b w:val="0"/>
          <w:bCs w:val="0"/>
        </w:rPr>
      </w:pPr>
      <w:bookmarkStart w:name="（2）离职后福利的会计处理方法" w:id="213"/>
      <w:bookmarkEnd w:id="213"/>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86"/>
        <w:jc w:val="left"/>
      </w:pPr>
      <w:r>
        <w:rPr>
          <w:spacing w:val="-2"/>
        </w:rPr>
        <w:t>离职后福利计划包括设定提存计划和设定受益计划。其中，设定提存计划，是指向独立的基金缴存固定费用后，企业不再承</w:t>
      </w:r>
      <w:r>
        <w:rPr>
          <w:spacing w:val="-64"/>
        </w:rPr>
        <w:t> </w:t>
      </w:r>
      <w:r>
        <w:rPr>
          <w:spacing w:val="-64"/>
        </w:rPr>
      </w:r>
      <w:r>
        <w:rPr/>
        <w:t>担进一步支付义务的离职后福利计划；设定受益计划，是指除设定提存计划以外的离职后福利计划。 </w:t>
      </w:r>
      <w:r>
        <w:rPr>
          <w:spacing w:val="-2"/>
        </w:rPr>
        <w:t>本公司按当期政府的相关规定为职工缴纳基本养老保险和失业保险，在职工为本公司提供服务的会计期间，根据设定提存计</w:t>
      </w:r>
      <w:r>
        <w:rPr>
          <w:spacing w:val="-64"/>
        </w:rPr>
        <w:t> </w:t>
      </w:r>
      <w:r>
        <w:rPr>
          <w:spacing w:val="-64"/>
        </w:rPr>
      </w:r>
      <w:r>
        <w:rPr/>
        <w:t>划计算的应缴存金额确认为负债，并计入当期损益或相关资产成本。</w:t>
      </w:r>
    </w:p>
    <w:p>
      <w:pPr>
        <w:spacing w:after="0" w:line="316"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3）辞退福利的会计处理方法" w:id="214"/>
      <w:bookmarkEnd w:id="214"/>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986"/>
        <w:jc w:val="left"/>
      </w:pPr>
      <w:r>
        <w:rPr>
          <w:spacing w:val="-2"/>
        </w:rPr>
        <w:t>在本公司不能单方面撤回因解除劳动关系计划或者裁减建议所提供的辞退福利时，和本公司确认与涉及支付辞退福利的重组</w:t>
      </w:r>
      <w:r>
        <w:rPr>
          <w:spacing w:val="-64"/>
        </w:rPr>
        <w:t> </w:t>
      </w:r>
      <w:r>
        <w:rPr>
          <w:spacing w:val="-64"/>
        </w:rPr>
      </w:r>
      <w:r>
        <w:rPr>
          <w:spacing w:val="-2"/>
        </w:rPr>
        <w:t>相关的成本或费用时两者孰早日，确认辞退福利产生的职工薪酬负债，并计入当期损益。但辞退福利预期在年度报告期结束</w:t>
      </w:r>
      <w:r>
        <w:rPr>
          <w:spacing w:val="-65"/>
        </w:rPr>
        <w:t> </w:t>
      </w:r>
      <w:r>
        <w:rPr>
          <w:spacing w:val="-65"/>
        </w:rPr>
      </w:r>
      <w:r>
        <w:rPr/>
        <w:t>后十二个月不能完全支付的，按照其他长期职工薪酬处理。 </w:t>
      </w:r>
      <w:r>
        <w:rPr>
          <w:spacing w:val="-2"/>
        </w:rPr>
        <w:t>职工内部退休计划采用与上述辞退福利相同的原则处理。本公司将自职工停止提供服务日至正常退休日的期间拟支付的内退</w:t>
      </w:r>
      <w:r>
        <w:rPr>
          <w:spacing w:val="-64"/>
        </w:rPr>
        <w:t> </w:t>
      </w:r>
      <w:r>
        <w:rPr>
          <w:spacing w:val="-64"/>
        </w:rPr>
      </w:r>
      <w:r>
        <w:rPr>
          <w:spacing w:val="-4"/>
        </w:rPr>
        <w:t>人员工资和缴纳的社会保险费等，在符合预计负债确认条件时，计入当期损益</w:t>
      </w:r>
      <w:r>
        <w:rPr>
          <w:rFonts w:ascii="宋体" w:hAnsi="宋体" w:cs="宋体" w:eastAsia="宋体" w:hint="default"/>
          <w:spacing w:val="-4"/>
        </w:rPr>
        <w:t>(</w:t>
      </w:r>
      <w:r>
        <w:rPr>
          <w:spacing w:val="-4"/>
        </w:rPr>
        <w:t>辞退福利</w:t>
      </w:r>
      <w:r>
        <w:rPr>
          <w:rFonts w:ascii="宋体" w:hAnsi="宋体" w:cs="宋体" w:eastAsia="宋体" w:hint="default"/>
          <w:spacing w:val="-4"/>
        </w:rPr>
        <w:t>)</w:t>
      </w:r>
      <w:r>
        <w:rPr>
          <w:spacing w:val="-4"/>
        </w:rPr>
        <w:t>。正式退休日期之后的经济补偿</w:t>
      </w:r>
      <w:r>
        <w:rPr>
          <w:rFonts w:ascii="宋体" w:hAnsi="宋体" w:cs="宋体" w:eastAsia="宋体" w:hint="default"/>
          <w:spacing w:val="-4"/>
        </w:rPr>
        <w:t>(</w:t>
      </w:r>
      <w:r>
        <w:rPr>
          <w:spacing w:val="-4"/>
        </w:rPr>
        <w:t>如</w:t>
      </w:r>
      <w:r>
        <w:rPr>
          <w:spacing w:val="-38"/>
        </w:rPr>
        <w:t> </w:t>
      </w:r>
      <w:r>
        <w:rPr/>
        <w:t>正常养老退休金</w:t>
      </w:r>
      <w:r>
        <w:rPr>
          <w:rFonts w:ascii="宋体" w:hAnsi="宋体" w:cs="宋体" w:eastAsia="宋体" w:hint="default"/>
        </w:rPr>
        <w:t>)</w:t>
      </w:r>
      <w:r>
        <w:rPr/>
        <w:t>，按照离职后福利处理。</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4）其他长期职工福利的会计处理方法" w:id="215"/>
      <w:bookmarkEnd w:id="215"/>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9" w:lineRule="auto" w:before="0"/>
        <w:ind w:right="1130"/>
        <w:jc w:val="both"/>
      </w:pPr>
      <w:r>
        <w:rPr>
          <w:spacing w:val="-2"/>
        </w:rPr>
        <w:t>本公司向职工提供的其他长期职工福利，符合设定提存计划的，按照设定提存计划进行会计处理，除此之外按照设定受益计</w:t>
      </w:r>
      <w:r>
        <w:rPr>
          <w:spacing w:val="-63"/>
        </w:rPr>
        <w:t> </w:t>
      </w:r>
      <w:r>
        <w:rPr>
          <w:spacing w:val="-63"/>
        </w:rPr>
      </w:r>
      <w:r>
        <w:rPr>
          <w:spacing w:val="-2"/>
        </w:rPr>
        <w:t>划进行会计处理。但相关职工薪酬成本中“重新计量设定受益计划净负债或净资产所产生的变动”部分计入当期损益或相关</w:t>
      </w:r>
      <w:r>
        <w:rPr>
          <w:spacing w:val="-63"/>
        </w:rPr>
        <w:t> </w:t>
      </w:r>
      <w:r>
        <w:rPr>
          <w:spacing w:val="-63"/>
        </w:rPr>
      </w:r>
      <w:r>
        <w:rPr/>
        <w:t>资产成本。</w:t>
      </w:r>
    </w:p>
    <w:p>
      <w:pPr>
        <w:spacing w:line="240" w:lineRule="auto" w:before="9"/>
        <w:rPr>
          <w:rFonts w:ascii="宋体" w:hAnsi="宋体" w:cs="宋体" w:eastAsia="宋体" w:hint="default"/>
          <w:sz w:val="22"/>
          <w:szCs w:val="22"/>
        </w:rPr>
      </w:pPr>
    </w:p>
    <w:p>
      <w:pPr>
        <w:pStyle w:val="Heading4"/>
        <w:spacing w:line="240" w:lineRule="auto"/>
        <w:ind w:right="986"/>
        <w:jc w:val="left"/>
        <w:rPr>
          <w:b w:val="0"/>
          <w:bCs w:val="0"/>
        </w:rPr>
      </w:pPr>
      <w:bookmarkStart w:name="35、租赁负债" w:id="216"/>
      <w:bookmarkEnd w:id="216"/>
      <w:r>
        <w:rPr>
          <w:b w:val="0"/>
          <w:bCs w:val="0"/>
        </w:rPr>
      </w:r>
      <w:r>
        <w:rPr>
          <w:rFonts w:ascii="Times New Roman" w:hAnsi="Times New Roman" w:cs="Times New Roman" w:eastAsia="Times New Roman" w:hint="default"/>
        </w:rPr>
        <w:t>35</w:t>
      </w:r>
      <w:r>
        <w:rPr/>
        <w:t>、租赁负债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36、预计负债" w:id="217"/>
      <w:bookmarkEnd w:id="217"/>
      <w:r>
        <w:rPr>
          <w:b w:val="0"/>
          <w:bCs w:val="0"/>
        </w:rPr>
      </w:r>
      <w:r>
        <w:rPr>
          <w:rFonts w:ascii="Times New Roman" w:hAnsi="Times New Roman" w:cs="Times New Roman" w:eastAsia="Times New Roman" w:hint="default"/>
        </w:rPr>
        <w:t>36</w:t>
      </w:r>
      <w:r>
        <w:rPr/>
        <w:t>、预计负债</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986"/>
        <w:jc w:val="left"/>
      </w:pPr>
      <w:r>
        <w:rPr>
          <w:spacing w:val="-2"/>
        </w:rPr>
        <w:t>当与或有事项相关的义务同时符合以下条件，将其确认为预计负债：</w:t>
      </w:r>
      <w:r>
        <w:rPr>
          <w:rFonts w:ascii="宋体" w:hAnsi="宋体" w:cs="宋体" w:eastAsia="宋体" w:hint="default"/>
          <w:spacing w:val="-2"/>
        </w:rPr>
        <w:t>1</w:t>
      </w:r>
      <w:r>
        <w:rPr>
          <w:spacing w:val="-2"/>
        </w:rPr>
        <w:t>．该义务是承担的现时义务；</w:t>
      </w:r>
      <w:r>
        <w:rPr>
          <w:rFonts w:ascii="宋体" w:hAnsi="宋体" w:cs="宋体" w:eastAsia="宋体" w:hint="default"/>
          <w:spacing w:val="-2"/>
        </w:rPr>
        <w:t>2</w:t>
      </w:r>
      <w:r>
        <w:rPr>
          <w:spacing w:val="-2"/>
        </w:rPr>
        <w:t>．该义务的履行很可能</w:t>
      </w:r>
      <w:r>
        <w:rPr>
          <w:spacing w:val="-62"/>
        </w:rPr>
        <w:t> </w:t>
      </w:r>
      <w:r>
        <w:rPr>
          <w:spacing w:val="-62"/>
        </w:rPr>
      </w:r>
      <w:r>
        <w:rPr/>
        <w:t>导致经济利益流出；</w:t>
      </w:r>
      <w:r>
        <w:rPr>
          <w:rFonts w:ascii="宋体" w:hAnsi="宋体" w:cs="宋体" w:eastAsia="宋体" w:hint="default"/>
        </w:rPr>
        <w:t>3</w:t>
      </w:r>
      <w:r>
        <w:rPr/>
        <w:t>．该义务的金额能够可靠地计量。 </w:t>
      </w:r>
      <w:r>
        <w:rPr>
          <w:spacing w:val="-2"/>
        </w:rPr>
        <w:t>预计负债按照履行相关现时义务所需支出的最佳估计数进行初始计量，并综合考虑与或有事项有关的风险、不确定性和货币</w:t>
      </w:r>
      <w:r>
        <w:rPr>
          <w:spacing w:val="-62"/>
        </w:rPr>
        <w:t> </w:t>
      </w:r>
      <w:r>
        <w:rPr>
          <w:spacing w:val="-62"/>
        </w:rPr>
      </w:r>
      <w:r>
        <w:rPr/>
        <w:t>时间价值等因素。货币时间价值影响重大的，通过对相关未来现金流出进行折现后确定最佳估计数。 </w:t>
      </w:r>
      <w:r>
        <w:rPr>
          <w:spacing w:val="-2"/>
        </w:rPr>
        <w:t>最佳估计数分别分以下情况处理：所需支出存在一个连续范围</w:t>
      </w:r>
      <w:r>
        <w:rPr>
          <w:rFonts w:ascii="宋体" w:hAnsi="宋体" w:cs="宋体" w:eastAsia="宋体" w:hint="default"/>
          <w:spacing w:val="-2"/>
        </w:rPr>
        <w:t>(</w:t>
      </w:r>
      <w:r>
        <w:rPr>
          <w:spacing w:val="-2"/>
        </w:rPr>
        <w:t>或区间</w:t>
      </w:r>
      <w:r>
        <w:rPr>
          <w:rFonts w:ascii="宋体" w:hAnsi="宋体" w:cs="宋体" w:eastAsia="宋体" w:hint="default"/>
          <w:spacing w:val="-2"/>
        </w:rPr>
        <w:t>)</w:t>
      </w:r>
      <w:r>
        <w:rPr>
          <w:spacing w:val="-2"/>
        </w:rPr>
        <w:t>，且该范围内各种结果发生的可能性相同的，则最佳</w:t>
      </w:r>
      <w:r>
        <w:rPr>
          <w:spacing w:val="-61"/>
        </w:rPr>
        <w:t> </w:t>
      </w:r>
      <w:r>
        <w:rPr>
          <w:spacing w:val="-61"/>
        </w:rPr>
      </w:r>
      <w:r>
        <w:rPr>
          <w:spacing w:val="-2"/>
        </w:rPr>
        <w:t>估计数按照该范围的中间值：即上下限金额的平均数确定。所需支出不存在一个连续范围</w:t>
      </w:r>
      <w:r>
        <w:rPr>
          <w:rFonts w:ascii="宋体" w:hAnsi="宋体" w:cs="宋体" w:eastAsia="宋体" w:hint="default"/>
          <w:spacing w:val="-2"/>
        </w:rPr>
        <w:t>(</w:t>
      </w:r>
      <w:r>
        <w:rPr>
          <w:spacing w:val="-2"/>
        </w:rPr>
        <w:t>或区间</w:t>
      </w:r>
      <w:r>
        <w:rPr>
          <w:rFonts w:ascii="宋体" w:hAnsi="宋体" w:cs="宋体" w:eastAsia="宋体" w:hint="default"/>
          <w:spacing w:val="-2"/>
        </w:rPr>
        <w:t>)</w:t>
      </w:r>
      <w:r>
        <w:rPr>
          <w:spacing w:val="-2"/>
        </w:rPr>
        <w:t>，或虽然存在一个连续范</w:t>
      </w:r>
      <w:r>
        <w:rPr>
          <w:spacing w:val="-61"/>
        </w:rPr>
        <w:t> </w:t>
      </w:r>
      <w:r>
        <w:rPr>
          <w:spacing w:val="-61"/>
        </w:rPr>
      </w:r>
      <w:r>
        <w:rPr>
          <w:spacing w:val="-2"/>
        </w:rPr>
        <w:t>围但该范围内各种结果发生的可能性不相同的，如或有事项涉及单个项目的，则最佳估计数按照最可能发生金额确定；如或</w:t>
      </w:r>
      <w:r>
        <w:rPr>
          <w:spacing w:val="-63"/>
        </w:rPr>
        <w:t> </w:t>
      </w:r>
      <w:r>
        <w:rPr>
          <w:spacing w:val="-63"/>
        </w:rPr>
      </w:r>
      <w:r>
        <w:rPr/>
        <w:t>有事项涉及多个项目的，则最佳估计数按各种可能结果及相关概率计算确定。 </w:t>
      </w:r>
      <w:r>
        <w:rPr>
          <w:spacing w:val="-2"/>
        </w:rPr>
        <w:t>本公司清偿预计负债所需支出全部或部分预期由第三方补偿的，补偿金额在基本确定能够收到时，作为资产单独确认，且确</w:t>
      </w:r>
      <w:r>
        <w:rPr>
          <w:spacing w:val="-65"/>
        </w:rPr>
        <w:t> </w:t>
      </w:r>
      <w:r>
        <w:rPr>
          <w:spacing w:val="-65"/>
        </w:rPr>
      </w:r>
      <w:r>
        <w:rPr/>
        <w:t>认的补偿金额不超过预计负债的账面价值。 </w:t>
      </w:r>
      <w:r>
        <w:rPr>
          <w:spacing w:val="-2"/>
        </w:rPr>
        <w:t>每个资产负债表日对预计负债的账面价值进行复核。有确凿证据表明该账面价值不能反映当前最佳估计数的，按照当前最佳</w:t>
      </w:r>
      <w:r>
        <w:rPr>
          <w:spacing w:val="-64"/>
        </w:rPr>
        <w:t> </w:t>
      </w:r>
      <w:r>
        <w:rPr>
          <w:spacing w:val="-64"/>
        </w:rPr>
      </w:r>
      <w:r>
        <w:rPr/>
        <w:t>估计数对该账面价值进行调整。</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37、股份支付" w:id="218"/>
      <w:bookmarkEnd w:id="218"/>
      <w:r>
        <w:rPr>
          <w:b w:val="0"/>
          <w:bCs w:val="0"/>
        </w:rPr>
      </w:r>
      <w:r>
        <w:rPr>
          <w:rFonts w:ascii="Times New Roman" w:hAnsi="Times New Roman" w:cs="Times New Roman" w:eastAsia="Times New Roman" w:hint="default"/>
        </w:rPr>
        <w:t>37</w:t>
      </w:r>
      <w:r>
        <w:rPr/>
        <w:t>、股份支付</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986"/>
        <w:jc w:val="left"/>
      </w:pPr>
      <w:r>
        <w:rPr>
          <w:rFonts w:ascii="宋体" w:hAnsi="宋体" w:cs="宋体" w:eastAsia="宋体" w:hint="default"/>
        </w:rPr>
        <w:t>1</w:t>
      </w:r>
      <w:r>
        <w:rPr/>
        <w:t>．股份支付的种类 </w:t>
      </w:r>
      <w:r>
        <w:rPr>
          <w:spacing w:val="-2"/>
        </w:rPr>
        <w:t>本公司的股份支付是为了获取职工</w:t>
      </w:r>
      <w:r>
        <w:rPr>
          <w:rFonts w:ascii="宋体" w:hAnsi="宋体" w:cs="宋体" w:eastAsia="宋体" w:hint="default"/>
          <w:spacing w:val="-2"/>
        </w:rPr>
        <w:t>(</w:t>
      </w:r>
      <w:r>
        <w:rPr>
          <w:spacing w:val="-2"/>
        </w:rPr>
        <w:t>或其他方</w:t>
      </w:r>
      <w:r>
        <w:rPr>
          <w:rFonts w:ascii="宋体" w:hAnsi="宋体" w:cs="宋体" w:eastAsia="宋体" w:hint="default"/>
          <w:spacing w:val="-2"/>
        </w:rPr>
        <w:t>)</w:t>
      </w:r>
      <w:r>
        <w:rPr>
          <w:spacing w:val="-2"/>
        </w:rPr>
        <w:t>提供服务而授予权益工具或者承担以权益工具为基础确定的负债的交易。包括</w:t>
      </w:r>
      <w:r>
        <w:rPr>
          <w:spacing w:val="-62"/>
        </w:rPr>
        <w:t> </w:t>
      </w:r>
      <w:r>
        <w:rPr>
          <w:spacing w:val="-62"/>
        </w:rPr>
      </w:r>
      <w:r>
        <w:rPr/>
        <w:t>以权益结算的股份支付和以现金结算的股份支付。</w:t>
      </w:r>
    </w:p>
    <w:p>
      <w:pPr>
        <w:pStyle w:val="BodyText"/>
        <w:spacing w:line="316" w:lineRule="auto" w:before="17"/>
        <w:ind w:right="986"/>
        <w:jc w:val="left"/>
      </w:pPr>
      <w:r>
        <w:rPr>
          <w:rFonts w:ascii="宋体" w:hAnsi="宋体" w:cs="宋体" w:eastAsia="宋体" w:hint="default"/>
        </w:rPr>
        <w:t>2</w:t>
      </w:r>
      <w:r>
        <w:rPr/>
        <w:t>．权益工具公允价值的确定方法 </w:t>
      </w:r>
      <w:r>
        <w:rPr>
          <w:rFonts w:ascii="宋体" w:hAnsi="宋体" w:cs="宋体" w:eastAsia="宋体" w:hint="default"/>
          <w:spacing w:val="-2"/>
        </w:rPr>
        <w:t>(1)</w:t>
      </w:r>
      <w:r>
        <w:rPr>
          <w:spacing w:val="-2"/>
        </w:rPr>
        <w:t>存在活跃市场的，按照活跃市场中的报价确定；</w:t>
      </w:r>
      <w:r>
        <w:rPr>
          <w:rFonts w:ascii="宋体" w:hAnsi="宋体" w:cs="宋体" w:eastAsia="宋体" w:hint="default"/>
          <w:spacing w:val="-2"/>
        </w:rPr>
        <w:t>(2)</w:t>
      </w:r>
      <w:r>
        <w:rPr>
          <w:spacing w:val="-2"/>
        </w:rPr>
        <w:t>不存在活跃市场的，采用估值技术确定，包括参考熟悉情况并自愿交</w:t>
      </w:r>
      <w:r>
        <w:rPr>
          <w:spacing w:val="-60"/>
        </w:rPr>
        <w:t> </w:t>
      </w:r>
      <w:r>
        <w:rPr>
          <w:spacing w:val="-60"/>
        </w:rPr>
      </w:r>
      <w:r>
        <w:rPr>
          <w:spacing w:val="-2"/>
        </w:rPr>
        <w:t>易的各方最近进行的市场交易中使用的价格、参照实质上相同的其他金融工具的当前公允价值、现金流量折现法和期权定价</w:t>
      </w:r>
      <w:r>
        <w:rPr>
          <w:spacing w:val="-64"/>
        </w:rPr>
        <w:t> </w:t>
      </w:r>
      <w:r>
        <w:rPr>
          <w:spacing w:val="-64"/>
        </w:rPr>
      </w:r>
      <w:r>
        <w:rPr/>
        <w:t>模型等。</w:t>
      </w:r>
      <w:r>
        <w:rPr>
          <w:rFonts w:ascii="宋体" w:hAnsi="宋体" w:cs="宋体" w:eastAsia="宋体" w:hint="default"/>
        </w:rPr>
        <w:t>3</w:t>
      </w:r>
      <w:r>
        <w:rPr/>
        <w:t>．确认可行权权益工具最佳估计的依据 </w:t>
      </w:r>
      <w:r>
        <w:rPr>
          <w:spacing w:val="-2"/>
        </w:rPr>
        <w:t>等待期内每个资产负债表日，本公司根据最新取得的可行权职工人数变动等后续信息做出最佳估计，修正预计可行权的权益</w:t>
      </w:r>
      <w:r>
        <w:rPr>
          <w:spacing w:val="-64"/>
        </w:rPr>
        <w:t> </w:t>
      </w:r>
      <w:r>
        <w:rPr>
          <w:spacing w:val="-64"/>
        </w:rPr>
      </w:r>
      <w:r>
        <w:rPr/>
        <w:t>工具数量。在可行权日，最终预计可行权权益工具的数量应当与实际可行权数量一致。</w:t>
      </w:r>
    </w:p>
    <w:p>
      <w:pPr>
        <w:pStyle w:val="BodyText"/>
        <w:spacing w:line="316" w:lineRule="auto" w:before="18"/>
        <w:ind w:right="8684"/>
        <w:jc w:val="left"/>
      </w:pPr>
      <w:r>
        <w:rPr>
          <w:rFonts w:ascii="宋体" w:hAnsi="宋体" w:cs="宋体" w:eastAsia="宋体" w:hint="default"/>
        </w:rPr>
        <w:t>4</w:t>
      </w:r>
      <w:r>
        <w:rPr/>
        <w:t>．股份支付的会计处理 </w:t>
      </w:r>
      <w:r>
        <w:rPr>
          <w:rFonts w:ascii="宋体" w:hAnsi="宋体" w:cs="宋体" w:eastAsia="宋体" w:hint="default"/>
        </w:rPr>
        <w:t>(1)</w:t>
      </w:r>
      <w:r>
        <w:rPr/>
        <w:t>以权益结算的股份支付</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ind w:right="986"/>
        <w:jc w:val="left"/>
      </w:pPr>
      <w:r>
        <w:rPr>
          <w:spacing w:val="-4"/>
        </w:rPr>
        <w:t>以权益结算的股份支付换取职工提供服务的，授予后立即可行权的，在授予日按照权益工具的公允价值计入相关成本或费用，</w:t>
      </w:r>
      <w:r>
        <w:rPr>
          <w:spacing w:val="-44"/>
        </w:rPr>
        <w:t> </w:t>
      </w:r>
      <w:r>
        <w:rPr>
          <w:spacing w:val="-44"/>
        </w:rPr>
      </w:r>
      <w:r>
        <w:rPr>
          <w:spacing w:val="-2"/>
        </w:rPr>
        <w:t>相应调整资本公积；完成等待期内的服务或达到规定业绩条件才可行权的，在等待期内的每个资产负债表日，以对可行权权</w:t>
      </w:r>
      <w:r>
        <w:rPr>
          <w:spacing w:val="-63"/>
        </w:rPr>
        <w:t> </w:t>
      </w:r>
      <w:r>
        <w:rPr>
          <w:spacing w:val="-63"/>
        </w:rPr>
      </w:r>
      <w:r>
        <w:rPr>
          <w:spacing w:val="-5"/>
        </w:rPr>
        <w:t>益工具数量的最佳估计为基础，按权益工具授予日的公允价值，将当期取得的服务计入相关成本或费用，相应调整资本公积，</w:t>
      </w:r>
      <w:r>
        <w:rPr>
          <w:spacing w:val="-76"/>
        </w:rPr>
        <w:t> </w:t>
      </w:r>
      <w:r>
        <w:rPr>
          <w:spacing w:val="-76"/>
        </w:rPr>
      </w:r>
      <w:r>
        <w:rPr/>
        <w:t>在可行权日之后不再对已确认的相关成本或费用和所有者权益总额进行调整。 </w:t>
      </w:r>
      <w:r>
        <w:rPr>
          <w:spacing w:val="-2"/>
        </w:rPr>
        <w:t>以权益结算的股份支付换取其他方服务的，若其他方服务的公允价值能够可靠计量的，按照其他方服务在取得日的公允价值</w:t>
      </w:r>
      <w:r>
        <w:rPr>
          <w:spacing w:val="-64"/>
        </w:rPr>
        <w:t> </w:t>
      </w:r>
      <w:r>
        <w:rPr>
          <w:spacing w:val="-64"/>
        </w:rPr>
      </w:r>
      <w:r>
        <w:rPr>
          <w:spacing w:val="-2"/>
        </w:rPr>
        <w:t>计量；其他方服务的公允价值不能可靠计量但权益工具公允价值能够可靠计量的，按照权益工具在服务取得日的公允价值计</w:t>
      </w:r>
      <w:r>
        <w:rPr>
          <w:spacing w:val="-64"/>
        </w:rPr>
        <w:t> </w:t>
      </w:r>
      <w:r>
        <w:rPr>
          <w:spacing w:val="-64"/>
        </w:rPr>
      </w:r>
      <w:r>
        <w:rPr/>
        <w:t>量，计入相关成本或费用，相应增加所有者权益。</w:t>
      </w:r>
    </w:p>
    <w:p>
      <w:pPr>
        <w:pStyle w:val="BodyText"/>
        <w:spacing w:line="316" w:lineRule="auto" w:before="19"/>
        <w:ind w:right="1034"/>
        <w:jc w:val="left"/>
      </w:pPr>
      <w:r>
        <w:rPr>
          <w:rFonts w:ascii="宋体" w:hAnsi="宋体" w:cs="宋体" w:eastAsia="宋体" w:hint="default"/>
        </w:rPr>
        <w:t>(2)</w:t>
      </w:r>
      <w:r>
        <w:rPr/>
        <w:t>以现金结算的股份支付</w:t>
      </w:r>
      <w:r>
        <w:rPr>
          <w:spacing w:val="-87"/>
        </w:rPr>
        <w:t> </w:t>
      </w:r>
      <w:r>
        <w:rPr/>
        <w:t>以现金结算的股份支付换取职工服务的，授予后立即可行权的，在授予日按公司承担负债的公允价值计入相关成本或费用，</w:t>
      </w:r>
      <w:r>
        <w:rPr>
          <w:spacing w:val="-86"/>
        </w:rPr>
        <w:t> </w:t>
      </w:r>
      <w:r>
        <w:rPr>
          <w:spacing w:val="-86"/>
        </w:rPr>
      </w:r>
      <w:r>
        <w:rPr>
          <w:spacing w:val="-2"/>
        </w:rPr>
        <w:t>相应增加负债；完成等待期内的服务或达到规定业绩条件才可行权的换取职工服务的以现金结算的股份支付，在等待期内的</w:t>
      </w:r>
      <w:r>
        <w:rPr>
          <w:spacing w:val="-64"/>
        </w:rPr>
        <w:t> </w:t>
      </w:r>
      <w:r>
        <w:rPr>
          <w:spacing w:val="-64"/>
        </w:rPr>
      </w:r>
      <w:r>
        <w:rPr>
          <w:spacing w:val="-2"/>
        </w:rPr>
        <w:t>每个资产负债表日，以对可行权情况的最佳估计为基础，按公司承担负债的公允价值，将当期取得的服务计入相关成本或费</w:t>
      </w:r>
      <w:r>
        <w:rPr>
          <w:spacing w:val="-63"/>
        </w:rPr>
        <w:t> </w:t>
      </w:r>
      <w:r>
        <w:rPr>
          <w:spacing w:val="-63"/>
        </w:rPr>
      </w:r>
      <w:r>
        <w:rPr/>
        <w:t>用和相应的负债。在相关负债结算前的每个资产负债表日以及结算日，对负债的公允价值重新计量，其变动计入当期损益。</w:t>
      </w:r>
      <w:r>
        <w:rPr>
          <w:spacing w:val="-86"/>
        </w:rPr>
        <w:t> </w:t>
      </w:r>
      <w:r>
        <w:rPr>
          <w:spacing w:val="-86"/>
        </w:rPr>
      </w:r>
      <w:r>
        <w:rPr>
          <w:rFonts w:ascii="宋体" w:hAnsi="宋体" w:cs="宋体" w:eastAsia="宋体" w:hint="default"/>
        </w:rPr>
        <w:t>(3)</w:t>
      </w:r>
      <w:r>
        <w:rPr/>
        <w:t>修改、终止股份支付计划</w:t>
      </w:r>
      <w:r>
        <w:rPr>
          <w:spacing w:val="-87"/>
        </w:rPr>
        <w:t> </w:t>
      </w:r>
      <w:r>
        <w:rPr>
          <w:spacing w:val="-2"/>
        </w:rPr>
        <w:t>如果修改增加了所授予的权益工具的公允价值，公司按照权益工具公允价值的增加相应地确认取得服务的增加；如果修改增</w:t>
      </w:r>
      <w:r>
        <w:rPr>
          <w:spacing w:val="-64"/>
        </w:rPr>
        <w:t> </w:t>
      </w:r>
      <w:r>
        <w:rPr>
          <w:spacing w:val="-64"/>
        </w:rPr>
      </w:r>
      <w:r>
        <w:rPr>
          <w:spacing w:val="-2"/>
        </w:rPr>
        <w:t>加了所授予的权益工具的数量，公司将增加的权益工具的公允价值相应地确认为取得服务的增加；如果公司按照有利于职工</w:t>
      </w:r>
      <w:r>
        <w:rPr>
          <w:spacing w:val="-64"/>
        </w:rPr>
        <w:t> </w:t>
      </w:r>
      <w:r>
        <w:rPr>
          <w:spacing w:val="-64"/>
        </w:rPr>
      </w:r>
      <w:r>
        <w:rPr/>
        <w:t>的方式修改可行权条件，公司在处理可行权条件时，考虑修改后的可行权条件。 </w:t>
      </w:r>
      <w:r>
        <w:rPr>
          <w:spacing w:val="-2"/>
        </w:rPr>
        <w:t>如果修改减少了授予的权益工具的公允价值，公司继续以权益工具在授予日的公允价值为基础，确认取得服务的金额，而不</w:t>
      </w:r>
      <w:r>
        <w:rPr>
          <w:spacing w:val="-65"/>
        </w:rPr>
        <w:t> </w:t>
      </w:r>
      <w:r>
        <w:rPr>
          <w:spacing w:val="-65"/>
        </w:rPr>
      </w:r>
      <w:r>
        <w:rPr>
          <w:spacing w:val="-2"/>
        </w:rPr>
        <w:t>考虑权益工具公允价值的减少；如果修改减少了授予的权益工具的数量，公司将减少部分作为已授予的权益工具的取消来进</w:t>
      </w:r>
      <w:r>
        <w:rPr>
          <w:spacing w:val="-64"/>
        </w:rPr>
        <w:t> </w:t>
      </w:r>
      <w:r>
        <w:rPr>
          <w:spacing w:val="-64"/>
        </w:rPr>
      </w:r>
      <w:r>
        <w:rPr/>
        <w:t>行处理；如果以不利于职工的方式修改了可行权条件，在处理可行权条件时，不考虑修改后的可行权条件。 如果取消了以权益结算的股份支付，则于取消日作为加速行权处理，立即确认尚未确认的金额</w:t>
      </w:r>
      <w:r>
        <w:rPr>
          <w:rFonts w:ascii="宋体" w:hAnsi="宋体" w:cs="宋体" w:eastAsia="宋体" w:hint="default"/>
        </w:rPr>
        <w:t>(</w:t>
      </w:r>
      <w:r>
        <w:rPr/>
        <w:t>将剩余等待期内应确认的金 额立即计入当期损益，同时确认资本公积</w:t>
      </w:r>
      <w:r>
        <w:rPr>
          <w:rFonts w:ascii="宋体" w:hAnsi="宋体" w:cs="宋体" w:eastAsia="宋体" w:hint="default"/>
        </w:rPr>
        <w:t>)</w:t>
      </w:r>
      <w:r>
        <w:rPr/>
        <w:t>。职工或者其他方能够选择满足非可行权条件但在等待期内未满足的，作为取消 </w:t>
      </w:r>
      <w:r>
        <w:rPr>
          <w:spacing w:val="-2"/>
        </w:rPr>
        <w:t>以权益结算的股份支付处理。但是，如果授予新的权益工具，并在新权益工具授予日认定所授予权益工具用于替代被取消的</w:t>
      </w:r>
      <w:r>
        <w:rPr>
          <w:spacing w:val="-61"/>
        </w:rPr>
        <w:t> </w:t>
      </w:r>
      <w:r>
        <w:rPr>
          <w:spacing w:val="-61"/>
        </w:rPr>
      </w:r>
      <w:r>
        <w:rPr/>
        <w:t>权益工具的，则以与处理原权益工具条款和条件修改相同的方式，对被授予的替代权益工具进行处理。 </w:t>
      </w:r>
      <w:r>
        <w:rPr>
          <w:rFonts w:ascii="宋体" w:hAnsi="宋体" w:cs="宋体" w:eastAsia="宋体" w:hint="default"/>
        </w:rPr>
        <w:t>5</w:t>
      </w:r>
      <w:r>
        <w:rPr/>
        <w:t>．涉及本公司与本公司股东或实际控制人的股份支付交易的会计处理 涉及本公司与本公司股东或实际控制人的股份支付交易，结算企业与接受服务企业中其一在本公司内，另一在本公司外的，</w:t>
      </w:r>
      <w:r>
        <w:rPr>
          <w:spacing w:val="-86"/>
        </w:rPr>
        <w:t> </w:t>
      </w:r>
      <w:r>
        <w:rPr>
          <w:spacing w:val="-86"/>
        </w:rPr>
      </w:r>
      <w:r>
        <w:rPr/>
        <w:t>在本公司合并财务报表中按照以下规定进行会计处理： </w:t>
      </w:r>
      <w:r>
        <w:rPr>
          <w:rFonts w:ascii="宋体" w:hAnsi="宋体" w:cs="宋体" w:eastAsia="宋体" w:hint="default"/>
        </w:rPr>
        <w:t>(1)</w:t>
      </w:r>
      <w:r>
        <w:rPr/>
        <w:t>结算企业以其本身权益工具结算的，将该股份支付交易作为权益结算的股份支付处理；除此之外，作为现金结算的股份 支付处理。 </w:t>
      </w:r>
      <w:r>
        <w:rPr>
          <w:spacing w:val="-2"/>
        </w:rPr>
        <w:t>结算企业是接受服务企业的投资者的，按照授予日权益工具的公允价值或应承担负债的公允价值确认为对接受服务企业的长</w:t>
      </w:r>
      <w:r>
        <w:rPr>
          <w:spacing w:val="-64"/>
        </w:rPr>
        <w:t> </w:t>
      </w:r>
      <w:r>
        <w:rPr>
          <w:spacing w:val="-64"/>
        </w:rPr>
      </w:r>
      <w:r>
        <w:rPr/>
        <w:t>期股权投资，同时确认资本公积</w:t>
      </w:r>
      <w:r>
        <w:rPr>
          <w:rFonts w:ascii="宋体" w:hAnsi="宋体" w:cs="宋体" w:eastAsia="宋体" w:hint="default"/>
        </w:rPr>
        <w:t>(</w:t>
      </w:r>
      <w:r>
        <w:rPr/>
        <w:t>其他资本公积</w:t>
      </w:r>
      <w:r>
        <w:rPr>
          <w:rFonts w:ascii="宋体" w:hAnsi="宋体" w:cs="宋体" w:eastAsia="宋体" w:hint="default"/>
        </w:rPr>
        <w:t>)</w:t>
      </w:r>
      <w:r>
        <w:rPr/>
        <w:t>或负债。 </w:t>
      </w:r>
      <w:r>
        <w:rPr>
          <w:rFonts w:ascii="宋体" w:hAnsi="宋体" w:cs="宋体" w:eastAsia="宋体" w:hint="default"/>
          <w:spacing w:val="-2"/>
        </w:rPr>
        <w:t>(2)</w:t>
      </w:r>
      <w:r>
        <w:rPr>
          <w:spacing w:val="-2"/>
        </w:rPr>
        <w:t>接受服务企业没有结算义务或授予本企业职工的是其本身权益工具的，将该股份支付交易作为权益结算的股份支付处理；</w:t>
      </w:r>
      <w:r>
        <w:rPr>
          <w:spacing w:val="-60"/>
        </w:rPr>
        <w:t> </w:t>
      </w:r>
      <w:r>
        <w:rPr>
          <w:spacing w:val="-60"/>
        </w:rPr>
      </w:r>
      <w:r>
        <w:rPr/>
        <w:t>接受服务企业具有结算义务且授予本企业职工的并非其本身权益工具的，将该股份支付交易作为现金结算的股份支付处理。</w:t>
      </w:r>
      <w:r>
        <w:rPr>
          <w:spacing w:val="-86"/>
        </w:rPr>
        <w:t> </w:t>
      </w:r>
      <w:r>
        <w:rPr>
          <w:spacing w:val="-86"/>
        </w:rPr>
      </w:r>
      <w:r>
        <w:rPr>
          <w:spacing w:val="-2"/>
        </w:rPr>
        <w:t>本公司内各企业之间发生的股份支付交易，接受服务企业和结算企业不是同一企业的，在接受服务企业和结算企业各自的个</w:t>
      </w:r>
      <w:r>
        <w:rPr>
          <w:spacing w:val="-64"/>
        </w:rPr>
        <w:t> </w:t>
      </w:r>
      <w:r>
        <w:rPr>
          <w:spacing w:val="-64"/>
        </w:rPr>
      </w:r>
      <w:r>
        <w:rPr/>
        <w:t>别财务报表中对该股份支付交易的确认和计量，比照上述原则处理。</w:t>
      </w:r>
    </w:p>
    <w:p>
      <w:pPr>
        <w:spacing w:line="240" w:lineRule="auto" w:before="11"/>
        <w:rPr>
          <w:rFonts w:ascii="宋体" w:hAnsi="宋体" w:cs="宋体" w:eastAsia="宋体" w:hint="default"/>
          <w:sz w:val="22"/>
          <w:szCs w:val="22"/>
        </w:rPr>
      </w:pPr>
    </w:p>
    <w:p>
      <w:pPr>
        <w:pStyle w:val="Heading4"/>
        <w:spacing w:line="240" w:lineRule="auto"/>
        <w:ind w:right="986"/>
        <w:jc w:val="left"/>
        <w:rPr>
          <w:b w:val="0"/>
          <w:bCs w:val="0"/>
        </w:rPr>
      </w:pPr>
      <w:bookmarkStart w:name="38、优先股、永续债等其他金融工具" w:id="219"/>
      <w:bookmarkEnd w:id="219"/>
      <w:r>
        <w:rPr>
          <w:b w:val="0"/>
          <w:bCs w:val="0"/>
        </w:rPr>
      </w:r>
      <w:r>
        <w:rPr>
          <w:rFonts w:ascii="Times New Roman" w:hAnsi="Times New Roman" w:cs="Times New Roman" w:eastAsia="Times New Roman" w:hint="default"/>
        </w:rPr>
        <w:t>38</w:t>
      </w:r>
      <w:r>
        <w:rPr/>
        <w:t>、优先股、永续债等其他金融工具</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39、收入" w:id="220"/>
      <w:bookmarkEnd w:id="220"/>
      <w:r>
        <w:rPr>
          <w:b w:val="0"/>
          <w:bCs w:val="0"/>
        </w:rPr>
      </w:r>
      <w:r>
        <w:rPr>
          <w:rFonts w:ascii="Times New Roman" w:hAnsi="Times New Roman" w:cs="Times New Roman" w:eastAsia="Times New Roman" w:hint="default"/>
        </w:rPr>
        <w:t>39</w:t>
      </w:r>
      <w:r>
        <w:rPr/>
        <w:t>、收入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是否已执行新收入准则</w:t>
      </w:r>
    </w:p>
    <w:p>
      <w:pPr>
        <w:pStyle w:val="BodyText"/>
        <w:spacing w:line="338" w:lineRule="auto" w:before="117"/>
        <w:ind w:right="9044"/>
        <w:jc w:val="left"/>
      </w:pPr>
      <w:r>
        <w:rPr/>
        <w:t>□ 是 √</w:t>
      </w:r>
      <w:r>
        <w:rPr>
          <w:spacing w:val="3"/>
        </w:rPr>
        <w:t> </w:t>
      </w:r>
      <w:r>
        <w:rPr/>
        <w:t>否</w:t>
      </w:r>
      <w:r>
        <w:rPr/>
        <w:t> </w:t>
      </w:r>
      <w:r>
        <w:rPr>
          <w:rFonts w:ascii="宋体" w:hAnsi="宋体" w:cs="宋体" w:eastAsia="宋体" w:hint="default"/>
        </w:rPr>
        <w:t>1</w:t>
      </w:r>
      <w:r>
        <w:rPr/>
        <w:t>．收入的总确认原则 </w:t>
      </w:r>
      <w:r>
        <w:rPr>
          <w:rFonts w:ascii="宋体" w:hAnsi="宋体" w:cs="宋体" w:eastAsia="宋体" w:hint="default"/>
        </w:rPr>
        <w:t>(1)</w:t>
      </w:r>
      <w:r>
        <w:rPr/>
        <w:t>销售商品</w:t>
      </w:r>
    </w:p>
    <w:p>
      <w:pPr>
        <w:pStyle w:val="BodyText"/>
        <w:spacing w:line="240" w:lineRule="auto" w:before="2"/>
        <w:ind w:right="986"/>
        <w:jc w:val="left"/>
      </w:pPr>
      <w:r>
        <w:rPr/>
        <w:t>商品销售收入同时满足下列条件时予以确认：</w:t>
      </w:r>
      <w:r>
        <w:rPr>
          <w:rFonts w:ascii="宋体" w:hAnsi="宋体" w:cs="宋体" w:eastAsia="宋体" w:hint="default"/>
        </w:rPr>
        <w:t>1)</w:t>
      </w:r>
      <w:r>
        <w:rPr/>
        <w:t>公司已将商品所有权上的主要风险和报酬转移给购买方；</w:t>
      </w:r>
      <w:r>
        <w:rPr>
          <w:rFonts w:ascii="宋体" w:hAnsi="宋体" w:cs="宋体" w:eastAsia="宋体" w:hint="default"/>
        </w:rPr>
        <w:t>2)</w:t>
      </w:r>
      <w:r>
        <w:rPr/>
        <w:t>公司既没有保留</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ind w:right="986"/>
        <w:jc w:val="left"/>
      </w:pPr>
      <w:r>
        <w:rPr>
          <w:spacing w:val="-2"/>
        </w:rPr>
        <w:t>与所有权相联系的继续管理权，也没有对已售出的商品实施有效控制；</w:t>
      </w:r>
      <w:r>
        <w:rPr>
          <w:rFonts w:ascii="宋体" w:hAnsi="宋体" w:cs="宋体" w:eastAsia="宋体" w:hint="default"/>
          <w:spacing w:val="-2"/>
        </w:rPr>
        <w:t>3)</w:t>
      </w:r>
      <w:r>
        <w:rPr>
          <w:spacing w:val="-2"/>
        </w:rPr>
        <w:t>收入的金额能够可靠地计量；</w:t>
      </w:r>
      <w:r>
        <w:rPr>
          <w:rFonts w:ascii="宋体" w:hAnsi="宋体" w:cs="宋体" w:eastAsia="宋体" w:hint="default"/>
          <w:spacing w:val="-2"/>
        </w:rPr>
        <w:t>4)</w:t>
      </w:r>
      <w:r>
        <w:rPr>
          <w:spacing w:val="-2"/>
        </w:rPr>
        <w:t>相关的经济利益很</w:t>
      </w:r>
      <w:r>
        <w:rPr>
          <w:spacing w:val="-58"/>
        </w:rPr>
        <w:t> </w:t>
      </w:r>
      <w:r>
        <w:rPr>
          <w:spacing w:val="-58"/>
        </w:rPr>
      </w:r>
      <w:r>
        <w:rPr/>
        <w:t>可能流入公司；</w:t>
      </w:r>
      <w:r>
        <w:rPr>
          <w:rFonts w:ascii="宋体" w:hAnsi="宋体" w:cs="宋体" w:eastAsia="宋体" w:hint="default"/>
        </w:rPr>
        <w:t>5)</w:t>
      </w:r>
      <w:r>
        <w:rPr/>
        <w:t>相关的已发生或将发生的成本能够可靠地计量时。</w:t>
      </w:r>
    </w:p>
    <w:p>
      <w:pPr>
        <w:pStyle w:val="BodyText"/>
        <w:spacing w:line="316" w:lineRule="auto" w:before="17"/>
        <w:ind w:right="986"/>
        <w:jc w:val="left"/>
      </w:pPr>
      <w:r>
        <w:rPr>
          <w:rFonts w:ascii="宋体" w:hAnsi="宋体" w:cs="宋体" w:eastAsia="宋体" w:hint="default"/>
        </w:rPr>
        <w:t>(2)</w:t>
      </w:r>
      <w:r>
        <w:rPr/>
        <w:t>提供劳务</w:t>
      </w:r>
      <w:r>
        <w:rPr>
          <w:spacing w:val="-87"/>
        </w:rPr>
        <w:t> </w:t>
      </w:r>
      <w:r>
        <w:rPr/>
        <w:t>在资产负债表日提供劳务交易的结果能够可靠估计的</w:t>
      </w:r>
      <w:r>
        <w:rPr>
          <w:rFonts w:ascii="宋体" w:hAnsi="宋体" w:cs="宋体" w:eastAsia="宋体" w:hint="default"/>
        </w:rPr>
        <w:t>(</w:t>
      </w:r>
      <w:r>
        <w:rPr/>
        <w:t>同时满足收入的金额能够可靠地计量、相关经济利益很可能流入、交 易的完工进度能够可靠地确定、交易中已发生和将发生的成本能够可靠地计量</w:t>
      </w:r>
      <w:r>
        <w:rPr>
          <w:rFonts w:ascii="宋体" w:hAnsi="宋体" w:cs="宋体" w:eastAsia="宋体" w:hint="default"/>
        </w:rPr>
        <w:t>)</w:t>
      </w:r>
      <w:r>
        <w:rPr/>
        <w:t>，采用完工百分比法确认提供劳务收入，并 按已经发生的成本占估计总成本的比例确定提供劳务交易的完工进度。 </w:t>
      </w:r>
      <w:r>
        <w:rPr>
          <w:spacing w:val="-2"/>
        </w:rPr>
        <w:t>在资产负债表日提供劳务交易结果不能够可靠估计的，分别下列情况处理：若已经发生的劳务成本预计能够得到补偿的，按</w:t>
      </w:r>
      <w:r>
        <w:rPr>
          <w:spacing w:val="-63"/>
        </w:rPr>
        <w:t> </w:t>
      </w:r>
      <w:r>
        <w:rPr>
          <w:spacing w:val="-63"/>
        </w:rPr>
      </w:r>
      <w:r>
        <w:rPr>
          <w:spacing w:val="-4"/>
        </w:rPr>
        <w:t>照已经发生的劳务成本金额确认提供劳务收入，并按相同金额结转劳务成本；若已经发生的劳务成本预计不能够得到补偿的，</w:t>
      </w:r>
      <w:r>
        <w:rPr>
          <w:spacing w:val="-44"/>
        </w:rPr>
        <w:t> </w:t>
      </w:r>
      <w:r>
        <w:rPr>
          <w:spacing w:val="-44"/>
        </w:rPr>
      </w:r>
      <w:r>
        <w:rPr/>
        <w:t>将已经发生的劳务成本计入当期损益，不确认提供劳务收入。</w:t>
      </w:r>
    </w:p>
    <w:p>
      <w:pPr>
        <w:pStyle w:val="BodyText"/>
        <w:spacing w:line="319" w:lineRule="auto" w:before="19"/>
        <w:ind w:right="986"/>
        <w:jc w:val="left"/>
      </w:pPr>
      <w:r>
        <w:rPr>
          <w:rFonts w:ascii="宋体" w:hAnsi="宋体" w:cs="宋体" w:eastAsia="宋体" w:hint="default"/>
        </w:rPr>
        <w:t>(3)</w:t>
      </w:r>
      <w:r>
        <w:rPr/>
        <w:t>让渡资产使用权</w:t>
      </w:r>
      <w:r>
        <w:rPr>
          <w:spacing w:val="-87"/>
        </w:rPr>
        <w:t> </w:t>
      </w:r>
      <w:r>
        <w:rPr>
          <w:spacing w:val="-2"/>
        </w:rPr>
        <w:t>让渡资产使用权在同时满足相关的经济利益很可能流入、收入的金额能够可靠地计量时，确认让渡资产使用权的收入。利息</w:t>
      </w:r>
      <w:r>
        <w:rPr>
          <w:spacing w:val="-63"/>
        </w:rPr>
        <w:t> </w:t>
      </w:r>
      <w:r>
        <w:rPr>
          <w:spacing w:val="-63"/>
        </w:rPr>
      </w:r>
      <w:r>
        <w:rPr>
          <w:spacing w:val="-2"/>
        </w:rPr>
        <w:t>收入金额，按照他人使用本企业货币资金的时间和实际利率计算确定；使用费收入金额，按照有关合同或协议约定的收费时</w:t>
      </w:r>
      <w:r>
        <w:rPr>
          <w:spacing w:val="-65"/>
        </w:rPr>
        <w:t> </w:t>
      </w:r>
      <w:r>
        <w:rPr>
          <w:spacing w:val="-65"/>
        </w:rPr>
      </w:r>
      <w:r>
        <w:rPr/>
        <w:t>间和方法计算确定。</w:t>
      </w:r>
    </w:p>
    <w:p>
      <w:pPr>
        <w:pStyle w:val="BodyText"/>
        <w:spacing w:line="316" w:lineRule="auto" w:before="17"/>
        <w:ind w:right="1034"/>
        <w:jc w:val="left"/>
      </w:pPr>
      <w:r>
        <w:rPr>
          <w:rFonts w:ascii="宋体" w:hAnsi="宋体" w:cs="宋体" w:eastAsia="宋体" w:hint="default"/>
        </w:rPr>
        <w:t>2</w:t>
      </w:r>
      <w:r>
        <w:rPr/>
        <w:t>．收入的具体确认原则 </w:t>
      </w:r>
      <w:r>
        <w:rPr>
          <w:spacing w:val="-2"/>
        </w:rPr>
        <w:t>户外媒体广告发布服务收入的具体确认标准：公司承接业务后，按照客户要求编制广告排期表，并安排相应的上刊计划，广</w:t>
      </w:r>
      <w:r>
        <w:rPr>
          <w:spacing w:val="-64"/>
        </w:rPr>
        <w:t> </w:t>
      </w:r>
      <w:r>
        <w:rPr>
          <w:spacing w:val="-64"/>
        </w:rPr>
      </w:r>
      <w:r>
        <w:rPr/>
        <w:t>告内容上刊后，填制上刊确认单交由客户确认，在广告见诸媒体后按照合同结算方式分期确认收入。 </w:t>
      </w:r>
      <w:r>
        <w:rPr>
          <w:spacing w:val="-5"/>
        </w:rPr>
        <w:t>移动互联网广告营销服务收入的具体确认标准：公司承接业务后，按照客户要求选择媒体投放广告，经与客户确认投放计划，</w:t>
      </w:r>
      <w:r>
        <w:rPr>
          <w:spacing w:val="-75"/>
        </w:rPr>
        <w:t> </w:t>
      </w:r>
      <w:r>
        <w:rPr>
          <w:spacing w:val="-75"/>
        </w:rPr>
      </w:r>
      <w:r>
        <w:rPr/>
        <w:t>在广告见诸媒体后按照合同结算方式分期确认收入。 </w:t>
      </w:r>
      <w:r>
        <w:rPr>
          <w:spacing w:val="-2"/>
        </w:rPr>
        <w:t>无线整合营销服务收入的具体确认标准：公司承接业务后，为客户提供各项策划、设计、市场调研等服务，定期将所有策划</w:t>
      </w:r>
      <w:r>
        <w:rPr>
          <w:spacing w:val="-67"/>
        </w:rPr>
        <w:t> </w:t>
      </w:r>
      <w:r>
        <w:rPr>
          <w:spacing w:val="-67"/>
        </w:rPr>
      </w:r>
      <w:r>
        <w:rPr/>
        <w:t>方案及相关建议方案和项目阶段总结以书面形式向客户提呈，并经客户考核和确认后，按服务完成进度确认收入。 供应链管理服务收入的具体确认标准：在取得客户结算单或合同、协议约定的其他结算手续办理完成时确认收入。 民间借贷利息收入的具体确认标准：按照他人使用本公司货币资金的时间和实际利率计算确定。根据财政部财金［</w:t>
      </w:r>
      <w:r>
        <w:rPr>
          <w:rFonts w:ascii="宋体" w:hAnsi="宋体" w:cs="宋体" w:eastAsia="宋体" w:hint="default"/>
        </w:rPr>
        <w:t>2002</w:t>
      </w:r>
      <w:r>
        <w:rPr/>
        <w:t>］</w:t>
      </w:r>
      <w:r>
        <w:rPr>
          <w:rFonts w:ascii="宋体" w:hAnsi="宋体" w:cs="宋体" w:eastAsia="宋体" w:hint="default"/>
        </w:rPr>
        <w:t>5 </w:t>
      </w:r>
      <w:r>
        <w:rPr>
          <w:spacing w:val="-2"/>
        </w:rPr>
        <w:t>号《关于金融企业应收利息核算办法的通知》的规定，发放的贷款到期</w:t>
      </w:r>
      <w:r>
        <w:rPr>
          <w:rFonts w:ascii="宋体" w:hAnsi="宋体" w:cs="宋体" w:eastAsia="宋体" w:hint="default"/>
          <w:spacing w:val="-2"/>
        </w:rPr>
        <w:t>(</w:t>
      </w:r>
      <w:r>
        <w:rPr>
          <w:spacing w:val="-2"/>
        </w:rPr>
        <w:t>含展期，下同</w:t>
      </w:r>
      <w:r>
        <w:rPr>
          <w:rFonts w:ascii="宋体" w:hAnsi="宋体" w:cs="宋体" w:eastAsia="宋体" w:hint="default"/>
          <w:spacing w:val="-2"/>
        </w:rPr>
        <w:t>)90</w:t>
      </w:r>
      <w:r>
        <w:rPr>
          <w:spacing w:val="-2"/>
        </w:rPr>
        <w:t>天及以上尚未收回的，其应计利息</w:t>
      </w:r>
      <w:r>
        <w:rPr>
          <w:spacing w:val="-65"/>
        </w:rPr>
        <w:t> </w:t>
      </w:r>
      <w:r>
        <w:rPr>
          <w:spacing w:val="-65"/>
        </w:rPr>
      </w:r>
      <w:r>
        <w:rPr>
          <w:spacing w:val="-2"/>
        </w:rPr>
        <w:t>停止计入当期利息收入，纳入表外核算；其已计提的利息收入，在贷款到期</w:t>
      </w:r>
      <w:r>
        <w:rPr>
          <w:rFonts w:ascii="宋体" w:hAnsi="宋体" w:cs="宋体" w:eastAsia="宋体" w:hint="default"/>
          <w:spacing w:val="-2"/>
        </w:rPr>
        <w:t>90</w:t>
      </w:r>
      <w:r>
        <w:rPr>
          <w:spacing w:val="-2"/>
        </w:rPr>
        <w:t>天后仍未收回的，或在应收利息逾期</w:t>
      </w:r>
      <w:r>
        <w:rPr>
          <w:rFonts w:ascii="宋体" w:hAnsi="宋体" w:cs="宋体" w:eastAsia="宋体" w:hint="default"/>
          <w:spacing w:val="-2"/>
        </w:rPr>
        <w:t>90</w:t>
      </w:r>
      <w:r>
        <w:rPr>
          <w:spacing w:val="-2"/>
        </w:rPr>
        <w:t>天后仍</w:t>
      </w:r>
      <w:r>
        <w:rPr>
          <w:spacing w:val="-60"/>
        </w:rPr>
        <w:t> </w:t>
      </w:r>
      <w:r>
        <w:rPr>
          <w:spacing w:val="-60"/>
        </w:rPr>
      </w:r>
      <w:r>
        <w:rPr/>
        <w:t>未收到的，冲减原已计入损益的利息收入，转作表外核算。表外核算的应计利息，在实际收到时确认为收款期的利息收入。</w:t>
      </w:r>
      <w:r>
        <w:rPr>
          <w:spacing w:val="-86"/>
        </w:rPr>
        <w:t> </w:t>
      </w:r>
      <w:r>
        <w:rPr>
          <w:spacing w:val="-86"/>
        </w:rPr>
      </w:r>
      <w:r>
        <w:rPr>
          <w:spacing w:val="-2"/>
        </w:rPr>
        <w:t>保理业务收入的确认标准：公司按照他人使用本公司货币资金的本金、时间和双方约定的实际利率计算确定；通过在一定期</w:t>
      </w:r>
      <w:r>
        <w:rPr>
          <w:spacing w:val="-62"/>
        </w:rPr>
        <w:t> </w:t>
      </w:r>
      <w:r>
        <w:rPr>
          <w:spacing w:val="-62"/>
        </w:rPr>
      </w:r>
      <w:r>
        <w:rPr/>
        <w:t>间内提供保理服务收取的服务费在相应的服务期间内平均确认收入。</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40、政府补助" w:id="221"/>
      <w:bookmarkEnd w:id="221"/>
      <w:r>
        <w:rPr>
          <w:b w:val="0"/>
          <w:bCs w:val="0"/>
        </w:rPr>
      </w:r>
      <w:r>
        <w:rPr>
          <w:rFonts w:ascii="Times New Roman" w:hAnsi="Times New Roman" w:cs="Times New Roman" w:eastAsia="Times New Roman" w:hint="default"/>
        </w:rPr>
        <w:t>40</w:t>
      </w:r>
      <w:r>
        <w:rPr/>
        <w:t>、政府补助</w:t>
      </w:r>
      <w:r>
        <w:rPr>
          <w:b w:val="0"/>
          <w:bCs w:val="0"/>
        </w:rPr>
      </w:r>
    </w:p>
    <w:p>
      <w:pPr>
        <w:spacing w:line="240" w:lineRule="auto" w:before="4"/>
        <w:rPr>
          <w:rFonts w:ascii="宋体" w:hAnsi="宋体" w:cs="宋体" w:eastAsia="宋体" w:hint="default"/>
          <w:b/>
          <w:bCs/>
          <w:sz w:val="26"/>
          <w:szCs w:val="26"/>
        </w:rPr>
      </w:pPr>
    </w:p>
    <w:p>
      <w:pPr>
        <w:pStyle w:val="BodyText"/>
        <w:spacing w:line="319" w:lineRule="auto" w:before="0"/>
        <w:ind w:right="1034"/>
        <w:jc w:val="left"/>
      </w:pPr>
      <w:r>
        <w:rPr>
          <w:rFonts w:ascii="宋体" w:hAnsi="宋体" w:cs="宋体" w:eastAsia="宋体" w:hint="default"/>
        </w:rPr>
        <w:t>1</w:t>
      </w:r>
      <w:r>
        <w:rPr/>
        <w:t>．政府补助的分类 政府补助，是指本公司从政府无偿取得货币性资产或非货币性资产。分为与资产相关的政府补助和与收益相关的政府补助。</w:t>
      </w:r>
      <w:r>
        <w:rPr>
          <w:spacing w:val="-86"/>
        </w:rPr>
        <w:t> </w:t>
      </w:r>
      <w:r>
        <w:rPr>
          <w:spacing w:val="-86"/>
        </w:rPr>
      </w:r>
      <w:r>
        <w:rPr>
          <w:spacing w:val="-2"/>
        </w:rPr>
        <w:t>与资产相关的政府补助，是指本公司取得的、用于购建或以其他方式形成长期资产的政府补助，包括购买固定资产或无形资</w:t>
      </w:r>
      <w:r>
        <w:rPr>
          <w:spacing w:val="-63"/>
        </w:rPr>
        <w:t> </w:t>
      </w:r>
      <w:r>
        <w:rPr>
          <w:spacing w:val="-63"/>
        </w:rPr>
      </w:r>
      <w:r>
        <w:rPr/>
        <w:t>产的财政拨款、固定资产专门借款的财政贴息等；与收益相关的政府补助，是指除与资产相关的政府补助之外的政府补助。</w:t>
      </w:r>
      <w:r>
        <w:rPr>
          <w:spacing w:val="-86"/>
        </w:rPr>
        <w:t> </w:t>
      </w:r>
      <w:r>
        <w:rPr>
          <w:spacing w:val="-86"/>
        </w:rPr>
      </w:r>
      <w:r>
        <w:rPr>
          <w:spacing w:val="-2"/>
        </w:rPr>
        <w:t>对于同时包含与资产相关部分和与收益相关部分的政府补助，区分不同部分分别进行会计处理；难以区分的，整体归类为与</w:t>
      </w:r>
      <w:r>
        <w:rPr>
          <w:spacing w:val="-65"/>
        </w:rPr>
        <w:t> </w:t>
      </w:r>
      <w:r>
        <w:rPr>
          <w:spacing w:val="-65"/>
        </w:rPr>
      </w:r>
      <w:r>
        <w:rPr/>
        <w:t>收益相关的政府补助。</w:t>
      </w:r>
    </w:p>
    <w:p>
      <w:pPr>
        <w:pStyle w:val="BodyText"/>
        <w:spacing w:line="316" w:lineRule="auto" w:before="14"/>
        <w:ind w:right="1124"/>
        <w:jc w:val="left"/>
      </w:pPr>
      <w:r>
        <w:rPr/>
        <w:t>本公司在进行政府补助分类时采取的具体标准为： </w:t>
      </w:r>
      <w:r>
        <w:rPr>
          <w:rFonts w:ascii="宋体" w:hAnsi="宋体" w:cs="宋体" w:eastAsia="宋体" w:hint="default"/>
        </w:rPr>
        <w:t>(1)</w:t>
      </w:r>
      <w:r>
        <w:rPr/>
        <w:t>政府补助文件规定的补助对象用于购建或以其他方式形成长期资产，或者补助对象的支出主要用于购建或以其他方式形 成长期资产的，划分为与资产相关的政府补助。 </w:t>
      </w:r>
      <w:r>
        <w:rPr>
          <w:rFonts w:ascii="宋体" w:hAnsi="宋体" w:cs="宋体" w:eastAsia="宋体" w:hint="default"/>
        </w:rPr>
        <w:t>(2)</w:t>
      </w:r>
      <w:r>
        <w:rPr/>
        <w:t>根据政府补助文件获得的政府补助全部或者主要用于补偿以后期间或已发生的费用或损失的政府补助，划分为与收益相 关的政府补助。 </w:t>
      </w:r>
      <w:r>
        <w:rPr>
          <w:rFonts w:ascii="宋体" w:hAnsi="宋体" w:cs="宋体" w:eastAsia="宋体" w:hint="default"/>
        </w:rPr>
        <w:t>(3)</w:t>
      </w:r>
      <w:r>
        <w:rPr/>
        <w:t>若政府文件未明确规定补助对象，则采用以下方式将该政府补助款划分为与资产相关的政府补助或与收益相关的政府补 </w:t>
      </w:r>
      <w:r>
        <w:rPr>
          <w:spacing w:val="-2"/>
        </w:rPr>
        <w:t>助：</w:t>
      </w:r>
      <w:r>
        <w:rPr>
          <w:rFonts w:ascii="宋体" w:hAnsi="宋体" w:cs="宋体" w:eastAsia="宋体" w:hint="default"/>
          <w:spacing w:val="-2"/>
        </w:rPr>
        <w:t>1)</w:t>
      </w:r>
      <w:r>
        <w:rPr>
          <w:spacing w:val="-2"/>
        </w:rPr>
        <w:t>政府文件明确了补助所针对的特定项目的，根据该特定项目的预算中将形成资产的支出金额和计入费用的支出金额的</w:t>
      </w:r>
      <w:r>
        <w:rPr>
          <w:spacing w:val="-63"/>
        </w:rPr>
        <w:t> </w:t>
      </w:r>
      <w:r>
        <w:rPr>
          <w:spacing w:val="-63"/>
        </w:rPr>
      </w:r>
      <w:r>
        <w:rPr>
          <w:spacing w:val="-5"/>
        </w:rPr>
        <w:t>相对比例进行划分，对该划分比例需在每个资产负债表日进行复核，必要时进行变更；</w:t>
      </w:r>
      <w:r>
        <w:rPr>
          <w:rFonts w:ascii="宋体" w:hAnsi="宋体" w:cs="宋体" w:eastAsia="宋体" w:hint="default"/>
          <w:spacing w:val="-5"/>
        </w:rPr>
        <w:t>2)</w:t>
      </w:r>
      <w:r>
        <w:rPr>
          <w:spacing w:val="-5"/>
        </w:rPr>
        <w:t>政府文件中对用途仅作一般性表述，</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ind w:right="6614"/>
        <w:jc w:val="left"/>
      </w:pPr>
      <w:r>
        <w:rPr/>
        <w:t>没有指明特定项目的，作为与收益相关的政府补助。 </w:t>
      </w:r>
      <w:r>
        <w:rPr>
          <w:rFonts w:ascii="宋体" w:hAnsi="宋体" w:cs="宋体" w:eastAsia="宋体" w:hint="default"/>
        </w:rPr>
        <w:t>2</w:t>
      </w:r>
      <w:r>
        <w:rPr/>
        <w:t>．政府补助的确认时点</w:t>
      </w:r>
    </w:p>
    <w:p>
      <w:pPr>
        <w:pStyle w:val="BodyText"/>
        <w:spacing w:line="316" w:lineRule="auto" w:before="17"/>
        <w:ind w:right="1124"/>
        <w:jc w:val="left"/>
      </w:pPr>
      <w:r>
        <w:rPr>
          <w:spacing w:val="-2"/>
        </w:rPr>
        <w:t>本公司对于政府补助通常在实际收到时，按照实收金额予以确认和计量。但对于期末有确凿证据表明能够符合财政扶持政策</w:t>
      </w:r>
      <w:r>
        <w:rPr>
          <w:spacing w:val="-64"/>
        </w:rPr>
        <w:t> </w:t>
      </w:r>
      <w:r>
        <w:rPr>
          <w:spacing w:val="-64"/>
        </w:rPr>
      </w:r>
      <w:r>
        <w:rPr/>
        <w:t>规定的相关条件预计能够收到财政扶持资金，按照应收的金额计量。按照应收金额计量的政府补助应同时符合以下条件： </w:t>
      </w:r>
      <w:r>
        <w:rPr>
          <w:rFonts w:ascii="宋体" w:hAnsi="宋体" w:cs="宋体" w:eastAsia="宋体" w:hint="default"/>
        </w:rPr>
        <w:t>(1)</w:t>
      </w:r>
      <w:r>
        <w:rPr/>
        <w:t>所依据的是当地财政部门正式发布并按照《政府信息公开条例》的规定予以主动公开的财政扶持项目及其财政资金管理 办法，且该管理办法应当是普惠性的</w:t>
      </w:r>
      <w:r>
        <w:rPr>
          <w:rFonts w:ascii="宋体" w:hAnsi="宋体" w:cs="宋体" w:eastAsia="宋体" w:hint="default"/>
        </w:rPr>
        <w:t>(</w:t>
      </w:r>
      <w:r>
        <w:rPr/>
        <w:t>任何符合规定条件的企业均可申请</w:t>
      </w:r>
      <w:r>
        <w:rPr>
          <w:rFonts w:ascii="宋体" w:hAnsi="宋体" w:cs="宋体" w:eastAsia="宋体" w:hint="default"/>
        </w:rPr>
        <w:t>)</w:t>
      </w:r>
      <w:r>
        <w:rPr/>
        <w:t>，而不是专门针对特定企业制定的；</w:t>
      </w:r>
      <w:r>
        <w:rPr>
          <w:spacing w:val="-87"/>
        </w:rPr>
        <w:t> </w:t>
      </w:r>
      <w:r>
        <w:rPr>
          <w:rFonts w:ascii="宋体" w:hAnsi="宋体" w:cs="宋体" w:eastAsia="宋体" w:hint="default"/>
        </w:rPr>
        <w:t>(2)</w:t>
      </w:r>
      <w:r>
        <w:rPr/>
        <w:t>应收补助款的金额已经过有权政府部门发文确认，或者可根据正式发布的财政资金管理办法的有关规定自行合理测算， 且预计其金额不存在重大不确定性； </w:t>
      </w:r>
      <w:r>
        <w:rPr>
          <w:rFonts w:ascii="宋体" w:hAnsi="宋体" w:cs="宋体" w:eastAsia="宋体" w:hint="default"/>
        </w:rPr>
        <w:t>(3)</w:t>
      </w:r>
      <w:r>
        <w:rPr/>
        <w:t>相关的补助款批文中已明确承诺了拨付期限，且该款项的拨付是有相应财政预算作为保障的，因而可以合理保证其可在 规定期限内收到；</w:t>
      </w:r>
    </w:p>
    <w:p>
      <w:pPr>
        <w:pStyle w:val="BodyText"/>
        <w:spacing w:line="316" w:lineRule="auto" w:before="19"/>
        <w:ind w:right="4904"/>
        <w:jc w:val="left"/>
      </w:pPr>
      <w:r>
        <w:rPr>
          <w:rFonts w:ascii="宋体" w:hAnsi="宋体" w:cs="宋体" w:eastAsia="宋体" w:hint="default"/>
        </w:rPr>
        <w:t>(4)</w:t>
      </w:r>
      <w:r>
        <w:rPr/>
        <w:t>根据本公司和该补助事项的具体情况，应满足的其他相关条件</w:t>
      </w:r>
      <w:r>
        <w:rPr>
          <w:rFonts w:ascii="宋体" w:hAnsi="宋体" w:cs="宋体" w:eastAsia="宋体" w:hint="default"/>
        </w:rPr>
        <w:t>(</w:t>
      </w:r>
      <w:r>
        <w:rPr/>
        <w:t>如有</w:t>
      </w:r>
      <w:r>
        <w:rPr>
          <w:rFonts w:ascii="宋体" w:hAnsi="宋体" w:cs="宋体" w:eastAsia="宋体" w:hint="default"/>
        </w:rPr>
        <w:t>)</w:t>
      </w:r>
      <w:r>
        <w:rPr/>
        <w:t>。 </w:t>
      </w:r>
      <w:r>
        <w:rPr>
          <w:rFonts w:ascii="宋体" w:hAnsi="宋体" w:cs="宋体" w:eastAsia="宋体" w:hint="default"/>
        </w:rPr>
        <w:t>3</w:t>
      </w:r>
      <w:r>
        <w:rPr/>
        <w:t>．政府补助的会计处理</w:t>
      </w:r>
    </w:p>
    <w:p>
      <w:pPr>
        <w:pStyle w:val="BodyText"/>
        <w:spacing w:line="316" w:lineRule="auto" w:before="19"/>
        <w:ind w:right="1119"/>
        <w:jc w:val="left"/>
      </w:pPr>
      <w:r>
        <w:rPr>
          <w:spacing w:val="-2"/>
        </w:rPr>
        <w:t>政府补助为货币性资产的，按收到或应收的金额计量；为非货币性资产的，按公允价值计量；非货币性资产公允价值不能可</w:t>
      </w:r>
      <w:r>
        <w:rPr>
          <w:spacing w:val="-65"/>
        </w:rPr>
        <w:t> </w:t>
      </w:r>
      <w:r>
        <w:rPr>
          <w:spacing w:val="-65"/>
        </w:rPr>
      </w:r>
      <w:r>
        <w:rPr/>
        <w:t>靠取得的，按名义金额计量。按照名义金额计量的政府补助，直接计入当期损益。 本公司对政府补助采用的是总额法，具体会计处理如下： </w:t>
      </w:r>
      <w:r>
        <w:rPr>
          <w:spacing w:val="-2"/>
        </w:rPr>
        <w:t>与资产相关的政府补助确认为递延收益，在相关资产使用寿命内按照合理、系统的方法分期计入当期损益；相关资产在使用</w:t>
      </w:r>
      <w:r>
        <w:rPr>
          <w:spacing w:val="-61"/>
        </w:rPr>
        <w:t> </w:t>
      </w:r>
      <w:r>
        <w:rPr>
          <w:spacing w:val="-61"/>
        </w:rPr>
      </w:r>
      <w:r>
        <w:rPr/>
        <w:t>寿命结束前被出售、转让、报废或发生毁损的，将相关递延收益余额转入资产处置当期的损益。 </w:t>
      </w:r>
      <w:r>
        <w:rPr>
          <w:spacing w:val="-2"/>
        </w:rPr>
        <w:t>与收益相关的政府补助，用于补偿本公司以后期间的相关成本费用或损失的，确认为递延收益，并在确认相关成本费用或损</w:t>
      </w:r>
      <w:r>
        <w:rPr>
          <w:spacing w:val="-63"/>
        </w:rPr>
        <w:t> </w:t>
      </w:r>
      <w:r>
        <w:rPr>
          <w:spacing w:val="-63"/>
        </w:rPr>
      </w:r>
      <w:r>
        <w:rPr/>
        <w:t>失的期间，计入当期损益；用于补偿企业已发生的相关成本费用或损失的，直接计入当期损益。 已确认的政府补助需要退回的，在需要退回的当期分以下情况进行会计处理： </w:t>
      </w:r>
      <w:r>
        <w:rPr>
          <w:rFonts w:ascii="宋体" w:hAnsi="宋体" w:cs="宋体" w:eastAsia="宋体" w:hint="default"/>
        </w:rPr>
        <w:t>(1)</w:t>
      </w:r>
      <w:r>
        <w:rPr/>
        <w:t>初始确认时冲减相关资产账面价值的，调整资产账面价值； </w:t>
      </w:r>
      <w:r>
        <w:rPr>
          <w:rFonts w:ascii="宋体" w:hAnsi="宋体" w:cs="宋体" w:eastAsia="宋体" w:hint="default"/>
        </w:rPr>
        <w:t>(2)</w:t>
      </w:r>
      <w:r>
        <w:rPr/>
        <w:t>存在相关递延收益的，冲减相关递延收益账面余额，超出部分计入当期损益； </w:t>
      </w:r>
      <w:r>
        <w:rPr>
          <w:rFonts w:ascii="宋体" w:hAnsi="宋体" w:cs="宋体" w:eastAsia="宋体" w:hint="default"/>
        </w:rPr>
        <w:t>(3)</w:t>
      </w:r>
      <w:r>
        <w:rPr/>
        <w:t>属于其他情况的，直接计入当期损益。 </w:t>
      </w:r>
      <w:r>
        <w:rPr>
          <w:spacing w:val="-2"/>
        </w:rPr>
        <w:t>政府补助计入不同损益项目的区分原则为：与本公司日常活动相关的政府补助，按照经济业务实质，计入其他收益或冲减相</w:t>
      </w:r>
      <w:r>
        <w:rPr>
          <w:spacing w:val="-63"/>
        </w:rPr>
        <w:t> </w:t>
      </w:r>
      <w:r>
        <w:rPr>
          <w:spacing w:val="-63"/>
        </w:rPr>
      </w:r>
      <w:r>
        <w:rPr/>
        <w:t>关成本费用；与本公司日常活动无关的政府补助，计入营业外收入。</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41、递延所得税资产/递延所得税负债" w:id="222"/>
      <w:bookmarkEnd w:id="222"/>
      <w:r>
        <w:rPr>
          <w:b w:val="0"/>
          <w:bCs w:val="0"/>
        </w:rPr>
      </w:r>
      <w:r>
        <w:rPr>
          <w:rFonts w:ascii="Times New Roman" w:hAnsi="Times New Roman" w:cs="Times New Roman" w:eastAsia="Times New Roman" w:hint="default"/>
        </w:rPr>
        <w:t>41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86"/>
        <w:jc w:val="left"/>
      </w:pPr>
      <w:r>
        <w:rPr>
          <w:rFonts w:ascii="宋体" w:hAnsi="宋体" w:cs="宋体" w:eastAsia="宋体" w:hint="default"/>
        </w:rPr>
        <w:t>1</w:t>
      </w:r>
      <w:r>
        <w:rPr/>
        <w:t>．递延所得税资产和递延所得税负债的确认和计量 </w:t>
      </w:r>
      <w:r>
        <w:rPr>
          <w:spacing w:val="-2"/>
        </w:rPr>
        <w:t>本公司根据资产、负债与资产负债日的账面价值与计税基础之间的暂时性差异，采用资产负债表债务法确认递延所得税。公</w:t>
      </w:r>
      <w:r>
        <w:rPr>
          <w:spacing w:val="-63"/>
        </w:rPr>
        <w:t> </w:t>
      </w:r>
      <w:r>
        <w:rPr>
          <w:spacing w:val="-63"/>
        </w:rPr>
      </w:r>
      <w:r>
        <w:rPr>
          <w:spacing w:val="-2"/>
        </w:rPr>
        <w:t>司当期所得税和递延所得税作为所得税费用或收益计入当期损益，但不包括下列情况产生的所得税：</w:t>
      </w:r>
      <w:r>
        <w:rPr>
          <w:rFonts w:ascii="宋体" w:hAnsi="宋体" w:cs="宋体" w:eastAsia="宋体" w:hint="default"/>
          <w:spacing w:val="-2"/>
        </w:rPr>
        <w:t>(1)</w:t>
      </w:r>
      <w:r>
        <w:rPr>
          <w:spacing w:val="-2"/>
        </w:rPr>
        <w:t>企业合并；</w:t>
      </w:r>
      <w:r>
        <w:rPr>
          <w:rFonts w:ascii="宋体" w:hAnsi="宋体" w:cs="宋体" w:eastAsia="宋体" w:hint="default"/>
          <w:spacing w:val="-2"/>
        </w:rPr>
        <w:t>(2)</w:t>
      </w:r>
      <w:r>
        <w:rPr>
          <w:spacing w:val="-2"/>
        </w:rPr>
        <w:t>直接</w:t>
      </w:r>
      <w:r>
        <w:rPr>
          <w:spacing w:val="-60"/>
        </w:rPr>
        <w:t> </w:t>
      </w:r>
      <w:r>
        <w:rPr/>
        <w:t>在所有者权益中确认的交易或者事项。 </w:t>
      </w:r>
      <w:r>
        <w:rPr>
          <w:spacing w:val="-2"/>
        </w:rPr>
        <w:t>对于可抵扣暂时性差异、能够结转以后年度的可抵扣亏损和税款抵减，公司以很可能取得用来抵扣可抵扣暂时性差异、可抵</w:t>
      </w:r>
      <w:r>
        <w:rPr>
          <w:spacing w:val="-63"/>
        </w:rPr>
        <w:t> </w:t>
      </w:r>
      <w:r>
        <w:rPr>
          <w:spacing w:val="-63"/>
        </w:rPr>
      </w:r>
      <w:r>
        <w:rPr>
          <w:spacing w:val="-2"/>
        </w:rPr>
        <w:t>扣亏损和税款抵减的未来应纳税所得额为限，确认由此产生的递延所得税资产，除非该可抵扣暂时性差异是在以下交易中产</w:t>
      </w:r>
      <w:r>
        <w:rPr>
          <w:spacing w:val="-64"/>
        </w:rPr>
        <w:t> </w:t>
      </w:r>
      <w:r>
        <w:rPr>
          <w:spacing w:val="-64"/>
        </w:rPr>
      </w:r>
      <w:r>
        <w:rPr/>
        <w:t>生的：</w:t>
      </w:r>
    </w:p>
    <w:p>
      <w:pPr>
        <w:pStyle w:val="BodyText"/>
        <w:spacing w:line="316" w:lineRule="auto" w:before="19"/>
        <w:ind w:right="1124"/>
        <w:jc w:val="left"/>
      </w:pPr>
      <w:r>
        <w:rPr>
          <w:rFonts w:ascii="宋体" w:hAnsi="宋体" w:cs="宋体" w:eastAsia="宋体" w:hint="default"/>
        </w:rPr>
        <w:t>(1)</w:t>
      </w:r>
      <w:r>
        <w:rPr/>
        <w:t>该交易不是企业合并，并且交易发生时既不影响会计利润也不影响应纳税所得额； </w:t>
      </w:r>
      <w:r>
        <w:rPr>
          <w:rFonts w:ascii="宋体" w:hAnsi="宋体" w:cs="宋体" w:eastAsia="宋体" w:hint="default"/>
          <w:spacing w:val="-4"/>
        </w:rPr>
        <w:t>(2)</w:t>
      </w:r>
      <w:r>
        <w:rPr>
          <w:spacing w:val="-4"/>
        </w:rPr>
        <w:t>对于与子公司、合营企业及联营企业投资相关的可抵扣暂时性差异，同时满足下列条件的，确认相应的递延所得税资产：</w:t>
      </w:r>
      <w:r>
        <w:rPr>
          <w:spacing w:val="-40"/>
        </w:rPr>
        <w:t> </w:t>
      </w:r>
      <w:r>
        <w:rPr>
          <w:spacing w:val="-40"/>
        </w:rPr>
      </w:r>
      <w:r>
        <w:rPr/>
        <w:t>暂时性差异在可预见的未来很可能转回，且未来很可能获得用来抵扣可抵扣暂时性差异的应纳税所得额。</w:t>
      </w:r>
      <w:r>
        <w:rPr/>
        <w:t> 各项应纳税暂时性差异均确认相关的递延所得税负债，除非该应纳税暂时性差异是在以下交易中产生的： </w:t>
      </w:r>
      <w:r>
        <w:rPr>
          <w:rFonts w:ascii="宋体" w:hAnsi="宋体" w:cs="宋体" w:eastAsia="宋体" w:hint="default"/>
        </w:rPr>
        <w:t>(1)</w:t>
      </w:r>
      <w:r>
        <w:rPr/>
        <w:t>商誉的初始确认，或者具有以下特征的交易中产生的资产或负债的初始确认：该交易不是企业合并，并且交易发生时既 不影响会计利润也不影响应纳税所得额； </w:t>
      </w:r>
      <w:r>
        <w:rPr>
          <w:rFonts w:ascii="宋体" w:hAnsi="宋体" w:cs="宋体" w:eastAsia="宋体" w:hint="default"/>
        </w:rPr>
        <w:t>(2)</w:t>
      </w:r>
      <w:r>
        <w:rPr/>
        <w:t>对于与子公司、合营企业及联营企业投资相关的应纳税暂时性差异，该暂时性差异转回的时间能够控制并且该暂时性差 异在可预见的未来很可能不会转回。 根据资产、负债的账面价值与其计税基础之间的差额</w:t>
      </w:r>
      <w:r>
        <w:rPr>
          <w:rFonts w:ascii="宋体" w:hAnsi="宋体" w:cs="宋体" w:eastAsia="宋体" w:hint="default"/>
        </w:rPr>
        <w:t>(</w:t>
      </w:r>
      <w:r>
        <w:rPr/>
        <w:t>未作为资产和负债确认的项目按照税法规定可以确定其计税基础的，</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ind w:right="1124"/>
        <w:jc w:val="left"/>
      </w:pPr>
      <w:r>
        <w:rPr/>
        <w:t>该计税基础与其账面数之间的差额</w:t>
      </w:r>
      <w:r>
        <w:rPr>
          <w:rFonts w:ascii="宋体" w:hAnsi="宋体" w:cs="宋体" w:eastAsia="宋体" w:hint="default"/>
        </w:rPr>
        <w:t>)</w:t>
      </w:r>
      <w:r>
        <w:rPr/>
        <w:t>，按照预期收回该资产或清偿该负债期间的适用税率计算确认递延所得税资产或递延所 得税负债。 </w:t>
      </w:r>
      <w:r>
        <w:rPr>
          <w:spacing w:val="-2"/>
        </w:rPr>
        <w:t>确认递延所得税资产以很可能取得用来抵扣可抵扣暂时性差异的应纳税所得额为限。资产负债表日，有确凿证据表明未来期</w:t>
      </w:r>
      <w:r>
        <w:rPr>
          <w:spacing w:val="-64"/>
        </w:rPr>
        <w:t> </w:t>
      </w:r>
      <w:r>
        <w:rPr>
          <w:spacing w:val="-64"/>
        </w:rPr>
      </w:r>
      <w:r>
        <w:rPr>
          <w:spacing w:val="-2"/>
        </w:rPr>
        <w:t>间很可能获得足够的应纳税所得额用来抵扣可抵扣暂时性差异的，确认以前会计期间未确认的递延所得税资产。对递延所得</w:t>
      </w:r>
      <w:r>
        <w:rPr>
          <w:spacing w:val="-64"/>
        </w:rPr>
        <w:t> </w:t>
      </w:r>
      <w:r>
        <w:rPr>
          <w:spacing w:val="-64"/>
        </w:rPr>
      </w:r>
      <w:r>
        <w:rPr>
          <w:spacing w:val="-2"/>
        </w:rPr>
        <w:t>税资产的账面价值进行复核，如果未来期间很可能无法获得足够的应纳税所得额用以抵扣递延所得税资产的利益，则减记递</w:t>
      </w:r>
      <w:r>
        <w:rPr>
          <w:spacing w:val="-63"/>
        </w:rPr>
        <w:t> </w:t>
      </w:r>
      <w:r>
        <w:rPr>
          <w:spacing w:val="-63"/>
        </w:rPr>
      </w:r>
      <w:r>
        <w:rPr/>
        <w:t>延所得税资产的账面价值。在很可能获得足够的应纳税所得额时，转回减记的金额。 </w:t>
      </w:r>
      <w:r>
        <w:rPr>
          <w:rFonts w:ascii="宋体" w:hAnsi="宋体" w:cs="宋体" w:eastAsia="宋体" w:hint="default"/>
        </w:rPr>
        <w:t>2</w:t>
      </w:r>
      <w:r>
        <w:rPr/>
        <w:t>．当拥有以净额结算的法定权利，且意图以净额结算或取得资产、清偿负债同时进行时，本公司当期所得税资产及当期所 得税负债以抵销后的净额列报。 </w:t>
      </w:r>
      <w:r>
        <w:rPr>
          <w:spacing w:val="-2"/>
        </w:rPr>
        <w:t>当拥有以净额结算当期所得税资产及当期所得税负债的法定权利，且递延所得税资产及递延所得税负债是与同一税收征管部</w:t>
      </w:r>
      <w:r>
        <w:rPr>
          <w:spacing w:val="-64"/>
        </w:rPr>
        <w:t> </w:t>
      </w:r>
      <w:r>
        <w:rPr>
          <w:spacing w:val="-64"/>
        </w:rPr>
      </w:r>
      <w:r>
        <w:rPr>
          <w:spacing w:val="-2"/>
        </w:rPr>
        <w:t>门对同一纳税主体征收的所得税相关或者是对不同的纳税主体相关，但在未来每一具有重要性的递延所得税资产及负债转回</w:t>
      </w:r>
      <w:r>
        <w:rPr>
          <w:spacing w:val="-64"/>
        </w:rPr>
        <w:t> </w:t>
      </w:r>
      <w:r>
        <w:rPr>
          <w:spacing w:val="-64"/>
        </w:rPr>
      </w:r>
      <w:r>
        <w:rPr>
          <w:spacing w:val="-2"/>
        </w:rPr>
        <w:t>的期间内，涉及的纳税主体意图以净额结算当期所得税资产和负债或是同时取得资产、清偿负债时，本公司递延所得税资产</w:t>
      </w:r>
      <w:r>
        <w:rPr>
          <w:spacing w:val="-62"/>
        </w:rPr>
        <w:t> </w:t>
      </w:r>
      <w:r>
        <w:rPr>
          <w:spacing w:val="-62"/>
        </w:rPr>
      </w:r>
      <w:r>
        <w:rPr/>
        <w:t>及递延所得税负债以抵销后的净额列报。</w:t>
      </w:r>
    </w:p>
    <w:p>
      <w:pPr>
        <w:spacing w:line="240" w:lineRule="auto" w:before="11"/>
        <w:rPr>
          <w:rFonts w:ascii="宋体" w:hAnsi="宋体" w:cs="宋体" w:eastAsia="宋体" w:hint="default"/>
          <w:sz w:val="22"/>
          <w:szCs w:val="22"/>
        </w:rPr>
      </w:pPr>
    </w:p>
    <w:p>
      <w:pPr>
        <w:pStyle w:val="Heading4"/>
        <w:spacing w:line="240" w:lineRule="auto"/>
        <w:ind w:right="986"/>
        <w:jc w:val="left"/>
        <w:rPr>
          <w:b w:val="0"/>
          <w:bCs w:val="0"/>
        </w:rPr>
      </w:pPr>
      <w:bookmarkStart w:name="42、租赁" w:id="223"/>
      <w:bookmarkEnd w:id="223"/>
      <w:r>
        <w:rPr>
          <w:b w:val="0"/>
          <w:bCs w:val="0"/>
        </w:rPr>
      </w:r>
      <w:r>
        <w:rPr>
          <w:rFonts w:ascii="Times New Roman" w:hAnsi="Times New Roman" w:cs="Times New Roman" w:eastAsia="Times New Roman" w:hint="default"/>
        </w:rPr>
        <w:t>42</w:t>
      </w:r>
      <w:r>
        <w:rPr/>
        <w:t>、租赁</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经营租赁的会计处理方法" w:id="224"/>
      <w:bookmarkEnd w:id="224"/>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24"/>
        <w:jc w:val="left"/>
      </w:pPr>
      <w:r>
        <w:rPr>
          <w:rFonts w:ascii="宋体" w:hAnsi="宋体" w:cs="宋体" w:eastAsia="宋体" w:hint="default"/>
        </w:rPr>
        <w:t>(1)</w:t>
      </w:r>
      <w:r>
        <w:rPr/>
        <w:t>出租人：公司出租资产收取的租赁费，在不扣除免租期的整个租赁期内，按直线法进行分摊，确认为租赁相关收入。公 </w:t>
      </w:r>
      <w:r>
        <w:rPr>
          <w:spacing w:val="-2"/>
        </w:rPr>
        <w:t>司支付的与租赁交易相关的初始直接费用，计入当期费用；如金额较大的，则予以资本化，在这个租赁期间内按照与租赁相</w:t>
      </w:r>
      <w:r>
        <w:rPr>
          <w:spacing w:val="-64"/>
        </w:rPr>
        <w:t> </w:t>
      </w:r>
      <w:r>
        <w:rPr>
          <w:spacing w:val="-64"/>
        </w:rPr>
      </w:r>
      <w:r>
        <w:rPr>
          <w:spacing w:val="-2"/>
        </w:rPr>
        <w:t>关收入确认相同的基础分期计入当期收益。公司承担了应由承租方承担的与租赁相关的费用时，公司将该部分费用从租金收</w:t>
      </w:r>
      <w:r>
        <w:rPr>
          <w:spacing w:val="-64"/>
        </w:rPr>
        <w:t> </w:t>
      </w:r>
      <w:r>
        <w:rPr>
          <w:spacing w:val="-64"/>
        </w:rPr>
      </w:r>
      <w:r>
        <w:rPr/>
        <w:t>入总额扣除，按扣除后的租金费用在租赁期内分配。或有租金于实际发生时计入当期损益。</w:t>
      </w:r>
      <w:r>
        <w:rPr/>
        <w:t> </w:t>
      </w:r>
      <w:r>
        <w:rPr>
          <w:rFonts w:ascii="宋体" w:hAnsi="宋体" w:cs="宋体" w:eastAsia="宋体" w:hint="default"/>
        </w:rPr>
        <w:t>(2)</w:t>
      </w:r>
      <w:r>
        <w:rPr/>
        <w:t>承租人：公司租入资产所支付的租赁费，在不扣除免租期的整个租赁期内，按直线法进行分摊，计入当期费用。公司支 </w:t>
      </w:r>
      <w:r>
        <w:rPr>
          <w:spacing w:val="-2"/>
        </w:rPr>
        <w:t>付的与租赁交易相关的初始直接费用，计入当期费用；资产出租方承担了应由公司承担的与租赁相关的费用时，公司将该部</w:t>
      </w:r>
      <w:r>
        <w:rPr>
          <w:spacing w:val="-66"/>
        </w:rPr>
        <w:t> </w:t>
      </w:r>
      <w:r>
        <w:rPr>
          <w:spacing w:val="-66"/>
        </w:rPr>
      </w:r>
      <w:r>
        <w:rPr/>
        <w:t>分费用从租金总额中扣除，按扣除后的租金费用在租赁期内分摊，计入当期费用。或有租金于实际发生时计入当期损益。</w:t>
      </w:r>
    </w:p>
    <w:p>
      <w:pPr>
        <w:spacing w:line="240" w:lineRule="auto" w:before="11"/>
        <w:rPr>
          <w:rFonts w:ascii="宋体" w:hAnsi="宋体" w:cs="宋体" w:eastAsia="宋体" w:hint="default"/>
          <w:sz w:val="22"/>
          <w:szCs w:val="22"/>
        </w:rPr>
      </w:pPr>
    </w:p>
    <w:p>
      <w:pPr>
        <w:pStyle w:val="Heading4"/>
        <w:spacing w:line="240" w:lineRule="auto"/>
        <w:ind w:right="986"/>
        <w:jc w:val="left"/>
        <w:rPr>
          <w:b w:val="0"/>
          <w:bCs w:val="0"/>
        </w:rPr>
      </w:pPr>
      <w:bookmarkStart w:name="（2）融资租赁的会计处理方法" w:id="225"/>
      <w:bookmarkEnd w:id="225"/>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986"/>
        <w:jc w:val="left"/>
      </w:pPr>
      <w:r>
        <w:rPr>
          <w:spacing w:val="-2"/>
        </w:rPr>
        <w:t>出租人：在租赁期开始日本公司按最低租赁收款额与初始直接费用之和作为应收融资租赁款的入账价值，同时记录未担保余</w:t>
      </w:r>
      <w:r>
        <w:rPr>
          <w:spacing w:val="-64"/>
        </w:rPr>
        <w:t> </w:t>
      </w:r>
      <w:r>
        <w:rPr>
          <w:spacing w:val="-64"/>
        </w:rPr>
      </w:r>
      <w:r>
        <w:rPr>
          <w:spacing w:val="-2"/>
        </w:rPr>
        <w:t>值；将最低租赁收款额、初始直接费用及未担保余值之和与其现值之和的差额确认为未实现融资收益。未实现融资收益在租</w:t>
      </w:r>
      <w:r>
        <w:rPr>
          <w:spacing w:val="-66"/>
        </w:rPr>
        <w:t> </w:t>
      </w:r>
      <w:r>
        <w:rPr>
          <w:spacing w:val="-66"/>
        </w:rPr>
      </w:r>
      <w:r>
        <w:rPr>
          <w:spacing w:val="-2"/>
        </w:rPr>
        <w:t>赁期内各个期间采用实际利率法计算确认当期的融资收入。应收融资租赁款扣除未实现融资收益后的余额分别长期债权和一</w:t>
      </w:r>
      <w:r>
        <w:rPr>
          <w:spacing w:val="-64"/>
        </w:rPr>
        <w:t> </w:t>
      </w:r>
      <w:r>
        <w:rPr>
          <w:spacing w:val="-64"/>
        </w:rPr>
      </w:r>
      <w:r>
        <w:rPr/>
        <w:t>年内到期的长期债权列示。或有租金于实际发生时计入当期损益。 </w:t>
      </w:r>
      <w:r>
        <w:rPr>
          <w:spacing w:val="-2"/>
        </w:rPr>
        <w:t>承租人：在租赁期开始日本公司将租赁资产公允价值与最低租赁付款额现值两者中较低者作为租入资产的入账价值，将最低</w:t>
      </w:r>
      <w:r>
        <w:rPr>
          <w:spacing w:val="-64"/>
        </w:rPr>
        <w:t> </w:t>
      </w:r>
      <w:r>
        <w:rPr>
          <w:spacing w:val="-64"/>
        </w:rPr>
      </w:r>
      <w:r>
        <w:rPr>
          <w:spacing w:val="-2"/>
        </w:rPr>
        <w:t>租赁付款额作为长期应付款的入账价值，其差额作为未确认融资费用。初始直接费用计入租入资产价值。未确认融资费用在</w:t>
      </w:r>
      <w:r>
        <w:rPr>
          <w:spacing w:val="-63"/>
        </w:rPr>
        <w:t> </w:t>
      </w:r>
      <w:r>
        <w:rPr>
          <w:spacing w:val="-63"/>
        </w:rPr>
      </w:r>
      <w:r>
        <w:rPr>
          <w:spacing w:val="-2"/>
        </w:rPr>
        <w:t>租赁期内各个期间采用实际利率法计算确认当期的融资费用。最低租赁付款额扣除未确认融资费用后的余额分别长期负债和</w:t>
      </w:r>
      <w:r>
        <w:rPr>
          <w:spacing w:val="-64"/>
        </w:rPr>
        <w:t> </w:t>
      </w:r>
      <w:r>
        <w:rPr>
          <w:spacing w:val="-64"/>
        </w:rPr>
      </w:r>
      <w:r>
        <w:rPr/>
        <w:t>一年内到期的长期负债列示。或有租金于实际发生时计入当期损益。</w:t>
      </w:r>
    </w:p>
    <w:p>
      <w:pPr>
        <w:spacing w:line="240" w:lineRule="auto" w:before="11"/>
        <w:rPr>
          <w:rFonts w:ascii="宋体" w:hAnsi="宋体" w:cs="宋体" w:eastAsia="宋体" w:hint="default"/>
          <w:sz w:val="22"/>
          <w:szCs w:val="22"/>
        </w:rPr>
      </w:pPr>
    </w:p>
    <w:p>
      <w:pPr>
        <w:pStyle w:val="Heading4"/>
        <w:spacing w:line="240" w:lineRule="auto"/>
        <w:ind w:right="986"/>
        <w:jc w:val="left"/>
        <w:rPr>
          <w:b w:val="0"/>
          <w:bCs w:val="0"/>
        </w:rPr>
      </w:pPr>
      <w:bookmarkStart w:name="43、其他重要的会计政策和会计估计" w:id="226"/>
      <w:bookmarkEnd w:id="226"/>
      <w:r>
        <w:rPr>
          <w:b w:val="0"/>
          <w:bCs w:val="0"/>
        </w:rPr>
      </w:r>
      <w:r>
        <w:rPr>
          <w:rFonts w:ascii="Times New Roman" w:hAnsi="Times New Roman" w:cs="Times New Roman" w:eastAsia="Times New Roman" w:hint="default"/>
        </w:rPr>
        <w:t>43</w:t>
      </w:r>
      <w:r>
        <w:rPr/>
        <w:t>、其他重要的会计政策和会计估计</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24"/>
        <w:jc w:val="left"/>
      </w:pPr>
      <w:r>
        <w:rPr>
          <w:rFonts w:ascii="宋体" w:hAnsi="宋体" w:cs="宋体" w:eastAsia="宋体" w:hint="default"/>
        </w:rPr>
        <w:t>1</w:t>
      </w:r>
      <w:r>
        <w:rPr/>
        <w:t>．终止经营的条件 终止经营，是指公司满足下列条件之一的、能够单独区分的组成部分，且该组成部分已经处置或划分为持有待售类别：</w:t>
      </w:r>
      <w:r>
        <w:rPr>
          <w:rFonts w:ascii="宋体" w:hAnsi="宋体" w:cs="宋体" w:eastAsia="宋体" w:hint="default"/>
        </w:rPr>
        <w:t>(1)</w:t>
      </w:r>
      <w:r>
        <w:rPr>
          <w:rFonts w:ascii="宋体" w:hAnsi="宋体" w:cs="宋体" w:eastAsia="宋体" w:hint="default"/>
          <w:spacing w:val="-85"/>
        </w:rPr>
        <w:t> </w:t>
      </w:r>
      <w:r>
        <w:rPr/>
        <w:t>该组成部分代表一项独立的主要业务或一个单独的主要经营地区； </w:t>
      </w:r>
      <w:r>
        <w:rPr>
          <w:rFonts w:ascii="宋体" w:hAnsi="宋体" w:cs="宋体" w:eastAsia="宋体" w:hint="default"/>
        </w:rPr>
        <w:t>(2)</w:t>
      </w:r>
      <w:r>
        <w:rPr/>
        <w:t>该组成部分是拟对一项独立的主要业务或一个单独的主要经营地区进行处置的一项相关联计划的一部分； </w:t>
      </w:r>
      <w:r>
        <w:rPr>
          <w:rFonts w:ascii="宋体" w:hAnsi="宋体" w:cs="宋体" w:eastAsia="宋体" w:hint="default"/>
        </w:rPr>
        <w:t>(3)</w:t>
      </w:r>
      <w:r>
        <w:rPr/>
        <w:t>该组成部分是专为转售而取得的子公司。</w:t>
      </w:r>
    </w:p>
    <w:p>
      <w:pPr>
        <w:pStyle w:val="BodyText"/>
        <w:spacing w:line="316" w:lineRule="auto" w:before="18"/>
        <w:ind w:right="986"/>
        <w:jc w:val="left"/>
      </w:pPr>
      <w:r>
        <w:rPr>
          <w:rFonts w:ascii="宋体" w:hAnsi="宋体" w:cs="宋体" w:eastAsia="宋体" w:hint="default"/>
        </w:rPr>
        <w:t>2</w:t>
      </w:r>
      <w:r>
        <w:rPr/>
        <w:t>．终止经营的列报 </w:t>
      </w:r>
      <w:r>
        <w:rPr>
          <w:spacing w:val="-2"/>
        </w:rPr>
        <w:t>拟结束使用而非出售的处置组满足终止经营定义中有关组成部分的，自停止使用日起作为终止经营列报；因出售对子公司的</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ind w:right="986"/>
        <w:jc w:val="left"/>
      </w:pPr>
      <w:r>
        <w:rPr>
          <w:spacing w:val="-2"/>
        </w:rPr>
        <w:t>投资等原因导致其丧失对子公司控制权，且该子公司符合终止经营定义的，在合并报表中列报相关终止经营损益；在利润表</w:t>
      </w:r>
      <w:r>
        <w:rPr>
          <w:spacing w:val="-63"/>
        </w:rPr>
        <w:t> </w:t>
      </w:r>
      <w:r>
        <w:rPr>
          <w:spacing w:val="-63"/>
        </w:rPr>
      </w:r>
      <w:r>
        <w:rPr/>
        <w:t>中将终止经营处置损益的调整金额作为终止经营损益列报。 </w:t>
      </w:r>
      <w:r>
        <w:rPr>
          <w:spacing w:val="-2"/>
        </w:rPr>
        <w:t>非流动资产或处置组不再划分为持有待售类别或非流动资产从持有待售的处置组中移除的，公司在当期利润表中将非流动资</w:t>
      </w:r>
      <w:r>
        <w:rPr>
          <w:spacing w:val="-63"/>
        </w:rPr>
        <w:t> </w:t>
      </w:r>
      <w:r>
        <w:rPr>
          <w:spacing w:val="-63"/>
        </w:rPr>
      </w:r>
      <w:r>
        <w:rPr>
          <w:spacing w:val="-2"/>
        </w:rPr>
        <w:t>产或处置组的账面价值调整金额作为持续经营损益列报。公司的子公司、共同经营、合营企业、联营企业以及部分对合营企</w:t>
      </w:r>
      <w:r>
        <w:rPr>
          <w:spacing w:val="-64"/>
        </w:rPr>
        <w:t> </w:t>
      </w:r>
      <w:r>
        <w:rPr>
          <w:spacing w:val="-64"/>
        </w:rPr>
      </w:r>
      <w:r>
        <w:rPr>
          <w:spacing w:val="-2"/>
        </w:rPr>
        <w:t>业或联营企业的投资不再继续划分为持有待售类别或从持有待售的处置组中移除的，公司在当期财务报表中相应调整各个划</w:t>
      </w:r>
      <w:r>
        <w:rPr>
          <w:spacing w:val="-64"/>
        </w:rPr>
        <w:t> </w:t>
      </w:r>
      <w:r>
        <w:rPr>
          <w:spacing w:val="-64"/>
        </w:rPr>
      </w:r>
      <w:r>
        <w:rPr/>
        <w:t>分为持有待售类别后可比会计期间的比较数据。 </w:t>
      </w:r>
      <w:r>
        <w:rPr>
          <w:spacing w:val="-2"/>
        </w:rPr>
        <w:t>不符合终止经营定义的持有待售的非流动资产或处置组，其减值损失或转回金额及处置损益作为持续经营损益列报。终止经</w:t>
      </w:r>
      <w:r>
        <w:rPr>
          <w:spacing w:val="-64"/>
        </w:rPr>
        <w:t> </w:t>
      </w:r>
      <w:r>
        <w:rPr>
          <w:spacing w:val="-64"/>
        </w:rPr>
      </w:r>
      <w:r>
        <w:rPr/>
        <w:t>营的减值损失或转回金额等经营损益及处置损益作为终止经营损益列报。 </w:t>
      </w:r>
      <w:r>
        <w:rPr>
          <w:spacing w:val="-2"/>
        </w:rPr>
        <w:t>对于当期列报的终止经营，公司在当期财务报表中，将原来作为持续经营损益列报的信息重新作为可比会计期间的终止经营</w:t>
      </w:r>
      <w:r>
        <w:rPr>
          <w:spacing w:val="-63"/>
        </w:rPr>
        <w:t> </w:t>
      </w:r>
      <w:r>
        <w:rPr>
          <w:spacing w:val="-63"/>
        </w:rPr>
      </w:r>
      <w:r>
        <w:rPr>
          <w:spacing w:val="-2"/>
        </w:rPr>
        <w:t>损益列报。终止经营不再满足持有待售类别划分条件的，公司在当期财务报表中，将原来作为终止经营损益列报的信息重新</w:t>
      </w:r>
      <w:r>
        <w:rPr>
          <w:spacing w:val="-63"/>
        </w:rPr>
        <w:t> </w:t>
      </w:r>
      <w:r>
        <w:rPr>
          <w:spacing w:val="-63"/>
        </w:rPr>
      </w:r>
      <w:r>
        <w:rPr/>
        <w:t>作为可比会计期间的持续经营损益列报。</w:t>
      </w:r>
    </w:p>
    <w:p>
      <w:pPr>
        <w:spacing w:line="240" w:lineRule="auto" w:before="11"/>
        <w:rPr>
          <w:rFonts w:ascii="宋体" w:hAnsi="宋体" w:cs="宋体" w:eastAsia="宋体" w:hint="default"/>
          <w:sz w:val="22"/>
          <w:szCs w:val="22"/>
        </w:rPr>
      </w:pPr>
    </w:p>
    <w:p>
      <w:pPr>
        <w:pStyle w:val="Heading4"/>
        <w:spacing w:line="240" w:lineRule="auto"/>
        <w:ind w:right="986"/>
        <w:jc w:val="left"/>
        <w:rPr>
          <w:b w:val="0"/>
          <w:bCs w:val="0"/>
        </w:rPr>
      </w:pPr>
      <w:bookmarkStart w:name="44、重要会计政策和会计估计变更" w:id="227"/>
      <w:bookmarkEnd w:id="227"/>
      <w:r>
        <w:rPr>
          <w:b w:val="0"/>
          <w:bCs w:val="0"/>
        </w:rPr>
      </w:r>
      <w:r>
        <w:rPr>
          <w:rFonts w:ascii="Times New Roman" w:hAnsi="Times New Roman" w:cs="Times New Roman" w:eastAsia="Times New Roman" w:hint="default"/>
        </w:rPr>
        <w:t>44</w:t>
      </w:r>
      <w:r>
        <w:rPr/>
        <w:t>、重要会计政策和会计估计变更</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重要会计政策变更" w:id="228"/>
      <w:bookmarkEnd w:id="22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843"/>
        <w:gridCol w:w="1034"/>
        <w:gridCol w:w="2693"/>
      </w:tblGrid>
      <w:tr>
        <w:trPr>
          <w:trHeight w:val="401" w:hRule="exact"/>
        </w:trPr>
        <w:tc>
          <w:tcPr>
            <w:tcW w:w="5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36"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0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1" w:right="0"/>
              <w:jc w:val="left"/>
              <w:rPr>
                <w:rFonts w:ascii="宋体" w:hAnsi="宋体" w:cs="宋体" w:eastAsia="宋体" w:hint="default"/>
                <w:sz w:val="18"/>
                <w:szCs w:val="18"/>
              </w:rPr>
            </w:pPr>
            <w:r>
              <w:rPr>
                <w:rFonts w:ascii="宋体" w:hAnsi="宋体" w:cs="宋体" w:eastAsia="宋体" w:hint="default"/>
                <w:sz w:val="18"/>
                <w:szCs w:val="18"/>
              </w:rPr>
              <w:t>审批程序</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900" w:hRule="exact"/>
        </w:trPr>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9"/>
              <w:ind w:left="103" w:right="96"/>
              <w:jc w:val="left"/>
              <w:rPr>
                <w:rFonts w:ascii="宋体" w:hAnsi="宋体" w:cs="宋体" w:eastAsia="宋体" w:hint="default"/>
                <w:sz w:val="18"/>
                <w:szCs w:val="18"/>
              </w:rPr>
            </w:pPr>
            <w:r>
              <w:rPr>
                <w:rFonts w:ascii="宋体" w:hAnsi="宋体" w:cs="宋体" w:eastAsia="宋体" w:hint="default"/>
                <w:sz w:val="18"/>
                <w:szCs w:val="18"/>
              </w:rPr>
              <w:t>根据财政部于 </w:t>
            </w:r>
            <w:r>
              <w:rPr>
                <w:rFonts w:ascii="Times New Roman" w:hAnsi="Times New Roman" w:cs="Times New Roman" w:eastAsia="Times New Roman" w:hint="default"/>
                <w:sz w:val="18"/>
                <w:szCs w:val="18"/>
              </w:rPr>
              <w:t>2019 </w:t>
            </w:r>
            <w:r>
              <w:rPr>
                <w:rFonts w:ascii="宋体" w:hAnsi="宋体" w:cs="宋体" w:eastAsia="宋体" w:hint="default"/>
                <w:sz w:val="18"/>
                <w:szCs w:val="18"/>
              </w:rPr>
              <w:t>年 </w:t>
            </w:r>
            <w:r>
              <w:rPr>
                <w:rFonts w:ascii="Times New Roman" w:hAnsi="Times New Roman" w:cs="Times New Roman" w:eastAsia="Times New Roman" w:hint="default"/>
                <w:sz w:val="18"/>
                <w:szCs w:val="18"/>
              </w:rPr>
              <w:t>4 </w:t>
            </w:r>
            <w:r>
              <w:rPr>
                <w:rFonts w:ascii="宋体" w:hAnsi="宋体" w:cs="宋体" w:eastAsia="宋体" w:hint="default"/>
                <w:sz w:val="18"/>
                <w:szCs w:val="18"/>
              </w:rPr>
              <w:t>月 </w:t>
            </w:r>
            <w:r>
              <w:rPr>
                <w:rFonts w:ascii="Times New Roman" w:hAnsi="Times New Roman" w:cs="Times New Roman" w:eastAsia="Times New Roman" w:hint="default"/>
                <w:sz w:val="18"/>
                <w:szCs w:val="18"/>
              </w:rPr>
              <w:t>30 </w:t>
            </w:r>
            <w:r>
              <w:rPr>
                <w:rFonts w:ascii="宋体" w:hAnsi="宋体" w:cs="宋体" w:eastAsia="宋体" w:hint="default"/>
                <w:spacing w:val="-5"/>
                <w:sz w:val="18"/>
                <w:szCs w:val="18"/>
              </w:rPr>
              <w:t>日颁布了《关于修订印发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4"/>
                <w:sz w:val="18"/>
                <w:szCs w:val="18"/>
              </w:rPr>
              <w:t> </w:t>
            </w:r>
            <w:r>
              <w:rPr>
                <w:rFonts w:ascii="宋体" w:hAnsi="宋体" w:cs="宋体" w:eastAsia="宋体" w:hint="default"/>
                <w:sz w:val="18"/>
                <w:szCs w:val="18"/>
              </w:rPr>
              <w:t>年度一 </w:t>
            </w:r>
            <w:r>
              <w:rPr>
                <w:rFonts w:ascii="宋体" w:hAnsi="宋体" w:cs="宋体" w:eastAsia="宋体" w:hint="default"/>
                <w:spacing w:val="-4"/>
                <w:sz w:val="18"/>
                <w:szCs w:val="18"/>
              </w:rPr>
              <w:t>般企业财务报表格式的通知》（财会</w:t>
            </w:r>
            <w:r>
              <w:rPr>
                <w:rFonts w:ascii="Times New Roman" w:hAnsi="Times New Roman" w:cs="Times New Roman" w:eastAsia="Times New Roman" w:hint="default"/>
                <w:spacing w:val="-4"/>
                <w:sz w:val="18"/>
                <w:szCs w:val="18"/>
              </w:rPr>
              <w:t>[2019]6</w:t>
            </w:r>
            <w:r>
              <w:rPr>
                <w:rFonts w:ascii="Times New Roman" w:hAnsi="Times New Roman" w:cs="Times New Roman" w:eastAsia="Times New Roman" w:hint="default"/>
                <w:sz w:val="18"/>
                <w:szCs w:val="18"/>
              </w:rPr>
              <w:t> </w:t>
            </w:r>
            <w:r>
              <w:rPr>
                <w:rFonts w:ascii="宋体" w:hAnsi="宋体" w:cs="宋体" w:eastAsia="宋体" w:hint="default"/>
                <w:spacing w:val="-16"/>
                <w:sz w:val="18"/>
                <w:szCs w:val="18"/>
              </w:rPr>
              <w:t>号）（以下简称“《修订通</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1"/>
                <w:sz w:val="18"/>
                <w:szCs w:val="18"/>
              </w:rPr>
              <w:t>知》”），</w:t>
            </w:r>
            <w:r>
              <w:rPr>
                <w:rFonts w:ascii="Times New Roman" w:hAnsi="Times New Roman" w:cs="Times New Roman" w:eastAsia="Times New Roman" w:hint="default"/>
                <w:spacing w:val="-31"/>
                <w:sz w:val="18"/>
                <w:szCs w:val="18"/>
              </w:rPr>
              <w:t>2019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1"/>
                <w:sz w:val="18"/>
                <w:szCs w:val="18"/>
              </w:rPr>
              <w:t> </w:t>
            </w:r>
            <w:r>
              <w:rPr>
                <w:rFonts w:ascii="Times New Roman" w:hAnsi="Times New Roman" w:cs="Times New Roman" w:eastAsia="Times New Roman" w:hint="default"/>
                <w:spacing w:val="-1"/>
                <w:sz w:val="18"/>
                <w:szCs w:val="18"/>
              </w:rPr>
              <w:t>19</w:t>
            </w:r>
            <w:r>
              <w:rPr>
                <w:rFonts w:ascii="Times New Roman" w:hAnsi="Times New Roman" w:cs="Times New Roman" w:eastAsia="Times New Roman" w:hint="default"/>
                <w:spacing w:val="5"/>
                <w:sz w:val="18"/>
                <w:szCs w:val="18"/>
              </w:rPr>
              <w:t> </w:t>
            </w:r>
            <w:r>
              <w:rPr>
                <w:rFonts w:ascii="宋体" w:hAnsi="宋体" w:cs="宋体" w:eastAsia="宋体" w:hint="default"/>
                <w:spacing w:val="-1"/>
                <w:sz w:val="18"/>
                <w:szCs w:val="18"/>
              </w:rPr>
              <w:t>日，财政部发布了《关于修订印发合并财务报表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格式（</w:t>
            </w:r>
            <w:r>
              <w:rPr>
                <w:rFonts w:ascii="Times New Roman" w:hAnsi="Times New Roman" w:cs="Times New Roman" w:eastAsia="Times New Roman" w:hint="default"/>
                <w:spacing w:val="-4"/>
                <w:sz w:val="18"/>
                <w:szCs w:val="18"/>
              </w:rPr>
              <w:t>2019</w:t>
            </w:r>
            <w:r>
              <w:rPr>
                <w:rFonts w:ascii="Times New Roman" w:hAnsi="Times New Roman" w:cs="Times New Roman" w:eastAsia="Times New Roman" w:hint="default"/>
                <w:sz w:val="18"/>
                <w:szCs w:val="18"/>
              </w:rPr>
              <w:t> </w:t>
            </w:r>
            <w:r>
              <w:rPr>
                <w:rFonts w:ascii="宋体" w:hAnsi="宋体" w:cs="宋体" w:eastAsia="宋体" w:hint="default"/>
                <w:spacing w:val="-11"/>
                <w:sz w:val="18"/>
                <w:szCs w:val="18"/>
              </w:rPr>
              <w:t>版）的通知》（财会〔</w:t>
            </w:r>
            <w:r>
              <w:rPr>
                <w:rFonts w:ascii="Times New Roman" w:hAnsi="Times New Roman" w:cs="Times New Roman" w:eastAsia="Times New Roman" w:hint="default"/>
                <w:spacing w:val="-11"/>
                <w:sz w:val="18"/>
                <w:szCs w:val="18"/>
              </w:rPr>
              <w:t>2019</w:t>
            </w: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16</w:t>
            </w:r>
            <w:r>
              <w:rPr>
                <w:rFonts w:ascii="Times New Roman" w:hAnsi="Times New Roman" w:cs="Times New Roman" w:eastAsia="Times New Roman" w:hint="default"/>
                <w:sz w:val="18"/>
                <w:szCs w:val="18"/>
              </w:rPr>
              <w:t> </w:t>
            </w:r>
            <w:r>
              <w:rPr>
                <w:rFonts w:ascii="宋体" w:hAnsi="宋体" w:cs="宋体" w:eastAsia="宋体" w:hint="default"/>
                <w:spacing w:val="-10"/>
                <w:sz w:val="18"/>
                <w:szCs w:val="18"/>
              </w:rPr>
              <w:t>号）。对一般企业财务报表</w:t>
            </w:r>
            <w:r>
              <w:rPr>
                <w:rFonts w:ascii="宋体" w:hAnsi="宋体" w:cs="宋体" w:eastAsia="宋体" w:hint="default"/>
                <w:spacing w:val="10"/>
                <w:sz w:val="18"/>
                <w:szCs w:val="18"/>
              </w:rPr>
              <w:t> </w:t>
            </w:r>
            <w:r>
              <w:rPr>
                <w:rFonts w:ascii="宋体" w:hAnsi="宋体" w:cs="宋体" w:eastAsia="宋体" w:hint="default"/>
                <w:sz w:val="18"/>
                <w:szCs w:val="18"/>
              </w:rPr>
              <w:t>格</w:t>
            </w:r>
            <w:r>
              <w:rPr>
                <w:rFonts w:ascii="宋体" w:hAnsi="宋体" w:cs="宋体" w:eastAsia="宋体" w:hint="default"/>
                <w:sz w:val="18"/>
                <w:szCs w:val="18"/>
              </w:rPr>
              <w:t> 式等有关内容进行了修订，要求执行企业会计准则的非金融企业按</w:t>
            </w:r>
            <w:r>
              <w:rPr>
                <w:rFonts w:ascii="宋体" w:hAnsi="宋体" w:cs="宋体" w:eastAsia="宋体" w:hint="default"/>
                <w:spacing w:val="-37"/>
                <w:sz w:val="18"/>
                <w:szCs w:val="18"/>
              </w:rPr>
              <w:t> </w:t>
            </w:r>
            <w:r>
              <w:rPr>
                <w:rFonts w:ascii="宋体" w:hAnsi="宋体" w:cs="宋体" w:eastAsia="宋体" w:hint="default"/>
                <w:sz w:val="18"/>
                <w:szCs w:val="18"/>
              </w:rPr>
              <w:t>照企</w:t>
            </w:r>
            <w:r>
              <w:rPr>
                <w:rFonts w:ascii="宋体" w:hAnsi="宋体" w:cs="宋体" w:eastAsia="宋体" w:hint="default"/>
                <w:sz w:val="18"/>
                <w:szCs w:val="18"/>
              </w:rPr>
              <w:t> 业会计准则和《修订通知》的要求编制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年度中期财务报表和年度 财务报表以及以后期间的财务报表。公司属于已执行新金融准则但未执 行新收入准则和新租赁准则的企业，结合《修订通知》的要求对财务报 表格式及部分科目列报进行相应调整。</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6" w:lineRule="auto"/>
              <w:ind w:left="103" w:right="19"/>
              <w:jc w:val="left"/>
              <w:rPr>
                <w:rFonts w:ascii="宋体" w:hAnsi="宋体" w:cs="宋体" w:eastAsia="宋体" w:hint="default"/>
                <w:sz w:val="18"/>
                <w:szCs w:val="18"/>
              </w:rPr>
            </w:pPr>
            <w:r>
              <w:rPr>
                <w:rFonts w:ascii="宋体" w:hAnsi="宋体" w:cs="宋体" w:eastAsia="宋体" w:hint="default"/>
                <w:sz w:val="18"/>
                <w:szCs w:val="18"/>
              </w:rPr>
              <w:t>经公司董 事会批准。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1"/>
              <w:jc w:val="left"/>
              <w:rPr>
                <w:rFonts w:ascii="宋体" w:hAnsi="宋体" w:cs="宋体" w:eastAsia="宋体" w:hint="default"/>
                <w:sz w:val="18"/>
                <w:szCs w:val="18"/>
              </w:rPr>
            </w:pPr>
            <w:r>
              <w:rPr>
                <w:rFonts w:ascii="宋体" w:hAnsi="宋体" w:cs="宋体" w:eastAsia="宋体" w:hint="default"/>
                <w:sz w:val="18"/>
                <w:szCs w:val="18"/>
              </w:rPr>
              <w:t>受影响的报表项目和金额详见 本报告第十二节第五</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44</w:t>
            </w:r>
            <w:r>
              <w:rPr>
                <w:rFonts w:ascii="Times New Roman" w:hAnsi="Times New Roman" w:cs="Times New Roman" w:eastAsia="Times New Roman" w:hint="default"/>
                <w:spacing w:val="-19"/>
                <w:sz w:val="18"/>
                <w:szCs w:val="18"/>
              </w:rPr>
              <w:t> </w:t>
            </w:r>
            <w:r>
              <w:rPr>
                <w:rFonts w:ascii="宋体" w:hAnsi="宋体" w:cs="宋体" w:eastAsia="宋体" w:hint="default"/>
                <w:spacing w:val="-19"/>
                <w:sz w:val="18"/>
                <w:szCs w:val="18"/>
              </w:rPr>
              <w:t>项第（</w:t>
            </w: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w:t>
            </w:r>
          </w:p>
          <w:p>
            <w:pPr>
              <w:pStyle w:val="TableParagraph"/>
              <w:spacing w:line="314" w:lineRule="auto"/>
              <w:ind w:left="103" w:right="9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年起执行新金融工具准 </w:t>
            </w:r>
            <w:r>
              <w:rPr>
                <w:rFonts w:ascii="宋体" w:hAnsi="宋体" w:cs="宋体" w:eastAsia="宋体" w:hint="default"/>
                <w:spacing w:val="-3"/>
                <w:sz w:val="18"/>
                <w:szCs w:val="18"/>
              </w:rPr>
              <w:t>则、新收入准则或新租赁准则调</w:t>
            </w:r>
            <w:r>
              <w:rPr>
                <w:rFonts w:ascii="宋体" w:hAnsi="宋体" w:cs="宋体" w:eastAsia="宋体" w:hint="default"/>
                <w:sz w:val="18"/>
                <w:szCs w:val="18"/>
              </w:rPr>
              <w:t> 整执行当年年初财务报表相关 </w:t>
            </w:r>
            <w:r>
              <w:rPr>
                <w:rFonts w:ascii="宋体" w:hAnsi="宋体" w:cs="宋体" w:eastAsia="宋体" w:hint="default"/>
                <w:spacing w:val="-3"/>
                <w:sz w:val="18"/>
                <w:szCs w:val="18"/>
              </w:rPr>
              <w:t>项目情况”有关内容及本表后附</w:t>
            </w:r>
            <w:r>
              <w:rPr>
                <w:rFonts w:ascii="宋体" w:hAnsi="宋体" w:cs="宋体" w:eastAsia="宋体" w:hint="default"/>
                <w:sz w:val="18"/>
                <w:szCs w:val="18"/>
              </w:rPr>
              <w:t> 说明。</w:t>
            </w:r>
          </w:p>
        </w:tc>
      </w:tr>
      <w:tr>
        <w:trPr>
          <w:trHeight w:val="1649" w:hRule="exact"/>
        </w:trPr>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日，财政部发布了《关于印发修订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w:t>
            </w:r>
          </w:p>
          <w:p>
            <w:pPr>
              <w:pStyle w:val="TableParagraph"/>
              <w:spacing w:line="300" w:lineRule="auto" w:before="63"/>
              <w:ind w:left="103" w:right="97"/>
              <w:jc w:val="left"/>
              <w:rPr>
                <w:rFonts w:ascii="Times New Roman" w:hAnsi="Times New Roman" w:cs="Times New Roman" w:eastAsia="Times New Roman" w:hint="default"/>
                <w:sz w:val="18"/>
                <w:szCs w:val="18"/>
              </w:rPr>
            </w:pPr>
            <w:r>
              <w:rPr>
                <w:rFonts w:ascii="宋体" w:hAnsi="宋体" w:cs="宋体" w:eastAsia="宋体" w:hint="default"/>
                <w:sz w:val="18"/>
                <w:szCs w:val="18"/>
              </w:rPr>
              <w:t>——非货币性资产交</w:t>
            </w:r>
            <w:r>
              <w:rPr>
                <w:rFonts w:ascii="宋体" w:hAnsi="宋体" w:cs="宋体" w:eastAsia="宋体" w:hint="default"/>
                <w:spacing w:val="-1"/>
                <w:sz w:val="18"/>
                <w:szCs w:val="18"/>
              </w:rPr>
              <w:t>换</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的通知</w:t>
            </w:r>
            <w:r>
              <w:rPr>
                <w:rFonts w:ascii="宋体" w:hAnsi="宋体" w:cs="宋体" w:eastAsia="宋体" w:hint="default"/>
                <w:spacing w:val="-94"/>
                <w:sz w:val="18"/>
                <w:szCs w:val="18"/>
              </w:rPr>
              <w:t>》</w:t>
            </w:r>
            <w:r>
              <w:rPr>
                <w:rFonts w:ascii="宋体" w:hAnsi="宋体" w:cs="宋体" w:eastAsia="宋体" w:hint="default"/>
                <w:sz w:val="18"/>
                <w:szCs w:val="18"/>
              </w:rPr>
              <w:t>（财</w:t>
            </w:r>
            <w:r>
              <w:rPr>
                <w:rFonts w:ascii="宋体" w:hAnsi="宋体" w:cs="宋体" w:eastAsia="宋体" w:hint="default"/>
                <w:spacing w:val="-3"/>
                <w:sz w:val="18"/>
                <w:szCs w:val="18"/>
              </w:rPr>
              <w:t>会</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9</w:t>
            </w:r>
            <w:r>
              <w:rPr>
                <w:rFonts w:ascii="宋体" w:hAnsi="宋体" w:cs="宋体" w:eastAsia="宋体" w:hint="default"/>
                <w:spacing w:val="-5"/>
                <w:sz w:val="18"/>
                <w:szCs w:val="18"/>
              </w:rPr>
              <w:t>】</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92"/>
                <w:sz w:val="18"/>
                <w:szCs w:val="18"/>
              </w:rPr>
              <w:t>）</w:t>
            </w:r>
            <w:r>
              <w:rPr>
                <w:rFonts w:ascii="宋体" w:hAnsi="宋体" w:cs="宋体" w:eastAsia="宋体" w:hint="default"/>
                <w:spacing w:val="-3"/>
                <w:sz w:val="18"/>
                <w:szCs w:val="18"/>
              </w:rPr>
              <w:t>，</w:t>
            </w:r>
            <w:r>
              <w:rPr>
                <w:rFonts w:ascii="宋体" w:hAnsi="宋体" w:cs="宋体" w:eastAsia="宋体" w:hint="default"/>
                <w:sz w:val="18"/>
                <w:szCs w:val="18"/>
              </w:rPr>
              <w:t>对非货币性资产</w:t>
            </w:r>
            <w:r>
              <w:rPr>
                <w:rFonts w:ascii="宋体" w:hAnsi="宋体" w:cs="宋体" w:eastAsia="宋体" w:hint="default"/>
                <w:sz w:val="18"/>
                <w:szCs w:val="18"/>
              </w:rPr>
              <w:t> 交换的确认</w:t>
            </w:r>
            <w:r>
              <w:rPr>
                <w:rFonts w:ascii="宋体" w:hAnsi="宋体" w:cs="宋体" w:eastAsia="宋体" w:hint="default"/>
                <w:spacing w:val="-92"/>
                <w:sz w:val="18"/>
                <w:szCs w:val="18"/>
              </w:rPr>
              <w:t>、</w:t>
            </w:r>
            <w:r>
              <w:rPr>
                <w:rFonts w:ascii="宋体" w:hAnsi="宋体" w:cs="宋体" w:eastAsia="宋体" w:hint="default"/>
                <w:sz w:val="18"/>
                <w:szCs w:val="18"/>
              </w:rPr>
              <w:t>计量和披露作出</w:t>
            </w:r>
            <w:r>
              <w:rPr>
                <w:rFonts w:ascii="宋体" w:hAnsi="宋体" w:cs="宋体" w:eastAsia="宋体" w:hint="default"/>
                <w:spacing w:val="2"/>
                <w:sz w:val="18"/>
                <w:szCs w:val="18"/>
              </w:rPr>
              <w:t>修</w:t>
            </w:r>
            <w:r>
              <w:rPr>
                <w:rFonts w:ascii="宋体" w:hAnsi="宋体" w:cs="宋体" w:eastAsia="宋体" w:hint="default"/>
                <w:sz w:val="18"/>
                <w:szCs w:val="18"/>
              </w:rPr>
              <w:t>订</w:t>
            </w:r>
            <w:r>
              <w:rPr>
                <w:rFonts w:ascii="宋体" w:hAnsi="宋体" w:cs="宋体" w:eastAsia="宋体" w:hint="default"/>
                <w:spacing w:val="-90"/>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日至该准则</w:t>
            </w:r>
            <w:r>
              <w:rPr>
                <w:rFonts w:ascii="宋体" w:hAnsi="宋体" w:cs="宋体" w:eastAsia="宋体" w:hint="default"/>
                <w:spacing w:val="-3"/>
                <w:sz w:val="18"/>
                <w:szCs w:val="18"/>
              </w:rPr>
              <w:t>施</w:t>
            </w:r>
            <w:r>
              <w:rPr>
                <w:rFonts w:ascii="宋体" w:hAnsi="宋体" w:cs="宋体" w:eastAsia="宋体" w:hint="default"/>
                <w:sz w:val="18"/>
                <w:szCs w:val="18"/>
              </w:rPr>
              <w:t>行日</w:t>
            </w:r>
            <w:r>
              <w:rPr>
                <w:rFonts w:ascii="宋体" w:hAnsi="宋体" w:cs="宋体" w:eastAsia="宋体" w:hint="default"/>
                <w:spacing w:val="-5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9</w:t>
            </w:r>
          </w:p>
          <w:p>
            <w:pPr>
              <w:pStyle w:val="TableParagraph"/>
              <w:spacing w:line="240" w:lineRule="auto" w:before="13"/>
              <w:ind w:left="103"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日之间发生的非货币性资产交换，应根据该准则的规定进行调</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pacing w:val="-8"/>
                <w:sz w:val="18"/>
                <w:szCs w:val="18"/>
              </w:rPr>
              <w:t>整；</w:t>
            </w:r>
            <w:r>
              <w:rPr>
                <w:rFonts w:ascii="Times New Roman" w:hAnsi="Times New Roman" w:cs="Times New Roman" w:eastAsia="Times New Roman" w:hint="default"/>
                <w:spacing w:val="-8"/>
                <w:sz w:val="18"/>
                <w:szCs w:val="18"/>
              </w:rPr>
              <w:t>2019</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日之前发生的非货币性资产交换，不需进行追溯调整。</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19"/>
              <w:jc w:val="left"/>
              <w:rPr>
                <w:rFonts w:ascii="宋体" w:hAnsi="宋体" w:cs="宋体" w:eastAsia="宋体" w:hint="default"/>
                <w:sz w:val="18"/>
                <w:szCs w:val="18"/>
              </w:rPr>
            </w:pPr>
            <w:r>
              <w:rPr>
                <w:rFonts w:ascii="宋体" w:hAnsi="宋体" w:cs="宋体" w:eastAsia="宋体" w:hint="default"/>
                <w:sz w:val="18"/>
                <w:szCs w:val="18"/>
              </w:rPr>
              <w:t>经公司董 事会批准。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报告期内无影响</w:t>
            </w:r>
          </w:p>
        </w:tc>
      </w:tr>
      <w:tr>
        <w:trPr>
          <w:trHeight w:val="1652" w:hRule="exact"/>
        </w:trPr>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96"/>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日，财政部发布了《关于印发修订</w:t>
            </w:r>
            <w:r>
              <w:rPr>
                <w:rFonts w:ascii="Times New Roman" w:hAnsi="Times New Roman" w:cs="Times New Roman" w:eastAsia="Times New Roman" w:hint="default"/>
                <w:sz w:val="18"/>
                <w:szCs w:val="18"/>
              </w:rPr>
              <w:t>&lt;</w:t>
            </w:r>
            <w:r>
              <w:rPr>
                <w:rFonts w:ascii="宋体" w:hAnsi="宋体" w:cs="宋体" w:eastAsia="宋体" w:hint="default"/>
                <w:sz w:val="18"/>
                <w:szCs w:val="18"/>
              </w:rPr>
              <w:t>企业会计准则第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号——债务重组</w:t>
            </w:r>
            <w:r>
              <w:rPr>
                <w:rFonts w:ascii="Times New Roman" w:hAnsi="Times New Roman" w:cs="Times New Roman" w:eastAsia="Times New Roman" w:hint="default"/>
                <w:spacing w:val="-5"/>
                <w:sz w:val="18"/>
                <w:szCs w:val="18"/>
              </w:rPr>
              <w:t>&gt;</w:t>
            </w:r>
            <w:r>
              <w:rPr>
                <w:rFonts w:ascii="宋体" w:hAnsi="宋体" w:cs="宋体" w:eastAsia="宋体" w:hint="default"/>
                <w:spacing w:val="-5"/>
                <w:sz w:val="18"/>
                <w:szCs w:val="18"/>
              </w:rPr>
              <w:t>的通知》（财会【</w:t>
            </w:r>
            <w:r>
              <w:rPr>
                <w:rFonts w:ascii="Times New Roman" w:hAnsi="Times New Roman" w:cs="Times New Roman" w:eastAsia="Times New Roman" w:hint="default"/>
                <w:spacing w:val="-5"/>
                <w:sz w:val="18"/>
                <w:szCs w:val="18"/>
              </w:rPr>
              <w:t>2019</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9</w:t>
            </w:r>
            <w:r>
              <w:rPr>
                <w:rFonts w:ascii="Times New Roman" w:hAnsi="Times New Roman" w:cs="Times New Roman" w:eastAsia="Times New Roman" w:hint="default"/>
                <w:sz w:val="18"/>
                <w:szCs w:val="18"/>
              </w:rPr>
              <w:t> </w:t>
            </w:r>
            <w:r>
              <w:rPr>
                <w:rFonts w:ascii="宋体" w:hAnsi="宋体" w:cs="宋体" w:eastAsia="宋体" w:hint="default"/>
                <w:spacing w:val="-8"/>
                <w:sz w:val="18"/>
                <w:szCs w:val="18"/>
              </w:rPr>
              <w:t>号），对债务重组的确认、计</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z w:val="18"/>
                <w:szCs w:val="18"/>
              </w:rPr>
              <w:t>量和披露作出修订。</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日至该准则施行日</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300" w:lineRule="auto" w:before="13"/>
              <w:ind w:left="103" w:right="98"/>
              <w:jc w:val="left"/>
              <w:rPr>
                <w:rFonts w:ascii="宋体" w:hAnsi="宋体" w:cs="宋体" w:eastAsia="宋体" w:hint="default"/>
                <w:sz w:val="18"/>
                <w:szCs w:val="18"/>
              </w:rPr>
            </w:pPr>
            <w:r>
              <w:rPr>
                <w:rFonts w:ascii="宋体" w:hAnsi="宋体" w:cs="宋体" w:eastAsia="宋体" w:hint="default"/>
                <w:sz w:val="18"/>
                <w:szCs w:val="18"/>
              </w:rPr>
              <w:t>之间发生的债务重组，应根据该准则的规定进行调整；</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之前发生的债务重组，不需进行追溯调整。</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9" w:lineRule="auto"/>
              <w:ind w:left="103" w:right="19"/>
              <w:jc w:val="left"/>
              <w:rPr>
                <w:rFonts w:ascii="宋体" w:hAnsi="宋体" w:cs="宋体" w:eastAsia="宋体" w:hint="default"/>
                <w:sz w:val="18"/>
                <w:szCs w:val="18"/>
              </w:rPr>
            </w:pPr>
            <w:r>
              <w:rPr>
                <w:rFonts w:ascii="宋体" w:hAnsi="宋体" w:cs="宋体" w:eastAsia="宋体" w:hint="default"/>
                <w:sz w:val="18"/>
                <w:szCs w:val="18"/>
              </w:rPr>
              <w:t>经公司董 事会批准。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报告期内无影响</w:t>
            </w:r>
          </w:p>
        </w:tc>
      </w:tr>
      <w:tr>
        <w:trPr>
          <w:trHeight w:val="1961" w:hRule="exact"/>
        </w:trPr>
        <w:tc>
          <w:tcPr>
            <w:tcW w:w="5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both"/>
              <w:rPr>
                <w:rFonts w:ascii="宋体" w:hAnsi="宋体" w:cs="宋体" w:eastAsia="宋体" w:hint="default"/>
                <w:sz w:val="18"/>
                <w:szCs w:val="18"/>
              </w:rPr>
            </w:pPr>
            <w:r>
              <w:rPr>
                <w:rFonts w:ascii="宋体" w:hAnsi="宋体" w:cs="宋体" w:eastAsia="宋体" w:hint="default"/>
                <w:sz w:val="18"/>
                <w:szCs w:val="18"/>
              </w:rPr>
              <w:t>财政部于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年陆续发布了修订后的《企业会计准则第 </w:t>
            </w:r>
            <w:r>
              <w:rPr>
                <w:rFonts w:ascii="Times New Roman" w:hAnsi="Times New Roman" w:cs="Times New Roman" w:eastAsia="Times New Roman" w:hint="default"/>
                <w:sz w:val="18"/>
                <w:szCs w:val="18"/>
              </w:rPr>
              <w:t>22  </w:t>
            </w:r>
            <w:r>
              <w:rPr>
                <w:rFonts w:ascii="宋体" w:hAnsi="宋体" w:cs="宋体" w:eastAsia="宋体" w:hint="default"/>
                <w:sz w:val="18"/>
                <w:szCs w:val="18"/>
              </w:rPr>
              <w:t>号—金融</w:t>
            </w:r>
          </w:p>
          <w:p>
            <w:pPr>
              <w:pStyle w:val="TableParagraph"/>
              <w:spacing w:line="240" w:lineRule="auto" w:before="63"/>
              <w:ind w:left="103" w:right="0"/>
              <w:jc w:val="both"/>
              <w:rPr>
                <w:rFonts w:ascii="宋体" w:hAnsi="宋体" w:cs="宋体" w:eastAsia="宋体" w:hint="default"/>
                <w:sz w:val="18"/>
                <w:szCs w:val="18"/>
              </w:rPr>
            </w:pPr>
            <w:r>
              <w:rPr>
                <w:rFonts w:ascii="宋体" w:hAnsi="宋体" w:cs="宋体" w:eastAsia="宋体" w:hint="default"/>
                <w:sz w:val="18"/>
                <w:szCs w:val="18"/>
              </w:rPr>
              <w:t>工具确认和计量</w:t>
            </w:r>
            <w:r>
              <w:rPr>
                <w:rFonts w:ascii="宋体" w:hAnsi="宋体" w:cs="宋体" w:eastAsia="宋体" w:hint="default"/>
                <w:spacing w:val="-92"/>
                <w:sz w:val="18"/>
                <w:szCs w:val="18"/>
              </w:rPr>
              <w:t>》、</w:t>
            </w:r>
            <w:r>
              <w:rPr>
                <w:rFonts w:ascii="宋体" w:hAnsi="宋体" w:cs="宋体" w:eastAsia="宋体" w:hint="default"/>
                <w:sz w:val="18"/>
                <w:szCs w:val="18"/>
              </w:rPr>
              <w:t>《企业会</w:t>
            </w:r>
            <w:r>
              <w:rPr>
                <w:rFonts w:ascii="宋体" w:hAnsi="宋体" w:cs="宋体" w:eastAsia="宋体" w:hint="default"/>
                <w:spacing w:val="2"/>
                <w:sz w:val="18"/>
                <w:szCs w:val="18"/>
              </w:rPr>
              <w:t>计</w:t>
            </w:r>
            <w:r>
              <w:rPr>
                <w:rFonts w:ascii="宋体" w:hAnsi="宋体" w:cs="宋体" w:eastAsia="宋体" w:hint="default"/>
                <w:sz w:val="18"/>
                <w:szCs w:val="18"/>
              </w:rPr>
              <w:t>准则第</w:t>
            </w:r>
            <w:r>
              <w:rPr>
                <w:rFonts w:ascii="宋体" w:hAnsi="宋体" w:cs="宋体" w:eastAsia="宋体" w:hint="default"/>
                <w:spacing w:val="2"/>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3  </w:t>
            </w:r>
            <w:r>
              <w:rPr>
                <w:rFonts w:ascii="宋体" w:hAnsi="宋体" w:cs="宋体" w:eastAsia="宋体" w:hint="default"/>
                <w:sz w:val="18"/>
                <w:szCs w:val="18"/>
              </w:rPr>
              <w:t>号——金融资产</w:t>
            </w:r>
            <w:r>
              <w:rPr>
                <w:rFonts w:ascii="宋体" w:hAnsi="宋体" w:cs="宋体" w:eastAsia="宋体" w:hint="default"/>
                <w:spacing w:val="-3"/>
                <w:sz w:val="18"/>
                <w:szCs w:val="18"/>
              </w:rPr>
              <w:t>转</w:t>
            </w:r>
            <w:r>
              <w:rPr>
                <w:rFonts w:ascii="宋体" w:hAnsi="宋体" w:cs="宋体" w:eastAsia="宋体" w:hint="default"/>
                <w:sz w:val="18"/>
                <w:szCs w:val="18"/>
              </w:rPr>
              <w:t>移</w:t>
            </w:r>
            <w:r>
              <w:rPr>
                <w:rFonts w:ascii="宋体" w:hAnsi="宋体" w:cs="宋体" w:eastAsia="宋体" w:hint="default"/>
                <w:spacing w:val="-92"/>
                <w:sz w:val="18"/>
                <w:szCs w:val="18"/>
              </w:rPr>
              <w:t>》、</w:t>
            </w:r>
            <w:r>
              <w:rPr>
                <w:rFonts w:ascii="宋体" w:hAnsi="宋体" w:cs="宋体" w:eastAsia="宋体" w:hint="default"/>
                <w:sz w:val="18"/>
                <w:szCs w:val="18"/>
              </w:rPr>
              <w:t>《企业</w:t>
            </w:r>
          </w:p>
          <w:p>
            <w:pPr>
              <w:pStyle w:val="TableParagraph"/>
              <w:spacing w:line="309" w:lineRule="auto" w:before="63"/>
              <w:ind w:left="103" w:right="101"/>
              <w:jc w:val="both"/>
              <w:rPr>
                <w:rFonts w:ascii="宋体" w:hAnsi="宋体" w:cs="宋体" w:eastAsia="宋体" w:hint="default"/>
                <w:sz w:val="18"/>
                <w:szCs w:val="18"/>
              </w:rPr>
            </w:pPr>
            <w:r>
              <w:rPr>
                <w:rFonts w:ascii="宋体" w:hAnsi="宋体" w:cs="宋体" w:eastAsia="宋体" w:hint="default"/>
                <w:sz w:val="18"/>
                <w:szCs w:val="18"/>
              </w:rPr>
              <w:t>会计准则第 </w:t>
            </w:r>
            <w:r>
              <w:rPr>
                <w:rFonts w:ascii="Times New Roman" w:hAnsi="Times New Roman" w:cs="Times New Roman" w:eastAsia="Times New Roman" w:hint="default"/>
                <w:sz w:val="18"/>
                <w:szCs w:val="18"/>
              </w:rPr>
              <w:t>24 </w:t>
            </w:r>
            <w:r>
              <w:rPr>
                <w:rFonts w:ascii="宋体" w:hAnsi="宋体" w:cs="宋体" w:eastAsia="宋体" w:hint="default"/>
                <w:spacing w:val="-6"/>
                <w:sz w:val="18"/>
                <w:szCs w:val="18"/>
              </w:rPr>
              <w:t>号——套期会计》及《企业会计准则第 </w:t>
            </w:r>
            <w:r>
              <w:rPr>
                <w:rFonts w:ascii="Times New Roman" w:hAnsi="Times New Roman" w:cs="Times New Roman" w:eastAsia="Times New Roman" w:hint="default"/>
                <w:sz w:val="18"/>
                <w:szCs w:val="18"/>
              </w:rPr>
              <w:t>37</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号——金融工 </w:t>
            </w:r>
            <w:r>
              <w:rPr>
                <w:rFonts w:ascii="宋体" w:hAnsi="宋体" w:cs="宋体" w:eastAsia="宋体" w:hint="default"/>
                <w:spacing w:val="-10"/>
                <w:sz w:val="18"/>
                <w:szCs w:val="18"/>
              </w:rPr>
              <w:t>具列报》（统称“新金融工具准则”），根据上述文件要求，公司需对原采</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用的相关会计政策进行相应调整。</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3" w:right="19"/>
              <w:jc w:val="left"/>
              <w:rPr>
                <w:rFonts w:ascii="宋体" w:hAnsi="宋体" w:cs="宋体" w:eastAsia="宋体" w:hint="default"/>
                <w:sz w:val="18"/>
                <w:szCs w:val="18"/>
              </w:rPr>
            </w:pPr>
            <w:r>
              <w:rPr>
                <w:rFonts w:ascii="宋体" w:hAnsi="宋体" w:cs="宋体" w:eastAsia="宋体" w:hint="default"/>
                <w:sz w:val="18"/>
                <w:szCs w:val="18"/>
              </w:rPr>
              <w:t>经公司董 事会批准。</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
              <w:jc w:val="left"/>
              <w:rPr>
                <w:rFonts w:ascii="宋体" w:hAnsi="宋体" w:cs="宋体" w:eastAsia="宋体" w:hint="default"/>
                <w:sz w:val="18"/>
                <w:szCs w:val="18"/>
              </w:rPr>
            </w:pPr>
            <w:r>
              <w:rPr>
                <w:rFonts w:ascii="宋体" w:hAnsi="宋体" w:cs="宋体" w:eastAsia="宋体" w:hint="default"/>
                <w:sz w:val="18"/>
                <w:szCs w:val="18"/>
              </w:rPr>
              <w:t>受影响的报表项目和金额详见 本报告第十二节第五</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44</w:t>
            </w:r>
            <w:r>
              <w:rPr>
                <w:rFonts w:ascii="Times New Roman" w:hAnsi="Times New Roman" w:cs="Times New Roman" w:eastAsia="Times New Roman" w:hint="default"/>
                <w:spacing w:val="-19"/>
                <w:sz w:val="18"/>
                <w:szCs w:val="18"/>
              </w:rPr>
              <w:t> </w:t>
            </w:r>
            <w:r>
              <w:rPr>
                <w:rFonts w:ascii="宋体" w:hAnsi="宋体" w:cs="宋体" w:eastAsia="宋体" w:hint="default"/>
                <w:spacing w:val="-19"/>
                <w:sz w:val="18"/>
                <w:szCs w:val="18"/>
              </w:rPr>
              <w:t>项第（</w:t>
            </w:r>
            <w:r>
              <w:rPr>
                <w:rFonts w:ascii="Times New Roman" w:hAnsi="Times New Roman" w:cs="Times New Roman" w:eastAsia="Times New Roman" w:hint="default"/>
                <w:spacing w:val="-19"/>
                <w:sz w:val="18"/>
                <w:szCs w:val="18"/>
              </w:rPr>
              <w:t>3</w:t>
            </w:r>
            <w:r>
              <w:rPr>
                <w:rFonts w:ascii="宋体" w:hAnsi="宋体" w:cs="宋体" w:eastAsia="宋体" w:hint="default"/>
                <w:spacing w:val="-19"/>
                <w:sz w:val="18"/>
                <w:szCs w:val="18"/>
              </w:rPr>
              <w:t>）</w:t>
            </w:r>
          </w:p>
          <w:p>
            <w:pPr>
              <w:pStyle w:val="TableParagraph"/>
              <w:spacing w:line="312" w:lineRule="auto"/>
              <w:ind w:left="103" w:right="9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年起执行新金融工具准 </w:t>
            </w:r>
            <w:r>
              <w:rPr>
                <w:rFonts w:ascii="宋体" w:hAnsi="宋体" w:cs="宋体" w:eastAsia="宋体" w:hint="default"/>
                <w:spacing w:val="-3"/>
                <w:sz w:val="18"/>
                <w:szCs w:val="18"/>
              </w:rPr>
              <w:t>则、新收入准则或新租赁准则调</w:t>
            </w:r>
            <w:r>
              <w:rPr>
                <w:rFonts w:ascii="宋体" w:hAnsi="宋体" w:cs="宋体" w:eastAsia="宋体" w:hint="default"/>
                <w:sz w:val="18"/>
                <w:szCs w:val="18"/>
              </w:rPr>
              <w:t> 整执行当年年初财务报表相关 项目情况”有关内容。</w:t>
            </w:r>
          </w:p>
        </w:tc>
      </w:tr>
    </w:tbl>
    <w:p>
      <w:pPr>
        <w:spacing w:after="0" w:line="312"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2）重要会计估计变更" w:id="229"/>
      <w:bookmarkEnd w:id="22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2019年起执行新金融工具准则、新收入准则或新租赁准则调整执行当年年初财务" w:id="230"/>
      <w:bookmarkEnd w:id="230"/>
      <w:r>
        <w:rPr>
          <w:b w:val="0"/>
          <w:bCs w:val="0"/>
        </w:rPr>
      </w: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15"/>
        </w:rPr>
        <w:t> </w:t>
      </w:r>
      <w:r>
        <w:rPr/>
        <w:t>年起执行新金融工具准则、新收入准则或新租赁准则调整执行当年年初财务报表相关项目情况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footerReference w:type="default" r:id="rId17"/>
          <w:pgSz w:w="11910" w:h="16840"/>
          <w:pgMar w:footer="1021" w:header="906" w:top="1100" w:bottom="1220" w:left="1020" w:right="0"/>
          <w:pgNumType w:start="110"/>
        </w:sectPr>
      </w:pPr>
    </w:p>
    <w:p>
      <w:pPr>
        <w:pStyle w:val="BodyText"/>
        <w:spacing w:line="360" w:lineRule="auto"/>
        <w:ind w:right="-19"/>
        <w:jc w:val="left"/>
      </w:pPr>
      <w:r>
        <w:rPr/>
        <w:t>√ 适用 □</w:t>
      </w:r>
      <w:r>
        <w:rPr>
          <w:spacing w:val="3"/>
        </w:rPr>
        <w:t> </w:t>
      </w:r>
      <w:r>
        <w:rPr/>
        <w:t>不适用</w:t>
      </w:r>
      <w:r>
        <w:rPr/>
        <w:t> 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100" w:bottom="1220" w:left="1020" w:right="0"/>
          <w:cols w:num="2" w:equalWidth="0">
            <w:col w:w="1647" w:space="7273"/>
            <w:col w:w="1970"/>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620"/>
        <w:gridCol w:w="2204"/>
        <w:gridCol w:w="2201"/>
        <w:gridCol w:w="1543"/>
      </w:tblGrid>
      <w:tr>
        <w:trPr>
          <w:trHeight w:val="403"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1,386,748,463.69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1,386,748,463.69</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64,440,000.00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64,440,000.00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555,647,882.09</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555,647,882.09</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83,495,264.85</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83,495,264.85</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40,266,831.58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40,266,831.58</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2,216,600.02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2,216,600.02</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112,261,865.17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112,261,865.17</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388,927,302.78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388,927,302.78</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2,631,787,610.16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2,631,787,610.16</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620"/>
        <w:gridCol w:w="2204"/>
        <w:gridCol w:w="2201"/>
        <w:gridCol w:w="1543"/>
      </w:tblGrid>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297,000,000.00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297,000,000.00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3,000,000.00</w:t>
            </w: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3,000,000.00</w:t>
            </w:r>
          </w:p>
        </w:tc>
        <w:tc>
          <w:tcPr>
            <w:tcW w:w="15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3"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9,088,952.48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9,088,952.48</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57,977,267.78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57,977,267.78</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8,966,771.70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8,966,771.70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24,384,874.07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24,384,874.07</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1,376,690.51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1,376,690.51</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204,372.24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204,372.24</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401,998,928.78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401,998,928.78</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3,033,786,538.94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3,033,786,538.94</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22,016,000.00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22,016,000.00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4"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226,554,734.31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226,554,734.31</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56,863,323.68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56,863,323.68</w:t>
            </w:r>
          </w:p>
        </w:tc>
        <w:tc>
          <w:tcPr>
            <w:tcW w:w="15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620"/>
        <w:gridCol w:w="2204"/>
        <w:gridCol w:w="2201"/>
        <w:gridCol w:w="1543"/>
      </w:tblGrid>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5,360,018.97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5,360,018.97</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39,660,676.97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39,660,676.97</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49,623,823.04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49,623,823.04</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206,029.02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206,029.02</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400,078,576.97</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400,078,576.97</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4,556,422.11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4,556,422.11</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4,556,422.11</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4,556,422.11</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404,634,999.08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404,634,999.08</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522,777,419.00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522,777,419.00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619"/>
        <w:gridCol w:w="2204"/>
        <w:gridCol w:w="2201"/>
        <w:gridCol w:w="1543"/>
      </w:tblGrid>
      <w:tr>
        <w:trPr>
          <w:trHeight w:val="402" w:hRule="exact"/>
        </w:trPr>
        <w:tc>
          <w:tcPr>
            <w:tcW w:w="3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2"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4,313,315,624.50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4,313,315,624.50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37,390,480.30</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37,390,480.30</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204" w:type="dxa"/>
            <w:tcBorders>
              <w:top w:val="single" w:sz="4" w:space="0" w:color="000000"/>
              <w:left w:val="single" w:sz="4" w:space="0" w:color="000000"/>
              <w:bottom w:val="single" w:sz="4" w:space="0" w:color="000000"/>
              <w:right w:val="single" w:sz="4" w:space="0" w:color="000000"/>
            </w:tcBorders>
          </w:tcPr>
          <w:p>
            <w:pPr/>
          </w:p>
        </w:tc>
        <w:tc>
          <w:tcPr>
            <w:tcW w:w="2201" w:type="dxa"/>
            <w:tcBorders>
              <w:top w:val="single" w:sz="4" w:space="0" w:color="000000"/>
              <w:left w:val="single" w:sz="4" w:space="0" w:color="000000"/>
              <w:bottom w:val="single" w:sz="4" w:space="0" w:color="000000"/>
              <w:right w:val="single" w:sz="4" w:space="0" w:color="000000"/>
            </w:tcBorders>
          </w:tcPr>
          <w:p>
            <w:pP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-2,240,369,742.42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-2,240,369,742.42</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2,633,113,781.38</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2,633,113,781.38</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-3,962,241.52</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-3,962,241.52</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2,629,151,539.86</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2,629,151,539.86</w:t>
            </w:r>
          </w:p>
        </w:tc>
        <w:tc>
          <w:tcPr>
            <w:tcW w:w="15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3,033,786,538.94</w:t>
            </w:r>
          </w:p>
        </w:tc>
        <w:tc>
          <w:tcPr>
            <w:tcW w:w="2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3,033,786,538.94</w:t>
            </w:r>
          </w:p>
        </w:tc>
        <w:tc>
          <w:tcPr>
            <w:tcW w:w="154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pStyle w:val="BodyText"/>
        <w:spacing w:line="357" w:lineRule="auto" w:before="49"/>
        <w:ind w:right="-20"/>
        <w:jc w:val="left"/>
      </w:pPr>
      <w:r>
        <w:rPr/>
        <w:t>调整情况说明 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before="0"/>
        <w:ind w:right="0"/>
        <w:jc w:val="left"/>
      </w:pPr>
      <w:r>
        <w:rPr/>
        <w:t>单位：元</w:t>
      </w:r>
    </w:p>
    <w:p>
      <w:pPr>
        <w:spacing w:after="0" w:line="240" w:lineRule="auto"/>
        <w:jc w:val="left"/>
        <w:sectPr>
          <w:type w:val="continuous"/>
          <w:pgSz w:w="11910" w:h="16840"/>
          <w:pgMar w:top="1100" w:bottom="1220" w:left="1020" w:right="0"/>
          <w:cols w:num="2" w:equalWidth="0">
            <w:col w:w="1553" w:space="7367"/>
            <w:col w:w="1970"/>
          </w:cols>
        </w:sectPr>
      </w:pP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632"/>
        <w:gridCol w:w="2196"/>
        <w:gridCol w:w="2209"/>
        <w:gridCol w:w="1531"/>
      </w:tblGrid>
      <w:tr>
        <w:trPr>
          <w:trHeight w:val="403"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日</w:t>
            </w: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2" w:right="0"/>
              <w:jc w:val="left"/>
              <w:rPr>
                <w:rFonts w:ascii="宋体" w:hAnsi="宋体" w:cs="宋体" w:eastAsia="宋体" w:hint="default"/>
                <w:sz w:val="18"/>
                <w:szCs w:val="18"/>
              </w:rPr>
            </w:pPr>
            <w:r>
              <w:rPr>
                <w:rFonts w:ascii="宋体" w:hAnsi="宋体" w:cs="宋体" w:eastAsia="宋体" w:hint="default"/>
                <w:sz w:val="18"/>
                <w:szCs w:val="18"/>
              </w:rPr>
              <w:t>调整数</w:t>
            </w:r>
          </w:p>
        </w:tc>
      </w:tr>
      <w:tr>
        <w:trPr>
          <w:trHeight w:val="401"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983,907,868.01</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983,907,868.01</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7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63,440,000.00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63,440,000.00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85,744.00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85,744.00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557,903,637.49</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557,903,637.49</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14,604,440.17</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14,604,440.17</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71,899,349.22</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71,899,349.22</w:t>
            </w:r>
          </w:p>
        </w:tc>
        <w:tc>
          <w:tcPr>
            <w:tcW w:w="1531"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632"/>
        <w:gridCol w:w="2196"/>
        <w:gridCol w:w="2209"/>
        <w:gridCol w:w="1531"/>
      </w:tblGrid>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1,677,236,598.72</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1,677,236,598.72</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3,000,000.00</w:t>
            </w: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1,078,649,870.22</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1,078,649,870.22</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1,314,903.35</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1,314,903.35</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1,047,787.50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1,047,787.50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1,084,012,561.07</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1,084,012,561.07</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2,761,249,159.79</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2,761,249,159.79</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22,016,000.00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22,016,000.00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03" w:right="276"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益的金融负债</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9,996,961.98</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9,996,961.98</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632"/>
        <w:gridCol w:w="2196"/>
        <w:gridCol w:w="2209"/>
        <w:gridCol w:w="1531"/>
      </w:tblGrid>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374,656.38</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374,656.38</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11,798,365.81</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11,798,365.81</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27,331,222.80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27,331,222.80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43"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8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206,029.02</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206,029.02</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71,517,206.97</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71,517,206.97</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71,517,206.97</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71,517,206.97</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2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522,777,419.00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522,777,419.00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8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4,313,368,234.61</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4,313,368,234.61</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196" w:type="dxa"/>
            <w:tcBorders>
              <w:top w:val="single" w:sz="4" w:space="0" w:color="000000"/>
              <w:left w:val="single" w:sz="4" w:space="0" w:color="000000"/>
              <w:bottom w:val="single" w:sz="4" w:space="0" w:color="000000"/>
              <w:right w:val="single" w:sz="4" w:space="0" w:color="000000"/>
            </w:tcBorders>
          </w:tcPr>
          <w:p>
            <w:pPr/>
          </w:p>
        </w:tc>
        <w:tc>
          <w:tcPr>
            <w:tcW w:w="2209" w:type="dxa"/>
            <w:tcBorders>
              <w:top w:val="single" w:sz="4" w:space="0" w:color="000000"/>
              <w:left w:val="single" w:sz="4" w:space="0" w:color="000000"/>
              <w:bottom w:val="single" w:sz="4" w:space="0" w:color="000000"/>
              <w:right w:val="single" w:sz="4" w:space="0" w:color="000000"/>
            </w:tcBorders>
          </w:tcPr>
          <w:p>
            <w:pP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37,390,480.30</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37,390,480.30</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-2,183,804,181.09</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-2,183,804,181.09</w:t>
            </w:r>
          </w:p>
        </w:tc>
        <w:tc>
          <w:tcPr>
            <w:tcW w:w="153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3631"/>
        <w:gridCol w:w="2196"/>
        <w:gridCol w:w="2209"/>
        <w:gridCol w:w="1531"/>
      </w:tblGrid>
      <w:tr>
        <w:trPr>
          <w:trHeight w:val="402" w:hRule="exact"/>
        </w:trPr>
        <w:tc>
          <w:tcPr>
            <w:tcW w:w="3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2,689,731,952.82</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2,689,731,952.82</w:t>
            </w:r>
          </w:p>
        </w:tc>
        <w:tc>
          <w:tcPr>
            <w:tcW w:w="153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6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2,761,249,159.79</w:t>
            </w:r>
          </w:p>
        </w:tc>
        <w:tc>
          <w:tcPr>
            <w:tcW w:w="22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2"/>
              <w:jc w:val="right"/>
              <w:rPr>
                <w:rFonts w:ascii="Times New Roman" w:hAnsi="Times New Roman" w:cs="Times New Roman" w:eastAsia="Times New Roman" w:hint="default"/>
                <w:sz w:val="18"/>
                <w:szCs w:val="18"/>
              </w:rPr>
            </w:pPr>
            <w:r>
              <w:rPr>
                <w:rFonts w:ascii="Times New Roman"/>
                <w:spacing w:val="-1"/>
                <w:sz w:val="18"/>
              </w:rPr>
              <w:t>2,761,249,159.79</w:t>
            </w:r>
          </w:p>
        </w:tc>
        <w:tc>
          <w:tcPr>
            <w:tcW w:w="153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调整情况说明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4）2019年起执行新金融工具准则或新租赁准则追溯调整前期比较数据说明" w:id="231"/>
      <w:bookmarkEnd w:id="231"/>
      <w:r>
        <w:rPr>
          <w:b w:val="0"/>
          <w:bCs w:val="0"/>
        </w:rPr>
      </w:r>
      <w:r>
        <w:rPr/>
        <w:t>（</w:t>
      </w:r>
      <w:r>
        <w:rPr>
          <w:rFonts w:ascii="Times New Roman" w:hAnsi="Times New Roman" w:cs="Times New Roman" w:eastAsia="Times New Roman" w:hint="default"/>
        </w:rPr>
        <w:t>4</w:t>
      </w:r>
      <w:r>
        <w:rPr/>
        <w:t>）</w:t>
      </w:r>
      <w:r>
        <w:rPr>
          <w:rFonts w:ascii="Times New Roman" w:hAnsi="Times New Roman" w:cs="Times New Roman" w:eastAsia="Times New Roman" w:hint="default"/>
        </w:rPr>
        <w:t>2019</w:t>
      </w:r>
      <w:r>
        <w:rPr>
          <w:rFonts w:ascii="Times New Roman" w:hAnsi="Times New Roman" w:cs="Times New Roman" w:eastAsia="Times New Roman" w:hint="default"/>
          <w:spacing w:val="-5"/>
        </w:rPr>
        <w:t> </w:t>
      </w:r>
      <w:r>
        <w:rPr/>
        <w:t>年起执行新金融工具准则或新租赁准则追溯调整前期比较数据说明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spacing w:line="487" w:lineRule="auto" w:before="120"/>
        <w:ind w:left="112" w:right="8968" w:firstLine="0"/>
        <w:jc w:val="left"/>
        <w:rPr>
          <w:rFonts w:ascii="宋体" w:hAnsi="宋体" w:cs="宋体" w:eastAsia="宋体" w:hint="default"/>
          <w:sz w:val="21"/>
          <w:szCs w:val="21"/>
        </w:rPr>
      </w:pPr>
      <w:bookmarkStart w:name="45、其他" w:id="232"/>
      <w:bookmarkEnd w:id="232"/>
      <w:r>
        <w:rPr/>
      </w:r>
      <w:r>
        <w:rPr>
          <w:rFonts w:ascii="Times New Roman" w:hAnsi="Times New Roman" w:cs="Times New Roman" w:eastAsia="Times New Roman"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六、税项" w:id="233"/>
      <w:bookmarkEnd w:id="233"/>
      <w:r>
        <w:rPr>
          <w:rFonts w:ascii="宋体" w:hAnsi="宋体" w:cs="宋体" w:eastAsia="宋体" w:hint="default"/>
          <w:b/>
          <w:bCs/>
          <w:w w:val="100"/>
          <w:sz w:val="21"/>
          <w:szCs w:val="21"/>
        </w:rPr>
      </w:r>
      <w:r>
        <w:rPr>
          <w:rFonts w:ascii="宋体" w:hAnsi="宋体" w:cs="宋体" w:eastAsia="宋体" w:hint="default"/>
          <w:b/>
          <w:bCs/>
          <w:sz w:val="24"/>
          <w:szCs w:val="24"/>
        </w:rPr>
        <w:t>六、税项</w:t>
      </w:r>
      <w:r>
        <w:rPr>
          <w:rFonts w:ascii="宋体" w:hAnsi="宋体" w:cs="宋体" w:eastAsia="宋体" w:hint="default"/>
          <w:b/>
          <w:bCs/>
          <w:w w:val="99"/>
          <w:sz w:val="24"/>
          <w:szCs w:val="24"/>
        </w:rPr>
        <w:t> </w:t>
      </w:r>
      <w:bookmarkStart w:name="1、主要税种及税率" w:id="234"/>
      <w:bookmarkEnd w:id="23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1539"/>
        <w:gridCol w:w="4724"/>
        <w:gridCol w:w="3308"/>
      </w:tblGrid>
      <w:tr>
        <w:trPr>
          <w:trHeight w:val="401"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47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3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3"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销售货物或提供应税劳务过程中产生的增值额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16%</w:t>
            </w:r>
            <w:r>
              <w:rPr>
                <w:rFonts w:ascii="宋体" w:hAnsi="宋体" w:cs="宋体" w:eastAsia="宋体" w:hint="default"/>
                <w:sz w:val="18"/>
                <w:szCs w:val="18"/>
              </w:rPr>
              <w:t>、</w:t>
            </w:r>
            <w:r>
              <w:rPr>
                <w:rFonts w:ascii="Times New Roman" w:hAnsi="Times New Roman" w:cs="Times New Roman" w:eastAsia="Times New Roman" w:hint="default"/>
                <w:sz w:val="18"/>
                <w:szCs w:val="18"/>
              </w:rPr>
              <w:t>13%</w:t>
            </w:r>
            <w:r>
              <w:rPr>
                <w:rFonts w:ascii="宋体" w:hAnsi="宋体" w:cs="宋体" w:eastAsia="宋体" w:hint="default"/>
                <w:sz w:val="18"/>
                <w:szCs w:val="18"/>
              </w:rPr>
              <w:t>、</w:t>
            </w:r>
            <w:r>
              <w:rPr>
                <w:rFonts w:ascii="Times New Roman" w:hAnsi="Times New Roman" w:cs="Times New Roman" w:eastAsia="Times New Roman" w:hint="default"/>
                <w:sz w:val="18"/>
                <w:szCs w:val="18"/>
              </w:rPr>
              <w:t>11%</w:t>
            </w:r>
            <w:r>
              <w:rPr>
                <w:rFonts w:ascii="宋体" w:hAnsi="宋体" w:cs="宋体" w:eastAsia="宋体" w:hint="default"/>
                <w:sz w:val="18"/>
                <w:szCs w:val="18"/>
              </w:rPr>
              <w:t>、</w:t>
            </w: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401"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3" w:hRule="exact"/>
        </w:trPr>
        <w:tc>
          <w:tcPr>
            <w:tcW w:w="15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25%</w:t>
            </w:r>
          </w:p>
        </w:tc>
      </w:tr>
      <w:tr>
        <w:trPr>
          <w:trHeight w:val="71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47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11"/>
              <w:jc w:val="left"/>
              <w:rPr>
                <w:rFonts w:ascii="宋体" w:hAnsi="宋体" w:cs="宋体" w:eastAsia="宋体" w:hint="default"/>
                <w:sz w:val="18"/>
                <w:szCs w:val="18"/>
              </w:rPr>
            </w:pPr>
            <w:r>
              <w:rPr>
                <w:rFonts w:ascii="宋体" w:hAnsi="宋体" w:cs="宋体" w:eastAsia="宋体" w:hint="default"/>
                <w:sz w:val="18"/>
                <w:szCs w:val="18"/>
              </w:rPr>
              <w:t>从价计征的，按房产原值一次减除</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后余值的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 缴；从租计征的，按租金收入的</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716"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47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109"/>
              <w:jc w:val="left"/>
              <w:rPr>
                <w:rFonts w:ascii="宋体" w:hAnsi="宋体" w:cs="宋体" w:eastAsia="宋体" w:hint="default"/>
                <w:sz w:val="18"/>
                <w:szCs w:val="18"/>
              </w:rPr>
            </w:pPr>
            <w:r>
              <w:rPr>
                <w:rFonts w:ascii="宋体" w:hAnsi="宋体" w:cs="宋体" w:eastAsia="宋体" w:hint="default"/>
                <w:sz w:val="18"/>
                <w:szCs w:val="18"/>
              </w:rPr>
              <w:t>提供广告服务取得的全部含税价款和价外费用，减除支付 给其他广告公司或广告发布者的含税广告发布费后的余额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lef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4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5" w:right="0"/>
              <w:jc w:val="left"/>
              <w:rPr>
                <w:rFonts w:ascii="Times New Roman" w:hAnsi="Times New Roman" w:cs="Times New Roman" w:eastAsia="Times New Roman" w:hint="default"/>
                <w:sz w:val="18"/>
                <w:szCs w:val="18"/>
              </w:rPr>
            </w:pPr>
            <w:r>
              <w:rPr>
                <w:rFonts w:ascii="Times New Roman"/>
                <w:sz w:val="18"/>
              </w:rPr>
              <w:t>2%</w:t>
            </w:r>
          </w:p>
        </w:tc>
      </w:tr>
      <w:tr>
        <w:trPr>
          <w:trHeight w:val="403" w:hRule="exact"/>
        </w:trPr>
        <w:tc>
          <w:tcPr>
            <w:tcW w:w="15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城镇土地使用税</w:t>
            </w:r>
          </w:p>
        </w:tc>
        <w:tc>
          <w:tcPr>
            <w:tcW w:w="47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实际占用的土地使用面积</w:t>
            </w:r>
          </w:p>
        </w:tc>
        <w:tc>
          <w:tcPr>
            <w:tcW w:w="33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适用地区幅度差别定额税率</w:t>
            </w:r>
          </w:p>
        </w:tc>
      </w:tr>
    </w:tbl>
    <w:p>
      <w:pPr>
        <w:pStyle w:val="BodyText"/>
        <w:spacing w:line="240" w:lineRule="auto" w:before="49"/>
        <w:ind w:right="986"/>
        <w:jc w:val="left"/>
      </w:pPr>
      <w:r>
        <w:rPr/>
        <w:t>存在不同企业所得税税率纳税主体的，披露情况说明</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杭州视赚网络技术有限公司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12.5%</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聚交科技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霍尔果斯聚交信息科技有限公司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税收优惠" w:id="235"/>
      <w:bookmarkEnd w:id="235"/>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24"/>
        <w:jc w:val="left"/>
      </w:pPr>
      <w:r>
        <w:rPr>
          <w:rFonts w:ascii="宋体" w:hAnsi="宋体" w:cs="宋体" w:eastAsia="宋体" w:hint="default"/>
        </w:rPr>
        <w:t>1</w:t>
      </w:r>
      <w:r>
        <w:rPr/>
        <w:t>．子公司杭州视赚网络技术有限公司</w:t>
      </w:r>
      <w:r>
        <w:rPr>
          <w:rFonts w:ascii="宋体" w:hAnsi="宋体" w:cs="宋体" w:eastAsia="宋体" w:hint="default"/>
        </w:rPr>
        <w:t>(</w:t>
      </w:r>
      <w:r>
        <w:rPr/>
        <w:t>以下简称杭州视赚</w:t>
      </w:r>
      <w:r>
        <w:rPr>
          <w:rFonts w:ascii="宋体" w:hAnsi="宋体" w:cs="宋体" w:eastAsia="宋体" w:hint="default"/>
        </w:rPr>
        <w:t>)</w:t>
      </w:r>
      <w:r>
        <w:rPr/>
        <w:t>于</w:t>
      </w:r>
      <w:r>
        <w:rPr>
          <w:rFonts w:ascii="宋体" w:hAnsi="宋体" w:cs="宋体" w:eastAsia="宋体" w:hint="default"/>
        </w:rPr>
        <w:t>2016</w:t>
      </w:r>
      <w:r>
        <w:rPr/>
        <w:t>年</w:t>
      </w:r>
      <w:r>
        <w:rPr>
          <w:rFonts w:ascii="宋体" w:hAnsi="宋体" w:cs="宋体" w:eastAsia="宋体" w:hint="default"/>
        </w:rPr>
        <w:t>6</w:t>
      </w:r>
      <w:r>
        <w:rPr/>
        <w:t>月</w:t>
      </w:r>
      <w:r>
        <w:rPr>
          <w:rFonts w:ascii="宋体" w:hAnsi="宋体" w:cs="宋体" w:eastAsia="宋体" w:hint="default"/>
        </w:rPr>
        <w:t>5</w:t>
      </w:r>
      <w:r>
        <w:rPr/>
        <w:t>日被浙江省经济和信息化委员会认定为软件企业， </w:t>
      </w:r>
      <w:r>
        <w:rPr>
          <w:spacing w:val="-2"/>
        </w:rPr>
        <w:t>根据财政部、国家税务总局《关于进一步鼓励软件产业和集成电路产业发展企业所得税政策的通知》</w:t>
      </w:r>
      <w:r>
        <w:rPr>
          <w:rFonts w:ascii="宋体" w:hAnsi="宋体" w:cs="宋体" w:eastAsia="宋体" w:hint="default"/>
          <w:spacing w:val="-2"/>
        </w:rPr>
        <w:t>(</w:t>
      </w:r>
      <w:r>
        <w:rPr>
          <w:spacing w:val="-2"/>
        </w:rPr>
        <w:t>财税</w:t>
      </w:r>
      <w:r>
        <w:rPr>
          <w:rFonts w:ascii="宋体" w:hAnsi="宋体" w:cs="宋体" w:eastAsia="宋体" w:hint="default"/>
          <w:spacing w:val="-2"/>
        </w:rPr>
        <w:t>[2012]27</w:t>
      </w:r>
      <w:r>
        <w:rPr>
          <w:spacing w:val="-2"/>
        </w:rPr>
        <w:t>号</w:t>
      </w:r>
      <w:r>
        <w:rPr>
          <w:rFonts w:ascii="宋体" w:hAnsi="宋体" w:cs="宋体" w:eastAsia="宋体" w:hint="default"/>
          <w:spacing w:val="-2"/>
        </w:rPr>
        <w:t>)</w:t>
      </w:r>
      <w:r>
        <w:rPr>
          <w:spacing w:val="-2"/>
        </w:rPr>
        <w:t>的有</w:t>
      </w:r>
      <w:r>
        <w:rPr>
          <w:spacing w:val="-59"/>
        </w:rPr>
        <w:t> </w:t>
      </w:r>
      <w:r>
        <w:rPr>
          <w:spacing w:val="-2"/>
        </w:rPr>
        <w:t>关规定，并经杭州市西湖区国家税务局以杭国通</w:t>
      </w:r>
      <w:r>
        <w:rPr>
          <w:rFonts w:ascii="宋体" w:hAnsi="宋体" w:cs="宋体" w:eastAsia="宋体" w:hint="default"/>
          <w:spacing w:val="-2"/>
        </w:rPr>
        <w:t>[2016]125335</w:t>
      </w:r>
      <w:r>
        <w:rPr>
          <w:spacing w:val="-2"/>
        </w:rPr>
        <w:t>号《税务事项通知书》确认，杭州视赚适用“两免三减半”的</w:t>
      </w:r>
      <w:r>
        <w:rPr>
          <w:spacing w:val="-59"/>
        </w:rPr>
        <w:t> </w:t>
      </w:r>
      <w:r>
        <w:rPr>
          <w:spacing w:val="-59"/>
        </w:rPr>
      </w:r>
      <w:r>
        <w:rPr/>
        <w:t>税收优惠政策，</w:t>
      </w:r>
      <w:r>
        <w:rPr>
          <w:rFonts w:ascii="宋体" w:hAnsi="宋体" w:cs="宋体" w:eastAsia="宋体" w:hint="default"/>
        </w:rPr>
        <w:t>2015</w:t>
      </w:r>
      <w:r>
        <w:rPr/>
        <w:t>和</w:t>
      </w:r>
      <w:r>
        <w:rPr>
          <w:rFonts w:ascii="宋体" w:hAnsi="宋体" w:cs="宋体" w:eastAsia="宋体" w:hint="default"/>
        </w:rPr>
        <w:t>2016</w:t>
      </w:r>
      <w:r>
        <w:rPr/>
        <w:t>年度免征企业所得税，自</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日起三个年度减按</w:t>
      </w:r>
      <w:r>
        <w:rPr>
          <w:rFonts w:ascii="宋体" w:hAnsi="宋体" w:cs="宋体" w:eastAsia="宋体" w:hint="default"/>
        </w:rPr>
        <w:t>12.5%</w:t>
      </w:r>
      <w:r>
        <w:rPr/>
        <w:t>税率缴纳企业所得税，故杭州视赚 本期实际适用企业所得税税率为</w:t>
      </w:r>
      <w:r>
        <w:rPr>
          <w:rFonts w:ascii="宋体" w:hAnsi="宋体" w:cs="宋体" w:eastAsia="宋体" w:hint="default"/>
        </w:rPr>
        <w:t>12.5%</w:t>
      </w:r>
      <w:r>
        <w:rPr/>
        <w:t>。 </w:t>
      </w:r>
      <w:r>
        <w:rPr>
          <w:rFonts w:ascii="宋体" w:hAnsi="宋体" w:cs="宋体" w:eastAsia="宋体" w:hint="default"/>
        </w:rPr>
        <w:t>2</w:t>
      </w:r>
      <w:r>
        <w:rPr/>
        <w:t>．子公司聚交科技</w:t>
      </w:r>
      <w:r>
        <w:rPr>
          <w:rFonts w:ascii="宋体" w:hAnsi="宋体" w:cs="宋体" w:eastAsia="宋体" w:hint="default"/>
        </w:rPr>
        <w:t>(</w:t>
      </w:r>
      <w:r>
        <w:rPr/>
        <w:t>北京</w:t>
      </w:r>
      <w:r>
        <w:rPr>
          <w:rFonts w:ascii="宋体" w:hAnsi="宋体" w:cs="宋体" w:eastAsia="宋体" w:hint="default"/>
        </w:rPr>
        <w:t>)</w:t>
      </w:r>
      <w:r>
        <w:rPr/>
        <w:t>有限公司</w:t>
      </w:r>
      <w:r>
        <w:rPr>
          <w:rFonts w:ascii="宋体" w:hAnsi="宋体" w:cs="宋体" w:eastAsia="宋体" w:hint="default"/>
        </w:rPr>
        <w:t>(</w:t>
      </w:r>
      <w:r>
        <w:rPr/>
        <w:t>以下简称北京聚交</w:t>
      </w:r>
      <w:r>
        <w:rPr>
          <w:rFonts w:ascii="宋体" w:hAnsi="宋体" w:cs="宋体" w:eastAsia="宋体" w:hint="default"/>
        </w:rPr>
        <w:t>)</w:t>
      </w:r>
      <w:r>
        <w:rPr/>
        <w:t>于</w:t>
      </w:r>
      <w:r>
        <w:rPr>
          <w:rFonts w:ascii="宋体" w:hAnsi="宋体" w:cs="宋体" w:eastAsia="宋体" w:hint="default"/>
        </w:rPr>
        <w:t>2017</w:t>
      </w:r>
      <w:r>
        <w:rPr/>
        <w:t>年</w:t>
      </w:r>
      <w:r>
        <w:rPr>
          <w:rFonts w:ascii="宋体" w:hAnsi="宋体" w:cs="宋体" w:eastAsia="宋体" w:hint="default"/>
        </w:rPr>
        <w:t>10</w:t>
      </w:r>
      <w:r>
        <w:rPr/>
        <w:t>月</w:t>
      </w:r>
      <w:r>
        <w:rPr>
          <w:rFonts w:ascii="宋体" w:hAnsi="宋体" w:cs="宋体" w:eastAsia="宋体" w:hint="default"/>
        </w:rPr>
        <w:t>25</w:t>
      </w:r>
      <w:r>
        <w:rPr/>
        <w:t>日被北京市科学技术委员会、北京市财政局、北京 </w:t>
      </w:r>
      <w:r>
        <w:rPr>
          <w:spacing w:val="-2"/>
        </w:rPr>
        <w:t>市国家税务局、北京市地方税务局联合认定为国家级高新技术企业。根据《中华人民共和国企业所得税法》的有关规定，北</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6" w:lineRule="auto"/>
        <w:ind w:right="1034"/>
        <w:jc w:val="left"/>
      </w:pPr>
      <w:r>
        <w:rPr/>
        <w:t>京聚交自</w:t>
      </w:r>
      <w:r>
        <w:rPr>
          <w:rFonts w:ascii="宋体" w:hAnsi="宋体" w:cs="宋体" w:eastAsia="宋体" w:hint="default"/>
        </w:rPr>
        <w:t>2017</w:t>
      </w:r>
      <w:r>
        <w:rPr/>
        <w:t>年</w:t>
      </w:r>
      <w:r>
        <w:rPr>
          <w:rFonts w:ascii="宋体" w:hAnsi="宋体" w:cs="宋体" w:eastAsia="宋体" w:hint="default"/>
        </w:rPr>
        <w:t>1</w:t>
      </w:r>
      <w:r>
        <w:rPr/>
        <w:t>月</w:t>
      </w:r>
      <w:r>
        <w:rPr>
          <w:rFonts w:ascii="宋体" w:hAnsi="宋体" w:cs="宋体" w:eastAsia="宋体" w:hint="default"/>
        </w:rPr>
        <w:t>1</w:t>
      </w:r>
      <w:r>
        <w:rPr/>
        <w:t>日起三个年度享受减按</w:t>
      </w:r>
      <w:r>
        <w:rPr>
          <w:rFonts w:ascii="宋体" w:hAnsi="宋体" w:cs="宋体" w:eastAsia="宋体" w:hint="default"/>
        </w:rPr>
        <w:t>15%</w:t>
      </w:r>
      <w:r>
        <w:rPr/>
        <w:t>税率缴纳企业所得税的税收优惠政策，故北京聚交本期实际适用企业所得税 税率为</w:t>
      </w:r>
      <w:r>
        <w:rPr>
          <w:rFonts w:ascii="宋体" w:hAnsi="宋体" w:cs="宋体" w:eastAsia="宋体" w:hint="default"/>
        </w:rPr>
        <w:t>15%</w:t>
      </w:r>
      <w:r>
        <w:rPr/>
        <w:t>。</w:t>
      </w:r>
      <w:r>
        <w:rPr>
          <w:spacing w:val="-87"/>
        </w:rPr>
        <w:t> </w:t>
      </w:r>
      <w:r>
        <w:rPr>
          <w:rFonts w:ascii="宋体" w:hAnsi="宋体" w:cs="宋体" w:eastAsia="宋体" w:hint="default"/>
        </w:rPr>
        <w:t>3</w:t>
      </w:r>
      <w:r>
        <w:rPr/>
        <w:t>．子公司霍尔果斯聚交信息科技有限公司</w:t>
      </w:r>
      <w:r>
        <w:rPr>
          <w:rFonts w:ascii="宋体" w:hAnsi="宋体" w:cs="宋体" w:eastAsia="宋体" w:hint="default"/>
        </w:rPr>
        <w:t>(</w:t>
      </w:r>
      <w:r>
        <w:rPr/>
        <w:t>以下简称霍尔果斯聚交</w:t>
      </w:r>
      <w:r>
        <w:rPr>
          <w:rFonts w:ascii="宋体" w:hAnsi="宋体" w:cs="宋体" w:eastAsia="宋体" w:hint="default"/>
        </w:rPr>
        <w:t>)</w:t>
      </w:r>
      <w:r>
        <w:rPr/>
        <w:t>于</w:t>
      </w:r>
      <w:r>
        <w:rPr>
          <w:rFonts w:ascii="宋体" w:hAnsi="宋体" w:cs="宋体" w:eastAsia="宋体" w:hint="default"/>
        </w:rPr>
        <w:t>2017</w:t>
      </w:r>
      <w:r>
        <w:rPr/>
        <w:t>年</w:t>
      </w:r>
      <w:r>
        <w:rPr>
          <w:rFonts w:ascii="宋体" w:hAnsi="宋体" w:cs="宋体" w:eastAsia="宋体" w:hint="default"/>
        </w:rPr>
        <w:t>3</w:t>
      </w:r>
      <w:r>
        <w:rPr/>
        <w:t>月</w:t>
      </w:r>
      <w:r>
        <w:rPr>
          <w:rFonts w:ascii="宋体" w:hAnsi="宋体" w:cs="宋体" w:eastAsia="宋体" w:hint="default"/>
        </w:rPr>
        <w:t>1</w:t>
      </w:r>
      <w:r>
        <w:rPr/>
        <w:t>日在新疆霍尔果斯经济开发区注册成立， 其主营业务符合国家产业政策，符合开发区发展规划，根据《霍尔果斯经济开发区企业所得税税收优惠管理办法》</w:t>
      </w:r>
      <w:r>
        <w:rPr>
          <w:rFonts w:ascii="宋体" w:hAnsi="宋体" w:cs="宋体" w:eastAsia="宋体" w:hint="default"/>
        </w:rPr>
        <w:t>(</w:t>
      </w:r>
      <w:r>
        <w:rPr/>
        <w:t>霍特管 办发</w:t>
      </w:r>
      <w:r>
        <w:rPr>
          <w:rFonts w:ascii="宋体" w:hAnsi="宋体" w:cs="宋体" w:eastAsia="宋体" w:hint="default"/>
        </w:rPr>
        <w:t>[2013]33</w:t>
      </w:r>
      <w:r>
        <w:rPr/>
        <w:t>号</w:t>
      </w:r>
      <w:r>
        <w:rPr>
          <w:rFonts w:ascii="宋体" w:hAnsi="宋体" w:cs="宋体" w:eastAsia="宋体" w:hint="default"/>
        </w:rPr>
        <w:t>)</w:t>
      </w:r>
      <w:r>
        <w:rPr/>
        <w:t>和《霍尔果斯经济开发区招商引资财税优惠政策》</w:t>
      </w:r>
      <w:r>
        <w:rPr>
          <w:rFonts w:ascii="宋体" w:hAnsi="宋体" w:cs="宋体" w:eastAsia="宋体" w:hint="default"/>
        </w:rPr>
        <w:t>(</w:t>
      </w:r>
      <w:r>
        <w:rPr/>
        <w:t>霍特管办发</w:t>
      </w:r>
      <w:r>
        <w:rPr>
          <w:rFonts w:ascii="宋体" w:hAnsi="宋体" w:cs="宋体" w:eastAsia="宋体" w:hint="default"/>
        </w:rPr>
        <w:t>[2013]55</w:t>
      </w:r>
      <w:r>
        <w:rPr/>
        <w:t>号</w:t>
      </w:r>
      <w:r>
        <w:rPr>
          <w:rFonts w:ascii="宋体" w:hAnsi="宋体" w:cs="宋体" w:eastAsia="宋体" w:hint="default"/>
        </w:rPr>
        <w:t>)</w:t>
      </w:r>
      <w:r>
        <w:rPr/>
        <w:t>，霍尔果斯聚交适用霍尔果斯 经济开发区的企业所得税“五免五减”的税收优惠政策，故本期实际免征企业所得税。 </w:t>
      </w:r>
      <w:r>
        <w:rPr>
          <w:rFonts w:ascii="宋体" w:hAnsi="宋体" w:cs="宋体" w:eastAsia="宋体" w:hint="default"/>
          <w:spacing w:val="-2"/>
        </w:rPr>
        <w:t>4</w:t>
      </w:r>
      <w:r>
        <w:rPr>
          <w:spacing w:val="-2"/>
        </w:rPr>
        <w:t>．根据财政部、税务总局联合发布的《关于实施小微企业普惠性税收减免政策的通知》（财税〔</w:t>
      </w:r>
      <w:r>
        <w:rPr>
          <w:rFonts w:ascii="宋体" w:hAnsi="宋体" w:cs="宋体" w:eastAsia="宋体" w:hint="default"/>
          <w:spacing w:val="-2"/>
        </w:rPr>
        <w:t>2019</w:t>
      </w:r>
      <w:r>
        <w:rPr>
          <w:spacing w:val="-2"/>
        </w:rPr>
        <w:t>〕</w:t>
      </w:r>
      <w:r>
        <w:rPr>
          <w:rFonts w:ascii="宋体" w:hAnsi="宋体" w:cs="宋体" w:eastAsia="宋体" w:hint="default"/>
          <w:spacing w:val="-2"/>
        </w:rPr>
        <w:t>13</w:t>
      </w:r>
      <w:r>
        <w:rPr>
          <w:spacing w:val="-2"/>
        </w:rPr>
        <w:t>号）等相关规定，</w:t>
      </w:r>
      <w:r>
        <w:rPr>
          <w:spacing w:val="-59"/>
        </w:rPr>
        <w:t> </w:t>
      </w:r>
      <w:r>
        <w:rPr>
          <w:spacing w:val="-59"/>
        </w:rPr>
      </w:r>
      <w:r>
        <w:rPr/>
        <w:t>对月销售额</w:t>
      </w:r>
      <w:r>
        <w:rPr>
          <w:rFonts w:ascii="宋体" w:hAnsi="宋体" w:cs="宋体" w:eastAsia="宋体" w:hint="default"/>
        </w:rPr>
        <w:t>10</w:t>
      </w:r>
      <w:r>
        <w:rPr/>
        <w:t>万元以下（含本数）的增值税小规模纳税人，免征增值税；对小型微利企业年应纳税所得额不超过</w:t>
      </w:r>
      <w:r>
        <w:rPr>
          <w:rFonts w:ascii="宋体" w:hAnsi="宋体" w:cs="宋体" w:eastAsia="宋体" w:hint="default"/>
        </w:rPr>
        <w:t>100</w:t>
      </w:r>
      <w:r>
        <w:rPr/>
        <w:t>万元的 部分，减按</w:t>
      </w:r>
      <w:r>
        <w:rPr>
          <w:rFonts w:ascii="宋体" w:hAnsi="宋体" w:cs="宋体" w:eastAsia="宋体" w:hint="default"/>
        </w:rPr>
        <w:t>25%</w:t>
      </w:r>
      <w:r>
        <w:rPr/>
        <w:t>计入应纳税所得额，按</w:t>
      </w:r>
      <w:r>
        <w:rPr>
          <w:rFonts w:ascii="宋体" w:hAnsi="宋体" w:cs="宋体" w:eastAsia="宋体" w:hint="default"/>
        </w:rPr>
        <w:t>20%</w:t>
      </w:r>
      <w:r>
        <w:rPr/>
        <w:t>的税率缴纳企业所得税；对年应纳税所得额超过</w:t>
      </w:r>
      <w:r>
        <w:rPr>
          <w:rFonts w:ascii="宋体" w:hAnsi="宋体" w:cs="宋体" w:eastAsia="宋体" w:hint="default"/>
        </w:rPr>
        <w:t>100</w:t>
      </w:r>
      <w:r>
        <w:rPr/>
        <w:t>万元但不超过</w:t>
      </w:r>
      <w:r>
        <w:rPr>
          <w:rFonts w:ascii="宋体" w:hAnsi="宋体" w:cs="宋体" w:eastAsia="宋体" w:hint="default"/>
        </w:rPr>
        <w:t>300</w:t>
      </w:r>
      <w:r>
        <w:rPr/>
        <w:t>万元的部分，</w:t>
      </w:r>
      <w:r>
        <w:rPr>
          <w:spacing w:val="-85"/>
        </w:rPr>
        <w:t> </w:t>
      </w:r>
      <w:r>
        <w:rPr>
          <w:spacing w:val="-85"/>
        </w:rPr>
      </w:r>
      <w:r>
        <w:rPr>
          <w:spacing w:val="-2"/>
        </w:rPr>
        <w:t>减按</w:t>
      </w:r>
      <w:r>
        <w:rPr>
          <w:rFonts w:ascii="宋体" w:hAnsi="宋体" w:cs="宋体" w:eastAsia="宋体" w:hint="default"/>
          <w:spacing w:val="-2"/>
        </w:rPr>
        <w:t>50%</w:t>
      </w:r>
      <w:r>
        <w:rPr>
          <w:spacing w:val="-2"/>
        </w:rPr>
        <w:t>计入应纳税所得额，按</w:t>
      </w:r>
      <w:r>
        <w:rPr>
          <w:rFonts w:ascii="宋体" w:hAnsi="宋体" w:cs="宋体" w:eastAsia="宋体" w:hint="default"/>
          <w:spacing w:val="-2"/>
        </w:rPr>
        <w:t>20%</w:t>
      </w:r>
      <w:r>
        <w:rPr>
          <w:spacing w:val="-2"/>
        </w:rPr>
        <w:t>的税率缴纳企业所得税。公司子公司深圳大通昊祥商业保理有限公司、杭州联屏文化策划</w:t>
      </w:r>
      <w:r>
        <w:rPr>
          <w:spacing w:val="-63"/>
        </w:rPr>
        <w:t> </w:t>
      </w:r>
      <w:r>
        <w:rPr>
          <w:spacing w:val="-63"/>
        </w:rPr>
      </w:r>
      <w:r>
        <w:rPr/>
        <w:t>有限公司（合并期间）适用上述优惠税率。</w:t>
      </w:r>
    </w:p>
    <w:p>
      <w:pPr>
        <w:spacing w:line="240" w:lineRule="auto" w:before="11"/>
        <w:rPr>
          <w:rFonts w:ascii="宋体" w:hAnsi="宋体" w:cs="宋体" w:eastAsia="宋体" w:hint="default"/>
          <w:sz w:val="22"/>
          <w:szCs w:val="22"/>
        </w:rPr>
      </w:pPr>
    </w:p>
    <w:p>
      <w:pPr>
        <w:spacing w:line="487" w:lineRule="auto" w:before="0"/>
        <w:ind w:left="112" w:right="7863" w:firstLine="0"/>
        <w:jc w:val="left"/>
        <w:rPr>
          <w:rFonts w:ascii="宋体" w:hAnsi="宋体" w:cs="宋体" w:eastAsia="宋体" w:hint="default"/>
          <w:sz w:val="21"/>
          <w:szCs w:val="21"/>
        </w:rPr>
      </w:pPr>
      <w:bookmarkStart w:name="3、其他" w:id="236"/>
      <w:bookmarkEnd w:id="236"/>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七、合并财务报表项目注释" w:id="237"/>
      <w:bookmarkEnd w:id="237"/>
      <w:r>
        <w:rPr>
          <w:rFonts w:ascii="宋体" w:hAnsi="宋体" w:cs="宋体" w:eastAsia="宋体" w:hint="default"/>
          <w:b/>
          <w:bCs/>
          <w:w w:val="100"/>
          <w:sz w:val="21"/>
          <w:szCs w:val="21"/>
        </w:rPr>
      </w:r>
      <w:r>
        <w:rPr>
          <w:rFonts w:ascii="宋体" w:hAnsi="宋体" w:cs="宋体" w:eastAsia="宋体" w:hint="default"/>
          <w:b/>
          <w:bCs/>
          <w:sz w:val="24"/>
          <w:szCs w:val="24"/>
        </w:rPr>
        <w:t>七、合并财务报表项目注释</w:t>
      </w:r>
      <w:r>
        <w:rPr>
          <w:rFonts w:ascii="宋体" w:hAnsi="宋体" w:cs="宋体" w:eastAsia="宋体" w:hint="default"/>
          <w:b/>
          <w:bCs/>
          <w:w w:val="99"/>
          <w:sz w:val="24"/>
          <w:szCs w:val="24"/>
        </w:rPr>
        <w:t> </w:t>
      </w:r>
      <w:bookmarkStart w:name="1、货币资金" w:id="238"/>
      <w:bookmarkEnd w:id="23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pStyle w:val="BodyText"/>
        <w:spacing w:line="240" w:lineRule="auto" w:before="105"/>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036"/>
        <w:gridCol w:w="2268"/>
        <w:gridCol w:w="2266"/>
      </w:tblGrid>
      <w:tr>
        <w:trPr>
          <w:trHeight w:val="398"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库存现金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7,108.74</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3" w:right="0"/>
              <w:jc w:val="center"/>
              <w:rPr>
                <w:rFonts w:ascii="Times New Roman" w:hAnsi="Times New Roman" w:cs="Times New Roman" w:eastAsia="Times New Roman" w:hint="default"/>
                <w:sz w:val="18"/>
                <w:szCs w:val="18"/>
              </w:rPr>
            </w:pPr>
            <w:r>
              <w:rPr>
                <w:rFonts w:ascii="Times New Roman"/>
                <w:sz w:val="18"/>
              </w:rPr>
              <w:t>90.00</w:t>
            </w:r>
          </w:p>
        </w:tc>
      </w:tr>
      <w:tr>
        <w:trPr>
          <w:trHeight w:val="403"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银行存款</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1,185,299,989.14</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1,386,746,743.56</w:t>
            </w:r>
          </w:p>
        </w:tc>
      </w:tr>
      <w:tr>
        <w:trPr>
          <w:trHeight w:val="401"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其他货币资金</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10,183,249.04</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1,630.13</w:t>
            </w:r>
          </w:p>
        </w:tc>
      </w:tr>
      <w:tr>
        <w:trPr>
          <w:trHeight w:val="403"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1,195,490,346.92</w:t>
            </w:r>
          </w:p>
        </w:tc>
        <w:tc>
          <w:tcPr>
            <w:tcW w:w="22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1,386,748,463.69</w:t>
            </w:r>
          </w:p>
        </w:tc>
      </w:tr>
      <w:tr>
        <w:trPr>
          <w:trHeight w:val="401" w:hRule="exact"/>
        </w:trPr>
        <w:tc>
          <w:tcPr>
            <w:tcW w:w="50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因抵押、质押或冻结等对使用有限制的款项总额</w:t>
            </w:r>
          </w:p>
        </w:tc>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330,217,425.75</w:t>
            </w:r>
          </w:p>
        </w:tc>
        <w:tc>
          <w:tcPr>
            <w:tcW w:w="226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49"/>
        <w:ind w:right="3014"/>
        <w:jc w:val="left"/>
      </w:pPr>
      <w:r>
        <w:rPr/>
        <w:t>其他说明 注：截至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日，受限资金为</w:t>
      </w:r>
      <w:r>
        <w:rPr>
          <w:rFonts w:ascii="宋体" w:hAnsi="宋体" w:cs="宋体" w:eastAsia="宋体" w:hint="default"/>
        </w:rPr>
        <w:t>330,217,425.75</w:t>
      </w:r>
      <w:r>
        <w:rPr/>
        <w:t>元，均为冻结资金。无存放在境外的款项。</w:t>
      </w:r>
    </w:p>
    <w:p>
      <w:pPr>
        <w:spacing w:line="240" w:lineRule="auto" w:before="4"/>
        <w:rPr>
          <w:rFonts w:ascii="宋体" w:hAnsi="宋体" w:cs="宋体" w:eastAsia="宋体" w:hint="default"/>
          <w:sz w:val="20"/>
          <w:szCs w:val="20"/>
        </w:rPr>
      </w:pPr>
    </w:p>
    <w:p>
      <w:pPr>
        <w:pStyle w:val="Heading4"/>
        <w:spacing w:line="240" w:lineRule="auto"/>
        <w:ind w:right="986"/>
        <w:jc w:val="left"/>
        <w:rPr>
          <w:b w:val="0"/>
          <w:bCs w:val="0"/>
        </w:rPr>
      </w:pPr>
      <w:bookmarkStart w:name="2、交易性金融资产" w:id="239"/>
      <w:bookmarkEnd w:id="239"/>
      <w:r>
        <w:rPr>
          <w:b w:val="0"/>
          <w:bCs w:val="0"/>
        </w:rPr>
      </w: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0"/>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衍生金融资产" w:id="240"/>
      <w:bookmarkEnd w:id="240"/>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6"/>
        <w:jc w:val="left"/>
      </w:pPr>
      <w:r>
        <w:rPr/>
        <w:t>其他说明：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4、应收票据" w:id="241"/>
      <w:bookmarkEnd w:id="241"/>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应收票据分类列示" w:id="242"/>
      <w:bookmarkEnd w:id="242"/>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76,042,929.68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64,440,000.00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542,460.00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76,585,389.68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64,440,000.00</w:t>
            </w:r>
          </w:p>
        </w:tc>
      </w:tr>
    </w:tbl>
    <w:p>
      <w:pPr>
        <w:pStyle w:val="BodyText"/>
        <w:spacing w:line="240" w:lineRule="auto" w:before="49"/>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932"/>
        <w:gridCol w:w="797"/>
        <w:gridCol w:w="792"/>
      </w:tblGrid>
      <w:tr>
        <w:trPr>
          <w:trHeight w:val="399"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6"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302"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50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4" w:lineRule="auto"/>
              <w:ind w:left="302" w:right="119"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20"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04" w:right="120"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2" w:type="dxa"/>
            <w:vMerge/>
            <w:tcBorders>
              <w:left w:val="single" w:sz="4" w:space="0" w:color="000000"/>
              <w:bottom w:val="single" w:sz="4" w:space="0" w:color="000000"/>
              <w:right w:val="single" w:sz="4" w:space="0" w:color="000000"/>
            </w:tcBorders>
            <w:shd w:val="clear" w:color="auto" w:fill="D2D2D2"/>
          </w:tcPr>
          <w:p>
            <w:pPr/>
          </w:p>
        </w:tc>
      </w:tr>
      <w:tr>
        <w:trPr>
          <w:trHeight w:val="39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8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准备的应收票据</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76,585,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389.68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76,585,</w:t>
            </w:r>
          </w:p>
          <w:p>
            <w:pPr>
              <w:pStyle w:val="TableParagraph"/>
              <w:spacing w:line="240" w:lineRule="auto" w:before="105"/>
              <w:ind w:left="184" w:right="0"/>
              <w:jc w:val="left"/>
              <w:rPr>
                <w:rFonts w:ascii="Times New Roman" w:hAnsi="Times New Roman" w:cs="Times New Roman" w:eastAsia="Times New Roman" w:hint="default"/>
                <w:sz w:val="18"/>
                <w:szCs w:val="18"/>
              </w:rPr>
            </w:pPr>
            <w:r>
              <w:rPr>
                <w:rFonts w:ascii="Times New Roman"/>
                <w:sz w:val="18"/>
              </w:rPr>
              <w:t>389.68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64,440,</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64,440,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000.00</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76,042,</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929.68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99.29</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64,440,</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64,440,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000.00</w:t>
            </w:r>
          </w:p>
        </w:tc>
      </w:tr>
      <w:tr>
        <w:trPr>
          <w:trHeight w:val="713"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center"/>
              <w:rPr>
                <w:rFonts w:ascii="Times New Roman" w:hAnsi="Times New Roman" w:cs="Times New Roman" w:eastAsia="Times New Roman" w:hint="default"/>
                <w:sz w:val="18"/>
                <w:szCs w:val="18"/>
              </w:rPr>
            </w:pPr>
            <w:r>
              <w:rPr>
                <w:rFonts w:ascii="Times New Roman"/>
                <w:sz w:val="18"/>
              </w:rPr>
              <w:t>542,46</w:t>
            </w:r>
          </w:p>
          <w:p>
            <w:pPr>
              <w:pStyle w:val="TableParagraph"/>
              <w:spacing w:line="240" w:lineRule="auto" w:before="105"/>
              <w:ind w:left="238" w:right="0"/>
              <w:jc w:val="center"/>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7" w:right="0"/>
              <w:jc w:val="left"/>
              <w:rPr>
                <w:rFonts w:ascii="Times New Roman" w:hAnsi="Times New Roman" w:cs="Times New Roman" w:eastAsia="Times New Roman" w:hint="default"/>
                <w:sz w:val="18"/>
                <w:szCs w:val="18"/>
              </w:rPr>
            </w:pPr>
            <w:r>
              <w:rPr>
                <w:rFonts w:ascii="Times New Roman"/>
                <w:sz w:val="18"/>
              </w:rPr>
              <w:t>0.71%</w:t>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4" w:right="0"/>
              <w:jc w:val="center"/>
              <w:rPr>
                <w:rFonts w:ascii="Times New Roman" w:hAnsi="Times New Roman" w:cs="Times New Roman" w:eastAsia="Times New Roman" w:hint="default"/>
                <w:sz w:val="18"/>
                <w:szCs w:val="18"/>
              </w:rPr>
            </w:pPr>
            <w:r>
              <w:rPr>
                <w:rFonts w:ascii="Times New Roman"/>
                <w:sz w:val="18"/>
              </w:rPr>
              <w:t>542,46</w:t>
            </w:r>
          </w:p>
          <w:p>
            <w:pPr>
              <w:pStyle w:val="TableParagraph"/>
              <w:spacing w:line="240" w:lineRule="auto" w:before="105"/>
              <w:ind w:left="264" w:right="0"/>
              <w:jc w:val="center"/>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76,585,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389.68</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9" w:right="0"/>
              <w:jc w:val="left"/>
              <w:rPr>
                <w:rFonts w:ascii="Times New Roman" w:hAnsi="Times New Roman" w:cs="Times New Roman" w:eastAsia="Times New Roman" w:hint="default"/>
                <w:sz w:val="18"/>
                <w:szCs w:val="18"/>
              </w:rPr>
            </w:pPr>
            <w:r>
              <w:rPr>
                <w:rFonts w:ascii="Times New Roman"/>
                <w:sz w:val="18"/>
              </w:rPr>
              <w:t>76,585,</w:t>
            </w:r>
          </w:p>
          <w:p>
            <w:pPr>
              <w:pStyle w:val="TableParagraph"/>
              <w:spacing w:line="240" w:lineRule="auto" w:before="105"/>
              <w:ind w:left="184" w:right="0"/>
              <w:jc w:val="left"/>
              <w:rPr>
                <w:rFonts w:ascii="Times New Roman" w:hAnsi="Times New Roman" w:cs="Times New Roman" w:eastAsia="Times New Roman" w:hint="default"/>
                <w:sz w:val="18"/>
                <w:szCs w:val="18"/>
              </w:rPr>
            </w:pPr>
            <w:r>
              <w:rPr>
                <w:rFonts w:ascii="Times New Roman"/>
                <w:sz w:val="18"/>
              </w:rPr>
              <w:t>389.68</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left"/>
              <w:rPr>
                <w:rFonts w:ascii="Times New Roman" w:hAnsi="Times New Roman" w:cs="Times New Roman" w:eastAsia="Times New Roman" w:hint="default"/>
                <w:sz w:val="18"/>
                <w:szCs w:val="18"/>
              </w:rPr>
            </w:pPr>
            <w:r>
              <w:rPr>
                <w:rFonts w:ascii="Times New Roman"/>
                <w:sz w:val="18"/>
              </w:rPr>
              <w:t>64,440,</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2"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1" w:right="0"/>
              <w:jc w:val="left"/>
              <w:rPr>
                <w:rFonts w:ascii="Times New Roman" w:hAnsi="Times New Roman" w:cs="Times New Roman" w:eastAsia="Times New Roman" w:hint="default"/>
                <w:sz w:val="18"/>
                <w:szCs w:val="18"/>
              </w:rPr>
            </w:pPr>
            <w:r>
              <w:rPr>
                <w:rFonts w:ascii="Times New Roman"/>
                <w:sz w:val="18"/>
              </w:rPr>
              <w:t>64,440,</w:t>
            </w:r>
          </w:p>
          <w:p>
            <w:pPr>
              <w:pStyle w:val="TableParagraph"/>
              <w:spacing w:line="240" w:lineRule="auto" w:before="105"/>
              <w:ind w:left="187" w:right="0"/>
              <w:jc w:val="left"/>
              <w:rPr>
                <w:rFonts w:ascii="Times New Roman" w:hAnsi="Times New Roman" w:cs="Times New Roman" w:eastAsia="Times New Roman" w:hint="default"/>
                <w:sz w:val="18"/>
                <w:szCs w:val="18"/>
              </w:rPr>
            </w:pPr>
            <w:r>
              <w:rPr>
                <w:rFonts w:ascii="Times New Roman"/>
                <w:sz w:val="18"/>
              </w:rPr>
              <w:t>000.00</w:t>
            </w:r>
          </w:p>
        </w:tc>
      </w:tr>
    </w:tbl>
    <w:p>
      <w:pPr>
        <w:pStyle w:val="BodyText"/>
        <w:spacing w:line="240" w:lineRule="auto" w:before="49"/>
        <w:ind w:right="986"/>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0</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986"/>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986"/>
        <w:jc w:val="left"/>
      </w:pPr>
      <w:r>
        <w:rPr/>
        <w:t>按组合计提坏账准备：</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240" w:lineRule="auto" w:before="49"/>
        <w:ind w:right="986"/>
        <w:jc w:val="left"/>
      </w:pPr>
      <w:r>
        <w:rPr/>
        <w:t>确定该组合依据的说明：</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ind w:right="986"/>
        <w:jc w:val="left"/>
      </w:pPr>
      <w:r>
        <w:rPr/>
        <w:t>如是按照预期信用损失一般模型计提应收票据坏账准备，请参照其他应收款的披露方式披露坏账准备的相关信息：</w:t>
      </w:r>
    </w:p>
    <w:p>
      <w:pPr>
        <w:pStyle w:val="BodyText"/>
        <w:spacing w:line="240" w:lineRule="auto" w:before="117"/>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本期计提、收回或转回的坏账准备情况" w:id="243"/>
      <w:bookmarkEnd w:id="24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986"/>
        <w:jc w:val="left"/>
      </w:pPr>
      <w:r>
        <w:rPr/>
        <w:t>其中本期坏账准备收回或转回金额重要的：</w:t>
      </w:r>
    </w:p>
    <w:p>
      <w:pPr>
        <w:pStyle w:val="BodyText"/>
        <w:spacing w:line="240" w:lineRule="auto" w:before="115"/>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1"/>
        <w:ind w:right="986"/>
        <w:jc w:val="left"/>
        <w:rPr>
          <w:b w:val="0"/>
          <w:bCs w:val="0"/>
        </w:rPr>
      </w:pPr>
      <w:bookmarkStart w:name="（3）期末公司已质押的应收票据" w:id="244"/>
      <w:bookmarkEnd w:id="244"/>
      <w:r>
        <w:rPr>
          <w:b w:val="0"/>
          <w:bCs w:val="0"/>
        </w:rPr>
      </w:r>
      <w:r>
        <w:rPr/>
        <w:t>（</w:t>
      </w:r>
      <w:r>
        <w:rPr>
          <w:rFonts w:ascii="Times New Roman" w:hAnsi="Times New Roman" w:cs="Times New Roman" w:eastAsia="Times New Roman" w:hint="default"/>
        </w:rPr>
        <w:t>3</w:t>
      </w:r>
      <w:r>
        <w:rPr/>
        <w:t>）期末公司已质押的应收票据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4）期末公司已背书或贴现且在资产负债表日尚未到期的应收票据" w:id="245"/>
      <w:bookmarkEnd w:id="245"/>
      <w:r>
        <w:rPr>
          <w:b w:val="0"/>
          <w:bCs w:val="0"/>
        </w:rPr>
      </w:r>
      <w:r>
        <w:rPr/>
        <w:t>（</w:t>
      </w:r>
      <w:r>
        <w:rPr>
          <w:rFonts w:ascii="Times New Roman" w:hAnsi="Times New Roman" w:cs="Times New Roman" w:eastAsia="Times New Roman" w:hint="default"/>
        </w:rPr>
        <w:t>4</w:t>
      </w:r>
      <w:r>
        <w:rPr/>
        <w:t>）期末公司已背书或贴现且在资产负债表日尚未到期的应收票据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79"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112,825,000.00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112,825,000.00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5）期末公司因出票人未履约而将其转应收账款的票据" w:id="246"/>
      <w:bookmarkEnd w:id="246"/>
      <w:r>
        <w:rPr>
          <w:b w:val="0"/>
          <w:bCs w:val="0"/>
        </w:rPr>
      </w:r>
      <w:r>
        <w:rPr/>
        <w:t>（</w:t>
      </w:r>
      <w:r>
        <w:rPr>
          <w:rFonts w:ascii="Times New Roman" w:hAnsi="Times New Roman" w:cs="Times New Roman" w:eastAsia="Times New Roman" w:hint="default"/>
        </w:rPr>
        <w:t>5</w:t>
      </w:r>
      <w:r>
        <w:rPr/>
        <w:t>）期末公司因出票人未履约而将其转应收账款的票据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9" w:right="0"/>
              <w:jc w:val="left"/>
              <w:rPr>
                <w:rFonts w:ascii="宋体" w:hAnsi="宋体" w:cs="宋体" w:eastAsia="宋体" w:hint="default"/>
                <w:sz w:val="18"/>
                <w:szCs w:val="18"/>
              </w:rPr>
            </w:pPr>
            <w:r>
              <w:rPr>
                <w:rFonts w:ascii="宋体" w:hAnsi="宋体" w:cs="宋体" w:eastAsia="宋体" w:hint="default"/>
                <w:sz w:val="18"/>
                <w:szCs w:val="18"/>
              </w:rPr>
              <w:t>期末转应收账款金额</w:t>
            </w:r>
          </w:p>
        </w:tc>
      </w:tr>
    </w:tbl>
    <w:p>
      <w:pPr>
        <w:pStyle w:val="BodyText"/>
        <w:spacing w:line="240" w:lineRule="auto" w:before="50"/>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6）本期实际核销的应收票据情况" w:id="247"/>
      <w:bookmarkEnd w:id="247"/>
      <w:r>
        <w:rPr>
          <w:b w:val="0"/>
          <w:bCs w:val="0"/>
        </w:rPr>
      </w:r>
      <w:r>
        <w:rPr/>
        <w:t>（</w:t>
      </w:r>
      <w:r>
        <w:rPr>
          <w:rFonts w:ascii="Times New Roman" w:hAnsi="Times New Roman" w:cs="Times New Roman" w:eastAsia="Times New Roman" w:hint="default"/>
        </w:rPr>
        <w:t>6</w:t>
      </w:r>
      <w:r>
        <w:rPr/>
        <w:t>）本期实际核销的应收票据情况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986"/>
        <w:jc w:val="left"/>
      </w:pPr>
      <w:r>
        <w:rPr/>
        <w:t>其中重要的应收票据核销情况：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2" w:right="161"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240" w:lineRule="auto" w:before="49"/>
        <w:ind w:right="986"/>
        <w:jc w:val="left"/>
      </w:pPr>
      <w:r>
        <w:rPr/>
        <w:t>应收票据核销说明：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5、应收账款" w:id="248"/>
      <w:bookmarkEnd w:id="248"/>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应收账款分类披露" w:id="249"/>
      <w:bookmarkEnd w:id="249"/>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35"/>
        <w:gridCol w:w="763"/>
        <w:gridCol w:w="764"/>
        <w:gridCol w:w="761"/>
        <w:gridCol w:w="763"/>
        <w:gridCol w:w="790"/>
        <w:gridCol w:w="775"/>
        <w:gridCol w:w="797"/>
        <w:gridCol w:w="800"/>
        <w:gridCol w:w="790"/>
        <w:gridCol w:w="931"/>
      </w:tblGrid>
      <w:tr>
        <w:trPr>
          <w:trHeight w:val="396" w:hRule="exact"/>
        </w:trPr>
        <w:tc>
          <w:tcPr>
            <w:tcW w:w="163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4"/>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tcBorders>
              <w:left w:val="single" w:sz="4" w:space="0" w:color="000000"/>
              <w:right w:val="single" w:sz="4" w:space="0" w:color="000000"/>
            </w:tcBorders>
            <w:shd w:val="clear" w:color="auto" w:fill="D2D2D2"/>
          </w:tcPr>
          <w:p>
            <w:pP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02" w:right="117" w:hanging="180"/>
              <w:jc w:val="left"/>
              <w:rPr>
                <w:rFonts w:ascii="宋体" w:hAnsi="宋体" w:cs="宋体" w:eastAsia="宋体" w:hint="default"/>
                <w:sz w:val="18"/>
                <w:szCs w:val="18"/>
              </w:rPr>
            </w:pPr>
            <w:r>
              <w:rPr>
                <w:rFonts w:ascii="宋体" w:hAnsi="宋体" w:cs="宋体" w:eastAsia="宋体" w:hint="default"/>
                <w:sz w:val="18"/>
                <w:szCs w:val="18"/>
              </w:rPr>
              <w:t>账面价 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
              <w:ind w:right="0"/>
              <w:jc w:val="left"/>
              <w:rPr>
                <w:rFonts w:ascii="宋体" w:hAnsi="宋体" w:cs="宋体" w:eastAsia="宋体" w:hint="default"/>
                <w:sz w:val="19"/>
                <w:szCs w:val="19"/>
              </w:rPr>
            </w:pPr>
          </w:p>
          <w:p>
            <w:pPr>
              <w:pStyle w:val="TableParagraph"/>
              <w:spacing w:line="316" w:lineRule="auto"/>
              <w:ind w:left="369"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713"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8" w:right="10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99" w:right="119"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61"/>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355,82</w:t>
            </w:r>
          </w:p>
          <w:p>
            <w:pPr>
              <w:pStyle w:val="TableParagraph"/>
              <w:spacing w:line="240" w:lineRule="auto" w:before="105"/>
              <w:ind w:left="238" w:right="0"/>
              <w:jc w:val="center"/>
              <w:rPr>
                <w:rFonts w:ascii="Times New Roman" w:hAnsi="Times New Roman" w:cs="Times New Roman" w:eastAsia="Times New Roman" w:hint="default"/>
                <w:sz w:val="18"/>
                <w:szCs w:val="18"/>
              </w:rPr>
            </w:pPr>
            <w:r>
              <w:rPr>
                <w:rFonts w:ascii="Times New Roman"/>
                <w:sz w:val="18"/>
              </w:rPr>
              <w:t>1.87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0.11%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355,82</w:t>
            </w:r>
          </w:p>
          <w:p>
            <w:pPr>
              <w:pStyle w:val="TableParagraph"/>
              <w:spacing w:line="240" w:lineRule="auto" w:before="105"/>
              <w:ind w:left="235" w:right="0"/>
              <w:jc w:val="center"/>
              <w:rPr>
                <w:rFonts w:ascii="Times New Roman" w:hAnsi="Times New Roman" w:cs="Times New Roman" w:eastAsia="Times New Roman" w:hint="default"/>
                <w:sz w:val="18"/>
                <w:szCs w:val="18"/>
              </w:rPr>
            </w:pPr>
            <w:r>
              <w:rPr>
                <w:rFonts w:ascii="Times New Roman"/>
                <w:sz w:val="18"/>
              </w:rPr>
              <w:t>1.87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334,70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5,571.3</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37.36%</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334,70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5,571.3</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6</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1"/>
              <w:jc w:val="both"/>
              <w:rPr>
                <w:rFonts w:ascii="宋体" w:hAnsi="宋体" w:cs="宋体" w:eastAsia="宋体" w:hint="default"/>
                <w:sz w:val="18"/>
                <w:szCs w:val="18"/>
              </w:rPr>
            </w:pPr>
            <w:r>
              <w:rPr>
                <w:rFonts w:ascii="宋体" w:hAnsi="宋体" w:cs="宋体" w:eastAsia="宋体" w:hint="default"/>
                <w:sz w:val="18"/>
                <w:szCs w:val="18"/>
              </w:rPr>
              <w:t>单项金额重大并 单独计提坏账准 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284,10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3,376.4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31.72%</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284,10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3,376.4</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61"/>
              <w:jc w:val="both"/>
              <w:rPr>
                <w:rFonts w:ascii="宋体" w:hAnsi="宋体" w:cs="宋体" w:eastAsia="宋体" w:hint="default"/>
                <w:sz w:val="18"/>
                <w:szCs w:val="18"/>
              </w:rPr>
            </w:pPr>
            <w:r>
              <w:rPr>
                <w:rFonts w:ascii="宋体" w:hAnsi="宋体" w:cs="宋体" w:eastAsia="宋体" w:hint="default"/>
                <w:sz w:val="18"/>
                <w:szCs w:val="18"/>
              </w:rPr>
              <w:t>单项金额不重大 但单独计提坏账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8" w:right="0"/>
              <w:jc w:val="center"/>
              <w:rPr>
                <w:rFonts w:ascii="Times New Roman" w:hAnsi="Times New Roman" w:cs="Times New Roman" w:eastAsia="Times New Roman" w:hint="default"/>
                <w:sz w:val="18"/>
                <w:szCs w:val="18"/>
              </w:rPr>
            </w:pPr>
            <w:r>
              <w:rPr>
                <w:rFonts w:ascii="Times New Roman"/>
                <w:sz w:val="18"/>
              </w:rPr>
              <w:t>355,82</w:t>
            </w:r>
          </w:p>
          <w:p>
            <w:pPr>
              <w:pStyle w:val="TableParagraph"/>
              <w:spacing w:line="240" w:lineRule="auto" w:before="105"/>
              <w:ind w:left="238" w:right="0"/>
              <w:jc w:val="center"/>
              <w:rPr>
                <w:rFonts w:ascii="Times New Roman" w:hAnsi="Times New Roman" w:cs="Times New Roman" w:eastAsia="Times New Roman" w:hint="default"/>
                <w:sz w:val="18"/>
                <w:szCs w:val="18"/>
              </w:rPr>
            </w:pPr>
            <w:r>
              <w:rPr>
                <w:rFonts w:ascii="Times New Roman"/>
                <w:sz w:val="18"/>
              </w:rPr>
              <w:t>1.87</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94" w:right="0"/>
              <w:jc w:val="left"/>
              <w:rPr>
                <w:rFonts w:ascii="Times New Roman" w:hAnsi="Times New Roman" w:cs="Times New Roman" w:eastAsia="Times New Roman" w:hint="default"/>
                <w:sz w:val="18"/>
                <w:szCs w:val="18"/>
              </w:rPr>
            </w:pPr>
            <w:r>
              <w:rPr>
                <w:rFonts w:ascii="Times New Roman"/>
                <w:sz w:val="18"/>
              </w:rPr>
              <w:t>0.11%</w:t>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center"/>
              <w:rPr>
                <w:rFonts w:ascii="Times New Roman" w:hAnsi="Times New Roman" w:cs="Times New Roman" w:eastAsia="Times New Roman" w:hint="default"/>
                <w:sz w:val="18"/>
                <w:szCs w:val="18"/>
              </w:rPr>
            </w:pPr>
            <w:r>
              <w:rPr>
                <w:rFonts w:ascii="Times New Roman"/>
                <w:sz w:val="18"/>
              </w:rPr>
              <w:t>355,82</w:t>
            </w:r>
          </w:p>
          <w:p>
            <w:pPr>
              <w:pStyle w:val="TableParagraph"/>
              <w:spacing w:line="240" w:lineRule="auto" w:before="105"/>
              <w:ind w:left="235" w:right="0"/>
              <w:jc w:val="center"/>
              <w:rPr>
                <w:rFonts w:ascii="Times New Roman" w:hAnsi="Times New Roman" w:cs="Times New Roman" w:eastAsia="Times New Roman" w:hint="default"/>
                <w:sz w:val="18"/>
                <w:szCs w:val="18"/>
              </w:rPr>
            </w:pPr>
            <w:r>
              <w:rPr>
                <w:rFonts w:ascii="Times New Roman"/>
                <w:sz w:val="18"/>
              </w:rPr>
              <w:t>1.87</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2" w:right="0"/>
              <w:jc w:val="left"/>
              <w:rPr>
                <w:rFonts w:ascii="Times New Roman" w:hAnsi="Times New Roman" w:cs="Times New Roman" w:eastAsia="Times New Roman" w:hint="default"/>
                <w:sz w:val="18"/>
                <w:szCs w:val="18"/>
              </w:rPr>
            </w:pPr>
            <w:r>
              <w:rPr>
                <w:rFonts w:ascii="Times New Roman"/>
                <w:sz w:val="18"/>
              </w:rPr>
              <w:t>50,602,</w:t>
            </w:r>
          </w:p>
          <w:p>
            <w:pPr>
              <w:pStyle w:val="TableParagraph"/>
              <w:spacing w:line="240" w:lineRule="auto" w:before="105"/>
              <w:ind w:left="168" w:right="0"/>
              <w:jc w:val="left"/>
              <w:rPr>
                <w:rFonts w:ascii="Times New Roman" w:hAnsi="Times New Roman" w:cs="Times New Roman" w:eastAsia="Times New Roman" w:hint="default"/>
                <w:sz w:val="18"/>
                <w:szCs w:val="18"/>
              </w:rPr>
            </w:pPr>
            <w:r>
              <w:rPr>
                <w:rFonts w:ascii="Times New Roman"/>
                <w:sz w:val="18"/>
              </w:rPr>
              <w:t>194.91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5.64%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50,602,</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194.91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03"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326,95</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3,241.6</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99.89</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26,519,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103.59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2"/>
                <w:sz w:val="18"/>
              </w:rPr>
              <w:t>8.11%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300,43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4,138.0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561,07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9,755.7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62.64%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5,431,8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73.68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0.97%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555,647,</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882.09</w:t>
            </w: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027"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226,51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9,908.3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69.21</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26,519,</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103.59</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2"/>
                <w:sz w:val="18"/>
              </w:rPr>
              <w:t>11.71</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200,00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0,804.7</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561,07</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9,755.7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5"/>
              <w:jc w:val="right"/>
              <w:rPr>
                <w:rFonts w:ascii="Times New Roman" w:hAnsi="Times New Roman" w:cs="Times New Roman" w:eastAsia="Times New Roman" w:hint="default"/>
                <w:sz w:val="18"/>
                <w:szCs w:val="18"/>
              </w:rPr>
            </w:pPr>
            <w:r>
              <w:rPr>
                <w:rFonts w:ascii="Times New Roman"/>
                <w:sz w:val="18"/>
              </w:rPr>
              <w:t>62.64%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 w:right="0"/>
              <w:jc w:val="center"/>
              <w:rPr>
                <w:rFonts w:ascii="Times New Roman" w:hAnsi="Times New Roman" w:cs="Times New Roman" w:eastAsia="Times New Roman" w:hint="default"/>
                <w:sz w:val="18"/>
                <w:szCs w:val="18"/>
              </w:rPr>
            </w:pPr>
            <w:r>
              <w:rPr>
                <w:rFonts w:ascii="Times New Roman"/>
                <w:sz w:val="18"/>
              </w:rPr>
              <w:t>5,431,8</w:t>
            </w:r>
          </w:p>
          <w:p>
            <w:pPr>
              <w:pStyle w:val="TableParagraph"/>
              <w:spacing w:line="240" w:lineRule="auto" w:before="105"/>
              <w:ind w:left="182" w:right="0"/>
              <w:jc w:val="center"/>
              <w:rPr>
                <w:rFonts w:ascii="Times New Roman" w:hAnsi="Times New Roman" w:cs="Times New Roman" w:eastAsia="Times New Roman" w:hint="default"/>
                <w:sz w:val="18"/>
                <w:szCs w:val="18"/>
              </w:rPr>
            </w:pPr>
            <w:r>
              <w:rPr>
                <w:rFonts w:ascii="Times New Roman"/>
                <w:sz w:val="18"/>
              </w:rPr>
              <w:t>73.68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0.97%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555,647,</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882.09</w:t>
            </w:r>
          </w:p>
        </w:tc>
      </w:tr>
      <w:tr>
        <w:trPr>
          <w:trHeight w:val="1025"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保理业务组合</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100,43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3,333.3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z w:val="18"/>
              </w:rPr>
              <w:t>30.68</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100,43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3,333.3</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3</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327,30</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9,063.5</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26,874,</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925.46</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8.21%</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300,43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4,138.0</w:t>
            </w:r>
          </w:p>
          <w:p>
            <w:pPr>
              <w:pStyle w:val="TableParagraph"/>
              <w:spacing w:line="240" w:lineRule="auto" w:before="105"/>
              <w:ind w:right="101"/>
              <w:jc w:val="right"/>
              <w:rPr>
                <w:rFonts w:ascii="Times New Roman" w:hAnsi="Times New Roman" w:cs="Times New Roman" w:eastAsia="Times New Roman" w:hint="default"/>
                <w:sz w:val="18"/>
                <w:szCs w:val="18"/>
              </w:rPr>
            </w:pPr>
            <w:r>
              <w:rPr>
                <w:rFonts w:ascii="Times New Roman"/>
                <w:sz w:val="18"/>
              </w:rPr>
              <w:t>5</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895,78</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pacing w:val="-1"/>
                <w:sz w:val="18"/>
              </w:rPr>
              <w:t>5,327.1</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100.00</w:t>
            </w:r>
          </w:p>
          <w:p>
            <w:pPr>
              <w:pStyle w:val="TableParagraph"/>
              <w:spacing w:line="240" w:lineRule="auto" w:before="105"/>
              <w:ind w:right="97"/>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340,13</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pacing w:val="-1"/>
                <w:sz w:val="18"/>
              </w:rPr>
              <w:t>7,445.0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37.97%</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Times New Roman" w:hAnsi="Times New Roman" w:cs="Times New Roman" w:eastAsia="Times New Roman" w:hint="default"/>
                <w:sz w:val="18"/>
                <w:szCs w:val="18"/>
              </w:rPr>
            </w:pPr>
            <w:r>
              <w:rPr>
                <w:rFonts w:ascii="Times New Roman"/>
                <w:sz w:val="18"/>
              </w:rPr>
              <w:t>555,647,</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882.09</w:t>
            </w:r>
          </w:p>
        </w:tc>
      </w:tr>
    </w:tbl>
    <w:p>
      <w:pPr>
        <w:pStyle w:val="BodyText"/>
        <w:spacing w:line="240" w:lineRule="auto" w:before="49"/>
        <w:ind w:right="986"/>
        <w:jc w:val="left"/>
        <w:rPr>
          <w:rFonts w:ascii="Times New Roman" w:hAnsi="Times New Roman" w:cs="Times New Roman" w:eastAsia="Times New Roman" w:hint="default"/>
        </w:rPr>
      </w:pPr>
      <w:r>
        <w:rPr/>
        <w:t>按单项计提坏账准备：</w:t>
      </w:r>
      <w:r>
        <w:rPr>
          <w:rFonts w:ascii="Times New Roman" w:hAnsi="Times New Roman" w:cs="Times New Roman" w:eastAsia="Times New Roman" w:hint="default"/>
        </w:rPr>
        <w:t>355,821.87</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593"/>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上海掌握广告传播有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0.40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40"/>
              <w:jc w:val="right"/>
              <w:rPr>
                <w:rFonts w:ascii="宋体" w:hAnsi="宋体" w:cs="宋体" w:eastAsia="宋体" w:hint="default"/>
                <w:sz w:val="18"/>
                <w:szCs w:val="18"/>
              </w:rPr>
            </w:pPr>
            <w:r>
              <w:rPr>
                <w:rFonts w:ascii="宋体" w:hAnsi="宋体" w:cs="宋体" w:eastAsia="宋体" w:hint="default"/>
                <w:sz w:val="18"/>
                <w:szCs w:val="18"/>
              </w:rPr>
              <w:t>收回可能性极小</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103" w:right="0"/>
              <w:jc w:val="left"/>
              <w:rPr>
                <w:rFonts w:ascii="宋体" w:hAnsi="宋体" w:cs="宋体" w:eastAsia="宋体" w:hint="default"/>
                <w:sz w:val="18"/>
                <w:szCs w:val="18"/>
              </w:rPr>
            </w:pPr>
            <w:r>
              <w:rPr>
                <w:rFonts w:ascii="宋体" w:hAnsi="宋体" w:cs="宋体" w:eastAsia="宋体" w:hint="default"/>
                <w:sz w:val="18"/>
                <w:szCs w:val="18"/>
              </w:rPr>
              <w:t>中国农业银行股份有</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2,574.28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w w:val="95"/>
                <w:sz w:val="18"/>
              </w:rPr>
              <w:t>2,574.28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40"/>
              <w:jc w:val="right"/>
              <w:rPr>
                <w:rFonts w:ascii="宋体" w:hAnsi="宋体" w:cs="宋体" w:eastAsia="宋体" w:hint="default"/>
                <w:sz w:val="18"/>
                <w:szCs w:val="18"/>
              </w:rPr>
            </w:pPr>
            <w:r>
              <w:rPr>
                <w:rFonts w:ascii="宋体" w:hAnsi="宋体" w:cs="宋体" w:eastAsia="宋体" w:hint="default"/>
                <w:sz w:val="18"/>
                <w:szCs w:val="18"/>
              </w:rPr>
              <w:t>收回可能性极小</w:t>
            </w:r>
          </w:p>
        </w:tc>
      </w:tr>
    </w:tbl>
    <w:p>
      <w:pPr>
        <w:spacing w:after="0" w:line="240" w:lineRule="auto"/>
        <w:jc w:val="right"/>
        <w:rPr>
          <w:rFonts w:ascii="宋体" w:hAnsi="宋体" w:cs="宋体" w:eastAsia="宋体" w:hint="default"/>
          <w:sz w:val="18"/>
          <w:szCs w:val="18"/>
        </w:rPr>
        <w:sectPr>
          <w:footerReference w:type="default" r:id="rId18"/>
          <w:pgSz w:w="11910" w:h="16840"/>
          <w:pgMar w:footer="1021" w:header="906" w:top="1100" w:bottom="1220" w:left="1020" w:right="0"/>
          <w:pgNumType w:start="12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67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78"/>
              <w:jc w:val="left"/>
              <w:rPr>
                <w:rFonts w:ascii="宋体" w:hAnsi="宋体" w:cs="宋体" w:eastAsia="宋体" w:hint="default"/>
                <w:sz w:val="18"/>
                <w:szCs w:val="18"/>
              </w:rPr>
            </w:pPr>
            <w:r>
              <w:rPr>
                <w:rFonts w:ascii="宋体" w:hAnsi="宋体" w:cs="宋体" w:eastAsia="宋体" w:hint="default"/>
                <w:sz w:val="18"/>
                <w:szCs w:val="18"/>
              </w:rPr>
              <w:t>限公司湖南省分行营 业部</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8"/>
              <w:jc w:val="left"/>
              <w:rPr>
                <w:rFonts w:ascii="宋体" w:hAnsi="宋体" w:cs="宋体" w:eastAsia="宋体" w:hint="default"/>
                <w:sz w:val="18"/>
                <w:szCs w:val="18"/>
              </w:rPr>
            </w:pPr>
            <w:r>
              <w:rPr>
                <w:rFonts w:ascii="宋体" w:hAnsi="宋体" w:cs="宋体" w:eastAsia="宋体" w:hint="default"/>
                <w:sz w:val="18"/>
                <w:szCs w:val="18"/>
              </w:rPr>
              <w:t>沈阳维方广告传媒有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353,247.19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3"/>
              <w:jc w:val="right"/>
              <w:rPr>
                <w:rFonts w:ascii="Times New Roman" w:hAnsi="Times New Roman" w:cs="Times New Roman" w:eastAsia="Times New Roman" w:hint="default"/>
                <w:sz w:val="18"/>
                <w:szCs w:val="18"/>
              </w:rPr>
            </w:pPr>
            <w:r>
              <w:rPr>
                <w:rFonts w:ascii="Times New Roman"/>
                <w:spacing w:val="-1"/>
                <w:sz w:val="18"/>
              </w:rPr>
              <w:t>353,247.19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4" w:right="0"/>
              <w:jc w:val="left"/>
              <w:rPr>
                <w:rFonts w:ascii="Times New Roman" w:hAnsi="Times New Roman" w:cs="Times New Roman" w:eastAsia="Times New Roman" w:hint="default"/>
                <w:sz w:val="18"/>
                <w:szCs w:val="18"/>
              </w:rPr>
            </w:pPr>
            <w:r>
              <w:rPr>
                <w:rFonts w:ascii="Times New Roman"/>
                <w:sz w:val="18"/>
              </w:rPr>
              <w:t>100.00%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收回可能性极小</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355,821.87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355,821.87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986"/>
        <w:jc w:val="left"/>
        <w:rPr>
          <w:rFonts w:ascii="Times New Roman" w:hAnsi="Times New Roman" w:cs="Times New Roman" w:eastAsia="Times New Roman" w:hint="default"/>
        </w:rPr>
      </w:pPr>
      <w:r>
        <w:rPr/>
        <w:t>按组合计提坏账准备：</w:t>
      </w:r>
      <w:r>
        <w:rPr>
          <w:spacing w:val="-4"/>
        </w:rPr>
        <w:t> </w:t>
      </w:r>
      <w:r>
        <w:rPr>
          <w:rFonts w:ascii="Times New Roman" w:hAnsi="Times New Roman" w:cs="Times New Roman" w:eastAsia="Times New Roman" w:hint="default"/>
        </w:rPr>
        <w:t>26,519,103.59</w:t>
      </w:r>
    </w:p>
    <w:p>
      <w:pPr>
        <w:pStyle w:val="BodyText"/>
        <w:spacing w:line="240" w:lineRule="auto" w:before="102"/>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3"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31,861,330.85</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68,958,954.98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1,379,179.10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2.00%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125,699,622.48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25,139,924.49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226,519,908.31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26,519,103.59</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1020" w:right="0"/>
        </w:sectPr>
      </w:pPr>
    </w:p>
    <w:p>
      <w:pPr>
        <w:pStyle w:val="BodyText"/>
        <w:spacing w:line="360" w:lineRule="auto" w:before="49"/>
        <w:ind w:right="-20"/>
        <w:jc w:val="left"/>
        <w:rPr>
          <w:rFonts w:ascii="Times New Roman" w:hAnsi="Times New Roman" w:cs="Times New Roman" w:eastAsia="Times New Roman" w:hint="default"/>
        </w:rPr>
      </w:pPr>
      <w:r>
        <w:rPr/>
        <w:t>确定该组合依据的说明： 按组合计提坏账准备：</w:t>
      </w:r>
      <w:r>
        <w:rPr>
          <w:rFonts w:ascii="Times New Roman" w:hAnsi="Times New Roman" w:cs="Times New Roman" w:eastAsia="Times New Roman" w:hint="default"/>
        </w:rPr>
        <w:t>0</w:t>
      </w:r>
    </w:p>
    <w:p>
      <w:pPr>
        <w:spacing w:line="240" w:lineRule="auto" w:before="0"/>
        <w:rPr>
          <w:rFonts w:ascii="Times New Roman" w:hAnsi="Times New Roman" w:cs="Times New Roman" w:eastAsia="Times New Roman" w:hint="default"/>
          <w:sz w:val="18"/>
          <w:szCs w:val="18"/>
        </w:rPr>
      </w:pPr>
      <w:r>
        <w:rPr/>
        <w:br w:type="column"/>
      </w:r>
      <w:r>
        <w:rPr>
          <w:rFonts w:ascii="Times New Roman"/>
          <w:sz w:val="18"/>
        </w:rPr>
      </w: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31"/>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2093" w:space="6736"/>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3"/>
        <w:gridCol w:w="2391"/>
        <w:gridCol w:w="2393"/>
        <w:gridCol w:w="2393"/>
      </w:tblGrid>
      <w:tr>
        <w:trPr>
          <w:trHeight w:val="402" w:hRule="exact"/>
        </w:trPr>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正常类</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100,433,333.33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关注类</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次级类</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100,433,333.33</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100" w:bottom="1220" w:left="1020" w:right="0"/>
        </w:sectPr>
      </w:pPr>
    </w:p>
    <w:p>
      <w:pPr>
        <w:pStyle w:val="BodyText"/>
        <w:spacing w:line="357" w:lineRule="auto" w:before="49"/>
        <w:ind w:right="-20"/>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2093" w:space="6736"/>
            <w:col w:w="206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6"/>
      </w:tblGrid>
      <w:tr>
        <w:trPr>
          <w:trHeight w:val="401"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57"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240" w:lineRule="auto" w:before="29"/>
        <w:ind w:right="986"/>
        <w:jc w:val="left"/>
      </w:pPr>
      <w:r>
        <w:rPr/>
        <w:t>□ 适用 √</w:t>
      </w:r>
      <w:r>
        <w:rPr>
          <w:spacing w:val="3"/>
        </w:rPr>
        <w:t> </w:t>
      </w:r>
      <w:r>
        <w:rPr/>
        <w:t>不适用</w:t>
      </w:r>
    </w:p>
    <w:p>
      <w:pPr>
        <w:spacing w:after="0" w:line="240" w:lineRule="auto"/>
        <w:jc w:val="left"/>
        <w:sectPr>
          <w:type w:val="continuous"/>
          <w:pgSz w:w="11910" w:h="16840"/>
          <w:pgMar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ind w:right="986"/>
        <w:jc w:val="left"/>
      </w:pPr>
      <w:r>
        <w:rPr/>
        <w:t>按账龄披露</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201,253,619.16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132,294,664.18</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68,958,954.98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126,052,869.67</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2,574.68</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327,309,063.51</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本期计提、收回或转回的坏账准备情况" w:id="250"/>
      <w:bookmarkEnd w:id="250"/>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73"/>
              <w:jc w:val="left"/>
              <w:rPr>
                <w:rFonts w:ascii="宋体" w:hAnsi="宋体" w:cs="宋体" w:eastAsia="宋体" w:hint="default"/>
                <w:sz w:val="18"/>
                <w:szCs w:val="18"/>
              </w:rPr>
            </w:pPr>
            <w:r>
              <w:rPr>
                <w:rFonts w:ascii="宋体" w:hAnsi="宋体" w:cs="宋体" w:eastAsia="宋体" w:hint="default"/>
                <w:sz w:val="18"/>
                <w:szCs w:val="18"/>
              </w:rPr>
              <w:t>应收账款坏账 准备</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340,137,445.04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25,368,951.35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338,631,470.93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26,874,925.46</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340,137,445.04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25,368,951.35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center"/>
              <w:rPr>
                <w:rFonts w:ascii="Times New Roman" w:hAnsi="Times New Roman" w:cs="Times New Roman" w:eastAsia="Times New Roman" w:hint="default"/>
                <w:sz w:val="18"/>
                <w:szCs w:val="18"/>
              </w:rPr>
            </w:pPr>
            <w:r>
              <w:rPr>
                <w:rFonts w:ascii="Times New Roman"/>
                <w:sz w:val="18"/>
              </w:rPr>
              <w:t>338,631,470.93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26,874,925.46</w:t>
            </w:r>
          </w:p>
        </w:tc>
      </w:tr>
    </w:tbl>
    <w:p>
      <w:pPr>
        <w:pStyle w:val="BodyText"/>
        <w:spacing w:line="240" w:lineRule="auto" w:before="49"/>
        <w:ind w:right="986"/>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pStyle w:val="BodyText"/>
        <w:spacing w:line="316" w:lineRule="auto" w:before="8"/>
        <w:ind w:right="2024"/>
        <w:jc w:val="left"/>
      </w:pPr>
      <w:r>
        <w:rPr>
          <w:rFonts w:ascii="宋体" w:hAnsi="宋体" w:cs="宋体" w:eastAsia="宋体" w:hint="default"/>
        </w:rPr>
        <w:t>A</w:t>
      </w:r>
      <w:r>
        <w:rPr/>
        <w:t>、本期坏账准备变动其他金额主要为处置子公司浙江视科文化传播有限公司减少坏账准备</w:t>
      </w:r>
      <w:r>
        <w:rPr>
          <w:rFonts w:ascii="宋体" w:hAnsi="宋体" w:cs="宋体" w:eastAsia="宋体" w:hint="default"/>
        </w:rPr>
        <w:t>338,631,470.93</w:t>
      </w:r>
      <w:r>
        <w:rPr/>
        <w:t>元。</w:t>
      </w:r>
      <w:r>
        <w:rPr>
          <w:spacing w:val="-87"/>
        </w:rPr>
        <w:t> </w:t>
      </w:r>
      <w:r>
        <w:rPr>
          <w:rFonts w:ascii="宋体" w:hAnsi="宋体" w:cs="宋体" w:eastAsia="宋体" w:hint="default"/>
        </w:rPr>
        <w:t>B</w:t>
      </w:r>
      <w:r>
        <w:rPr/>
        <w:t>、本报告期实际核销的应收账款情况：无</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3）本期实际核销的应收账款情况" w:id="251"/>
      <w:bookmarkEnd w:id="251"/>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986"/>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0"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2" w:right="161" w:hanging="272"/>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240" w:lineRule="auto" w:before="49"/>
        <w:ind w:right="986"/>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4）按欠款方归集的期末余额前五名的应收账款情况" w:id="252"/>
      <w:bookmarkEnd w:id="252"/>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80"/>
        <w:gridCol w:w="2530"/>
        <w:gridCol w:w="2530"/>
        <w:gridCol w:w="2528"/>
      </w:tblGrid>
      <w:tr>
        <w:trPr>
          <w:trHeight w:val="71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2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2"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91" w:right="177" w:hanging="810"/>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7"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78,721,824.51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24.05%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8,546,079.15</w:t>
            </w: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60,260,000.00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18.41%</w:t>
            </w: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40,173,333.33</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
              <w:jc w:val="right"/>
              <w:rPr>
                <w:rFonts w:ascii="Times New Roman" w:hAnsi="Times New Roman" w:cs="Times New Roman" w:eastAsia="Times New Roman" w:hint="default"/>
                <w:sz w:val="18"/>
                <w:szCs w:val="18"/>
              </w:rPr>
            </w:pPr>
            <w:r>
              <w:rPr>
                <w:rFonts w:ascii="Times New Roman"/>
                <w:sz w:val="18"/>
              </w:rPr>
              <w:t>12.27%</w:t>
            </w:r>
          </w:p>
        </w:tc>
        <w:tc>
          <w:tcPr>
            <w:tcW w:w="252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23,389,955.00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7.15%</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2,270,191.00</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18,065,360.00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z w:val="18"/>
              </w:rPr>
              <w:t>5.52%</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2,228,871.75</w:t>
            </w:r>
          </w:p>
        </w:tc>
      </w:tr>
      <w:tr>
        <w:trPr>
          <w:trHeight w:val="403" w:hRule="exact"/>
        </w:trPr>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220,610,472.84</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67.40%</w:t>
            </w:r>
          </w:p>
        </w:tc>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5）因金融资产转移而终止确认的应收账款" w:id="253"/>
      <w:bookmarkEnd w:id="253"/>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6"/>
        <w:jc w:val="left"/>
        <w:rPr>
          <w:b w:val="0"/>
          <w:bCs w:val="0"/>
        </w:rPr>
      </w:pPr>
      <w:bookmarkStart w:name="（6）转移应收账款且继续涉入形成的资产、负债金额" w:id="254"/>
      <w:bookmarkEnd w:id="254"/>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6、应收款项融资" w:id="255"/>
      <w:bookmarkEnd w:id="255"/>
      <w:r>
        <w:rPr>
          <w:b w:val="0"/>
          <w:bCs w:val="0"/>
        </w:rPr>
      </w:r>
      <w:r>
        <w:rPr>
          <w:rFonts w:ascii="Times New Roman" w:hAnsi="Times New Roman" w:cs="Times New Roman" w:eastAsia="Times New Roman" w:hint="default"/>
        </w:rPr>
        <w:t>6</w:t>
      </w:r>
      <w:r>
        <w:rPr/>
        <w:t>、应收款项融资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986"/>
        <w:jc w:val="left"/>
      </w:pPr>
      <w:r>
        <w:rPr/>
        <w:t>应收款项融资本期增减变动及公允价值变动情况</w:t>
      </w:r>
    </w:p>
    <w:p>
      <w:pPr>
        <w:pStyle w:val="BodyText"/>
        <w:spacing w:line="360" w:lineRule="auto" w:before="115"/>
        <w:ind w:right="1394"/>
        <w:jc w:val="left"/>
      </w:pPr>
      <w:r>
        <w:rPr/>
        <w:t>□ 适用 √</w:t>
      </w:r>
      <w:r>
        <w:rPr>
          <w:spacing w:val="3"/>
        </w:rPr>
        <w:t> </w:t>
      </w:r>
      <w:r>
        <w:rPr/>
        <w:t>不适用</w:t>
      </w:r>
      <w:r>
        <w:rPr/>
        <w:t> 如是按照预期信用损失一般模型计提应收款项融资减值准备，请参照其他应收款的披露方式披露减值准备的相关信息：</w:t>
      </w:r>
    </w:p>
    <w:p>
      <w:pPr>
        <w:pStyle w:val="BodyText"/>
        <w:spacing w:line="360" w:lineRule="auto" w:before="25"/>
        <w:ind w:right="9221"/>
        <w:jc w:val="left"/>
      </w:pPr>
      <w:r>
        <w:rPr/>
        <w:t>□ 适用 √</w:t>
      </w:r>
      <w:r>
        <w:rPr>
          <w:spacing w:val="3"/>
        </w:rPr>
        <w:t> </w:t>
      </w:r>
      <w:r>
        <w:rPr/>
        <w:t>不适用</w:t>
      </w:r>
      <w:r>
        <w:rPr/>
        <w:t> 其他说明：</w:t>
      </w:r>
    </w:p>
    <w:p>
      <w:pPr>
        <w:spacing w:line="240" w:lineRule="auto" w:before="4"/>
        <w:rPr>
          <w:rFonts w:ascii="宋体" w:hAnsi="宋体" w:cs="宋体" w:eastAsia="宋体" w:hint="default"/>
          <w:sz w:val="20"/>
          <w:szCs w:val="20"/>
        </w:rPr>
      </w:pPr>
    </w:p>
    <w:p>
      <w:pPr>
        <w:pStyle w:val="Heading4"/>
        <w:spacing w:line="240" w:lineRule="auto"/>
        <w:ind w:right="986"/>
        <w:jc w:val="left"/>
        <w:rPr>
          <w:b w:val="0"/>
          <w:bCs w:val="0"/>
        </w:rPr>
      </w:pPr>
      <w:bookmarkStart w:name="7、预付款项" w:id="256"/>
      <w:bookmarkEnd w:id="256"/>
      <w:r>
        <w:rPr>
          <w:b w:val="0"/>
          <w:bCs w:val="0"/>
        </w:rPr>
      </w:r>
      <w:r>
        <w:rPr>
          <w:rFonts w:ascii="Times New Roman" w:hAnsi="Times New Roman" w:cs="Times New Roman" w:eastAsia="Times New Roman" w:hint="default"/>
        </w:rPr>
        <w:t>7</w:t>
      </w:r>
      <w:r>
        <w:rPr/>
        <w:t>、预付款项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1）预付款项按账龄列示" w:id="257"/>
      <w:bookmarkEnd w:id="257"/>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3"/>
        <w:gridCol w:w="1915"/>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4"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24,937,841.19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94.14%</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82,097,052.73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98.33%</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1,551,256.49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5.86%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1,187,152.36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1.42%</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19,145.07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0.02%</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191,914.69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0.23%</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26,489,204.75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83,495,264.85</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2）按预付对象归集的期末余额前五名的预付款情况" w:id="258"/>
      <w:bookmarkEnd w:id="258"/>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5" w:type="dxa"/>
        <w:tblLayout w:type="fixed"/>
        <w:tblCellMar>
          <w:top w:w="0" w:type="dxa"/>
          <w:left w:w="0" w:type="dxa"/>
          <w:bottom w:w="0" w:type="dxa"/>
          <w:right w:w="0" w:type="dxa"/>
        </w:tblCellMar>
        <w:tblLook w:val="01E0"/>
      </w:tblPr>
      <w:tblGrid>
        <w:gridCol w:w="922"/>
        <w:gridCol w:w="1743"/>
        <w:gridCol w:w="2246"/>
        <w:gridCol w:w="2823"/>
        <w:gridCol w:w="1512"/>
      </w:tblGrid>
      <w:tr>
        <w:trPr>
          <w:trHeight w:val="346"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55" w:right="0"/>
              <w:jc w:val="left"/>
              <w:rPr>
                <w:rFonts w:ascii="宋体" w:hAnsi="宋体" w:cs="宋体" w:eastAsia="宋体" w:hint="default"/>
                <w:sz w:val="20"/>
                <w:szCs w:val="20"/>
              </w:rPr>
            </w:pPr>
            <w:r>
              <w:rPr>
                <w:rFonts w:ascii="宋体" w:hAnsi="宋体" w:cs="宋体" w:eastAsia="宋体" w:hint="default"/>
                <w:sz w:val="20"/>
                <w:szCs w:val="20"/>
              </w:rPr>
              <w:t>单位名称</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66"/>
              <w:jc w:val="right"/>
              <w:rPr>
                <w:rFonts w:ascii="宋体" w:hAnsi="宋体" w:cs="宋体" w:eastAsia="宋体" w:hint="default"/>
                <w:sz w:val="20"/>
                <w:szCs w:val="20"/>
              </w:rPr>
            </w:pPr>
            <w:r>
              <w:rPr>
                <w:rFonts w:ascii="宋体" w:hAnsi="宋体" w:cs="宋体" w:eastAsia="宋体" w:hint="default"/>
                <w:w w:val="95"/>
                <w:sz w:val="20"/>
                <w:szCs w:val="20"/>
              </w:rPr>
              <w:t>占预付账款总额的比例</w:t>
            </w:r>
            <w:r>
              <w:rPr>
                <w:rFonts w:ascii="宋体" w:hAnsi="宋体" w:cs="宋体" w:eastAsia="宋体" w:hint="default"/>
                <w:w w:val="95"/>
                <w:sz w:val="20"/>
                <w:szCs w:val="20"/>
              </w:rPr>
              <w:t>%</w:t>
            </w:r>
            <w:r>
              <w:rPr>
                <w:rFonts w:ascii="宋体" w:hAnsi="宋体" w:cs="宋体" w:eastAsia="宋体" w:hint="default"/>
                <w:sz w:val="20"/>
                <w:szCs w:val="20"/>
              </w:rPr>
            </w:r>
          </w:p>
        </w:tc>
        <w:tc>
          <w:tcPr>
            <w:tcW w:w="2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4"/>
              <w:jc w:val="center"/>
              <w:rPr>
                <w:rFonts w:ascii="宋体" w:hAnsi="宋体" w:cs="宋体" w:eastAsia="宋体" w:hint="default"/>
                <w:sz w:val="20"/>
                <w:szCs w:val="20"/>
              </w:rPr>
            </w:pPr>
            <w:r>
              <w:rPr>
                <w:rFonts w:ascii="宋体" w:hAnsi="宋体" w:cs="宋体" w:eastAsia="宋体" w:hint="default"/>
                <w:sz w:val="20"/>
                <w:szCs w:val="20"/>
              </w:rPr>
              <w:t>账龄</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未结算原因</w:t>
            </w:r>
          </w:p>
        </w:tc>
      </w:tr>
      <w:tr>
        <w:trPr>
          <w:trHeight w:val="660"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第一名</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w w:val="95"/>
                <w:sz w:val="20"/>
              </w:rPr>
              <w:t>10,514,153.66</w:t>
            </w:r>
            <w:r>
              <w:rPr>
                <w:rFonts w:ascii="宋体"/>
                <w:sz w:val="20"/>
              </w:rPr>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spacing w:val="-1"/>
                <w:sz w:val="20"/>
              </w:rPr>
              <w:t>39.69</w:t>
            </w:r>
          </w:p>
        </w:tc>
        <w:tc>
          <w:tcPr>
            <w:tcW w:w="2823"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2" w:right="4"/>
              <w:jc w:val="left"/>
              <w:rPr>
                <w:rFonts w:ascii="宋体" w:hAnsi="宋体" w:cs="宋体" w:eastAsia="宋体" w:hint="default"/>
                <w:sz w:val="20"/>
                <w:szCs w:val="20"/>
              </w:rPr>
            </w:pPr>
            <w:r>
              <w:rPr>
                <w:rFonts w:ascii="宋体" w:hAnsi="宋体" w:cs="宋体" w:eastAsia="宋体" w:hint="default"/>
                <w:sz w:val="20"/>
                <w:szCs w:val="20"/>
              </w:rPr>
              <w:t>6</w:t>
            </w:r>
            <w:r>
              <w:rPr>
                <w:rFonts w:ascii="宋体" w:hAnsi="宋体" w:cs="宋体" w:eastAsia="宋体" w:hint="default"/>
                <w:sz w:val="20"/>
                <w:szCs w:val="20"/>
              </w:rPr>
              <w:t>个月（含）以内</w:t>
            </w:r>
            <w:r>
              <w:rPr>
                <w:rFonts w:ascii="宋体" w:hAnsi="宋体" w:cs="宋体" w:eastAsia="宋体" w:hint="default"/>
                <w:sz w:val="20"/>
                <w:szCs w:val="20"/>
              </w:rPr>
              <w:t>10,484,153.66</w:t>
            </w:r>
            <w:r>
              <w:rPr>
                <w:rFonts w:ascii="宋体" w:hAnsi="宋体" w:cs="宋体" w:eastAsia="宋体" w:hint="default"/>
                <w:w w:val="99"/>
                <w:sz w:val="20"/>
                <w:szCs w:val="20"/>
              </w:rPr>
              <w:t> </w:t>
            </w:r>
            <w:r>
              <w:rPr>
                <w:rFonts w:ascii="宋体" w:hAnsi="宋体" w:cs="宋体" w:eastAsia="宋体" w:hint="default"/>
                <w:sz w:val="20"/>
                <w:szCs w:val="20"/>
              </w:rPr>
              <w:t>元；</w:t>
            </w:r>
            <w:r>
              <w:rPr>
                <w:rFonts w:ascii="宋体" w:hAnsi="宋体" w:cs="宋体" w:eastAsia="宋体" w:hint="default"/>
                <w:sz w:val="20"/>
                <w:szCs w:val="20"/>
              </w:rPr>
              <w:t>1-2</w:t>
            </w:r>
            <w:r>
              <w:rPr>
                <w:rFonts w:ascii="宋体" w:hAnsi="宋体" w:cs="宋体" w:eastAsia="宋体" w:hint="default"/>
                <w:sz w:val="20"/>
                <w:szCs w:val="20"/>
              </w:rPr>
              <w:t>年</w:t>
            </w:r>
            <w:r>
              <w:rPr>
                <w:rFonts w:ascii="宋体" w:hAnsi="宋体" w:cs="宋体" w:eastAsia="宋体" w:hint="default"/>
                <w:sz w:val="20"/>
                <w:szCs w:val="20"/>
              </w:rPr>
              <w:t>30,000.00</w:t>
            </w:r>
            <w:r>
              <w:rPr>
                <w:rFonts w:ascii="宋体" w:hAnsi="宋体" w:cs="宋体" w:eastAsia="宋体" w:hint="default"/>
                <w:sz w:val="20"/>
                <w:szCs w:val="20"/>
              </w:rPr>
              <w:t>元</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89"/>
              <w:jc w:val="center"/>
              <w:rPr>
                <w:rFonts w:ascii="宋体" w:hAnsi="宋体" w:cs="宋体" w:eastAsia="宋体" w:hint="default"/>
                <w:sz w:val="20"/>
                <w:szCs w:val="20"/>
              </w:rPr>
            </w:pPr>
            <w:r>
              <w:rPr>
                <w:rFonts w:ascii="宋体" w:hAnsi="宋体" w:cs="宋体" w:eastAsia="宋体" w:hint="default"/>
                <w:sz w:val="20"/>
                <w:szCs w:val="20"/>
              </w:rPr>
              <w:t>未达到结算条件</w:t>
            </w:r>
          </w:p>
        </w:tc>
      </w:tr>
      <w:tr>
        <w:trPr>
          <w:trHeight w:val="346"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第二名</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spacing w:val="-1"/>
                <w:sz w:val="20"/>
              </w:rPr>
              <w:t>1,325,173.35</w:t>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w w:val="95"/>
                <w:sz w:val="20"/>
              </w:rPr>
              <w:t>5.00</w:t>
            </w:r>
            <w:r>
              <w:rPr>
                <w:rFonts w:ascii="宋体"/>
                <w:sz w:val="20"/>
              </w:rPr>
            </w:r>
          </w:p>
        </w:tc>
        <w:tc>
          <w:tcPr>
            <w:tcW w:w="2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6</w:t>
            </w:r>
            <w:r>
              <w:rPr>
                <w:rFonts w:ascii="宋体" w:hAnsi="宋体" w:cs="宋体" w:eastAsia="宋体" w:hint="default"/>
                <w:sz w:val="20"/>
                <w:szCs w:val="20"/>
              </w:rPr>
              <w:t>个月（含）以内</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89"/>
              <w:jc w:val="center"/>
              <w:rPr>
                <w:rFonts w:ascii="宋体" w:hAnsi="宋体" w:cs="宋体" w:eastAsia="宋体" w:hint="default"/>
                <w:sz w:val="20"/>
                <w:szCs w:val="20"/>
              </w:rPr>
            </w:pPr>
            <w:r>
              <w:rPr>
                <w:rFonts w:ascii="宋体" w:hAnsi="宋体" w:cs="宋体" w:eastAsia="宋体" w:hint="default"/>
                <w:sz w:val="20"/>
                <w:szCs w:val="20"/>
              </w:rPr>
              <w:t>未达到结算条件</w:t>
            </w:r>
          </w:p>
        </w:tc>
      </w:tr>
      <w:tr>
        <w:trPr>
          <w:trHeight w:val="348"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第三名</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w w:val="95"/>
                <w:sz w:val="20"/>
              </w:rPr>
              <w:t>656,146.37</w:t>
            </w:r>
            <w:r>
              <w:rPr>
                <w:rFonts w:ascii="宋体"/>
                <w:sz w:val="20"/>
              </w:rPr>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w w:val="95"/>
                <w:sz w:val="20"/>
              </w:rPr>
              <w:t>2.48</w:t>
            </w:r>
            <w:r>
              <w:rPr>
                <w:rFonts w:ascii="宋体"/>
                <w:sz w:val="20"/>
              </w:rPr>
            </w:r>
          </w:p>
        </w:tc>
        <w:tc>
          <w:tcPr>
            <w:tcW w:w="2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1-2</w:t>
            </w:r>
            <w:r>
              <w:rPr>
                <w:rFonts w:ascii="宋体" w:hAnsi="宋体" w:cs="宋体" w:eastAsia="宋体" w:hint="default"/>
                <w:sz w:val="20"/>
                <w:szCs w:val="20"/>
              </w:rPr>
              <w:t>年</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89"/>
              <w:jc w:val="center"/>
              <w:rPr>
                <w:rFonts w:ascii="宋体" w:hAnsi="宋体" w:cs="宋体" w:eastAsia="宋体" w:hint="default"/>
                <w:sz w:val="20"/>
                <w:szCs w:val="20"/>
              </w:rPr>
            </w:pPr>
            <w:r>
              <w:rPr>
                <w:rFonts w:ascii="宋体" w:hAnsi="宋体" w:cs="宋体" w:eastAsia="宋体" w:hint="default"/>
                <w:sz w:val="20"/>
                <w:szCs w:val="20"/>
              </w:rPr>
              <w:t>未达到结算条件</w:t>
            </w:r>
          </w:p>
        </w:tc>
      </w:tr>
      <w:tr>
        <w:trPr>
          <w:trHeight w:val="346"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第四名</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w w:val="95"/>
                <w:sz w:val="20"/>
              </w:rPr>
              <w:t>475,901.29</w:t>
            </w:r>
            <w:r>
              <w:rPr>
                <w:rFonts w:ascii="宋体"/>
                <w:sz w:val="20"/>
              </w:rPr>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w w:val="95"/>
                <w:sz w:val="20"/>
              </w:rPr>
              <w:t>1.80</w:t>
            </w:r>
            <w:r>
              <w:rPr>
                <w:rFonts w:ascii="宋体"/>
                <w:sz w:val="20"/>
              </w:rPr>
            </w:r>
          </w:p>
        </w:tc>
        <w:tc>
          <w:tcPr>
            <w:tcW w:w="2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6</w:t>
            </w:r>
            <w:r>
              <w:rPr>
                <w:rFonts w:ascii="宋体" w:hAnsi="宋体" w:cs="宋体" w:eastAsia="宋体" w:hint="default"/>
                <w:sz w:val="20"/>
                <w:szCs w:val="20"/>
              </w:rPr>
              <w:t>个月（含）以内</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89"/>
              <w:jc w:val="center"/>
              <w:rPr>
                <w:rFonts w:ascii="宋体" w:hAnsi="宋体" w:cs="宋体" w:eastAsia="宋体" w:hint="default"/>
                <w:sz w:val="20"/>
                <w:szCs w:val="20"/>
              </w:rPr>
            </w:pPr>
            <w:r>
              <w:rPr>
                <w:rFonts w:ascii="宋体" w:hAnsi="宋体" w:cs="宋体" w:eastAsia="宋体" w:hint="default"/>
                <w:sz w:val="20"/>
                <w:szCs w:val="20"/>
              </w:rPr>
              <w:t>未达到结算条件</w:t>
            </w:r>
          </w:p>
        </w:tc>
      </w:tr>
      <w:tr>
        <w:trPr>
          <w:trHeight w:val="348"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第五名</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w w:val="95"/>
                <w:sz w:val="20"/>
              </w:rPr>
              <w:t>298,090.49</w:t>
            </w:r>
            <w:r>
              <w:rPr>
                <w:rFonts w:ascii="宋体"/>
                <w:sz w:val="20"/>
              </w:rPr>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1"/>
              <w:jc w:val="right"/>
              <w:rPr>
                <w:rFonts w:ascii="宋体" w:hAnsi="宋体" w:cs="宋体" w:eastAsia="宋体" w:hint="default"/>
                <w:sz w:val="20"/>
                <w:szCs w:val="20"/>
              </w:rPr>
            </w:pPr>
            <w:r>
              <w:rPr>
                <w:rFonts w:ascii="宋体"/>
                <w:w w:val="95"/>
                <w:sz w:val="20"/>
              </w:rPr>
              <w:t>1.13</w:t>
            </w:r>
            <w:r>
              <w:rPr>
                <w:rFonts w:ascii="宋体"/>
                <w:sz w:val="20"/>
              </w:rPr>
            </w:r>
          </w:p>
        </w:tc>
        <w:tc>
          <w:tcPr>
            <w:tcW w:w="2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6</w:t>
            </w:r>
            <w:r>
              <w:rPr>
                <w:rFonts w:ascii="宋体" w:hAnsi="宋体" w:cs="宋体" w:eastAsia="宋体" w:hint="default"/>
                <w:sz w:val="20"/>
                <w:szCs w:val="20"/>
              </w:rPr>
              <w:t>个月（含）以内</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89"/>
              <w:jc w:val="center"/>
              <w:rPr>
                <w:rFonts w:ascii="宋体" w:hAnsi="宋体" w:cs="宋体" w:eastAsia="宋体" w:hint="default"/>
                <w:sz w:val="20"/>
                <w:szCs w:val="20"/>
              </w:rPr>
            </w:pPr>
            <w:r>
              <w:rPr>
                <w:rFonts w:ascii="宋体" w:hAnsi="宋体" w:cs="宋体" w:eastAsia="宋体" w:hint="default"/>
                <w:sz w:val="20"/>
                <w:szCs w:val="20"/>
              </w:rPr>
              <w:t>未达到结算条件</w:t>
            </w:r>
          </w:p>
        </w:tc>
      </w:tr>
      <w:tr>
        <w:trPr>
          <w:trHeight w:val="348" w:hRule="exact"/>
        </w:trPr>
        <w:tc>
          <w:tcPr>
            <w:tcW w:w="9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合计</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w w:val="95"/>
                <w:sz w:val="20"/>
              </w:rPr>
              <w:t>13,269,465.16</w:t>
            </w:r>
            <w:r>
              <w:rPr>
                <w:rFonts w:ascii="宋体"/>
                <w:sz w:val="20"/>
              </w:rPr>
            </w:r>
          </w:p>
        </w:tc>
        <w:tc>
          <w:tcPr>
            <w:tcW w:w="22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1"/>
              <w:jc w:val="right"/>
              <w:rPr>
                <w:rFonts w:ascii="宋体" w:hAnsi="宋体" w:cs="宋体" w:eastAsia="宋体" w:hint="default"/>
                <w:sz w:val="20"/>
                <w:szCs w:val="20"/>
              </w:rPr>
            </w:pPr>
            <w:r>
              <w:rPr>
                <w:rFonts w:ascii="宋体"/>
                <w:spacing w:val="-1"/>
                <w:sz w:val="20"/>
              </w:rPr>
              <w:t>50.10</w:t>
            </w:r>
          </w:p>
        </w:tc>
        <w:tc>
          <w:tcPr>
            <w:tcW w:w="2823"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8、其他应收款" w:id="259"/>
      <w:bookmarkEnd w:id="259"/>
      <w:r>
        <w:rPr>
          <w:b w:val="0"/>
          <w:bCs w:val="0"/>
        </w:rPr>
      </w:r>
      <w:r>
        <w:rPr>
          <w:rFonts w:ascii="Times New Roman" w:hAnsi="Times New Roman" w:cs="Times New Roman" w:eastAsia="Times New Roman" w:hint="default"/>
        </w:rPr>
        <w:t>8</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2,216,600.02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211,509,380.74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38,050,231.56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211,509,380.74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40,266,831.58</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1）应收利息" w:id="260"/>
      <w:bookmarkEnd w:id="260"/>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6"/>
        <w:jc w:val="left"/>
        <w:rPr>
          <w:b w:val="0"/>
          <w:bCs w:val="0"/>
        </w:rPr>
      </w:pPr>
      <w:bookmarkStart w:name="1）应收利息分类" w:id="261"/>
      <w:bookmarkEnd w:id="261"/>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2,216,600.02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2,216,600.02</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重要逾期利息" w:id="262"/>
      <w:bookmarkEnd w:id="262"/>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82" w:right="143"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3）坏账准备计提情况" w:id="263"/>
      <w:bookmarkEnd w:id="263"/>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2）应收股利" w:id="264"/>
      <w:bookmarkEnd w:id="264"/>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应收股利分类" w:id="265"/>
      <w:bookmarkEnd w:id="265"/>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重要的账龄超过1年的应收股利" w:id="266"/>
      <w:bookmarkEnd w:id="266"/>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284"/>
        <w:gridCol w:w="1928"/>
        <w:gridCol w:w="2533"/>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0"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2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是否发生减值及其判断依据</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坏账准备计提情况" w:id="267"/>
      <w:bookmarkEnd w:id="267"/>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9221"/>
        <w:jc w:val="left"/>
      </w:pPr>
      <w:r>
        <w:rPr/>
        <w:t>□ 适用 √</w:t>
      </w:r>
      <w:r>
        <w:rPr>
          <w:spacing w:val="3"/>
        </w:rPr>
        <w:t> </w:t>
      </w:r>
      <w:r>
        <w:rPr/>
        <w:t>不适用</w:t>
      </w:r>
      <w:r>
        <w:rPr/>
        <w:t> 其他说明：</w:t>
      </w:r>
    </w:p>
    <w:p>
      <w:pPr>
        <w:spacing w:line="240" w:lineRule="auto" w:before="6"/>
        <w:rPr>
          <w:rFonts w:ascii="宋体" w:hAnsi="宋体" w:cs="宋体" w:eastAsia="宋体" w:hint="default"/>
          <w:sz w:val="20"/>
          <w:szCs w:val="20"/>
        </w:rPr>
      </w:pPr>
    </w:p>
    <w:p>
      <w:pPr>
        <w:pStyle w:val="Heading4"/>
        <w:spacing w:line="240" w:lineRule="auto"/>
        <w:ind w:right="986"/>
        <w:jc w:val="left"/>
        <w:rPr>
          <w:b w:val="0"/>
          <w:bCs w:val="0"/>
        </w:rPr>
      </w:pPr>
      <w:bookmarkStart w:name="（3）其他应收款" w:id="268"/>
      <w:bookmarkEnd w:id="268"/>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其他应收款按款项性质分类情况" w:id="269"/>
      <w:bookmarkEnd w:id="269"/>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90,160,000.02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3,454,803.39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9,404,883.96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32,738,943.64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20,177,237.38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员工备用金及垫付款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1,593,661.19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1,367,795.95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被投资单位原股东承诺退回投资款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债权转让款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预付股权款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91,516,000.00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231,463,408.24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60,949,917.29</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坏账准备计提情况" w:id="270"/>
      <w:bookmarkEnd w:id="270"/>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112"/>
        <w:gridCol w:w="1455"/>
        <w:gridCol w:w="2098"/>
        <w:gridCol w:w="2101"/>
        <w:gridCol w:w="1805"/>
      </w:tblGrid>
      <w:tr>
        <w:trPr>
          <w:trHeight w:val="403" w:hRule="exact"/>
        </w:trPr>
        <w:tc>
          <w:tcPr>
            <w:tcW w:w="21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6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2112"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73" w:right="132" w:hanging="137"/>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 期信用损失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22,899,685.73</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57" w:right="0"/>
              <w:jc w:val="left"/>
              <w:rPr>
                <w:rFonts w:ascii="Times New Roman" w:hAnsi="Times New Roman" w:cs="Times New Roman" w:eastAsia="Times New Roman" w:hint="default"/>
                <w:sz w:val="18"/>
                <w:szCs w:val="18"/>
              </w:rPr>
            </w:pPr>
            <w:r>
              <w:rPr>
                <w:rFonts w:ascii="Times New Roman"/>
                <w:sz w:val="18"/>
              </w:rPr>
              <w:t>22,899,685.73</w:t>
            </w:r>
          </w:p>
        </w:tc>
      </w:tr>
      <w:tr>
        <w:trPr>
          <w:trHeight w:val="401"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7" w:right="0"/>
              <w:jc w:val="left"/>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112"/>
        <w:gridCol w:w="1455"/>
        <w:gridCol w:w="2098"/>
        <w:gridCol w:w="2101"/>
        <w:gridCol w:w="1805"/>
      </w:tblGrid>
      <w:tr>
        <w:trPr>
          <w:trHeight w:val="363"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本期</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2,131,884.46</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18,650,393.99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20,782,278.45</w:t>
            </w:r>
          </w:p>
        </w:tc>
      </w:tr>
      <w:tr>
        <w:trPr>
          <w:trHeight w:val="403"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22,071,434.78</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22,071,434.78</w:t>
            </w:r>
          </w:p>
        </w:tc>
      </w:tr>
      <w:tr>
        <w:trPr>
          <w:trHeight w:val="401" w:hRule="exact"/>
        </w:trPr>
        <w:tc>
          <w:tcPr>
            <w:tcW w:w="2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1,303,633.51</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18,650,393.99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19,954,027.50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pStyle w:val="BodyText"/>
        <w:spacing w:line="240" w:lineRule="auto" w:before="49"/>
        <w:ind w:right="-20"/>
        <w:jc w:val="left"/>
      </w:pPr>
      <w:r>
        <w:rPr/>
        <w:t>损失准备本期变动金额重大的账面余额变动情况</w:t>
      </w:r>
    </w:p>
    <w:p>
      <w:pPr>
        <w:pStyle w:val="BodyText"/>
        <w:spacing w:line="357" w:lineRule="auto" w:before="117"/>
        <w:ind w:right="2227"/>
        <w:jc w:val="left"/>
      </w:pPr>
      <w:r>
        <w:rPr/>
        <w:t>□ 适用 √</w:t>
      </w:r>
      <w:r>
        <w:rPr>
          <w:spacing w:val="3"/>
        </w:rPr>
        <w:t> </w:t>
      </w:r>
      <w:r>
        <w:rPr/>
        <w:t>不适用</w:t>
      </w:r>
      <w:r>
        <w:rPr/>
        <w:t>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12"/>
          <w:szCs w:val="12"/>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3893" w:space="4936"/>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left="2" w:right="0"/>
              <w:jc w:val="center"/>
              <w:rPr>
                <w:rFonts w:ascii="Times New Roman" w:hAnsi="Times New Roman" w:cs="Times New Roman" w:eastAsia="Times New Roman" w:hint="default"/>
                <w:sz w:val="18"/>
                <w:szCs w:val="18"/>
              </w:rPr>
            </w:pPr>
            <w:r>
              <w:rPr>
                <w:rFonts w:ascii="Times New Roman"/>
                <w:sz w:val="18"/>
              </w:rPr>
              <w:t>209,904,878.31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207,675,788.10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2,229,090.21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20,679,430.92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51,709.39</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827,389.62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40,150.00</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787,239.62</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231,463,408.24</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本期计提、收回或转回的坏账准备情况" w:id="271"/>
      <w:bookmarkEnd w:id="271"/>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本期计提坏账准备情况：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16"/>
        <w:gridCol w:w="1642"/>
        <w:gridCol w:w="1531"/>
        <w:gridCol w:w="1124"/>
        <w:gridCol w:w="842"/>
        <w:gridCol w:w="1673"/>
        <w:gridCol w:w="1342"/>
      </w:tblGrid>
      <w:tr>
        <w:trPr>
          <w:trHeight w:val="402" w:hRule="exact"/>
        </w:trPr>
        <w:tc>
          <w:tcPr>
            <w:tcW w:w="14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6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5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1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0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6" w:type="dxa"/>
            <w:vMerge/>
            <w:tcBorders>
              <w:left w:val="single" w:sz="4" w:space="0" w:color="000000"/>
              <w:bottom w:val="single" w:sz="4" w:space="0" w:color="000000"/>
              <w:right w:val="single" w:sz="4" w:space="0" w:color="000000"/>
            </w:tcBorders>
            <w:shd w:val="clear" w:color="auto" w:fill="D2D2D2"/>
          </w:tcPr>
          <w:p>
            <w:pPr/>
          </w:p>
        </w:tc>
        <w:tc>
          <w:tcPr>
            <w:tcW w:w="1642" w:type="dxa"/>
            <w:vMerge/>
            <w:tcBorders>
              <w:left w:val="single" w:sz="4" w:space="0" w:color="000000"/>
              <w:bottom w:val="single" w:sz="4" w:space="0" w:color="000000"/>
              <w:right w:val="single" w:sz="4" w:space="0" w:color="000000"/>
            </w:tcBorders>
            <w:shd w:val="clear" w:color="auto" w:fill="D2D2D2"/>
          </w:tcPr>
          <w:p>
            <w:pPr/>
          </w:p>
        </w:tc>
        <w:tc>
          <w:tcPr>
            <w:tcW w:w="15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7"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42"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1"/>
              <w:jc w:val="left"/>
              <w:rPr>
                <w:rFonts w:ascii="宋体" w:hAnsi="宋体" w:cs="宋体" w:eastAsia="宋体" w:hint="default"/>
                <w:sz w:val="18"/>
                <w:szCs w:val="18"/>
              </w:rPr>
            </w:pPr>
            <w:r>
              <w:rPr>
                <w:rFonts w:ascii="宋体" w:hAnsi="宋体" w:cs="宋体" w:eastAsia="宋体" w:hint="default"/>
                <w:sz w:val="18"/>
                <w:szCs w:val="18"/>
              </w:rPr>
              <w:t>其他应收款坏 账准备</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22,899,685.73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20,782,278.45</w:t>
            </w:r>
          </w:p>
        </w:tc>
        <w:tc>
          <w:tcPr>
            <w:tcW w:w="112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-22,071,434.78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19,954,027.50</w:t>
            </w:r>
          </w:p>
        </w:tc>
      </w:tr>
      <w:tr>
        <w:trPr>
          <w:trHeight w:val="403" w:hRule="exact"/>
        </w:trPr>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22,899,685.73</w:t>
            </w:r>
          </w:p>
        </w:tc>
        <w:tc>
          <w:tcPr>
            <w:tcW w:w="15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20,782,278.45</w:t>
            </w:r>
          </w:p>
        </w:tc>
        <w:tc>
          <w:tcPr>
            <w:tcW w:w="1124"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-22,071,434.78</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19,954,027.50</w:t>
            </w:r>
          </w:p>
        </w:tc>
      </w:tr>
    </w:tbl>
    <w:p>
      <w:pPr>
        <w:pStyle w:val="BodyText"/>
        <w:spacing w:line="319" w:lineRule="auto" w:before="8"/>
        <w:ind w:right="986"/>
        <w:jc w:val="left"/>
      </w:pPr>
      <w:r>
        <w:rPr>
          <w:spacing w:val="-2"/>
        </w:rPr>
        <w:t>本报告期其他应收款坏账准备其他变动</w:t>
      </w:r>
      <w:r>
        <w:rPr>
          <w:rFonts w:ascii="宋体" w:hAnsi="宋体" w:cs="宋体" w:eastAsia="宋体" w:hint="default"/>
          <w:spacing w:val="-2"/>
        </w:rPr>
        <w:t>-22,071,434.78</w:t>
      </w:r>
      <w:r>
        <w:rPr>
          <w:spacing w:val="-2"/>
        </w:rPr>
        <w:t>元，主要原因为公司于报告期内处置浙江视科文化传播有限公司全部</w:t>
      </w:r>
      <w:r>
        <w:rPr>
          <w:spacing w:val="-55"/>
        </w:rPr>
        <w:t> </w:t>
      </w:r>
      <w:r>
        <w:rPr>
          <w:spacing w:val="-55"/>
        </w:rPr>
      </w:r>
      <w:r>
        <w:rPr/>
        <w:t>股权，相应的其有关的其他应收款坏账准备减少。</w:t>
      </w:r>
    </w:p>
    <w:p>
      <w:pPr>
        <w:pStyle w:val="Heading3"/>
        <w:spacing w:line="283" w:lineRule="exact"/>
        <w:ind w:right="986"/>
        <w:jc w:val="left"/>
      </w:pPr>
      <w:r>
        <w:rPr/>
        <w:t>其中本期坏账准备转回或收回金额重要的：</w:t>
      </w:r>
    </w:p>
    <w:p>
      <w:pPr>
        <w:pStyle w:val="BodyText"/>
        <w:spacing w:line="240" w:lineRule="auto" w:before="8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4）本期实际核销的其他应收款情况" w:id="272"/>
      <w:bookmarkEnd w:id="272"/>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50"/>
        <w:ind w:right="986"/>
        <w:jc w:val="left"/>
      </w:pPr>
      <w:r>
        <w:rPr/>
        <w:t>其中重要的其他应收款核销情况：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3"/>
        <w:gridCol w:w="1594"/>
        <w:gridCol w:w="1596"/>
        <w:gridCol w:w="1594"/>
        <w:gridCol w:w="1594"/>
        <w:gridCol w:w="1596"/>
      </w:tblGrid>
      <w:tr>
        <w:trPr>
          <w:trHeight w:val="71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4" w:right="158"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240" w:lineRule="auto" w:before="49"/>
        <w:ind w:right="986"/>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5）按欠款方归集的期末余额前五名的其他应收款情况" w:id="273"/>
      <w:bookmarkEnd w:id="273"/>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4"/>
        <w:gridCol w:w="1596"/>
        <w:gridCol w:w="1594"/>
        <w:gridCol w:w="1594"/>
        <w:gridCol w:w="1596"/>
      </w:tblGrid>
      <w:tr>
        <w:trPr>
          <w:trHeight w:val="1028"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43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63" w:right="159"/>
              <w:jc w:val="center"/>
              <w:rPr>
                <w:rFonts w:ascii="宋体" w:hAnsi="宋体" w:cs="宋体" w:eastAsia="宋体" w:hint="default"/>
                <w:sz w:val="18"/>
                <w:szCs w:val="18"/>
              </w:rPr>
            </w:pPr>
            <w:r>
              <w:rPr>
                <w:rFonts w:ascii="宋体" w:hAnsi="宋体" w:cs="宋体" w:eastAsia="宋体" w:hint="default"/>
                <w:sz w:val="18"/>
                <w:szCs w:val="18"/>
              </w:rPr>
              <w:t>占其他应收款期 末余额合计数的 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705" w:right="158" w:hanging="540"/>
              <w:jc w:val="left"/>
              <w:rPr>
                <w:rFonts w:ascii="宋体" w:hAnsi="宋体" w:cs="宋体" w:eastAsia="宋体" w:hint="default"/>
                <w:sz w:val="18"/>
                <w:szCs w:val="18"/>
              </w:rPr>
            </w:pPr>
            <w:r>
              <w:rPr>
                <w:rFonts w:ascii="宋体" w:hAnsi="宋体" w:cs="宋体" w:eastAsia="宋体" w:hint="default"/>
                <w:sz w:val="18"/>
                <w:szCs w:val="18"/>
              </w:rPr>
              <w:t>坏账准备期末余 额</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90,160,000.00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38.95%</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预付股权款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53,780,000.00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23.23%</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预付股权款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37,736,000.00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16.30%</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预付货款转入</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18,650,393.99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8.06%</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18,650,393.99</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收购公司借款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10,036,944.44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4.34%</w:t>
            </w:r>
          </w:p>
        </w:tc>
        <w:tc>
          <w:tcPr>
            <w:tcW w:w="159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210,363,338.43</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90.88%</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18,650,393.99</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6）涉及政府补助的应收款项" w:id="274"/>
      <w:bookmarkEnd w:id="274"/>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3"/>
        <w:gridCol w:w="1916"/>
        <w:gridCol w:w="1913"/>
        <w:gridCol w:w="1918"/>
      </w:tblGrid>
      <w:tr>
        <w:trPr>
          <w:trHeight w:val="715"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5" w:right="143" w:hanging="452"/>
              <w:jc w:val="left"/>
              <w:rPr>
                <w:rFonts w:ascii="宋体" w:hAnsi="宋体" w:cs="宋体" w:eastAsia="宋体" w:hint="default"/>
                <w:sz w:val="18"/>
                <w:szCs w:val="18"/>
              </w:rPr>
            </w:pPr>
            <w:r>
              <w:rPr>
                <w:rFonts w:ascii="宋体" w:hAnsi="宋体" w:cs="宋体" w:eastAsia="宋体" w:hint="default"/>
                <w:sz w:val="18"/>
                <w:szCs w:val="18"/>
              </w:rPr>
              <w:t>预计收取的时间、金 额及依据</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7）因金融资产转移而终止确认的其他应收款" w:id="275"/>
      <w:bookmarkEnd w:id="275"/>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8）转移其他应收款且继续涉入形成的资产、负债金额" w:id="276"/>
      <w:bookmarkEnd w:id="276"/>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9、存货" w:id="277"/>
      <w:bookmarkEnd w:id="277"/>
      <w:r>
        <w:rPr>
          <w:b w:val="0"/>
          <w:bCs w:val="0"/>
        </w:rPr>
      </w:r>
      <w:r>
        <w:rPr>
          <w:rFonts w:ascii="Times New Roman" w:hAnsi="Times New Roman" w:cs="Times New Roman" w:eastAsia="Times New Roman" w:hint="default"/>
        </w:rPr>
        <w:t>9</w:t>
      </w:r>
      <w:r>
        <w:rPr/>
        <w:t>、存货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是否已执行新收入准则</w:t>
      </w:r>
    </w:p>
    <w:p>
      <w:pPr>
        <w:pStyle w:val="BodyText"/>
        <w:spacing w:line="240" w:lineRule="auto" w:before="117"/>
        <w:ind w:right="986"/>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1）存货分类" w:id="278"/>
      <w:bookmarkEnd w:id="27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44,959,158.34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center"/>
              <w:rPr>
                <w:rFonts w:ascii="Times New Roman" w:hAnsi="Times New Roman" w:cs="Times New Roman" w:eastAsia="Times New Roman" w:hint="default"/>
                <w:sz w:val="18"/>
                <w:szCs w:val="18"/>
              </w:rPr>
            </w:pPr>
            <w:r>
              <w:rPr>
                <w:rFonts w:ascii="Times New Roman"/>
                <w:sz w:val="18"/>
              </w:rPr>
              <w:t>44,958,522.03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102,870,988.45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102,870,988.45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19,096,545.60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9" w:right="0"/>
              <w:jc w:val="center"/>
              <w:rPr>
                <w:rFonts w:ascii="Times New Roman" w:hAnsi="Times New Roman" w:cs="Times New Roman" w:eastAsia="Times New Roman" w:hint="default"/>
                <w:sz w:val="18"/>
                <w:szCs w:val="18"/>
              </w:rPr>
            </w:pPr>
            <w:r>
              <w:rPr>
                <w:rFonts w:ascii="Times New Roman"/>
                <w:sz w:val="18"/>
              </w:rPr>
              <w:t>19,096,545.60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9,390,876.72</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9,390,876.72</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64,055,703.94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636.31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9" w:right="0"/>
              <w:jc w:val="center"/>
              <w:rPr>
                <w:rFonts w:ascii="Times New Roman" w:hAnsi="Times New Roman" w:cs="Times New Roman" w:eastAsia="Times New Roman" w:hint="default"/>
                <w:sz w:val="18"/>
                <w:szCs w:val="18"/>
              </w:rPr>
            </w:pPr>
            <w:r>
              <w:rPr>
                <w:rFonts w:ascii="Times New Roman"/>
                <w:sz w:val="18"/>
              </w:rPr>
              <w:t>64,055,067.63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112,261,865.17</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112,261,865.17</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存货跌价准备" w:id="279"/>
      <w:bookmarkEnd w:id="27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0"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636.31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636.31</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636.31</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636.31</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存货期末余额含有借款费用资本化金额的说明" w:id="280"/>
      <w:bookmarkEnd w:id="28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4）期末建造合同形成的已完工未结算资产情况" w:id="281"/>
      <w:bookmarkEnd w:id="28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10、合同资产" w:id="282"/>
      <w:bookmarkEnd w:id="282"/>
      <w:r>
        <w:rPr>
          <w:b w:val="0"/>
          <w:bCs w:val="0"/>
        </w:rPr>
      </w:r>
      <w:r>
        <w:rPr>
          <w:rFonts w:ascii="Times New Roman" w:hAnsi="Times New Roman" w:cs="Times New Roman" w:eastAsia="Times New Roman" w:hint="default"/>
        </w:rPr>
        <w:t>10</w:t>
      </w:r>
      <w:r>
        <w:rPr/>
        <w:t>、合同资产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0"/>
        <w:gridCol w:w="1198"/>
        <w:gridCol w:w="1327"/>
        <w:gridCol w:w="1196"/>
        <w:gridCol w:w="1198"/>
        <w:gridCol w:w="1196"/>
        <w:gridCol w:w="1327"/>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2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986"/>
        <w:jc w:val="left"/>
      </w:pPr>
      <w:r>
        <w:rPr/>
        <w:t>合同资产的账面价值在本期内发生的重大变动金额和原因：</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5"/>
        <w:gridCol w:w="2420"/>
        <w:gridCol w:w="4945"/>
      </w:tblGrid>
      <w:tr>
        <w:trPr>
          <w:trHeight w:val="402"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pStyle w:val="BodyText"/>
        <w:spacing w:line="240" w:lineRule="auto" w:before="49"/>
        <w:ind w:right="986"/>
        <w:jc w:val="left"/>
      </w:pPr>
      <w:r>
        <w:rPr/>
        <w:t>如是按照预期信用损失一般模型计提合同资产坏账准备，请参照其他应收款的披露方式披露坏账准备的相关信息：</w:t>
      </w:r>
    </w:p>
    <w:p>
      <w:pPr>
        <w:pStyle w:val="BodyText"/>
        <w:spacing w:line="360" w:lineRule="auto" w:before="115"/>
        <w:ind w:right="8234"/>
        <w:jc w:val="left"/>
      </w:pPr>
      <w:r>
        <w:rPr/>
        <w:t>□ 适用 √</w:t>
      </w:r>
      <w:r>
        <w:rPr>
          <w:spacing w:val="3"/>
        </w:rPr>
        <w:t> </w:t>
      </w:r>
      <w:r>
        <w:rPr/>
        <w:t>不适用</w:t>
      </w:r>
      <w:r>
        <w:rPr/>
        <w:t> 本期合同资产计提减值准备情况</w:t>
      </w:r>
    </w:p>
    <w:p>
      <w:pPr>
        <w:pStyle w:val="BodyText"/>
        <w:spacing w:line="240" w:lineRule="auto" w:before="2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5"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Times New Roman" w:hAnsi="Times New Roman" w:cs="Times New Roman" w:eastAsia="Times New Roman" w:hint="default"/>
                <w:sz w:val="18"/>
                <w:szCs w:val="18"/>
              </w:rPr>
              <w:t>/</w:t>
            </w:r>
            <w:r>
              <w:rPr>
                <w:rFonts w:ascii="宋体" w:hAnsi="宋体" w:cs="宋体" w:eastAsia="宋体" w:hint="default"/>
                <w:sz w:val="18"/>
                <w:szCs w:val="18"/>
              </w:rPr>
              <w:t>核销</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原因</w:t>
            </w:r>
          </w:p>
        </w:tc>
      </w:tr>
    </w:tbl>
    <w:p>
      <w:pPr>
        <w:pStyle w:val="BodyText"/>
        <w:spacing w:line="240" w:lineRule="auto" w:before="49"/>
        <w:ind w:right="986"/>
        <w:jc w:val="left"/>
      </w:pPr>
      <w:r>
        <w:rPr/>
        <w:t>其他说明：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11、持有待售资产" w:id="283"/>
      <w:bookmarkEnd w:id="283"/>
      <w:r>
        <w:rPr>
          <w:b w:val="0"/>
          <w:bCs w:val="0"/>
        </w:rPr>
      </w:r>
      <w:r>
        <w:rPr>
          <w:rFonts w:ascii="Times New Roman" w:hAnsi="Times New Roman" w:cs="Times New Roman" w:eastAsia="Times New Roman" w:hint="default"/>
        </w:rPr>
        <w:t>11</w:t>
      </w:r>
      <w:r>
        <w:rPr/>
        <w:t>、持有待售资产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6"/>
        <w:gridCol w:w="1368"/>
        <w:gridCol w:w="1366"/>
        <w:gridCol w:w="1369"/>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12、一年内到期的非流动资产" w:id="284"/>
      <w:bookmarkEnd w:id="284"/>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6"/>
        <w:jc w:val="left"/>
      </w:pPr>
      <w:r>
        <w:rPr/>
        <w:t>重要的债权投资</w:t>
      </w:r>
      <w:r>
        <w:rPr>
          <w:rFonts w:ascii="Times New Roman" w:hAnsi="Times New Roman" w:cs="Times New Roman" w:eastAsia="Times New Roman" w:hint="default"/>
        </w:rPr>
        <w:t>/</w:t>
      </w:r>
      <w:r>
        <w:rPr/>
        <w:t>其他债权投资</w:t>
      </w:r>
    </w:p>
    <w:p>
      <w:pPr>
        <w:pStyle w:val="BodyText"/>
        <w:spacing w:line="240" w:lineRule="auto" w:before="10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50"/>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13、其他流动资产" w:id="285"/>
      <w:bookmarkEnd w:id="285"/>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240" w:lineRule="auto"/>
        <w:ind w:right="-20"/>
        <w:jc w:val="left"/>
      </w:pPr>
      <w:r>
        <w:rPr/>
        <w:t>是否已执行新收入准则</w:t>
      </w:r>
    </w:p>
    <w:p>
      <w:pPr>
        <w:pStyle w:val="BodyText"/>
        <w:spacing w:line="240" w:lineRule="auto" w:before="115"/>
        <w:ind w:right="-20"/>
        <w:jc w:val="left"/>
      </w:pPr>
      <w:r>
        <w:rPr/>
        <w:t>□ 是 √</w:t>
      </w:r>
      <w:r>
        <w:rPr>
          <w:spacing w:val="3"/>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1913" w:space="6916"/>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待抵扣税款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17,007,854.01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29,583,015.41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354,460.60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926,960.00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国债逆回购产品</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41,317,327.37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287,100,000.00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17,362,314.61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388,927,302.78</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14、 发放贷款及垫款" w:id="286"/>
      <w:bookmarkEnd w:id="286"/>
      <w:r>
        <w:rPr>
          <w:b w:val="0"/>
          <w:bCs w:val="0"/>
        </w:rPr>
      </w:r>
      <w:r>
        <w:rPr>
          <w:rFonts w:ascii="Times New Roman" w:hAnsi="Times New Roman" w:cs="Times New Roman" w:eastAsia="Times New Roman" w:hint="default"/>
        </w:rPr>
        <w:t>14</w:t>
      </w:r>
      <w:r>
        <w:rPr/>
        <w:t>、</w:t>
      </w:r>
      <w:r>
        <w:rPr>
          <w:spacing w:val="1"/>
        </w:rPr>
        <w:t> </w:t>
      </w:r>
      <w:r>
        <w:rPr/>
        <w:t>发放贷款及垫款</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w:t>
      </w:r>
      <w:r>
        <w:rPr>
          <w:rFonts w:ascii="Times New Roman" w:hAnsi="Times New Roman" w:cs="Times New Roman" w:eastAsia="Times New Roman" w:hint="default"/>
        </w:rPr>
        <w:t>1</w:t>
      </w:r>
      <w:r>
        <w:rPr/>
        <w:t>）明细情况</w:t>
      </w:r>
    </w:p>
    <w:p>
      <w:pPr>
        <w:spacing w:line="240" w:lineRule="auto" w:before="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138"/>
        <w:gridCol w:w="1671"/>
        <w:gridCol w:w="1426"/>
        <w:gridCol w:w="1527"/>
        <w:gridCol w:w="1469"/>
        <w:gridCol w:w="1340"/>
        <w:gridCol w:w="1454"/>
      </w:tblGrid>
      <w:tr>
        <w:trPr>
          <w:trHeight w:val="346" w:hRule="exact"/>
        </w:trPr>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8" w:right="0"/>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18"/>
                <w:sz w:val="18"/>
                <w:szCs w:val="18"/>
              </w:rPr>
              <w:t> </w:t>
            </w:r>
            <w:r>
              <w:rPr>
                <w:rFonts w:ascii="宋体" w:hAnsi="宋体" w:cs="宋体" w:eastAsia="宋体" w:hint="default"/>
                <w:sz w:val="18"/>
                <w:szCs w:val="18"/>
              </w:rPr>
              <w:t>目</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7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4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98"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0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360"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348" w:hRule="exact"/>
        </w:trPr>
        <w:tc>
          <w:tcPr>
            <w:tcW w:w="1138" w:type="dxa"/>
            <w:tcBorders>
              <w:top w:val="single" w:sz="6" w:space="0" w:color="000000"/>
              <w:left w:val="single" w:sz="6" w:space="0" w:color="000000"/>
              <w:bottom w:val="single" w:sz="6" w:space="0" w:color="000000"/>
              <w:right w:val="single" w:sz="6" w:space="0" w:color="000000"/>
            </w:tcBorders>
          </w:tcPr>
          <w:p>
            <w:pP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7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61"/>
              <w:jc w:val="right"/>
              <w:rPr>
                <w:rFonts w:ascii="宋体" w:hAnsi="宋体" w:cs="宋体" w:eastAsia="宋体" w:hint="default"/>
                <w:sz w:val="18"/>
                <w:szCs w:val="18"/>
              </w:rPr>
            </w:pPr>
            <w:r>
              <w:rPr>
                <w:rFonts w:ascii="宋体" w:hAnsi="宋体" w:cs="宋体" w:eastAsia="宋体" w:hint="default"/>
                <w:sz w:val="18"/>
                <w:szCs w:val="18"/>
              </w:rPr>
              <w:t>贷款损失准备</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9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18"/>
              <w:jc w:val="right"/>
              <w:rPr>
                <w:rFonts w:ascii="宋体" w:hAnsi="宋体" w:cs="宋体" w:eastAsia="宋体" w:hint="default"/>
                <w:sz w:val="18"/>
                <w:szCs w:val="18"/>
              </w:rPr>
            </w:pPr>
            <w:r>
              <w:rPr>
                <w:rFonts w:ascii="宋体" w:hAnsi="宋体" w:cs="宋体" w:eastAsia="宋体" w:hint="default"/>
                <w:sz w:val="18"/>
                <w:szCs w:val="18"/>
              </w:rPr>
              <w:t>贷款损失准备</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6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46" w:hRule="exact"/>
        </w:trPr>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贷款本金</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59"/>
              <w:jc w:val="right"/>
              <w:rPr>
                <w:rFonts w:ascii="Times New Roman" w:hAnsi="Times New Roman" w:cs="Times New Roman" w:eastAsia="Times New Roman" w:hint="default"/>
                <w:sz w:val="18"/>
                <w:szCs w:val="18"/>
              </w:rPr>
            </w:pPr>
            <w:r>
              <w:rPr>
                <w:rFonts w:ascii="Times New Roman"/>
                <w:spacing w:val="-1"/>
                <w:sz w:val="18"/>
              </w:rPr>
              <w:t>1,007,000,000.00</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49"/>
              <w:jc w:val="right"/>
              <w:rPr>
                <w:rFonts w:ascii="Times New Roman" w:hAnsi="Times New Roman" w:cs="Times New Roman" w:eastAsia="Times New Roman" w:hint="default"/>
                <w:sz w:val="18"/>
                <w:szCs w:val="18"/>
              </w:rPr>
            </w:pPr>
            <w:r>
              <w:rPr>
                <w:rFonts w:ascii="Times New Roman"/>
                <w:spacing w:val="-1"/>
                <w:sz w:val="18"/>
              </w:rPr>
              <w:t>10,070,000.00</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54"/>
              <w:jc w:val="right"/>
              <w:rPr>
                <w:rFonts w:ascii="Times New Roman" w:hAnsi="Times New Roman" w:cs="Times New Roman" w:eastAsia="Times New Roman" w:hint="default"/>
                <w:sz w:val="18"/>
                <w:szCs w:val="18"/>
              </w:rPr>
            </w:pPr>
            <w:r>
              <w:rPr>
                <w:rFonts w:ascii="Times New Roman"/>
                <w:spacing w:val="-1"/>
                <w:sz w:val="18"/>
              </w:rPr>
              <w:t>996,930,000.00</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25"/>
              <w:jc w:val="right"/>
              <w:rPr>
                <w:rFonts w:ascii="Times New Roman" w:hAnsi="Times New Roman" w:cs="Times New Roman" w:eastAsia="Times New Roman" w:hint="default"/>
                <w:sz w:val="18"/>
                <w:szCs w:val="18"/>
              </w:rPr>
            </w:pPr>
            <w:r>
              <w:rPr>
                <w:rFonts w:ascii="Times New Roman"/>
                <w:spacing w:val="-1"/>
                <w:sz w:val="18"/>
              </w:rPr>
              <w:t>590,000,000.00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52"/>
              <w:jc w:val="right"/>
              <w:rPr>
                <w:rFonts w:ascii="Times New Roman" w:hAnsi="Times New Roman" w:cs="Times New Roman" w:eastAsia="Times New Roman" w:hint="default"/>
                <w:sz w:val="18"/>
                <w:szCs w:val="18"/>
              </w:rPr>
            </w:pPr>
            <w:r>
              <w:rPr>
                <w:rFonts w:ascii="Times New Roman"/>
                <w:spacing w:val="-1"/>
                <w:sz w:val="18"/>
              </w:rPr>
              <w:t>5,900,000.00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20"/>
              <w:jc w:val="right"/>
              <w:rPr>
                <w:rFonts w:ascii="Times New Roman" w:hAnsi="Times New Roman" w:cs="Times New Roman" w:eastAsia="Times New Roman" w:hint="default"/>
                <w:sz w:val="18"/>
                <w:szCs w:val="18"/>
              </w:rPr>
            </w:pPr>
            <w:r>
              <w:rPr>
                <w:rFonts w:ascii="Times New Roman"/>
                <w:spacing w:val="-1"/>
                <w:sz w:val="18"/>
              </w:rPr>
              <w:t>584,100,000.00</w:t>
            </w:r>
          </w:p>
        </w:tc>
      </w:tr>
      <w:tr>
        <w:trPr>
          <w:trHeight w:val="348" w:hRule="exact"/>
        </w:trPr>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贷款利息</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3"/>
              <w:jc w:val="right"/>
              <w:rPr>
                <w:rFonts w:ascii="Times New Roman" w:hAnsi="Times New Roman" w:cs="Times New Roman" w:eastAsia="Times New Roman" w:hint="default"/>
                <w:sz w:val="18"/>
                <w:szCs w:val="18"/>
              </w:rPr>
            </w:pPr>
            <w:r>
              <w:rPr>
                <w:rFonts w:ascii="Times New Roman"/>
                <w:spacing w:val="-1"/>
                <w:sz w:val="18"/>
              </w:rPr>
              <w:t>1,190,833.34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63"/>
              <w:jc w:val="right"/>
              <w:rPr>
                <w:rFonts w:ascii="Times New Roman" w:hAnsi="Times New Roman" w:cs="Times New Roman" w:eastAsia="Times New Roman" w:hint="default"/>
                <w:sz w:val="18"/>
                <w:szCs w:val="18"/>
              </w:rPr>
            </w:pPr>
            <w:r>
              <w:rPr>
                <w:rFonts w:ascii="Times New Roman"/>
                <w:spacing w:val="-1"/>
                <w:sz w:val="18"/>
              </w:rPr>
              <w:t>11,908.33</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73"/>
              <w:jc w:val="right"/>
              <w:rPr>
                <w:rFonts w:ascii="Times New Roman" w:hAnsi="Times New Roman" w:cs="Times New Roman" w:eastAsia="Times New Roman" w:hint="default"/>
                <w:sz w:val="18"/>
                <w:szCs w:val="18"/>
              </w:rPr>
            </w:pPr>
            <w:r>
              <w:rPr>
                <w:rFonts w:ascii="Times New Roman"/>
                <w:spacing w:val="-1"/>
                <w:sz w:val="18"/>
              </w:rPr>
              <w:t>1,178,925.01</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44"/>
              <w:jc w:val="right"/>
              <w:rPr>
                <w:rFonts w:ascii="Times New Roman" w:hAnsi="Times New Roman" w:cs="Times New Roman" w:eastAsia="Times New Roman" w:hint="default"/>
                <w:sz w:val="18"/>
                <w:szCs w:val="18"/>
              </w:rPr>
            </w:pPr>
            <w:r>
              <w:rPr>
                <w:rFonts w:ascii="Times New Roman"/>
                <w:spacing w:val="-1"/>
                <w:sz w:val="18"/>
              </w:rPr>
              <w:t>2,216,600.02</w:t>
            </w:r>
          </w:p>
        </w:tc>
        <w:tc>
          <w:tcPr>
            <w:tcW w:w="1340" w:type="dxa"/>
            <w:tcBorders>
              <w:top w:val="single" w:sz="6" w:space="0" w:color="000000"/>
              <w:left w:val="single" w:sz="6" w:space="0" w:color="000000"/>
              <w:bottom w:val="single" w:sz="6" w:space="0" w:color="000000"/>
              <w:right w:val="single" w:sz="6" w:space="0" w:color="000000"/>
            </w:tcBorders>
          </w:tcPr>
          <w:p>
            <w:pP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37"/>
              <w:jc w:val="right"/>
              <w:rPr>
                <w:rFonts w:ascii="Times New Roman" w:hAnsi="Times New Roman" w:cs="Times New Roman" w:eastAsia="Times New Roman" w:hint="default"/>
                <w:sz w:val="18"/>
                <w:szCs w:val="18"/>
              </w:rPr>
            </w:pPr>
            <w:r>
              <w:rPr>
                <w:rFonts w:ascii="Times New Roman"/>
                <w:spacing w:val="-1"/>
                <w:sz w:val="18"/>
              </w:rPr>
              <w:t>2,216,600.02</w:t>
            </w:r>
          </w:p>
        </w:tc>
      </w:tr>
      <w:tr>
        <w:trPr>
          <w:trHeight w:val="348" w:hRule="exact"/>
        </w:trPr>
        <w:tc>
          <w:tcPr>
            <w:tcW w:w="28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减：列示于其他流动资产</w:t>
            </w:r>
          </w:p>
        </w:tc>
        <w:tc>
          <w:tcPr>
            <w:tcW w:w="1426" w:type="dxa"/>
            <w:tcBorders>
              <w:top w:val="single" w:sz="6" w:space="0" w:color="000000"/>
              <w:left w:val="single" w:sz="6" w:space="0" w:color="000000"/>
              <w:bottom w:val="single" w:sz="6" w:space="0" w:color="000000"/>
              <w:right w:val="single" w:sz="6" w:space="0" w:color="000000"/>
            </w:tcBorders>
          </w:tcPr>
          <w:p>
            <w:pPr/>
          </w:p>
        </w:tc>
        <w:tc>
          <w:tcPr>
            <w:tcW w:w="1527"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25"/>
              <w:jc w:val="right"/>
              <w:rPr>
                <w:rFonts w:ascii="Times New Roman" w:hAnsi="Times New Roman" w:cs="Times New Roman" w:eastAsia="Times New Roman" w:hint="default"/>
                <w:sz w:val="18"/>
                <w:szCs w:val="18"/>
              </w:rPr>
            </w:pPr>
            <w:r>
              <w:rPr>
                <w:rFonts w:ascii="Times New Roman"/>
                <w:spacing w:val="-1"/>
                <w:sz w:val="18"/>
              </w:rPr>
              <w:t>290,000,000.00</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52"/>
              <w:jc w:val="right"/>
              <w:rPr>
                <w:rFonts w:ascii="Times New Roman" w:hAnsi="Times New Roman" w:cs="Times New Roman" w:eastAsia="Times New Roman" w:hint="default"/>
                <w:sz w:val="18"/>
                <w:szCs w:val="18"/>
              </w:rPr>
            </w:pPr>
            <w:r>
              <w:rPr>
                <w:rFonts w:ascii="Times New Roman"/>
                <w:spacing w:val="-1"/>
                <w:sz w:val="18"/>
              </w:rPr>
              <w:t>2,900,000.00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20"/>
              <w:jc w:val="right"/>
              <w:rPr>
                <w:rFonts w:ascii="Times New Roman" w:hAnsi="Times New Roman" w:cs="Times New Roman" w:eastAsia="Times New Roman" w:hint="default"/>
                <w:sz w:val="18"/>
                <w:szCs w:val="18"/>
              </w:rPr>
            </w:pPr>
            <w:r>
              <w:rPr>
                <w:rFonts w:ascii="Times New Roman"/>
                <w:spacing w:val="-1"/>
                <w:sz w:val="18"/>
              </w:rPr>
              <w:t>287,100,000.00</w:t>
            </w:r>
          </w:p>
        </w:tc>
      </w:tr>
      <w:tr>
        <w:trPr>
          <w:trHeight w:val="346" w:hRule="exact"/>
        </w:trPr>
        <w:tc>
          <w:tcPr>
            <w:tcW w:w="11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6" w:right="0"/>
              <w:jc w:val="left"/>
              <w:rPr>
                <w:rFonts w:ascii="Times New Roman" w:hAnsi="Times New Roman" w:cs="Times New Roman" w:eastAsia="Times New Roman" w:hint="default"/>
                <w:sz w:val="18"/>
                <w:szCs w:val="18"/>
              </w:rPr>
            </w:pPr>
            <w:r>
              <w:rPr>
                <w:rFonts w:ascii="Times New Roman"/>
                <w:sz w:val="18"/>
              </w:rPr>
              <w:t>1,008,190,833.34</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left="76" w:right="0"/>
              <w:jc w:val="left"/>
              <w:rPr>
                <w:rFonts w:ascii="Times New Roman" w:hAnsi="Times New Roman" w:cs="Times New Roman" w:eastAsia="Times New Roman" w:hint="default"/>
                <w:sz w:val="18"/>
                <w:szCs w:val="18"/>
              </w:rPr>
            </w:pPr>
            <w:r>
              <w:rPr>
                <w:rFonts w:ascii="Times New Roman"/>
                <w:sz w:val="18"/>
              </w:rPr>
              <w:t>10,081,908.33</w:t>
            </w:r>
          </w:p>
        </w:tc>
        <w:tc>
          <w:tcPr>
            <w:tcW w:w="15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54"/>
              <w:jc w:val="right"/>
              <w:rPr>
                <w:rFonts w:ascii="Times New Roman" w:hAnsi="Times New Roman" w:cs="Times New Roman" w:eastAsia="Times New Roman" w:hint="default"/>
                <w:sz w:val="18"/>
                <w:szCs w:val="18"/>
              </w:rPr>
            </w:pPr>
            <w:r>
              <w:rPr>
                <w:rFonts w:ascii="Times New Roman"/>
                <w:spacing w:val="-1"/>
                <w:sz w:val="18"/>
              </w:rPr>
              <w:t>998,108,925.01</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25"/>
              <w:jc w:val="right"/>
              <w:rPr>
                <w:rFonts w:ascii="Times New Roman" w:hAnsi="Times New Roman" w:cs="Times New Roman" w:eastAsia="Times New Roman" w:hint="default"/>
                <w:sz w:val="18"/>
                <w:szCs w:val="18"/>
              </w:rPr>
            </w:pPr>
            <w:r>
              <w:rPr>
                <w:rFonts w:ascii="Times New Roman"/>
                <w:spacing w:val="-1"/>
                <w:sz w:val="18"/>
              </w:rPr>
              <w:t>302,216,600.02</w:t>
            </w:r>
          </w:p>
        </w:tc>
        <w:tc>
          <w:tcPr>
            <w:tcW w:w="13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52"/>
              <w:jc w:val="right"/>
              <w:rPr>
                <w:rFonts w:ascii="Times New Roman" w:hAnsi="Times New Roman" w:cs="Times New Roman" w:eastAsia="Times New Roman" w:hint="default"/>
                <w:sz w:val="18"/>
                <w:szCs w:val="18"/>
              </w:rPr>
            </w:pPr>
            <w:r>
              <w:rPr>
                <w:rFonts w:ascii="Times New Roman"/>
                <w:spacing w:val="-1"/>
                <w:sz w:val="18"/>
              </w:rPr>
              <w:t>3,000,000.00</w:t>
            </w:r>
          </w:p>
        </w:tc>
        <w:tc>
          <w:tcPr>
            <w:tcW w:w="14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20"/>
              <w:jc w:val="right"/>
              <w:rPr>
                <w:rFonts w:ascii="Times New Roman" w:hAnsi="Times New Roman" w:cs="Times New Roman" w:eastAsia="Times New Roman" w:hint="default"/>
                <w:sz w:val="18"/>
                <w:szCs w:val="18"/>
              </w:rPr>
            </w:pPr>
            <w:r>
              <w:rPr>
                <w:rFonts w:ascii="Times New Roman"/>
                <w:spacing w:val="-1"/>
                <w:sz w:val="18"/>
              </w:rPr>
              <w:t>299,216,600.02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ind w:right="986"/>
        <w:jc w:val="left"/>
        <w:rPr>
          <w:rFonts w:ascii="Times New Roman" w:hAnsi="Times New Roman" w:cs="Times New Roman" w:eastAsia="Times New Roman" w:hint="default"/>
        </w:rPr>
      </w:pPr>
      <w:r>
        <w:rPr/>
        <w:t>其中：期限一年以内发放贷款及垫款账面价值为</w:t>
      </w:r>
      <w:r>
        <w:rPr>
          <w:rFonts w:ascii="Times New Roman" w:hAnsi="Times New Roman" w:cs="Times New Roman" w:eastAsia="Times New Roman" w:hint="default"/>
        </w:rPr>
        <w:t>551,430,000.00</w:t>
      </w:r>
      <w:r>
        <w:rPr/>
        <w:t>元</w:t>
      </w:r>
      <w:r>
        <w:rPr>
          <w:rFonts w:ascii="Times New Roman" w:hAnsi="Times New Roman" w:cs="Times New Roman" w:eastAsia="Times New Roman" w:hint="default"/>
        </w:rPr>
        <w:t>.</w:t>
      </w:r>
    </w:p>
    <w:p>
      <w:pPr>
        <w:pStyle w:val="BodyText"/>
        <w:spacing w:line="240" w:lineRule="auto" w:before="63"/>
        <w:ind w:right="986"/>
        <w:jc w:val="left"/>
      </w:pPr>
      <w:r>
        <w:rPr/>
        <w:t>（</w:t>
      </w:r>
      <w:r>
        <w:rPr>
          <w:rFonts w:ascii="Times New Roman" w:hAnsi="Times New Roman" w:cs="Times New Roman" w:eastAsia="Times New Roman" w:hint="default"/>
        </w:rPr>
        <w:t>2</w:t>
      </w:r>
      <w:r>
        <w:rPr/>
        <w:t>）风险分类情况</w:t>
      </w:r>
    </w:p>
    <w:p>
      <w:pPr>
        <w:spacing w:line="240" w:lineRule="auto" w:before="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037"/>
        <w:gridCol w:w="2117"/>
        <w:gridCol w:w="1858"/>
      </w:tblGrid>
      <w:tr>
        <w:trPr>
          <w:trHeight w:val="348"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项目</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346"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正常</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1,008,190,833.34</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592,216,600.02</w:t>
            </w:r>
          </w:p>
        </w:tc>
      </w:tr>
      <w:tr>
        <w:trPr>
          <w:trHeight w:val="348"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关注</w:t>
            </w:r>
          </w:p>
        </w:tc>
        <w:tc>
          <w:tcPr>
            <w:tcW w:w="2117"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次级</w:t>
            </w:r>
          </w:p>
        </w:tc>
        <w:tc>
          <w:tcPr>
            <w:tcW w:w="2117"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可疑</w:t>
            </w:r>
          </w:p>
        </w:tc>
        <w:tc>
          <w:tcPr>
            <w:tcW w:w="2117"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346"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损失</w:t>
            </w:r>
          </w:p>
        </w:tc>
        <w:tc>
          <w:tcPr>
            <w:tcW w:w="2117"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2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1,008,190,833.34</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592,216,600.02</w:t>
            </w:r>
          </w:p>
        </w:tc>
      </w:tr>
    </w:tbl>
    <w:p>
      <w:pPr>
        <w:pStyle w:val="BodyText"/>
        <w:spacing w:line="240" w:lineRule="auto" w:before="8"/>
        <w:ind w:right="986"/>
        <w:jc w:val="left"/>
      </w:pPr>
      <w:r>
        <w:rPr/>
        <w:t>（</w:t>
      </w:r>
      <w:r>
        <w:rPr>
          <w:rFonts w:ascii="Times New Roman" w:hAnsi="Times New Roman" w:cs="Times New Roman" w:eastAsia="Times New Roman" w:hint="default"/>
        </w:rPr>
        <w:t>3</w:t>
      </w:r>
      <w:r>
        <w:rPr/>
        <w:t>）贷款损失准备情况</w:t>
      </w:r>
    </w:p>
    <w:p>
      <w:pPr>
        <w:spacing w:line="240" w:lineRule="auto" w:before="2"/>
        <w:rPr>
          <w:rFonts w:ascii="宋体" w:hAnsi="宋体" w:cs="宋体" w:eastAsia="宋体" w:hint="default"/>
          <w:sz w:val="4"/>
          <w:szCs w:val="4"/>
        </w:rPr>
      </w:pPr>
    </w:p>
    <w:tbl>
      <w:tblPr>
        <w:tblW w:w="0" w:type="auto"/>
        <w:jc w:val="left"/>
        <w:tblInd w:w="105" w:type="dxa"/>
        <w:tblLayout w:type="fixed"/>
        <w:tblCellMar>
          <w:top w:w="0" w:type="dxa"/>
          <w:left w:w="0" w:type="dxa"/>
          <w:bottom w:w="0" w:type="dxa"/>
          <w:right w:w="0" w:type="dxa"/>
        </w:tblCellMar>
        <w:tblLook w:val="01E0"/>
      </w:tblPr>
      <w:tblGrid>
        <w:gridCol w:w="1037"/>
        <w:gridCol w:w="1858"/>
        <w:gridCol w:w="1051"/>
        <w:gridCol w:w="1512"/>
        <w:gridCol w:w="1051"/>
      </w:tblGrid>
      <w:tr>
        <w:trPr>
          <w:trHeight w:val="348"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分类</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1051" w:type="dxa"/>
            <w:tcBorders>
              <w:top w:val="single" w:sz="6" w:space="0" w:color="000000"/>
              <w:left w:val="single" w:sz="6" w:space="0" w:color="000000"/>
              <w:bottom w:val="single" w:sz="6" w:space="0" w:color="000000"/>
              <w:right w:val="single" w:sz="6" w:space="0" w:color="000000"/>
            </w:tcBorders>
          </w:tcPr>
          <w:p>
            <w:pPr/>
          </w:p>
        </w:tc>
        <w:tc>
          <w:tcPr>
            <w:tcW w:w="1512"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r>
      <w:tr>
        <w:trPr>
          <w:trHeight w:val="658" w:hRule="exact"/>
        </w:trPr>
        <w:tc>
          <w:tcPr>
            <w:tcW w:w="1037"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 w:right="0"/>
              <w:jc w:val="center"/>
              <w:rPr>
                <w:rFonts w:ascii="宋体" w:hAnsi="宋体" w:cs="宋体" w:eastAsia="宋体" w:hint="default"/>
                <w:sz w:val="20"/>
                <w:szCs w:val="20"/>
              </w:rPr>
            </w:pPr>
            <w:r>
              <w:rPr>
                <w:rFonts w:ascii="宋体" w:hAnsi="宋体" w:cs="宋体" w:eastAsia="宋体" w:hint="default"/>
                <w:sz w:val="20"/>
                <w:szCs w:val="20"/>
              </w:rPr>
              <w:t>贷款损失准备</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2"/>
              <w:ind w:left="237" w:right="17" w:hanging="219"/>
              <w:jc w:val="left"/>
              <w:rPr>
                <w:rFonts w:ascii="Times New Roman" w:hAnsi="Times New Roman" w:cs="Times New Roman" w:eastAsia="Times New Roman" w:hint="default"/>
                <w:sz w:val="20"/>
                <w:szCs w:val="20"/>
              </w:rPr>
            </w:pPr>
            <w:r>
              <w:rPr>
                <w:rFonts w:ascii="宋体" w:hAnsi="宋体" w:cs="宋体" w:eastAsia="宋体" w:hint="default"/>
                <w:sz w:val="20"/>
                <w:szCs w:val="20"/>
              </w:rPr>
              <w:t>预期信用损</w:t>
            </w:r>
            <w:r>
              <w:rPr>
                <w:rFonts w:ascii="宋体" w:hAnsi="宋体" w:cs="宋体" w:eastAsia="宋体" w:hint="default"/>
                <w:w w:val="99"/>
                <w:sz w:val="20"/>
                <w:szCs w:val="20"/>
              </w:rPr>
              <w:t> </w:t>
            </w:r>
            <w:r>
              <w:rPr>
                <w:rFonts w:ascii="宋体" w:hAnsi="宋体" w:cs="宋体" w:eastAsia="宋体" w:hint="default"/>
                <w:sz w:val="20"/>
                <w:szCs w:val="20"/>
              </w:rPr>
              <w:t>失率</w:t>
            </w:r>
            <w:r>
              <w:rPr>
                <w:rFonts w:ascii="Times New Roman" w:hAnsi="Times New Roman" w:cs="Times New Roman" w:eastAsia="Times New Roman" w:hint="default"/>
                <w:sz w:val="20"/>
                <w:szCs w:val="20"/>
              </w:rPr>
              <w:t>%</w:t>
            </w:r>
          </w:p>
        </w:tc>
      </w:tr>
      <w:tr>
        <w:trPr>
          <w:trHeight w:val="348"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正常</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1,008,190,833.34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sz w:val="20"/>
              </w:rPr>
              <w:t>100</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1" w:right="0"/>
              <w:jc w:val="center"/>
              <w:rPr>
                <w:rFonts w:ascii="Times New Roman" w:hAnsi="Times New Roman" w:cs="Times New Roman" w:eastAsia="Times New Roman" w:hint="default"/>
                <w:sz w:val="20"/>
                <w:szCs w:val="20"/>
              </w:rPr>
            </w:pPr>
            <w:r>
              <w:rPr>
                <w:rFonts w:ascii="Times New Roman"/>
                <w:sz w:val="20"/>
              </w:rPr>
              <w:t>10,081,908.33</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3"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r>
      <w:tr>
        <w:trPr>
          <w:trHeight w:val="348"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1,008,190,833.34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100</w:t>
            </w:r>
          </w:p>
        </w:tc>
        <w:tc>
          <w:tcPr>
            <w:tcW w:w="15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sz w:val="20"/>
              </w:rPr>
              <w:t>10,081,908.33</w:t>
            </w:r>
          </w:p>
        </w:tc>
        <w:tc>
          <w:tcPr>
            <w:tcW w:w="105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
        <w:ind w:right="986"/>
        <w:jc w:val="left"/>
      </w:pPr>
      <w:r>
        <w:rPr/>
        <w:t>续前表：</w:t>
      </w:r>
    </w:p>
    <w:p>
      <w:pPr>
        <w:spacing w:line="240" w:lineRule="auto" w:before="3"/>
        <w:rPr>
          <w:rFonts w:ascii="宋体" w:hAnsi="宋体" w:cs="宋体" w:eastAsia="宋体" w:hint="default"/>
          <w:sz w:val="5"/>
          <w:szCs w:val="5"/>
        </w:rPr>
      </w:pPr>
    </w:p>
    <w:tbl>
      <w:tblPr>
        <w:tblW w:w="0" w:type="auto"/>
        <w:jc w:val="left"/>
        <w:tblInd w:w="105" w:type="dxa"/>
        <w:tblLayout w:type="fixed"/>
        <w:tblCellMar>
          <w:top w:w="0" w:type="dxa"/>
          <w:left w:w="0" w:type="dxa"/>
          <w:bottom w:w="0" w:type="dxa"/>
          <w:right w:w="0" w:type="dxa"/>
        </w:tblCellMar>
        <w:tblLook w:val="01E0"/>
      </w:tblPr>
      <w:tblGrid>
        <w:gridCol w:w="1037"/>
        <w:gridCol w:w="1858"/>
        <w:gridCol w:w="1483"/>
        <w:gridCol w:w="1743"/>
        <w:gridCol w:w="1051"/>
      </w:tblGrid>
      <w:tr>
        <w:trPr>
          <w:trHeight w:val="346"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分类</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期初余额</w:t>
            </w:r>
          </w:p>
        </w:tc>
        <w:tc>
          <w:tcPr>
            <w:tcW w:w="1483" w:type="dxa"/>
            <w:tcBorders>
              <w:top w:val="single" w:sz="6" w:space="0" w:color="000000"/>
              <w:left w:val="single" w:sz="6" w:space="0" w:color="000000"/>
              <w:bottom w:val="single" w:sz="6" w:space="0" w:color="000000"/>
              <w:right w:val="single" w:sz="6" w:space="0" w:color="000000"/>
            </w:tcBorders>
          </w:tcPr>
          <w:p>
            <w:pPr/>
          </w:p>
        </w:tc>
        <w:tc>
          <w:tcPr>
            <w:tcW w:w="1743" w:type="dxa"/>
            <w:tcBorders>
              <w:top w:val="single" w:sz="6" w:space="0" w:color="000000"/>
              <w:left w:val="single" w:sz="6" w:space="0" w:color="000000"/>
              <w:bottom w:val="single" w:sz="6" w:space="0" w:color="000000"/>
              <w:right w:val="single" w:sz="6" w:space="0" w:color="000000"/>
            </w:tcBorders>
          </w:tcPr>
          <w:p>
            <w:pPr/>
          </w:p>
        </w:tc>
        <w:tc>
          <w:tcPr>
            <w:tcW w:w="1051"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037" w:type="dxa"/>
            <w:tcBorders>
              <w:top w:val="single" w:sz="6" w:space="0" w:color="000000"/>
              <w:left w:val="single" w:sz="6" w:space="0" w:color="000000"/>
              <w:bottom w:val="single" w:sz="6" w:space="0" w:color="000000"/>
              <w:right w:val="single" w:sz="6" w:space="0" w:color="000000"/>
            </w:tcBorders>
          </w:tcPr>
          <w:p>
            <w:pP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Times New Roman" w:hAnsi="Times New Roman" w:cs="Times New Roman" w:eastAsia="Times New Roman"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 w:right="0"/>
              <w:jc w:val="center"/>
              <w:rPr>
                <w:rFonts w:ascii="宋体" w:hAnsi="宋体" w:cs="宋体" w:eastAsia="宋体" w:hint="default"/>
                <w:sz w:val="20"/>
                <w:szCs w:val="20"/>
              </w:rPr>
            </w:pPr>
            <w:r>
              <w:rPr>
                <w:rFonts w:ascii="宋体" w:hAnsi="宋体" w:cs="宋体" w:eastAsia="宋体" w:hint="default"/>
                <w:sz w:val="20"/>
                <w:szCs w:val="20"/>
              </w:rPr>
              <w:t>贷款损失准备</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237" w:right="17" w:hanging="219"/>
              <w:jc w:val="left"/>
              <w:rPr>
                <w:rFonts w:ascii="Times New Roman" w:hAnsi="Times New Roman" w:cs="Times New Roman" w:eastAsia="Times New Roman" w:hint="default"/>
                <w:sz w:val="20"/>
                <w:szCs w:val="20"/>
              </w:rPr>
            </w:pPr>
            <w:r>
              <w:rPr>
                <w:rFonts w:ascii="宋体" w:hAnsi="宋体" w:cs="宋体" w:eastAsia="宋体" w:hint="default"/>
                <w:sz w:val="20"/>
                <w:szCs w:val="20"/>
              </w:rPr>
              <w:t>预期信用损</w:t>
            </w:r>
            <w:r>
              <w:rPr>
                <w:rFonts w:ascii="宋体" w:hAnsi="宋体" w:cs="宋体" w:eastAsia="宋体" w:hint="default"/>
                <w:w w:val="99"/>
                <w:sz w:val="20"/>
                <w:szCs w:val="20"/>
              </w:rPr>
              <w:t> </w:t>
            </w:r>
            <w:r>
              <w:rPr>
                <w:rFonts w:ascii="宋体" w:hAnsi="宋体" w:cs="宋体" w:eastAsia="宋体" w:hint="default"/>
                <w:sz w:val="20"/>
                <w:szCs w:val="20"/>
              </w:rPr>
              <w:t>失率</w:t>
            </w:r>
            <w:r>
              <w:rPr>
                <w:rFonts w:ascii="Times New Roman" w:hAnsi="Times New Roman" w:cs="Times New Roman" w:eastAsia="Times New Roman" w:hint="default"/>
                <w:sz w:val="20"/>
                <w:szCs w:val="20"/>
              </w:rPr>
              <w:t>%</w:t>
            </w:r>
          </w:p>
        </w:tc>
      </w:tr>
      <w:tr>
        <w:trPr>
          <w:trHeight w:val="348"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正常</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590,000,000.00</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100</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5,900,000.00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r>
      <w:tr>
        <w:trPr>
          <w:trHeight w:val="346" w:hRule="exact"/>
        </w:trPr>
        <w:tc>
          <w:tcPr>
            <w:tcW w:w="10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8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590,000,000.00</w:t>
            </w:r>
          </w:p>
        </w:tc>
        <w:tc>
          <w:tcPr>
            <w:tcW w:w="1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center"/>
              <w:rPr>
                <w:rFonts w:ascii="Times New Roman" w:hAnsi="Times New Roman" w:cs="Times New Roman" w:eastAsia="Times New Roman" w:hint="default"/>
                <w:sz w:val="20"/>
                <w:szCs w:val="20"/>
              </w:rPr>
            </w:pPr>
            <w:r>
              <w:rPr>
                <w:rFonts w:ascii="Times New Roman"/>
                <w:sz w:val="20"/>
              </w:rPr>
              <w:t>100</w:t>
            </w:r>
          </w:p>
        </w:tc>
        <w:tc>
          <w:tcPr>
            <w:tcW w:w="17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3" w:right="0"/>
              <w:jc w:val="center"/>
              <w:rPr>
                <w:rFonts w:ascii="Times New Roman" w:hAnsi="Times New Roman" w:cs="Times New Roman" w:eastAsia="Times New Roman" w:hint="default"/>
                <w:sz w:val="20"/>
                <w:szCs w:val="20"/>
              </w:rPr>
            </w:pPr>
            <w:r>
              <w:rPr>
                <w:rFonts w:ascii="Times New Roman"/>
                <w:sz w:val="20"/>
              </w:rPr>
              <w:t>5,900,000.00</w:t>
            </w:r>
          </w:p>
        </w:tc>
        <w:tc>
          <w:tcPr>
            <w:tcW w:w="1051" w:type="dxa"/>
            <w:tcBorders>
              <w:top w:val="single" w:sz="6" w:space="0" w:color="000000"/>
              <w:left w:val="single" w:sz="6" w:space="0" w:color="000000"/>
              <w:bottom w:val="single" w:sz="6" w:space="0" w:color="000000"/>
              <w:right w:val="single" w:sz="6" w:space="0" w:color="000000"/>
            </w:tcBorders>
          </w:tcPr>
          <w:p>
            <w:pPr/>
          </w:p>
        </w:tc>
      </w:tr>
    </w:tbl>
    <w:p>
      <w:pPr>
        <w:pStyle w:val="BodyText"/>
        <w:spacing w:line="240" w:lineRule="auto" w:before="8"/>
        <w:ind w:right="986"/>
        <w:jc w:val="left"/>
        <w:rPr>
          <w:rFonts w:ascii="Times New Roman" w:hAnsi="Times New Roman" w:cs="Times New Roman" w:eastAsia="Times New Roman" w:hint="default"/>
        </w:rPr>
      </w:pPr>
      <w:r>
        <w:rPr/>
        <w:t>其中：期限一年以内发放贷款及垫款账面价值为</w:t>
      </w:r>
      <w:r>
        <w:rPr>
          <w:spacing w:val="-19"/>
        </w:rPr>
        <w:t> </w:t>
      </w:r>
      <w:r>
        <w:rPr>
          <w:rFonts w:ascii="Times New Roman" w:hAnsi="Times New Roman" w:cs="Times New Roman" w:eastAsia="Times New Roman" w:hint="default"/>
        </w:rPr>
        <w:t>287,100,000.00</w:t>
      </w:r>
      <w:r>
        <w:rPr/>
        <w:t>元</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18"/>
          <w:szCs w:val="18"/>
        </w:rPr>
      </w:pPr>
    </w:p>
    <w:p>
      <w:pPr>
        <w:pStyle w:val="Heading4"/>
        <w:spacing w:line="240" w:lineRule="auto" w:before="135"/>
        <w:ind w:right="986"/>
        <w:jc w:val="left"/>
        <w:rPr>
          <w:b w:val="0"/>
          <w:bCs w:val="0"/>
        </w:rPr>
      </w:pPr>
      <w:bookmarkStart w:name="15、债权投资" w:id="287"/>
      <w:bookmarkEnd w:id="287"/>
      <w:r>
        <w:rPr>
          <w:b w:val="0"/>
          <w:bCs w:val="0"/>
        </w:rPr>
      </w:r>
      <w:r>
        <w:rPr>
          <w:rFonts w:ascii="Times New Roman" w:hAnsi="Times New Roman" w:cs="Times New Roman" w:eastAsia="Times New Roman" w:hint="default"/>
        </w:rPr>
        <w:t>15</w:t>
      </w:r>
      <w:r>
        <w:rPr/>
        <w:t>、债权投资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重要的债权投资</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50"/>
        <w:ind w:right="986"/>
        <w:jc w:val="left"/>
      </w:pPr>
      <w:r>
        <w:rPr/>
        <w:t>减值准备计提情况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1"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460" w:right="139"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 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363"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986"/>
        <w:jc w:val="left"/>
      </w:pPr>
      <w:r>
        <w:rPr/>
        <w:t>损失准备本期变动金额重大的账面余额变动情况</w:t>
      </w:r>
    </w:p>
    <w:p>
      <w:pPr>
        <w:pStyle w:val="BodyText"/>
        <w:spacing w:line="360" w:lineRule="auto" w:before="115"/>
        <w:ind w:right="9134"/>
        <w:jc w:val="left"/>
      </w:pPr>
      <w:r>
        <w:rPr/>
        <w:t>□ 适用 √</w:t>
      </w:r>
      <w:r>
        <w:rPr>
          <w:spacing w:val="3"/>
        </w:rPr>
        <w:t> </w:t>
      </w:r>
      <w:r>
        <w:rPr/>
        <w:t>不适用</w:t>
      </w:r>
      <w:r>
        <w:rPr/>
        <w:t> 其他说明：</w:t>
      </w:r>
    </w:p>
    <w:p>
      <w:pPr>
        <w:spacing w:line="240" w:lineRule="auto" w:before="4"/>
        <w:rPr>
          <w:rFonts w:ascii="宋体" w:hAnsi="宋体" w:cs="宋体" w:eastAsia="宋体" w:hint="default"/>
          <w:sz w:val="20"/>
          <w:szCs w:val="20"/>
        </w:rPr>
      </w:pPr>
    </w:p>
    <w:p>
      <w:pPr>
        <w:pStyle w:val="Heading4"/>
        <w:spacing w:line="240" w:lineRule="auto"/>
        <w:ind w:right="986"/>
        <w:jc w:val="left"/>
        <w:rPr>
          <w:b w:val="0"/>
          <w:bCs w:val="0"/>
        </w:rPr>
      </w:pPr>
      <w:bookmarkStart w:name="16、其他债权投资" w:id="288"/>
      <w:bookmarkEnd w:id="288"/>
      <w:r>
        <w:rPr>
          <w:b w:val="0"/>
          <w:bCs w:val="0"/>
        </w:rPr>
      </w:r>
      <w:r>
        <w:rPr>
          <w:rFonts w:ascii="Times New Roman" w:hAnsi="Times New Roman" w:cs="Times New Roman" w:eastAsia="Times New Roman" w:hint="default"/>
        </w:rPr>
        <w:t>16</w:t>
      </w:r>
      <w:r>
        <w:rPr/>
        <w:t>、其他债权投资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07"/>
        <w:gridCol w:w="1138"/>
        <w:gridCol w:w="970"/>
        <w:gridCol w:w="1046"/>
        <w:gridCol w:w="1250"/>
        <w:gridCol w:w="627"/>
        <w:gridCol w:w="1085"/>
        <w:gridCol w:w="1981"/>
        <w:gridCol w:w="768"/>
      </w:tblGrid>
      <w:tr>
        <w:trPr>
          <w:trHeight w:val="715" w:hRule="exact"/>
        </w:trPr>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8" w:right="156"/>
              <w:jc w:val="left"/>
              <w:rPr>
                <w:rFonts w:ascii="宋体" w:hAnsi="宋体" w:cs="宋体" w:eastAsia="宋体" w:hint="default"/>
                <w:sz w:val="18"/>
                <w:szCs w:val="18"/>
              </w:rPr>
            </w:pPr>
            <w:r>
              <w:rPr>
                <w:rFonts w:ascii="宋体" w:hAnsi="宋体" w:cs="宋体" w:eastAsia="宋体" w:hint="default"/>
                <w:sz w:val="18"/>
                <w:szCs w:val="18"/>
              </w:rPr>
              <w:t>本期公允 价值变动</w:t>
            </w:r>
          </w:p>
        </w:tc>
        <w:tc>
          <w:tcPr>
            <w:tcW w:w="12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7" w:right="175"/>
              <w:jc w:val="left"/>
              <w:rPr>
                <w:rFonts w:ascii="宋体" w:hAnsi="宋体" w:cs="宋体" w:eastAsia="宋体" w:hint="default"/>
                <w:sz w:val="18"/>
                <w:szCs w:val="18"/>
              </w:rPr>
            </w:pPr>
            <w:r>
              <w:rPr>
                <w:rFonts w:ascii="宋体" w:hAnsi="宋体" w:cs="宋体" w:eastAsia="宋体" w:hint="default"/>
                <w:sz w:val="18"/>
                <w:szCs w:val="18"/>
              </w:rPr>
              <w:t>累计公允 价值变动</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3" w:right="173" w:hanging="89"/>
              <w:jc w:val="left"/>
              <w:rPr>
                <w:rFonts w:ascii="宋体" w:hAnsi="宋体" w:cs="宋体" w:eastAsia="宋体" w:hint="default"/>
                <w:sz w:val="18"/>
                <w:szCs w:val="18"/>
              </w:rPr>
            </w:pPr>
            <w:r>
              <w:rPr>
                <w:rFonts w:ascii="宋体" w:hAnsi="宋体" w:cs="宋体" w:eastAsia="宋体" w:hint="default"/>
                <w:sz w:val="18"/>
                <w:szCs w:val="18"/>
              </w:rPr>
              <w:t>累计在其他综合收益 中确认的损失准备</w:t>
            </w:r>
          </w:p>
        </w:tc>
        <w:tc>
          <w:tcPr>
            <w:tcW w:w="7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备注</w:t>
            </w:r>
          </w:p>
        </w:tc>
      </w:tr>
    </w:tbl>
    <w:p>
      <w:pPr>
        <w:pStyle w:val="BodyText"/>
        <w:spacing w:line="240" w:lineRule="auto" w:before="49"/>
        <w:ind w:right="986"/>
        <w:jc w:val="left"/>
      </w:pPr>
      <w:r>
        <w:rPr/>
        <w:t>重要的其他债权投资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958"/>
        <w:gridCol w:w="958"/>
        <w:gridCol w:w="958"/>
        <w:gridCol w:w="956"/>
        <w:gridCol w:w="958"/>
        <w:gridCol w:w="955"/>
        <w:gridCol w:w="958"/>
        <w:gridCol w:w="958"/>
      </w:tblGrid>
      <w:tr>
        <w:trPr>
          <w:trHeight w:val="402"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5"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2"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03"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49"/>
        <w:ind w:right="986"/>
        <w:jc w:val="left"/>
      </w:pPr>
      <w:r>
        <w:rPr/>
        <w:t>减值准备计提情况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652"/>
        <w:gridCol w:w="2098"/>
        <w:gridCol w:w="2101"/>
        <w:gridCol w:w="1805"/>
      </w:tblGrid>
      <w:tr>
        <w:trPr>
          <w:trHeight w:val="403" w:hRule="exact"/>
        </w:trPr>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1914" w:type="dxa"/>
            <w:vMerge/>
            <w:tcBorders>
              <w:left w:val="single" w:sz="4" w:space="0" w:color="000000"/>
              <w:bottom w:val="single" w:sz="4" w:space="0" w:color="000000"/>
              <w:right w:val="single" w:sz="4" w:space="0" w:color="000000"/>
            </w:tcBorders>
            <w:shd w:val="clear" w:color="auto" w:fill="D2D2D2"/>
          </w:tcPr>
          <w:p>
            <w:pP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60" w:right="139" w:hanging="31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个月预期 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716"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32"/>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 在本期</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49"/>
        <w:ind w:right="986"/>
        <w:jc w:val="left"/>
      </w:pPr>
      <w:r>
        <w:rPr/>
        <w:t>损失准备本期变动金额重大的账面余额变动情况</w:t>
      </w:r>
    </w:p>
    <w:p>
      <w:pPr>
        <w:pStyle w:val="BodyText"/>
        <w:spacing w:line="360" w:lineRule="auto" w:before="115"/>
        <w:ind w:right="9221"/>
        <w:jc w:val="left"/>
      </w:pPr>
      <w:r>
        <w:rPr/>
        <w:t>□ 适用 √</w:t>
      </w:r>
      <w:r>
        <w:rPr>
          <w:spacing w:val="3"/>
        </w:rPr>
        <w:t> </w:t>
      </w:r>
      <w:r>
        <w:rPr/>
        <w:t>不适用</w:t>
      </w:r>
      <w:r>
        <w:rPr/>
        <w:t> 其他说明：</w:t>
      </w:r>
    </w:p>
    <w:p>
      <w:pPr>
        <w:spacing w:line="240" w:lineRule="auto" w:before="2"/>
        <w:rPr>
          <w:rFonts w:ascii="宋体" w:hAnsi="宋体" w:cs="宋体" w:eastAsia="宋体" w:hint="default"/>
          <w:sz w:val="20"/>
          <w:szCs w:val="20"/>
        </w:rPr>
      </w:pPr>
    </w:p>
    <w:p>
      <w:pPr>
        <w:pStyle w:val="Heading4"/>
        <w:spacing w:line="240" w:lineRule="auto"/>
        <w:ind w:right="986"/>
        <w:jc w:val="left"/>
        <w:rPr>
          <w:b w:val="0"/>
          <w:bCs w:val="0"/>
        </w:rPr>
      </w:pPr>
      <w:bookmarkStart w:name="17、长期应收款" w:id="289"/>
      <w:bookmarkEnd w:id="289"/>
      <w:r>
        <w:rPr>
          <w:b w:val="0"/>
          <w:bCs w:val="0"/>
        </w:rPr>
      </w:r>
      <w:r>
        <w:rPr>
          <w:rFonts w:ascii="Times New Roman" w:hAnsi="Times New Roman" w:cs="Times New Roman" w:eastAsia="Times New Roman" w:hint="default"/>
        </w:rPr>
        <w:t>17</w:t>
      </w:r>
      <w:r>
        <w:rPr/>
        <w:t>、长期应收款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长期应收款情况" w:id="290"/>
      <w:bookmarkEnd w:id="290"/>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403"/>
        <w:gridCol w:w="1166"/>
        <w:gridCol w:w="1167"/>
        <w:gridCol w:w="1166"/>
        <w:gridCol w:w="1169"/>
        <w:gridCol w:w="1166"/>
        <w:gridCol w:w="1167"/>
        <w:gridCol w:w="1164"/>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2D2D2"/>
          </w:tcPr>
          <w:p>
            <w:pP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4"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0"/>
        <w:ind w:right="986"/>
        <w:jc w:val="left"/>
      </w:pPr>
      <w:r>
        <w:rPr/>
        <w:t>坏账准备减值情况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06"/>
        <w:gridCol w:w="2137"/>
        <w:gridCol w:w="2136"/>
        <w:gridCol w:w="2137"/>
        <w:gridCol w:w="754"/>
      </w:tblGrid>
      <w:tr>
        <w:trPr>
          <w:trHeight w:val="401" w:hRule="exact"/>
        </w:trPr>
        <w:tc>
          <w:tcPr>
            <w:tcW w:w="24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7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92" w:right="0"/>
              <w:jc w:val="left"/>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2406" w:type="dxa"/>
            <w:vMerge/>
            <w:tcBorders>
              <w:left w:val="single" w:sz="4" w:space="0" w:color="000000"/>
              <w:bottom w:val="single" w:sz="4" w:space="0" w:color="000000"/>
              <w:right w:val="single" w:sz="4" w:space="0" w:color="000000"/>
            </w:tcBorders>
            <w:shd w:val="clear" w:color="auto" w:fill="D2D2D2"/>
          </w:tcPr>
          <w:p>
            <w:pP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72" w:right="113" w:hanging="855"/>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个月预期信用损 失</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3" w:right="161"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83" w:right="161"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75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日余额在本期</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2" w:right="0"/>
              <w:jc w:val="left"/>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49"/>
        <w:ind w:right="986"/>
        <w:jc w:val="left"/>
      </w:pPr>
      <w:r>
        <w:rPr/>
        <w:t>损失准备本期变动金额重大的账面余额变动情况</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因金融资产转移而终止确认的长期应收款" w:id="291"/>
      <w:bookmarkEnd w:id="291"/>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3）转移长期应收款且继续涉入形成的资产、负债金额" w:id="292"/>
      <w:bookmarkEnd w:id="292"/>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18、长期股权投资" w:id="293"/>
      <w:bookmarkEnd w:id="293"/>
      <w:r>
        <w:rPr>
          <w:b w:val="0"/>
          <w:bCs w:val="0"/>
        </w:rPr>
      </w:r>
      <w:r>
        <w:rPr>
          <w:rFonts w:ascii="Times New Roman" w:hAnsi="Times New Roman" w:cs="Times New Roman" w:eastAsia="Times New Roman" w:hint="default"/>
        </w:rPr>
        <w:t>18</w:t>
      </w:r>
      <w:r>
        <w:rPr/>
        <w:t>、长期股权投资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3"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316" w:lineRule="auto"/>
              <w:ind w:left="212" w:right="122" w:hanging="92"/>
              <w:jc w:val="left"/>
              <w:rPr>
                <w:rFonts w:ascii="宋体" w:hAnsi="宋体" w:cs="宋体" w:eastAsia="宋体" w:hint="default"/>
                <w:sz w:val="18"/>
                <w:szCs w:val="18"/>
              </w:rPr>
            </w:pPr>
            <w:r>
              <w:rPr>
                <w:rFonts w:ascii="宋体" w:hAnsi="宋体" w:cs="宋体" w:eastAsia="宋体" w:hint="default"/>
                <w:sz w:val="18"/>
                <w:szCs w:val="18"/>
              </w:rPr>
              <w:t>被投资 单位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2" w:lineRule="auto"/>
              <w:ind w:left="122"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2" w:lineRule="auto"/>
              <w:ind w:left="127" w:right="12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7"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05" w:right="122" w:hanging="181"/>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7" w:right="120"/>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7" w:right="120"/>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4" w:right="120"/>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27" w:right="12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19、其他权益工具投资" w:id="294"/>
      <w:bookmarkEnd w:id="294"/>
      <w:r>
        <w:rPr>
          <w:b w:val="0"/>
          <w:bCs w:val="0"/>
        </w:rPr>
      </w:r>
      <w:r>
        <w:rPr>
          <w:rFonts w:ascii="Times New Roman" w:hAnsi="Times New Roman" w:cs="Times New Roman" w:eastAsia="Times New Roman" w:hint="default"/>
        </w:rPr>
        <w:t>19</w:t>
      </w:r>
      <w:r>
        <w:rPr/>
        <w:t>、其他权益工具投资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6"/>
        <w:jc w:val="left"/>
      </w:pPr>
      <w:r>
        <w:rPr/>
        <w:t>分项披露本期非交易性权益工具投资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30"/>
        <w:gridCol w:w="972"/>
        <w:gridCol w:w="701"/>
        <w:gridCol w:w="742"/>
        <w:gridCol w:w="1747"/>
        <w:gridCol w:w="2811"/>
        <w:gridCol w:w="1969"/>
      </w:tblGrid>
      <w:tr>
        <w:trPr>
          <w:trHeight w:val="714" w:hRule="exact"/>
        </w:trPr>
        <w:tc>
          <w:tcPr>
            <w:tcW w:w="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8" w:right="131"/>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9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1" w:right="117" w:hanging="89"/>
              <w:jc w:val="left"/>
              <w:rPr>
                <w:rFonts w:ascii="宋体" w:hAnsi="宋体" w:cs="宋体" w:eastAsia="宋体" w:hint="default"/>
                <w:sz w:val="18"/>
                <w:szCs w:val="18"/>
              </w:rPr>
            </w:pPr>
            <w:r>
              <w:rPr>
                <w:rFonts w:ascii="宋体" w:hAnsi="宋体" w:cs="宋体" w:eastAsia="宋体" w:hint="default"/>
                <w:sz w:val="18"/>
                <w:szCs w:val="18"/>
              </w:rPr>
              <w:t>确认的股 利收入</w:t>
            </w:r>
          </w:p>
        </w:tc>
        <w:tc>
          <w:tcPr>
            <w:tcW w:w="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163"/>
              <w:jc w:val="left"/>
              <w:rPr>
                <w:rFonts w:ascii="宋体" w:hAnsi="宋体" w:cs="宋体" w:eastAsia="宋体" w:hint="default"/>
                <w:sz w:val="18"/>
                <w:szCs w:val="18"/>
              </w:rPr>
            </w:pPr>
            <w:r>
              <w:rPr>
                <w:rFonts w:ascii="宋体" w:hAnsi="宋体" w:cs="宋体" w:eastAsia="宋体" w:hint="default"/>
                <w:sz w:val="18"/>
                <w:szCs w:val="18"/>
              </w:rPr>
              <w:t>累计 利得</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84" w:right="185"/>
              <w:jc w:val="left"/>
              <w:rPr>
                <w:rFonts w:ascii="宋体" w:hAnsi="宋体" w:cs="宋体" w:eastAsia="宋体" w:hint="default"/>
                <w:sz w:val="18"/>
                <w:szCs w:val="18"/>
              </w:rPr>
            </w:pPr>
            <w:r>
              <w:rPr>
                <w:rFonts w:ascii="宋体" w:hAnsi="宋体" w:cs="宋体" w:eastAsia="宋体" w:hint="default"/>
                <w:sz w:val="18"/>
                <w:szCs w:val="18"/>
              </w:rPr>
              <w:t>累计 损失</w:t>
            </w:r>
          </w:p>
        </w:tc>
        <w:tc>
          <w:tcPr>
            <w:tcW w:w="1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7" w:right="146" w:hanging="89"/>
              <w:jc w:val="left"/>
              <w:rPr>
                <w:rFonts w:ascii="宋体" w:hAnsi="宋体" w:cs="宋体" w:eastAsia="宋体" w:hint="default"/>
                <w:sz w:val="18"/>
                <w:szCs w:val="18"/>
              </w:rPr>
            </w:pPr>
            <w:r>
              <w:rPr>
                <w:rFonts w:ascii="宋体" w:hAnsi="宋体" w:cs="宋体" w:eastAsia="宋体" w:hint="default"/>
                <w:sz w:val="18"/>
                <w:szCs w:val="18"/>
              </w:rPr>
              <w:t>其他综合收益转入 留存收益的金额</w:t>
            </w:r>
          </w:p>
        </w:tc>
        <w:tc>
          <w:tcPr>
            <w:tcW w:w="28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10" w:right="137" w:hanging="270"/>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 计入其他综合收益的原因</w:t>
            </w:r>
          </w:p>
        </w:tc>
        <w:tc>
          <w:tcPr>
            <w:tcW w:w="19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39" w:right="168" w:hanging="272"/>
              <w:jc w:val="left"/>
              <w:rPr>
                <w:rFonts w:ascii="宋体" w:hAnsi="宋体" w:cs="宋体" w:eastAsia="宋体" w:hint="default"/>
                <w:sz w:val="18"/>
                <w:szCs w:val="18"/>
              </w:rPr>
            </w:pPr>
            <w:r>
              <w:rPr>
                <w:rFonts w:ascii="宋体" w:hAnsi="宋体" w:cs="宋体" w:eastAsia="宋体" w:hint="default"/>
                <w:sz w:val="18"/>
                <w:szCs w:val="18"/>
              </w:rPr>
              <w:t>其他综合收益转入留 存收益的原因</w:t>
            </w:r>
          </w:p>
        </w:tc>
      </w:tr>
    </w:tbl>
    <w:p>
      <w:pPr>
        <w:pStyle w:val="BodyText"/>
        <w:spacing w:line="240" w:lineRule="auto" w:before="50"/>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0、其他非流动金融资产" w:id="295"/>
      <w:bookmarkEnd w:id="295"/>
      <w:r>
        <w:rPr>
          <w:b w:val="0"/>
          <w:bCs w:val="0"/>
        </w:rPr>
      </w:r>
      <w:r>
        <w:rPr>
          <w:rFonts w:ascii="Times New Roman" w:hAnsi="Times New Roman" w:cs="Times New Roman" w:eastAsia="Times New Roman" w:hint="default"/>
        </w:rPr>
        <w:t>20</w:t>
      </w:r>
      <w:r>
        <w:rPr/>
        <w:t>、其他非流动金融资产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思尔森肯</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科技有限公司</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3,000,000.00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北京沃美影城投资款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3,000,000.00</w:t>
            </w:r>
          </w:p>
        </w:tc>
      </w:tr>
    </w:tbl>
    <w:p>
      <w:pPr>
        <w:pStyle w:val="BodyText"/>
        <w:spacing w:line="240" w:lineRule="auto" w:before="49"/>
        <w:ind w:right="986"/>
        <w:jc w:val="left"/>
      </w:pPr>
      <w:r>
        <w:rPr/>
        <w:t>其他说明：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21、投资性房地产" w:id="296"/>
      <w:bookmarkEnd w:id="296"/>
      <w:r>
        <w:rPr>
          <w:b w:val="0"/>
          <w:bCs w:val="0"/>
        </w:rPr>
      </w:r>
      <w:r>
        <w:rPr>
          <w:rFonts w:ascii="Times New Roman" w:hAnsi="Times New Roman" w:cs="Times New Roman" w:eastAsia="Times New Roman" w:hint="default"/>
        </w:rPr>
        <w:t>21</w:t>
      </w:r>
      <w:r>
        <w:rPr/>
        <w:t>、投资性房地产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采用成本计量模式的投资性房地产" w:id="297"/>
      <w:bookmarkEnd w:id="297"/>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6"/>
        <w:jc w:val="left"/>
      </w:pPr>
      <w:r>
        <w:rPr/>
        <w:t>√ 适用 □</w:t>
      </w:r>
      <w:r>
        <w:rPr>
          <w:spacing w:val="3"/>
        </w:rPr>
        <w:t> </w:t>
      </w:r>
      <w:r>
        <w:rPr/>
        <w:t>不适用</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028"/>
        <w:gridCol w:w="1800"/>
        <w:gridCol w:w="1238"/>
        <w:gridCol w:w="1239"/>
        <w:gridCol w:w="1267"/>
      </w:tblGrid>
      <w:tr>
        <w:trPr>
          <w:trHeight w:val="397"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55"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3"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2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56"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7"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10,043,041.52</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10,043,041.52</w:t>
            </w:r>
          </w:p>
        </w:tc>
      </w:tr>
      <w:tr>
        <w:trPr>
          <w:trHeight w:val="402"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）存货</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0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0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10,043,041.52</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10,043,041.52</w:t>
            </w:r>
          </w:p>
        </w:tc>
      </w:tr>
      <w:tr>
        <w:trPr>
          <w:trHeight w:val="402"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二、累计折旧和累计摊销</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954,089.04</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954,089.04</w:t>
            </w:r>
          </w:p>
        </w:tc>
      </w:tr>
      <w:tr>
        <w:trPr>
          <w:trHeight w:val="402"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477,044.52</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477,044.52</w:t>
            </w:r>
          </w:p>
        </w:tc>
      </w:tr>
      <w:tr>
        <w:trPr>
          <w:trHeight w:val="402"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477,044.52</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477,044.52</w:t>
            </w:r>
          </w:p>
        </w:tc>
      </w:tr>
      <w:tr>
        <w:trPr>
          <w:trHeight w:val="401" w:hRule="exact"/>
        </w:trPr>
        <w:tc>
          <w:tcPr>
            <w:tcW w:w="40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0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1,431,133.56</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1,431,133.56</w:t>
            </w:r>
          </w:p>
        </w:tc>
      </w:tr>
      <w:tr>
        <w:trPr>
          <w:trHeight w:val="402"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0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4028"/>
        <w:gridCol w:w="1800"/>
        <w:gridCol w:w="1238"/>
        <w:gridCol w:w="1239"/>
        <w:gridCol w:w="1267"/>
      </w:tblGrid>
      <w:tr>
        <w:trPr>
          <w:trHeight w:val="402"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381"/>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028" w:type="dxa"/>
            <w:tcBorders>
              <w:top w:val="single" w:sz="4" w:space="0" w:color="000000"/>
              <w:left w:val="single" w:sz="4" w:space="0" w:color="000000"/>
              <w:bottom w:val="single" w:sz="4" w:space="0" w:color="000000"/>
              <w:right w:val="single" w:sz="4" w:space="0" w:color="000000"/>
            </w:tcBorders>
          </w:tcPr>
          <w:p>
            <w:pP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800" w:type="dxa"/>
            <w:tcBorders>
              <w:top w:val="single" w:sz="4" w:space="0" w:color="000000"/>
              <w:left w:val="single" w:sz="4" w:space="0" w:color="000000"/>
              <w:bottom w:val="single" w:sz="4" w:space="0" w:color="000000"/>
              <w:right w:val="single" w:sz="4" w:space="0" w:color="000000"/>
            </w:tcBorders>
          </w:tcPr>
          <w:p>
            <w:pP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336"/>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1"/>
              <w:jc w:val="right"/>
              <w:rPr>
                <w:rFonts w:ascii="Times New Roman" w:hAnsi="Times New Roman" w:cs="Times New Roman" w:eastAsia="Times New Roman" w:hint="default"/>
                <w:sz w:val="18"/>
                <w:szCs w:val="18"/>
              </w:rPr>
            </w:pPr>
            <w:r>
              <w:rPr>
                <w:rFonts w:ascii="Times New Roman"/>
                <w:spacing w:val="-1"/>
                <w:sz w:val="18"/>
              </w:rPr>
              <w:t>8,611,907.96</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8,611,907.96</w:t>
            </w:r>
          </w:p>
        </w:tc>
      </w:tr>
      <w:tr>
        <w:trPr>
          <w:trHeight w:val="403" w:hRule="exact"/>
        </w:trPr>
        <w:tc>
          <w:tcPr>
            <w:tcW w:w="4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336"/>
              <w:jc w:val="righ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9,088,952.48</w:t>
            </w:r>
          </w:p>
        </w:tc>
        <w:tc>
          <w:tcPr>
            <w:tcW w:w="1238" w:type="dxa"/>
            <w:tcBorders>
              <w:top w:val="single" w:sz="4" w:space="0" w:color="000000"/>
              <w:left w:val="single" w:sz="4" w:space="0" w:color="000000"/>
              <w:bottom w:val="single" w:sz="4" w:space="0" w:color="000000"/>
              <w:right w:val="single" w:sz="4" w:space="0" w:color="000000"/>
            </w:tcBorders>
          </w:tcPr>
          <w:p>
            <w:pPr/>
          </w:p>
        </w:tc>
        <w:tc>
          <w:tcPr>
            <w:tcW w:w="1239" w:type="dxa"/>
            <w:tcBorders>
              <w:top w:val="single" w:sz="4" w:space="0" w:color="000000"/>
              <w:left w:val="single" w:sz="4" w:space="0" w:color="000000"/>
              <w:bottom w:val="single" w:sz="4" w:space="0" w:color="000000"/>
              <w:right w:val="single" w:sz="4" w:space="0" w:color="000000"/>
            </w:tcBorders>
          </w:tcPr>
          <w:p>
            <w:pPr/>
          </w:p>
        </w:tc>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9,088,952.48</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采用公允价值计量模式的投资性房地产" w:id="298"/>
      <w:bookmarkEnd w:id="298"/>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3）未办妥产权证书的投资性房地产情况" w:id="299"/>
      <w:bookmarkEnd w:id="299"/>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2、固定资产" w:id="300"/>
      <w:bookmarkEnd w:id="300"/>
      <w:r>
        <w:rPr>
          <w:b w:val="0"/>
          <w:bCs w:val="0"/>
        </w:rPr>
      </w:r>
      <w:r>
        <w:rPr>
          <w:rFonts w:ascii="Times New Roman" w:hAnsi="Times New Roman" w:cs="Times New Roman" w:eastAsia="Times New Roman" w:hint="default"/>
        </w:rPr>
        <w:t>22</w:t>
      </w:r>
      <w:r>
        <w:rPr/>
        <w:t>、固定资产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固定资产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1,474,186.43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57,977,267.78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1,474,186.43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57,977,267.78</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1）固定资产情况" w:id="301"/>
      <w:bookmarkEnd w:id="301"/>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09"/>
        <w:gridCol w:w="1927"/>
        <w:gridCol w:w="1661"/>
        <w:gridCol w:w="1429"/>
        <w:gridCol w:w="1447"/>
      </w:tblGrid>
      <w:tr>
        <w:trPr>
          <w:trHeight w:val="401" w:hRule="exact"/>
        </w:trPr>
        <w:tc>
          <w:tcPr>
            <w:tcW w:w="3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8" w:right="0"/>
              <w:jc w:val="left"/>
              <w:rPr>
                <w:rFonts w:ascii="宋体" w:hAnsi="宋体" w:cs="宋体" w:eastAsia="宋体" w:hint="default"/>
                <w:sz w:val="18"/>
                <w:szCs w:val="18"/>
              </w:rPr>
            </w:pPr>
            <w:r>
              <w:rPr>
                <w:rFonts w:ascii="宋体" w:hAnsi="宋体" w:cs="宋体" w:eastAsia="宋体" w:hint="default"/>
                <w:sz w:val="18"/>
                <w:szCs w:val="18"/>
              </w:rPr>
              <w:t>办公及电子设备</w:t>
            </w:r>
          </w:p>
        </w:tc>
        <w:tc>
          <w:tcPr>
            <w:tcW w:w="16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sz w:val="18"/>
                <w:szCs w:val="18"/>
              </w:rPr>
              <w:t>运营设备</w:t>
            </w:r>
          </w:p>
        </w:tc>
        <w:tc>
          <w:tcPr>
            <w:tcW w:w="1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3" w:hRule="exact"/>
        </w:trPr>
        <w:tc>
          <w:tcPr>
            <w:tcW w:w="3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6,707,420.52</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149,853,096.19</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1,995,750.76</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158,556,267.47</w:t>
            </w:r>
          </w:p>
        </w:tc>
      </w:tr>
      <w:tr>
        <w:trPr>
          <w:trHeight w:val="403" w:hRule="exact"/>
        </w:trPr>
        <w:tc>
          <w:tcPr>
            <w:tcW w:w="3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43,242.26</w:t>
            </w:r>
          </w:p>
        </w:tc>
        <w:tc>
          <w:tcPr>
            <w:tcW w:w="166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43,242.26</w:t>
            </w:r>
          </w:p>
        </w:tc>
      </w:tr>
      <w:tr>
        <w:trPr>
          <w:trHeight w:val="401" w:hRule="exact"/>
        </w:trPr>
        <w:tc>
          <w:tcPr>
            <w:tcW w:w="3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43,242.26</w:t>
            </w:r>
          </w:p>
        </w:tc>
        <w:tc>
          <w:tcPr>
            <w:tcW w:w="166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43,242.26</w:t>
            </w:r>
          </w:p>
        </w:tc>
      </w:tr>
      <w:tr>
        <w:trPr>
          <w:trHeight w:val="403" w:hRule="exact"/>
        </w:trPr>
        <w:tc>
          <w:tcPr>
            <w:tcW w:w="3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0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）在建工程转入</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0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3,446,542.39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149,853,096.19</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1,644,457.34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154,944,095.92</w:t>
            </w:r>
          </w:p>
        </w:tc>
      </w:tr>
      <w:tr>
        <w:trPr>
          <w:trHeight w:val="403" w:hRule="exact"/>
        </w:trPr>
        <w:tc>
          <w:tcPr>
            <w:tcW w:w="31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306,409.00</w:t>
            </w:r>
          </w:p>
        </w:tc>
        <w:tc>
          <w:tcPr>
            <w:tcW w:w="166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306,409.00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08"/>
        <w:gridCol w:w="1927"/>
        <w:gridCol w:w="1661"/>
        <w:gridCol w:w="1429"/>
        <w:gridCol w:w="1447"/>
      </w:tblGrid>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）合并减少</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3,140,133.39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149,853,096.19</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1,644,457.34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154,637,686.92</w:t>
            </w: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3,304,120.39</w:t>
            </w:r>
          </w:p>
        </w:tc>
        <w:tc>
          <w:tcPr>
            <w:tcW w:w="166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351,293.42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3,655,413.81</w:t>
            </w:r>
          </w:p>
        </w:tc>
      </w:tr>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3,352,252.04</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77,714,678.71</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1,009,000.74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82,075,931.49</w:t>
            </w:r>
          </w:p>
        </w:tc>
      </w:tr>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1,126,044.69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17,199,006.98</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332,055.90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18,657,107.57</w:t>
            </w: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1,126,044.69</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17,199,006.98</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332,055.90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18,657,107.57</w:t>
            </w:r>
          </w:p>
        </w:tc>
      </w:tr>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2,363,815.15</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94,913,685.69</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1,274,310.84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98,551,811.68</w:t>
            </w:r>
          </w:p>
        </w:tc>
      </w:tr>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206,149.42</w:t>
            </w:r>
          </w:p>
        </w:tc>
        <w:tc>
          <w:tcPr>
            <w:tcW w:w="166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206,149.42</w:t>
            </w:r>
          </w:p>
        </w:tc>
      </w:tr>
      <w:tr>
        <w:trPr>
          <w:trHeight w:val="404"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）合并减少</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2,157,665.73</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94,913,685.69</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1,274,310.84</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98,345,662.26</w:t>
            </w:r>
          </w:p>
        </w:tc>
      </w:tr>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2,114,481.58</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66,745.80</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2,181,227.38</w:t>
            </w: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18,503,068.20</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18,503,068.20</w:t>
            </w: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18,503,068.20</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18,503,068.20</w:t>
            </w: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82"/>
              <w:jc w:val="righ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）处置或报废</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）合并减少</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18,503,068.20</w:t>
            </w:r>
          </w:p>
        </w:tc>
        <w:tc>
          <w:tcPr>
            <w:tcW w:w="142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18,503,068.20</w:t>
            </w: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7" w:type="dxa"/>
            <w:tcBorders>
              <w:top w:val="single" w:sz="4" w:space="0" w:color="000000"/>
              <w:left w:val="single" w:sz="4" w:space="0" w:color="000000"/>
              <w:bottom w:val="single" w:sz="4" w:space="0" w:color="000000"/>
              <w:right w:val="single" w:sz="4" w:space="0" w:color="000000"/>
            </w:tcBorders>
          </w:tcPr>
          <w:p>
            <w:pPr/>
          </w:p>
        </w:tc>
        <w:tc>
          <w:tcPr>
            <w:tcW w:w="166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
        </w:tc>
        <w:tc>
          <w:tcPr>
            <w:tcW w:w="14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1,189,638.81</w:t>
            </w:r>
          </w:p>
        </w:tc>
        <w:tc>
          <w:tcPr>
            <w:tcW w:w="1661" w:type="dxa"/>
            <w:tcBorders>
              <w:top w:val="single" w:sz="4" w:space="0" w:color="000000"/>
              <w:left w:val="single" w:sz="4" w:space="0" w:color="000000"/>
              <w:bottom w:val="single" w:sz="4" w:space="0" w:color="000000"/>
              <w:right w:val="single" w:sz="4" w:space="0" w:color="000000"/>
            </w:tcBorders>
          </w:tcPr>
          <w:p>
            <w:pP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284,547.62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1,474,186.43</w:t>
            </w:r>
          </w:p>
        </w:tc>
      </w:tr>
      <w:tr>
        <w:trPr>
          <w:trHeight w:val="403" w:hRule="exact"/>
        </w:trPr>
        <w:tc>
          <w:tcPr>
            <w:tcW w:w="31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3,355,168.48</w:t>
            </w:r>
          </w:p>
        </w:tc>
        <w:tc>
          <w:tcPr>
            <w:tcW w:w="16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53,635,349.28</w:t>
            </w:r>
          </w:p>
        </w:tc>
        <w:tc>
          <w:tcPr>
            <w:tcW w:w="1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986,750.02</w:t>
            </w:r>
          </w:p>
        </w:tc>
        <w:tc>
          <w:tcPr>
            <w:tcW w:w="14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57,977,267.78</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暂时闲置的固定资产情况" w:id="302"/>
      <w:bookmarkEnd w:id="302"/>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4"/>
        <w:spacing w:line="240" w:lineRule="auto" w:before="36"/>
        <w:ind w:right="986"/>
        <w:jc w:val="left"/>
        <w:rPr>
          <w:b w:val="0"/>
          <w:bCs w:val="0"/>
        </w:rPr>
      </w:pPr>
      <w:bookmarkStart w:name="（3）通过融资租赁租入的固定资产情况" w:id="303"/>
      <w:bookmarkEnd w:id="303"/>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4）通过经营租赁租出的固定资产" w:id="304"/>
      <w:bookmarkEnd w:id="304"/>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1"/>
        <w:gridCol w:w="4789"/>
      </w:tblGrid>
      <w:tr>
        <w:trPr>
          <w:trHeight w:val="402"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line="240" w:lineRule="auto" w:before="4"/>
        <w:rPr>
          <w:rFonts w:ascii="宋体" w:hAnsi="宋体" w:cs="宋体" w:eastAsia="宋体" w:hint="default"/>
          <w:sz w:val="19"/>
          <w:szCs w:val="19"/>
        </w:rPr>
      </w:pPr>
    </w:p>
    <w:p>
      <w:pPr>
        <w:pStyle w:val="Heading4"/>
        <w:spacing w:line="240" w:lineRule="auto" w:before="36"/>
        <w:ind w:right="986"/>
        <w:jc w:val="left"/>
        <w:rPr>
          <w:b w:val="0"/>
          <w:bCs w:val="0"/>
        </w:rPr>
      </w:pPr>
      <w:bookmarkStart w:name="（5）未办妥产权证书的固定资产情况" w:id="305"/>
      <w:bookmarkEnd w:id="305"/>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50"/>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6）固定资产清理" w:id="306"/>
      <w:bookmarkEnd w:id="306"/>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3、在建工程" w:id="307"/>
      <w:bookmarkEnd w:id="307"/>
      <w:r>
        <w:rPr>
          <w:b w:val="0"/>
          <w:bCs w:val="0"/>
        </w:rPr>
      </w:r>
      <w:r>
        <w:rPr>
          <w:rFonts w:ascii="Times New Roman" w:hAnsi="Times New Roman" w:cs="Times New Roman" w:eastAsia="Times New Roman" w:hint="default"/>
        </w:rPr>
        <w:t>23</w:t>
      </w:r>
      <w:r>
        <w:rPr/>
        <w:t>、在建工程</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4"/>
        <w:rPr>
          <w:rFonts w:ascii="宋体" w:hAnsi="宋体" w:cs="宋体" w:eastAsia="宋体" w:hint="default"/>
          <w:sz w:val="19"/>
          <w:szCs w:val="19"/>
        </w:rPr>
      </w:pPr>
    </w:p>
    <w:p>
      <w:pPr>
        <w:pStyle w:val="Heading4"/>
        <w:spacing w:line="240" w:lineRule="auto" w:before="36"/>
        <w:ind w:right="986"/>
        <w:jc w:val="left"/>
        <w:rPr>
          <w:b w:val="0"/>
          <w:bCs w:val="0"/>
        </w:rPr>
      </w:pPr>
      <w:bookmarkStart w:name="（1）在建工程情况" w:id="308"/>
      <w:bookmarkEnd w:id="308"/>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1"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重要在建工程项目本期变动情况" w:id="309"/>
      <w:bookmarkEnd w:id="309"/>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31"/>
        <w:gridCol w:w="737"/>
        <w:gridCol w:w="734"/>
        <w:gridCol w:w="737"/>
        <w:gridCol w:w="737"/>
        <w:gridCol w:w="734"/>
        <w:gridCol w:w="737"/>
        <w:gridCol w:w="737"/>
        <w:gridCol w:w="734"/>
        <w:gridCol w:w="737"/>
        <w:gridCol w:w="737"/>
        <w:gridCol w:w="734"/>
        <w:gridCol w:w="737"/>
      </w:tblGrid>
      <w:tr>
        <w:trPr>
          <w:trHeight w:val="1964"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79" w:right="180"/>
              <w:jc w:val="left"/>
              <w:rPr>
                <w:rFonts w:ascii="宋体" w:hAnsi="宋体" w:cs="宋体" w:eastAsia="宋体" w:hint="default"/>
                <w:sz w:val="18"/>
                <w:szCs w:val="18"/>
              </w:rPr>
            </w:pPr>
            <w:r>
              <w:rPr>
                <w:rFonts w:ascii="宋体" w:hAnsi="宋体" w:cs="宋体" w:eastAsia="宋体" w:hint="default"/>
                <w:sz w:val="18"/>
                <w:szCs w:val="18"/>
              </w:rPr>
              <w:t>项目 名称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73" w:right="182" w:hanging="92"/>
              <w:jc w:val="left"/>
              <w:rPr>
                <w:rFonts w:ascii="宋体" w:hAnsi="宋体" w:cs="宋体" w:eastAsia="宋体" w:hint="default"/>
                <w:sz w:val="18"/>
                <w:szCs w:val="18"/>
              </w:rPr>
            </w:pPr>
            <w:r>
              <w:rPr>
                <w:rFonts w:ascii="宋体" w:hAnsi="宋体" w:cs="宋体" w:eastAsia="宋体" w:hint="default"/>
                <w:sz w:val="18"/>
                <w:szCs w:val="18"/>
              </w:rPr>
              <w:t>预算 数</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84" w:right="182"/>
              <w:jc w:val="both"/>
              <w:rPr>
                <w:rFonts w:ascii="宋体" w:hAnsi="宋体" w:cs="宋体" w:eastAsia="宋体" w:hint="default"/>
                <w:sz w:val="18"/>
                <w:szCs w:val="18"/>
              </w:rPr>
            </w:pPr>
            <w:r>
              <w:rPr>
                <w:rFonts w:ascii="宋体" w:hAnsi="宋体" w:cs="宋体" w:eastAsia="宋体" w:hint="default"/>
                <w:sz w:val="18"/>
                <w:szCs w:val="18"/>
              </w:rPr>
              <w:t>本期 增加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82" w:right="182"/>
              <w:jc w:val="both"/>
              <w:rPr>
                <w:rFonts w:ascii="宋体" w:hAnsi="宋体" w:cs="宋体" w:eastAsia="宋体" w:hint="default"/>
                <w:sz w:val="18"/>
                <w:szCs w:val="18"/>
              </w:rPr>
            </w:pPr>
            <w:r>
              <w:rPr>
                <w:rFonts w:ascii="宋体" w:hAnsi="宋体" w:cs="宋体" w:eastAsia="宋体" w:hint="default"/>
                <w:sz w:val="18"/>
                <w:szCs w:val="18"/>
              </w:rPr>
              <w:t>本期 转入 固定 资产 金额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2" w:right="180"/>
              <w:jc w:val="both"/>
              <w:rPr>
                <w:rFonts w:ascii="宋体" w:hAnsi="宋体" w:cs="宋体" w:eastAsia="宋体" w:hint="default"/>
                <w:sz w:val="18"/>
                <w:szCs w:val="18"/>
              </w:rPr>
            </w:pPr>
            <w:r>
              <w:rPr>
                <w:rFonts w:ascii="宋体" w:hAnsi="宋体" w:cs="宋体" w:eastAsia="宋体" w:hint="default"/>
                <w:sz w:val="18"/>
                <w:szCs w:val="18"/>
              </w:rPr>
              <w:t>本期 其他 减少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4" w:right="180"/>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182"/>
              <w:jc w:val="both"/>
              <w:rPr>
                <w:rFonts w:ascii="宋体" w:hAnsi="宋体" w:cs="宋体" w:eastAsia="宋体" w:hint="default"/>
                <w:sz w:val="18"/>
                <w:szCs w:val="18"/>
              </w:rPr>
            </w:pPr>
            <w:r>
              <w:rPr>
                <w:rFonts w:ascii="宋体" w:hAnsi="宋体" w:cs="宋体" w:eastAsia="宋体" w:hint="default"/>
                <w:sz w:val="18"/>
                <w:szCs w:val="18"/>
              </w:rPr>
              <w:t>工程 累计 投入 占预 算比 例</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2" w:right="180"/>
              <w:jc w:val="left"/>
              <w:rPr>
                <w:rFonts w:ascii="宋体" w:hAnsi="宋体" w:cs="宋体" w:eastAsia="宋体" w:hint="default"/>
                <w:sz w:val="18"/>
                <w:szCs w:val="18"/>
              </w:rPr>
            </w:pPr>
            <w:r>
              <w:rPr>
                <w:rFonts w:ascii="宋体" w:hAnsi="宋体" w:cs="宋体" w:eastAsia="宋体" w:hint="default"/>
                <w:sz w:val="18"/>
                <w:szCs w:val="18"/>
              </w:rPr>
              <w:t>工程 进度</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84" w:right="180"/>
              <w:jc w:val="both"/>
              <w:rPr>
                <w:rFonts w:ascii="宋体" w:hAnsi="宋体" w:cs="宋体" w:eastAsia="宋体" w:hint="default"/>
                <w:sz w:val="18"/>
                <w:szCs w:val="18"/>
              </w:rPr>
            </w:pPr>
            <w:r>
              <w:rPr>
                <w:rFonts w:ascii="宋体" w:hAnsi="宋体" w:cs="宋体" w:eastAsia="宋体" w:hint="default"/>
                <w:sz w:val="18"/>
                <w:szCs w:val="18"/>
              </w:rPr>
              <w:t>利息 资本 化累 计金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82" w:right="82" w:hanging="80"/>
              <w:jc w:val="left"/>
              <w:rPr>
                <w:rFonts w:ascii="宋体" w:hAnsi="宋体" w:cs="宋体" w:eastAsia="宋体" w:hint="default"/>
                <w:sz w:val="18"/>
                <w:szCs w:val="18"/>
              </w:rPr>
            </w:pPr>
            <w:r>
              <w:rPr>
                <w:rFonts w:ascii="宋体" w:hAnsi="宋体" w:cs="宋体" w:eastAsia="宋体" w:hint="default"/>
                <w:sz w:val="18"/>
                <w:szCs w:val="18"/>
              </w:rPr>
              <w:t>其中： 本期 利息 资本 化金 额</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82" w:right="180"/>
              <w:jc w:val="both"/>
              <w:rPr>
                <w:rFonts w:ascii="宋体" w:hAnsi="宋体" w:cs="宋体" w:eastAsia="宋体" w:hint="default"/>
                <w:sz w:val="18"/>
                <w:szCs w:val="18"/>
              </w:rPr>
            </w:pPr>
            <w:r>
              <w:rPr>
                <w:rFonts w:ascii="宋体" w:hAnsi="宋体" w:cs="宋体" w:eastAsia="宋体" w:hint="default"/>
                <w:sz w:val="18"/>
                <w:szCs w:val="18"/>
              </w:rPr>
              <w:t>本期 利息 资本 化率</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84" w:right="180"/>
              <w:jc w:val="left"/>
              <w:rPr>
                <w:rFonts w:ascii="宋体" w:hAnsi="宋体" w:cs="宋体" w:eastAsia="宋体" w:hint="default"/>
                <w:sz w:val="18"/>
                <w:szCs w:val="18"/>
              </w:rPr>
            </w:pPr>
            <w:r>
              <w:rPr>
                <w:rFonts w:ascii="宋体" w:hAnsi="宋体" w:cs="宋体" w:eastAsia="宋体" w:hint="default"/>
                <w:sz w:val="18"/>
                <w:szCs w:val="18"/>
              </w:rPr>
              <w:t>资金 来源</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本期计提在建工程减值准备情况" w:id="310"/>
      <w:bookmarkEnd w:id="310"/>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3"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240" w:lineRule="auto" w:before="49"/>
        <w:ind w:right="986"/>
        <w:jc w:val="left"/>
      </w:pPr>
      <w:r>
        <w:rPr/>
        <w:t>其他说明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4）工程物资" w:id="311"/>
      <w:bookmarkEnd w:id="311"/>
      <w:r>
        <w:rPr>
          <w:b w:val="0"/>
          <w:bCs w:val="0"/>
        </w:rPr>
      </w:r>
      <w:r>
        <w:rPr/>
        <w:t>（</w:t>
      </w:r>
      <w:r>
        <w:rPr>
          <w:rFonts w:ascii="Times New Roman" w:hAnsi="Times New Roman" w:cs="Times New Roman" w:eastAsia="Times New Roman" w:hint="default"/>
        </w:rPr>
        <w:t>4</w:t>
      </w:r>
      <w:r>
        <w:rPr/>
        <w:t>）工程物资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130"/>
        <w:gridCol w:w="1330"/>
        <w:gridCol w:w="1327"/>
        <w:gridCol w:w="1198"/>
        <w:gridCol w:w="1195"/>
        <w:gridCol w:w="1196"/>
        <w:gridCol w:w="1195"/>
      </w:tblGrid>
      <w:tr>
        <w:trPr>
          <w:trHeight w:val="403" w:hRule="exact"/>
        </w:trPr>
        <w:tc>
          <w:tcPr>
            <w:tcW w:w="21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130" w:type="dxa"/>
            <w:vMerge/>
            <w:tcBorders>
              <w:left w:val="single" w:sz="4" w:space="0" w:color="000000"/>
              <w:bottom w:val="single" w:sz="4" w:space="0" w:color="000000"/>
              <w:right w:val="single" w:sz="4" w:space="0" w:color="000000"/>
            </w:tcBorders>
            <w:shd w:val="clear" w:color="auto" w:fill="D2D2D2"/>
          </w:tcPr>
          <w:p>
            <w:pP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4、生产性生物资产" w:id="312"/>
      <w:bookmarkEnd w:id="312"/>
      <w:r>
        <w:rPr>
          <w:b w:val="0"/>
          <w:bCs w:val="0"/>
        </w:rPr>
      </w:r>
      <w:r>
        <w:rPr>
          <w:rFonts w:ascii="Times New Roman" w:hAnsi="Times New Roman" w:cs="Times New Roman" w:eastAsia="Times New Roman" w:hint="default"/>
        </w:rPr>
        <w:t>24</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采用成本计量模式的生产性生物资产" w:id="313"/>
      <w:bookmarkEnd w:id="313"/>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1"/>
        <w:ind w:right="986"/>
        <w:jc w:val="left"/>
        <w:rPr>
          <w:b w:val="0"/>
          <w:bCs w:val="0"/>
        </w:rPr>
      </w:pPr>
      <w:bookmarkStart w:name="（2）采用公允价值计量模式的生产性生物资产" w:id="314"/>
      <w:bookmarkEnd w:id="314"/>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5、油气资产" w:id="315"/>
      <w:bookmarkEnd w:id="315"/>
      <w:r>
        <w:rPr>
          <w:b w:val="0"/>
          <w:bCs w:val="0"/>
        </w:rPr>
      </w:r>
      <w:r>
        <w:rPr>
          <w:rFonts w:ascii="Times New Roman" w:hAnsi="Times New Roman" w:cs="Times New Roman" w:eastAsia="Times New Roman" w:hint="default"/>
        </w:rPr>
        <w:t>25</w:t>
      </w:r>
      <w:r>
        <w:rPr/>
        <w:t>、油气资产</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6、使用权资产" w:id="316"/>
      <w:bookmarkEnd w:id="316"/>
      <w:r>
        <w:rPr>
          <w:b w:val="0"/>
          <w:bCs w:val="0"/>
        </w:rPr>
      </w:r>
      <w:r>
        <w:rPr>
          <w:rFonts w:ascii="Times New Roman" w:hAnsi="Times New Roman" w:cs="Times New Roman" w:eastAsia="Times New Roman" w:hint="default"/>
        </w:rPr>
        <w:t>26</w:t>
      </w:r>
      <w:r>
        <w:rPr/>
        <w:t>、使用权资产</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3"/>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7、无形资产" w:id="317"/>
      <w:bookmarkEnd w:id="317"/>
      <w:r>
        <w:rPr>
          <w:b w:val="0"/>
          <w:bCs w:val="0"/>
        </w:rPr>
      </w:r>
      <w:r>
        <w:rPr>
          <w:rFonts w:ascii="Times New Roman" w:hAnsi="Times New Roman" w:cs="Times New Roman" w:eastAsia="Times New Roman" w:hint="default"/>
        </w:rPr>
        <w:t>27</w:t>
      </w:r>
      <w:r>
        <w:rPr/>
        <w:t>、无形资产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无形资产情况" w:id="318"/>
      <w:bookmarkEnd w:id="31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0"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34"/>
              <w:jc w:val="right"/>
              <w:rPr>
                <w:rFonts w:ascii="宋体" w:hAnsi="宋体" w:cs="宋体" w:eastAsia="宋体" w:hint="default"/>
                <w:sz w:val="18"/>
                <w:szCs w:val="18"/>
              </w:rPr>
            </w:pPr>
            <w:r>
              <w:rPr>
                <w:rFonts w:ascii="宋体" w:hAnsi="宋体" w:cs="宋体" w:eastAsia="宋体" w:hint="default"/>
                <w:sz w:val="18"/>
                <w:szCs w:val="18"/>
              </w:rPr>
              <w:t>软件及专利权</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07" w:right="0"/>
              <w:jc w:val="left"/>
              <w:rPr>
                <w:rFonts w:ascii="宋体" w:hAnsi="宋体" w:cs="宋体" w:eastAsia="宋体" w:hint="default"/>
                <w:sz w:val="18"/>
                <w:szCs w:val="18"/>
              </w:rPr>
            </w:pPr>
            <w:r>
              <w:rPr>
                <w:rFonts w:ascii="宋体" w:hAnsi="宋体" w:cs="宋体" w:eastAsia="宋体" w:hint="default"/>
                <w:sz w:val="18"/>
                <w:szCs w:val="18"/>
              </w:rPr>
              <w:t>著作权</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73"/>
              <w:jc w:val="right"/>
              <w:rPr>
                <w:rFonts w:ascii="宋体" w:hAnsi="宋体" w:cs="宋体" w:eastAsia="宋体" w:hint="default"/>
                <w:sz w:val="18"/>
                <w:szCs w:val="18"/>
              </w:rPr>
            </w:pPr>
            <w:r>
              <w:rPr>
                <w:rFonts w:ascii="宋体" w:hAnsi="宋体" w:cs="宋体" w:eastAsia="宋体" w:hint="default"/>
                <w:sz w:val="18"/>
                <w:szCs w:val="18"/>
              </w:rPr>
              <w:t>一、账面原值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70,510,827.70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9" w:right="0"/>
              <w:jc w:val="left"/>
              <w:rPr>
                <w:rFonts w:ascii="Times New Roman" w:hAnsi="Times New Roman" w:cs="Times New Roman" w:eastAsia="Times New Roman" w:hint="default"/>
                <w:sz w:val="18"/>
                <w:szCs w:val="18"/>
              </w:rPr>
            </w:pPr>
            <w:r>
              <w:rPr>
                <w:rFonts w:ascii="Times New Roman"/>
                <w:sz w:val="18"/>
              </w:rPr>
              <w:t>1,359,035.41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25" w:right="0"/>
              <w:jc w:val="left"/>
              <w:rPr>
                <w:rFonts w:ascii="Times New Roman" w:hAnsi="Times New Roman" w:cs="Times New Roman" w:eastAsia="Times New Roman" w:hint="default"/>
                <w:sz w:val="18"/>
                <w:szCs w:val="18"/>
              </w:rPr>
            </w:pPr>
            <w:r>
              <w:rPr>
                <w:rFonts w:ascii="Times New Roman"/>
                <w:sz w:val="18"/>
              </w:rPr>
              <w:t>71,869,863.11</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34"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w:t>
            </w:r>
            <w:r>
              <w:rPr>
                <w:rFonts w:ascii="宋体" w:hAnsi="宋体" w:cs="宋体" w:eastAsia="宋体" w:hint="default"/>
                <w:sz w:val="18"/>
                <w:szCs w:val="18"/>
              </w:rPr>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right="1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w:t>
            </w:r>
            <w:r>
              <w:rPr>
                <w:rFonts w:ascii="宋体" w:hAnsi="宋体" w:cs="宋体" w:eastAsia="宋体" w:hint="default"/>
                <w:sz w:val="18"/>
                <w:szCs w:val="18"/>
              </w:rPr>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02" w:right="0"/>
              <w:jc w:val="left"/>
              <w:rPr>
                <w:rFonts w:ascii="宋体" w:hAnsi="宋体" w:cs="宋体" w:eastAsia="宋体" w:hint="default"/>
                <w:sz w:val="18"/>
                <w:szCs w:val="18"/>
              </w:rPr>
            </w:pPr>
            <w:r>
              <w:rPr>
                <w:rFonts w:ascii="宋体" w:hAnsi="宋体" w:cs="宋体" w:eastAsia="宋体" w:hint="default"/>
                <w:sz w:val="18"/>
                <w:szCs w:val="18"/>
              </w:rPr>
              <w:t>部研发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110" w:firstLine="53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w:t>
            </w:r>
            <w:r>
              <w:rPr>
                <w:rFonts w:ascii="宋体" w:hAnsi="宋体" w:cs="宋体" w:eastAsia="宋体" w:hint="default"/>
                <w:spacing w:val="-10"/>
                <w:sz w:val="18"/>
                <w:szCs w:val="18"/>
              </w:rPr>
              <w:t> </w:t>
            </w:r>
            <w:r>
              <w:rPr>
                <w:rFonts w:ascii="宋体" w:hAnsi="宋体" w:cs="宋体" w:eastAsia="宋体" w:hint="default"/>
                <w:sz w:val="18"/>
                <w:szCs w:val="18"/>
              </w:rPr>
              <w:t>业合并增加</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216"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1" w:right="0"/>
              <w:jc w:val="center"/>
              <w:rPr>
                <w:rFonts w:ascii="Times New Roman" w:hAnsi="Times New Roman" w:cs="Times New Roman" w:eastAsia="Times New Roman" w:hint="default"/>
                <w:sz w:val="18"/>
                <w:szCs w:val="18"/>
              </w:rPr>
            </w:pPr>
            <w:r>
              <w:rPr>
                <w:rFonts w:ascii="Times New Roman"/>
                <w:sz w:val="18"/>
              </w:rPr>
              <w:t>3,046,576.61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163,535.41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3,210,112.02</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w:t>
            </w:r>
            <w:r>
              <w:rPr>
                <w:rFonts w:ascii="宋体" w:hAnsi="宋体" w:cs="宋体" w:eastAsia="宋体" w:hint="default"/>
                <w:sz w:val="18"/>
                <w:szCs w:val="18"/>
              </w:rPr>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4" w:right="0"/>
              <w:jc w:val="left"/>
              <w:rPr>
                <w:rFonts w:ascii="宋体" w:hAnsi="宋体" w:cs="宋体" w:eastAsia="宋体"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）合</w:t>
            </w:r>
            <w:r>
              <w:rPr>
                <w:rFonts w:ascii="宋体" w:hAnsi="宋体" w:cs="宋体" w:eastAsia="宋体" w:hint="default"/>
                <w:sz w:val="18"/>
                <w:szCs w:val="18"/>
              </w:rPr>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并减少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1" w:right="0"/>
              <w:jc w:val="center"/>
              <w:rPr>
                <w:rFonts w:ascii="Times New Roman" w:hAnsi="Times New Roman" w:cs="Times New Roman" w:eastAsia="Times New Roman" w:hint="default"/>
                <w:sz w:val="18"/>
                <w:szCs w:val="18"/>
              </w:rPr>
            </w:pPr>
            <w:r>
              <w:rPr>
                <w:rFonts w:ascii="Times New Roman"/>
                <w:sz w:val="18"/>
              </w:rPr>
              <w:t>3,046,576.61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163,535.41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3,210,112.02</w:t>
            </w: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67,464,251.09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1,195,500.00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68,659,751.09</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11,400,473.84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235,429.86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11,635,903.70</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1" w:right="0"/>
              <w:jc w:val="center"/>
              <w:rPr>
                <w:rFonts w:ascii="Times New Roman" w:hAnsi="Times New Roman" w:cs="Times New Roman" w:eastAsia="Times New Roman" w:hint="default"/>
                <w:sz w:val="18"/>
                <w:szCs w:val="18"/>
              </w:rPr>
            </w:pPr>
            <w:r>
              <w:rPr>
                <w:rFonts w:ascii="Times New Roman"/>
                <w:sz w:val="18"/>
              </w:rPr>
              <w:t>1,762,921.62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132,692.36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1,895,613.98</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w:t>
            </w:r>
            <w:r>
              <w:rPr>
                <w:rFonts w:ascii="宋体" w:hAnsi="宋体" w:cs="宋体" w:eastAsia="宋体" w:hint="default"/>
                <w:sz w:val="18"/>
                <w:szCs w:val="18"/>
              </w:rPr>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1" w:right="0"/>
              <w:jc w:val="center"/>
              <w:rPr>
                <w:rFonts w:ascii="Times New Roman" w:hAnsi="Times New Roman" w:cs="Times New Roman" w:eastAsia="Times New Roman" w:hint="default"/>
                <w:sz w:val="18"/>
                <w:szCs w:val="18"/>
              </w:rPr>
            </w:pPr>
            <w:r>
              <w:rPr>
                <w:rFonts w:ascii="Times New Roman"/>
                <w:sz w:val="18"/>
              </w:rPr>
              <w:t>1,762,921.62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132,692.36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1,895,613.98</w:t>
            </w:r>
          </w:p>
        </w:tc>
      </w:tr>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1" w:right="0"/>
              <w:jc w:val="center"/>
              <w:rPr>
                <w:rFonts w:ascii="Times New Roman" w:hAnsi="Times New Roman" w:cs="Times New Roman" w:eastAsia="Times New Roman" w:hint="default"/>
                <w:sz w:val="18"/>
                <w:szCs w:val="18"/>
              </w:rPr>
            </w:pPr>
            <w:r>
              <w:rPr>
                <w:rFonts w:ascii="Times New Roman"/>
                <w:sz w:val="18"/>
              </w:rPr>
              <w:t>2,766,367.35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100,859.72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2,867,227.07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w:t>
            </w:r>
            <w:r>
              <w:rPr>
                <w:rFonts w:ascii="宋体" w:hAnsi="宋体" w:cs="宋体" w:eastAsia="宋体" w:hint="default"/>
                <w:sz w:val="18"/>
                <w:szCs w:val="18"/>
              </w:rPr>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4" w:right="0"/>
              <w:jc w:val="left"/>
              <w:rPr>
                <w:rFonts w:ascii="宋体" w:hAnsi="宋体" w:cs="宋体" w:eastAsia="宋体" w:hint="default"/>
                <w:sz w:val="18"/>
                <w:szCs w:val="18"/>
              </w:rPr>
            </w:pP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2</w:t>
            </w:r>
            <w:r>
              <w:rPr>
                <w:rFonts w:ascii="宋体" w:hAnsi="宋体" w:cs="宋体" w:eastAsia="宋体" w:hint="default"/>
                <w:spacing w:val="-10"/>
                <w:sz w:val="18"/>
                <w:szCs w:val="18"/>
              </w:rPr>
              <w:t>）合</w:t>
            </w:r>
            <w:r>
              <w:rPr>
                <w:rFonts w:ascii="宋体" w:hAnsi="宋体" w:cs="宋体" w:eastAsia="宋体" w:hint="default"/>
                <w:sz w:val="18"/>
                <w:szCs w:val="18"/>
              </w:rPr>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并减少</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1" w:right="0"/>
              <w:jc w:val="center"/>
              <w:rPr>
                <w:rFonts w:ascii="Times New Roman" w:hAnsi="Times New Roman" w:cs="Times New Roman" w:eastAsia="Times New Roman" w:hint="default"/>
                <w:sz w:val="18"/>
                <w:szCs w:val="18"/>
              </w:rPr>
            </w:pPr>
            <w:r>
              <w:rPr>
                <w:rFonts w:ascii="Times New Roman"/>
                <w:sz w:val="18"/>
              </w:rPr>
              <w:t>2,766,367.35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100,859.72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2,867,227.07</w:t>
            </w: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10,397,028.11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267,262.50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10,664,290.61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51,264,082.42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3,105.29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51,267,187.71</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 加金额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w:t>
            </w:r>
            <w:r>
              <w:rPr>
                <w:rFonts w:ascii="宋体" w:hAnsi="宋体" w:cs="宋体" w:eastAsia="宋体" w:hint="default"/>
                <w:sz w:val="18"/>
                <w:szCs w:val="18"/>
              </w:rPr>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提</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 少金额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9" w:type="dxa"/>
        <w:tblLayout w:type="fixed"/>
        <w:tblCellMar>
          <w:top w:w="0" w:type="dxa"/>
          <w:left w:w="0" w:type="dxa"/>
          <w:bottom w:w="0" w:type="dxa"/>
          <w:right w:w="0" w:type="dxa"/>
        </w:tblCellMar>
        <w:tblLook w:val="01E0"/>
      </w:tblPr>
      <w:tblGrid>
        <w:gridCol w:w="1367"/>
        <w:gridCol w:w="1366"/>
        <w:gridCol w:w="1368"/>
        <w:gridCol w:w="1366"/>
        <w:gridCol w:w="1368"/>
        <w:gridCol w:w="1369"/>
        <w:gridCol w:w="1366"/>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01"/>
              <w:jc w:val="righ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）处置</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w:t>
            </w:r>
          </w:p>
          <w:p>
            <w:pPr>
              <w:pStyle w:val="TableParagraph"/>
              <w:spacing w:line="240" w:lineRule="auto" w:before="63"/>
              <w:ind w:left="10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22" w:right="0"/>
              <w:jc w:val="center"/>
              <w:rPr>
                <w:rFonts w:ascii="Times New Roman" w:hAnsi="Times New Roman" w:cs="Times New Roman" w:eastAsia="Times New Roman" w:hint="default"/>
                <w:sz w:val="18"/>
                <w:szCs w:val="18"/>
              </w:rPr>
            </w:pPr>
            <w:r>
              <w:rPr>
                <w:rFonts w:ascii="Times New Roman"/>
                <w:sz w:val="18"/>
              </w:rPr>
              <w:t>51,264,082.42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3,105.29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51,267,187.71</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73"/>
              <w:jc w:val="right"/>
              <w:rPr>
                <w:rFonts w:ascii="宋体" w:hAnsi="宋体" w:cs="宋体" w:eastAsia="宋体" w:hint="default"/>
                <w:sz w:val="18"/>
                <w:szCs w:val="18"/>
              </w:rPr>
            </w:pPr>
            <w:r>
              <w:rPr>
                <w:rFonts w:ascii="宋体" w:hAnsi="宋体" w:cs="宋体" w:eastAsia="宋体" w:hint="default"/>
                <w:sz w:val="18"/>
                <w:szCs w:val="18"/>
              </w:rPr>
              <w:t>四、账面价值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2"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 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1" w:right="0"/>
              <w:jc w:val="center"/>
              <w:rPr>
                <w:rFonts w:ascii="Times New Roman" w:hAnsi="Times New Roman" w:cs="Times New Roman" w:eastAsia="Times New Roman" w:hint="default"/>
                <w:sz w:val="18"/>
                <w:szCs w:val="18"/>
              </w:rPr>
            </w:pPr>
            <w:r>
              <w:rPr>
                <w:rFonts w:ascii="Times New Roman"/>
                <w:sz w:val="18"/>
              </w:rPr>
              <w:t>5,803,140.56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925,132.21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6,728,272.77</w:t>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02" w:right="216"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 面价值</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11" w:right="0"/>
              <w:jc w:val="center"/>
              <w:rPr>
                <w:rFonts w:ascii="Times New Roman" w:hAnsi="Times New Roman" w:cs="Times New Roman" w:eastAsia="Times New Roman" w:hint="default"/>
                <w:sz w:val="18"/>
                <w:szCs w:val="18"/>
              </w:rPr>
            </w:pPr>
            <w:r>
              <w:rPr>
                <w:rFonts w:ascii="Times New Roman"/>
                <w:sz w:val="18"/>
              </w:rPr>
              <w:t>7,829,604.75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1,120,500.26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8,966,771.70</w:t>
            </w:r>
          </w:p>
        </w:tc>
      </w:tr>
    </w:tbl>
    <w:p>
      <w:pPr>
        <w:pStyle w:val="BodyText"/>
        <w:spacing w:line="240" w:lineRule="auto" w:before="49"/>
        <w:ind w:right="986"/>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0"/>
        <w:rPr>
          <w:rFonts w:ascii="宋体" w:hAnsi="宋体" w:cs="宋体" w:eastAsia="宋体" w:hint="default"/>
          <w:sz w:val="26"/>
          <w:szCs w:val="26"/>
        </w:rPr>
      </w:pPr>
    </w:p>
    <w:p>
      <w:pPr>
        <w:pStyle w:val="Heading4"/>
        <w:spacing w:line="240" w:lineRule="auto"/>
        <w:ind w:right="986"/>
        <w:jc w:val="left"/>
        <w:rPr>
          <w:b w:val="0"/>
          <w:bCs w:val="0"/>
        </w:rPr>
      </w:pPr>
      <w:bookmarkStart w:name="（2）未办妥产权证书的土地使用权情况" w:id="319"/>
      <w:bookmarkEnd w:id="31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8、开发支出" w:id="320"/>
      <w:bookmarkEnd w:id="320"/>
      <w:r>
        <w:rPr>
          <w:b w:val="0"/>
          <w:bCs w:val="0"/>
        </w:rPr>
      </w:r>
      <w:r>
        <w:rPr>
          <w:rFonts w:ascii="Times New Roman" w:hAnsi="Times New Roman" w:cs="Times New Roman" w:eastAsia="Times New Roman" w:hint="default"/>
        </w:rPr>
        <w:t>28</w:t>
      </w:r>
      <w:r>
        <w:rPr/>
        <w:t>、开发支出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64"/>
        <w:gridCol w:w="1063"/>
        <w:gridCol w:w="1064"/>
        <w:gridCol w:w="1063"/>
        <w:gridCol w:w="1064"/>
        <w:gridCol w:w="1063"/>
        <w:gridCol w:w="1061"/>
        <w:gridCol w:w="1064"/>
        <w:gridCol w:w="1063"/>
      </w:tblGrid>
      <w:tr>
        <w:trPr>
          <w:trHeight w:val="401" w:hRule="exact"/>
        </w:trPr>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31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18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6" w:hRule="exact"/>
        </w:trPr>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5" w:right="166" w:hanging="180"/>
              <w:jc w:val="left"/>
              <w:rPr>
                <w:rFonts w:ascii="宋体" w:hAnsi="宋体" w:cs="宋体" w:eastAsia="宋体" w:hint="default"/>
                <w:sz w:val="18"/>
                <w:szCs w:val="18"/>
              </w:rPr>
            </w:pPr>
            <w:r>
              <w:rPr>
                <w:rFonts w:ascii="宋体" w:hAnsi="宋体" w:cs="宋体" w:eastAsia="宋体" w:hint="default"/>
                <w:sz w:val="18"/>
                <w:szCs w:val="18"/>
              </w:rPr>
              <w:t>内部开发 支出</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6" w:right="167" w:hanging="92"/>
              <w:jc w:val="left"/>
              <w:rPr>
                <w:rFonts w:ascii="宋体" w:hAnsi="宋体" w:cs="宋体" w:eastAsia="宋体" w:hint="default"/>
                <w:sz w:val="18"/>
                <w:szCs w:val="18"/>
              </w:rPr>
            </w:pPr>
            <w:r>
              <w:rPr>
                <w:rFonts w:ascii="宋体" w:hAnsi="宋体" w:cs="宋体" w:eastAsia="宋体" w:hint="default"/>
                <w:sz w:val="18"/>
                <w:szCs w:val="18"/>
              </w:rPr>
              <w:t>确认为无 形资产</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5" w:right="163" w:hanging="180"/>
              <w:jc w:val="left"/>
              <w:rPr>
                <w:rFonts w:ascii="宋体" w:hAnsi="宋体" w:cs="宋体" w:eastAsia="宋体" w:hint="default"/>
                <w:sz w:val="18"/>
                <w:szCs w:val="18"/>
              </w:rPr>
            </w:pPr>
            <w:r>
              <w:rPr>
                <w:rFonts w:ascii="宋体" w:hAnsi="宋体" w:cs="宋体" w:eastAsia="宋体" w:hint="default"/>
                <w:sz w:val="18"/>
                <w:szCs w:val="18"/>
              </w:rPr>
              <w:t>转入当期 损益</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9、商誉" w:id="321"/>
      <w:bookmarkEnd w:id="321"/>
      <w:r>
        <w:rPr>
          <w:b w:val="0"/>
          <w:bCs w:val="0"/>
        </w:rPr>
      </w:r>
      <w:r>
        <w:rPr>
          <w:rFonts w:ascii="Times New Roman" w:hAnsi="Times New Roman" w:cs="Times New Roman" w:eastAsia="Times New Roman" w:hint="default"/>
        </w:rPr>
        <w:t>29</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商誉账面原值" w:id="322"/>
      <w:bookmarkEnd w:id="32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074"/>
        <w:gridCol w:w="1546"/>
        <w:gridCol w:w="1647"/>
        <w:gridCol w:w="742"/>
        <w:gridCol w:w="1505"/>
        <w:gridCol w:w="692"/>
        <w:gridCol w:w="1366"/>
      </w:tblGrid>
      <w:tr>
        <w:trPr>
          <w:trHeight w:val="403" w:hRule="exact"/>
        </w:trPr>
        <w:tc>
          <w:tcPr>
            <w:tcW w:w="207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581" w:right="129" w:hanging="449"/>
              <w:jc w:val="left"/>
              <w:rPr>
                <w:rFonts w:ascii="宋体" w:hAnsi="宋体" w:cs="宋体" w:eastAsia="宋体" w:hint="default"/>
                <w:sz w:val="18"/>
                <w:szCs w:val="18"/>
              </w:rPr>
            </w:pPr>
            <w:r>
              <w:rPr>
                <w:rFonts w:ascii="宋体" w:hAnsi="宋体" w:cs="宋体" w:eastAsia="宋体" w:hint="default"/>
                <w:sz w:val="18"/>
                <w:szCs w:val="18"/>
              </w:rPr>
              <w:t>被投资单位名称或形成 商誉的事项</w:t>
            </w:r>
          </w:p>
        </w:tc>
        <w:tc>
          <w:tcPr>
            <w:tcW w:w="15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3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1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074" w:type="dxa"/>
            <w:vMerge/>
            <w:tcBorders>
              <w:left w:val="single" w:sz="4" w:space="0" w:color="000000"/>
              <w:bottom w:val="single" w:sz="4" w:space="0" w:color="000000"/>
              <w:right w:val="single" w:sz="4" w:space="0" w:color="000000"/>
            </w:tcBorders>
            <w:shd w:val="clear" w:color="auto" w:fill="D2D2D2"/>
          </w:tcPr>
          <w:p>
            <w:pPr/>
          </w:p>
        </w:tc>
        <w:tc>
          <w:tcPr>
            <w:tcW w:w="1546" w:type="dxa"/>
            <w:vMerge/>
            <w:tcBorders>
              <w:left w:val="single" w:sz="4" w:space="0" w:color="000000"/>
              <w:bottom w:val="single" w:sz="4" w:space="0" w:color="000000"/>
              <w:right w:val="single" w:sz="4" w:space="0" w:color="000000"/>
            </w:tcBorders>
            <w:shd w:val="clear" w:color="auto" w:fill="D2D2D2"/>
          </w:tcPr>
          <w:p>
            <w:pPr/>
          </w:p>
        </w:tc>
        <w:tc>
          <w:tcPr>
            <w:tcW w:w="16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7"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74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6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218"/>
              <w:jc w:val="left"/>
              <w:rPr>
                <w:rFonts w:ascii="宋体" w:hAnsi="宋体" w:cs="宋体" w:eastAsia="宋体" w:hint="default"/>
                <w:sz w:val="18"/>
                <w:szCs w:val="18"/>
              </w:rPr>
            </w:pPr>
            <w:r>
              <w:rPr>
                <w:rFonts w:ascii="宋体" w:hAnsi="宋体" w:cs="宋体" w:eastAsia="宋体" w:hint="default"/>
                <w:sz w:val="18"/>
                <w:szCs w:val="18"/>
              </w:rPr>
              <w:t>冉十科技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 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918,243,613.35</w:t>
            </w:r>
          </w:p>
        </w:tc>
        <w:tc>
          <w:tcPr>
            <w:tcW w:w="164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918,243,613.35</w:t>
            </w:r>
          </w:p>
        </w:tc>
      </w:tr>
      <w:tr>
        <w:trPr>
          <w:trHeight w:val="1025" w:hRule="exact"/>
        </w:trPr>
        <w:tc>
          <w:tcPr>
            <w:tcW w:w="2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9"/>
              <w:jc w:val="both"/>
              <w:rPr>
                <w:rFonts w:ascii="宋体" w:hAnsi="宋体" w:cs="宋体" w:eastAsia="宋体" w:hint="default"/>
                <w:sz w:val="18"/>
                <w:szCs w:val="18"/>
              </w:rPr>
            </w:pPr>
            <w:r>
              <w:rPr>
                <w:rFonts w:ascii="宋体" w:hAnsi="宋体" w:cs="宋体" w:eastAsia="宋体" w:hint="default"/>
                <w:sz w:val="18"/>
                <w:szCs w:val="18"/>
              </w:rPr>
              <w:t>浙江视科文化传播有限 公司浙江视科文化传播 有限公司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1,366,045,158.39</w:t>
            </w:r>
          </w:p>
        </w:tc>
        <w:tc>
          <w:tcPr>
            <w:tcW w:w="164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3" w:right="0"/>
              <w:jc w:val="center"/>
              <w:rPr>
                <w:rFonts w:ascii="Times New Roman" w:hAnsi="Times New Roman" w:cs="Times New Roman" w:eastAsia="Times New Roman" w:hint="default"/>
                <w:sz w:val="18"/>
                <w:szCs w:val="18"/>
              </w:rPr>
            </w:pPr>
            <w:r>
              <w:rPr>
                <w:rFonts w:ascii="Times New Roman"/>
                <w:sz w:val="18"/>
              </w:rPr>
              <w:t>1,366,045,158.39</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2073"/>
        <w:gridCol w:w="1546"/>
        <w:gridCol w:w="1647"/>
        <w:gridCol w:w="742"/>
        <w:gridCol w:w="1505"/>
        <w:gridCol w:w="692"/>
        <w:gridCol w:w="1366"/>
      </w:tblGrid>
      <w:tr>
        <w:trPr>
          <w:trHeight w:val="713" w:hRule="exact"/>
        </w:trPr>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2" w:right="159"/>
              <w:jc w:val="left"/>
              <w:rPr>
                <w:rFonts w:ascii="宋体" w:hAnsi="宋体" w:cs="宋体" w:eastAsia="宋体" w:hint="default"/>
                <w:sz w:val="18"/>
                <w:szCs w:val="18"/>
              </w:rPr>
            </w:pPr>
            <w:r>
              <w:rPr>
                <w:rFonts w:ascii="宋体" w:hAnsi="宋体" w:cs="宋体" w:eastAsia="宋体" w:hint="default"/>
                <w:sz w:val="18"/>
                <w:szCs w:val="18"/>
              </w:rPr>
              <w:t>北京赛鸽天地广告有限 公司</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24,384,874.07</w:t>
            </w:r>
          </w:p>
        </w:tc>
        <w:tc>
          <w:tcPr>
            <w:tcW w:w="164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24,384,874.07</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2,308,673,645.81</w:t>
            </w:r>
          </w:p>
        </w:tc>
        <w:tc>
          <w:tcPr>
            <w:tcW w:w="1647" w:type="dxa"/>
            <w:tcBorders>
              <w:top w:val="single" w:sz="4" w:space="0" w:color="000000"/>
              <w:left w:val="single" w:sz="4" w:space="0" w:color="000000"/>
              <w:bottom w:val="single" w:sz="4" w:space="0" w:color="000000"/>
              <w:right w:val="single" w:sz="4" w:space="0" w:color="000000"/>
            </w:tcBorders>
          </w:tcPr>
          <w:p>
            <w:pPr/>
          </w:p>
        </w:tc>
        <w:tc>
          <w:tcPr>
            <w:tcW w:w="742" w:type="dxa"/>
            <w:tcBorders>
              <w:top w:val="single" w:sz="4" w:space="0" w:color="000000"/>
              <w:left w:val="single" w:sz="4" w:space="0" w:color="000000"/>
              <w:bottom w:val="single" w:sz="4" w:space="0" w:color="000000"/>
              <w:right w:val="single" w:sz="4" w:space="0" w:color="000000"/>
            </w:tcBorders>
          </w:tcPr>
          <w:p>
            <w:pPr/>
          </w:p>
        </w:tc>
        <w:tc>
          <w:tcPr>
            <w:tcW w:w="15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
              <w:jc w:val="right"/>
              <w:rPr>
                <w:rFonts w:ascii="Times New Roman" w:hAnsi="Times New Roman" w:cs="Times New Roman" w:eastAsia="Times New Roman" w:hint="default"/>
                <w:sz w:val="18"/>
                <w:szCs w:val="18"/>
              </w:rPr>
            </w:pPr>
            <w:r>
              <w:rPr>
                <w:rFonts w:ascii="Times New Roman"/>
                <w:spacing w:val="-1"/>
                <w:sz w:val="18"/>
              </w:rPr>
              <w:t>2,308,673,645.81</w:t>
            </w:r>
          </w:p>
        </w:tc>
        <w:tc>
          <w:tcPr>
            <w:tcW w:w="692"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918,243,613.35</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商誉减值准备" w:id="323"/>
      <w:bookmarkEnd w:id="32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432"/>
        <w:gridCol w:w="1942"/>
        <w:gridCol w:w="908"/>
        <w:gridCol w:w="727"/>
        <w:gridCol w:w="1493"/>
        <w:gridCol w:w="704"/>
        <w:gridCol w:w="1366"/>
      </w:tblGrid>
      <w:tr>
        <w:trPr>
          <w:trHeight w:val="403" w:hRule="exact"/>
        </w:trPr>
        <w:tc>
          <w:tcPr>
            <w:tcW w:w="24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941" w:right="129" w:hanging="812"/>
              <w:jc w:val="left"/>
              <w:rPr>
                <w:rFonts w:ascii="宋体" w:hAnsi="宋体" w:cs="宋体" w:eastAsia="宋体" w:hint="default"/>
                <w:sz w:val="18"/>
                <w:szCs w:val="18"/>
              </w:rPr>
            </w:pPr>
            <w:r>
              <w:rPr>
                <w:rFonts w:ascii="宋体" w:hAnsi="宋体" w:cs="宋体" w:eastAsia="宋体" w:hint="default"/>
                <w:sz w:val="18"/>
                <w:szCs w:val="18"/>
              </w:rPr>
              <w:t>被投资单位名称或形成商誉 的事项</w:t>
            </w:r>
          </w:p>
        </w:tc>
        <w:tc>
          <w:tcPr>
            <w:tcW w:w="19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6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6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9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432" w:type="dxa"/>
            <w:vMerge/>
            <w:tcBorders>
              <w:left w:val="single" w:sz="4" w:space="0" w:color="000000"/>
              <w:bottom w:val="single" w:sz="4" w:space="0" w:color="000000"/>
              <w:right w:val="single" w:sz="4" w:space="0" w:color="000000"/>
            </w:tcBorders>
            <w:shd w:val="clear" w:color="auto" w:fill="D2D2D2"/>
          </w:tcPr>
          <w:p>
            <w:pPr/>
          </w:p>
        </w:tc>
        <w:tc>
          <w:tcPr>
            <w:tcW w:w="1942" w:type="dxa"/>
            <w:vMerge/>
            <w:tcBorders>
              <w:left w:val="single" w:sz="4" w:space="0" w:color="000000"/>
              <w:bottom w:val="single" w:sz="4" w:space="0" w:color="000000"/>
              <w:right w:val="single" w:sz="4" w:space="0" w:color="000000"/>
            </w:tcBorders>
            <w:shd w:val="clear" w:color="auto" w:fill="D2D2D2"/>
          </w:tcPr>
          <w:p>
            <w:pPr/>
          </w:p>
        </w:tc>
        <w:tc>
          <w:tcPr>
            <w:tcW w:w="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计提</w:t>
            </w: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7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冉十科技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918,243,613.35</w:t>
            </w:r>
          </w:p>
        </w:tc>
        <w:tc>
          <w:tcPr>
            <w:tcW w:w="90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
        </w:tc>
        <w:tc>
          <w:tcPr>
            <w:tcW w:w="70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918,243,613.35</w:t>
            </w:r>
          </w:p>
        </w:tc>
      </w:tr>
      <w:tr>
        <w:trPr>
          <w:trHeight w:val="401"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浙江视科文化传播有限公司</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1,366,045,158.39</w:t>
            </w:r>
          </w:p>
        </w:tc>
        <w:tc>
          <w:tcPr>
            <w:tcW w:w="90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Times New Roman" w:hAnsi="Times New Roman" w:cs="Times New Roman" w:eastAsia="Times New Roman" w:hint="default"/>
                <w:sz w:val="18"/>
                <w:szCs w:val="18"/>
              </w:rPr>
            </w:pPr>
            <w:r>
              <w:rPr>
                <w:rFonts w:ascii="Times New Roman"/>
                <w:sz w:val="18"/>
              </w:rPr>
              <w:t>1,366,045,158.39</w:t>
            </w:r>
          </w:p>
        </w:tc>
        <w:tc>
          <w:tcPr>
            <w:tcW w:w="70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2,284,288,771.74</w:t>
            </w:r>
          </w:p>
        </w:tc>
        <w:tc>
          <w:tcPr>
            <w:tcW w:w="908"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1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6" w:right="0"/>
              <w:jc w:val="center"/>
              <w:rPr>
                <w:rFonts w:ascii="Times New Roman" w:hAnsi="Times New Roman" w:cs="Times New Roman" w:eastAsia="Times New Roman" w:hint="default"/>
                <w:sz w:val="18"/>
                <w:szCs w:val="18"/>
              </w:rPr>
            </w:pPr>
            <w:r>
              <w:rPr>
                <w:rFonts w:ascii="Times New Roman"/>
                <w:sz w:val="18"/>
              </w:rPr>
              <w:t>1,366,045,158.39</w:t>
            </w:r>
          </w:p>
        </w:tc>
        <w:tc>
          <w:tcPr>
            <w:tcW w:w="704"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918,243,613.35</w:t>
            </w:r>
          </w:p>
        </w:tc>
      </w:tr>
    </w:tbl>
    <w:p>
      <w:pPr>
        <w:pStyle w:val="BodyText"/>
        <w:spacing w:line="338" w:lineRule="auto" w:before="49"/>
        <w:ind w:right="986"/>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70"/>
        </w:rPr>
        <w:t> </w:t>
      </w:r>
      <w:r>
        <w:rPr>
          <w:spacing w:val="-70"/>
        </w:rPr>
      </w:r>
      <w:r>
        <w:rPr/>
        <w:t>等）及商誉减值损失的确认方法：</w:t>
      </w:r>
    </w:p>
    <w:p>
      <w:pPr>
        <w:pStyle w:val="BodyText"/>
        <w:spacing w:line="360" w:lineRule="auto" w:before="43"/>
        <w:ind w:right="9134"/>
        <w:jc w:val="left"/>
      </w:pPr>
      <w:r>
        <w:rPr/>
        <w:t>商誉减值测试的影响 其他说明</w:t>
      </w:r>
    </w:p>
    <w:p>
      <w:pPr>
        <w:pStyle w:val="BodyText"/>
        <w:spacing w:line="240" w:lineRule="auto" w:before="25"/>
        <w:ind w:right="986"/>
        <w:jc w:val="left"/>
      </w:pPr>
      <w:r>
        <w:rPr>
          <w:rFonts w:ascii="宋体" w:hAnsi="宋体" w:cs="宋体" w:eastAsia="宋体" w:hint="default"/>
        </w:rPr>
        <w:t>1</w:t>
      </w:r>
      <w:r>
        <w:rPr/>
        <w:t>、公司已于</w:t>
      </w:r>
      <w:r>
        <w:rPr>
          <w:rFonts w:ascii="宋体" w:hAnsi="宋体" w:cs="宋体" w:eastAsia="宋体" w:hint="default"/>
        </w:rPr>
        <w:t>2018</w:t>
      </w:r>
      <w:r>
        <w:rPr/>
        <w:t>年末对冉十科技</w:t>
      </w:r>
      <w:r>
        <w:rPr>
          <w:rFonts w:ascii="宋体" w:hAnsi="宋体" w:cs="宋体" w:eastAsia="宋体" w:hint="default"/>
        </w:rPr>
        <w:t>(</w:t>
      </w:r>
      <w:r>
        <w:rPr/>
        <w:t>北京</w:t>
      </w:r>
      <w:r>
        <w:rPr>
          <w:rFonts w:ascii="宋体" w:hAnsi="宋体" w:cs="宋体" w:eastAsia="宋体" w:hint="default"/>
        </w:rPr>
        <w:t>)</w:t>
      </w:r>
      <w:r>
        <w:rPr/>
        <w:t>有限公司有关商誉全额计提减值准备；</w:t>
      </w:r>
    </w:p>
    <w:p>
      <w:pPr>
        <w:pStyle w:val="BodyText"/>
        <w:spacing w:line="316" w:lineRule="auto" w:before="76"/>
        <w:ind w:right="1124"/>
        <w:jc w:val="left"/>
      </w:pPr>
      <w:r>
        <w:rPr>
          <w:rFonts w:ascii="宋体" w:hAnsi="宋体" w:cs="宋体" w:eastAsia="宋体" w:hint="default"/>
        </w:rPr>
        <w:t>2</w:t>
      </w:r>
      <w:r>
        <w:rPr/>
        <w:t>、公司已于</w:t>
      </w:r>
      <w:r>
        <w:rPr>
          <w:rFonts w:ascii="宋体" w:hAnsi="宋体" w:cs="宋体" w:eastAsia="宋体" w:hint="default"/>
        </w:rPr>
        <w:t>2018</w:t>
      </w:r>
      <w:r>
        <w:rPr/>
        <w:t>年末对浙江视科文化传播有限公司有关商誉全额计提减值准备，且本期公司将浙江视科文化传播有限公司 及其子公司北京赛鸽天地广告有限公司等全部对外转让。</w:t>
      </w:r>
    </w:p>
    <w:p>
      <w:pPr>
        <w:spacing w:line="240" w:lineRule="auto" w:before="11"/>
        <w:rPr>
          <w:rFonts w:ascii="宋体" w:hAnsi="宋体" w:cs="宋体" w:eastAsia="宋体" w:hint="default"/>
          <w:sz w:val="22"/>
          <w:szCs w:val="22"/>
        </w:rPr>
      </w:pPr>
    </w:p>
    <w:p>
      <w:pPr>
        <w:pStyle w:val="Heading4"/>
        <w:spacing w:line="240" w:lineRule="auto"/>
        <w:ind w:right="986"/>
        <w:jc w:val="left"/>
        <w:rPr>
          <w:b w:val="0"/>
          <w:bCs w:val="0"/>
        </w:rPr>
      </w:pPr>
      <w:bookmarkStart w:name="30、长期待摊费用" w:id="324"/>
      <w:bookmarkEnd w:id="324"/>
      <w:r>
        <w:rPr>
          <w:b w:val="0"/>
          <w:bCs w:val="0"/>
        </w:rPr>
      </w:r>
      <w:r>
        <w:rPr>
          <w:rFonts w:ascii="Times New Roman" w:hAnsi="Times New Roman" w:cs="Times New Roman" w:eastAsia="Times New Roman" w:hint="default"/>
        </w:rPr>
        <w:t>30</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4"/>
        <w:gridCol w:w="1597"/>
        <w:gridCol w:w="1594"/>
        <w:gridCol w:w="1596"/>
        <w:gridCol w:w="1594"/>
        <w:gridCol w:w="1594"/>
      </w:tblGrid>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4"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刊号费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155,000.00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19"/>
              <w:jc w:val="left"/>
              <w:rPr>
                <w:rFonts w:ascii="宋体" w:hAnsi="宋体" w:cs="宋体" w:eastAsia="宋体" w:hint="default"/>
                <w:sz w:val="18"/>
                <w:szCs w:val="18"/>
              </w:rPr>
            </w:pPr>
            <w:r>
              <w:rPr>
                <w:rFonts w:ascii="宋体" w:hAnsi="宋体" w:cs="宋体" w:eastAsia="宋体" w:hint="default"/>
                <w:sz w:val="18"/>
                <w:szCs w:val="18"/>
              </w:rPr>
              <w:t>杭州火车东站灯 箱改造工程</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261,737.20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261,737.20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left"/>
              <w:rPr>
                <w:rFonts w:ascii="宋体" w:hAnsi="宋体" w:cs="宋体" w:eastAsia="宋体" w:hint="default"/>
                <w:sz w:val="18"/>
                <w:szCs w:val="18"/>
              </w:rPr>
            </w:pPr>
            <w:r>
              <w:rPr>
                <w:rFonts w:ascii="宋体" w:hAnsi="宋体" w:cs="宋体" w:eastAsia="宋体" w:hint="default"/>
                <w:sz w:val="18"/>
                <w:szCs w:val="18"/>
              </w:rPr>
              <w:t>企业邮箱系统服 务费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30,057.97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16,828.44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13,229.53</w:t>
            </w: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办公室装修费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487,508.12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390,006.48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97,501.64</w:t>
            </w:r>
          </w:p>
        </w:tc>
      </w:tr>
      <w:tr>
        <w:trPr>
          <w:trHeight w:val="71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139"/>
              <w:jc w:val="left"/>
              <w:rPr>
                <w:rFonts w:ascii="宋体" w:hAnsi="宋体" w:cs="宋体" w:eastAsia="宋体" w:hint="default"/>
                <w:sz w:val="18"/>
                <w:szCs w:val="18"/>
              </w:rPr>
            </w:pPr>
            <w:r>
              <w:rPr>
                <w:rFonts w:ascii="宋体" w:hAnsi="宋体" w:cs="宋体" w:eastAsia="宋体" w:hint="default"/>
                <w:sz w:val="18"/>
                <w:szCs w:val="18"/>
              </w:rPr>
              <w:t>工联</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LED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屏通风 工程安装费</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442,387.22</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173,794.94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268,592.28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1,376,690.51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997,367.06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268,592.28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110,731.17</w:t>
            </w:r>
          </w:p>
        </w:tc>
      </w:tr>
    </w:tbl>
    <w:p>
      <w:pPr>
        <w:pStyle w:val="BodyText"/>
        <w:spacing w:line="240" w:lineRule="auto" w:before="49"/>
        <w:ind w:right="986"/>
        <w:jc w:val="left"/>
      </w:pPr>
      <w:r>
        <w:rPr/>
        <w:t>其他说明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31、递延所得税资产/递延所得税负债" w:id="325"/>
      <w:bookmarkEnd w:id="325"/>
      <w:r>
        <w:rPr>
          <w:b w:val="0"/>
          <w:bCs w:val="0"/>
        </w:rPr>
      </w:r>
      <w:r>
        <w:rPr>
          <w:rFonts w:ascii="Times New Roman" w:hAnsi="Times New Roman" w:cs="Times New Roman" w:eastAsia="Times New Roman" w:hint="default"/>
        </w:rPr>
        <w:t>31</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未经抵销的递延所得税资产" w:id="326"/>
      <w:bookmarkEnd w:id="32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1,237,522.44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204,372.24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1,237,522.44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204,372.24</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1,237,522.44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204,372.24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1,237,522.44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204,372.24</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未经抵销的递延所得税负债" w:id="327"/>
      <w:bookmarkEnd w:id="32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以抵销后净额列示的递延所得税资产或负债" w:id="328"/>
      <w:bookmarkEnd w:id="32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1" w:right="142"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债期末互抵金额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0" w:right="142"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产或负债期末余额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1" w:right="139" w:hanging="180"/>
              <w:jc w:val="left"/>
              <w:rPr>
                <w:rFonts w:ascii="宋体" w:hAnsi="宋体" w:cs="宋体" w:eastAsia="宋体" w:hint="default"/>
                <w:sz w:val="18"/>
                <w:szCs w:val="18"/>
              </w:rPr>
            </w:pPr>
            <w:r>
              <w:rPr>
                <w:rFonts w:ascii="宋体" w:hAnsi="宋体" w:cs="宋体" w:eastAsia="宋体" w:hint="default"/>
                <w:sz w:val="18"/>
                <w:szCs w:val="18"/>
              </w:rPr>
              <w:t>递延所得税资产和负 债期初互抵金额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0" w:right="143" w:hanging="89"/>
              <w:jc w:val="left"/>
              <w:rPr>
                <w:rFonts w:ascii="宋体" w:hAnsi="宋体" w:cs="宋体" w:eastAsia="宋体" w:hint="default"/>
                <w:sz w:val="18"/>
                <w:szCs w:val="18"/>
              </w:rPr>
            </w:pPr>
            <w:r>
              <w:rPr>
                <w:rFonts w:ascii="宋体" w:hAnsi="宋体" w:cs="宋体" w:eastAsia="宋体" w:hint="default"/>
                <w:sz w:val="18"/>
                <w:szCs w:val="18"/>
              </w:rPr>
              <w:t>抵销后递延所得税资 产或负债期初余额</w:t>
            </w:r>
          </w:p>
        </w:tc>
      </w:tr>
      <w:tr>
        <w:trPr>
          <w:trHeight w:val="40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递延所得税资产</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9" w:right="0"/>
              <w:jc w:val="left"/>
              <w:rPr>
                <w:rFonts w:ascii="Times New Roman" w:hAnsi="Times New Roman" w:cs="Times New Roman" w:eastAsia="Times New Roman" w:hint="default"/>
                <w:sz w:val="18"/>
                <w:szCs w:val="18"/>
              </w:rPr>
            </w:pPr>
            <w:r>
              <w:rPr>
                <w:rFonts w:ascii="Times New Roman"/>
                <w:sz w:val="18"/>
              </w:rPr>
              <w:t>1,237,522.44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4" w:right="0"/>
              <w:jc w:val="left"/>
              <w:rPr>
                <w:rFonts w:ascii="Times New Roman" w:hAnsi="Times New Roman" w:cs="Times New Roman" w:eastAsia="Times New Roman" w:hint="default"/>
                <w:sz w:val="18"/>
                <w:szCs w:val="18"/>
              </w:rPr>
            </w:pPr>
            <w:r>
              <w:rPr>
                <w:rFonts w:ascii="Times New Roman"/>
                <w:sz w:val="18"/>
              </w:rPr>
              <w:t>204,372.24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1,237,522.44</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5" w:right="0"/>
              <w:jc w:val="left"/>
              <w:rPr>
                <w:rFonts w:ascii="Times New Roman" w:hAnsi="Times New Roman" w:cs="Times New Roman" w:eastAsia="Times New Roman" w:hint="default"/>
                <w:sz w:val="18"/>
                <w:szCs w:val="18"/>
              </w:rPr>
            </w:pPr>
            <w:r>
              <w:rPr>
                <w:rFonts w:ascii="Times New Roman"/>
                <w:sz w:val="18"/>
              </w:rPr>
              <w:t>204,372.24</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4）未确认递延所得税资产明细" w:id="329"/>
      <w:bookmarkEnd w:id="32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787,046,233.27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2,659,797,672.10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可抵扣亏损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1,503,732,063.28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86,687,021.91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2,290,778,296.55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2,746,484,694.01</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5）未确认递延所得税资产的可抵扣亏损将于以下年度到期" w:id="330"/>
      <w:bookmarkEnd w:id="33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2019</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15"/>
              <w:jc w:val="right"/>
              <w:rPr>
                <w:rFonts w:ascii="Times New Roman" w:hAnsi="Times New Roman" w:cs="Times New Roman" w:eastAsia="Times New Roman" w:hint="default"/>
                <w:sz w:val="18"/>
                <w:szCs w:val="18"/>
              </w:rPr>
            </w:pPr>
            <w:r>
              <w:rPr>
                <w:rFonts w:ascii="Times New Roman"/>
                <w:spacing w:val="-1"/>
                <w:sz w:val="18"/>
              </w:rPr>
              <w:t>2,516,350.61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2020</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670"/>
              <w:jc w:val="right"/>
              <w:rPr>
                <w:rFonts w:ascii="Times New Roman" w:hAnsi="Times New Roman" w:cs="Times New Roman" w:eastAsia="Times New Roman" w:hint="default"/>
                <w:sz w:val="18"/>
                <w:szCs w:val="18"/>
              </w:rPr>
            </w:pPr>
            <w:r>
              <w:rPr>
                <w:rFonts w:ascii="Times New Roman"/>
                <w:spacing w:val="-1"/>
                <w:sz w:val="18"/>
              </w:rPr>
              <w:t>12,837,073.27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2021</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3,138.29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15"/>
              <w:jc w:val="right"/>
              <w:rPr>
                <w:rFonts w:ascii="Times New Roman" w:hAnsi="Times New Roman" w:cs="Times New Roman" w:eastAsia="Times New Roman" w:hint="default"/>
                <w:sz w:val="18"/>
                <w:szCs w:val="18"/>
              </w:rPr>
            </w:pPr>
            <w:r>
              <w:rPr>
                <w:rFonts w:ascii="Times New Roman"/>
                <w:spacing w:val="-1"/>
                <w:sz w:val="18"/>
              </w:rPr>
              <w:t>7,212,397.98</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2022</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17,387,089.71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15"/>
              <w:jc w:val="right"/>
              <w:rPr>
                <w:rFonts w:ascii="Times New Roman" w:hAnsi="Times New Roman" w:cs="Times New Roman" w:eastAsia="Times New Roman" w:hint="default"/>
                <w:sz w:val="18"/>
                <w:szCs w:val="18"/>
              </w:rPr>
            </w:pPr>
            <w:r>
              <w:rPr>
                <w:rFonts w:ascii="Times New Roman"/>
                <w:spacing w:val="-1"/>
                <w:sz w:val="18"/>
              </w:rPr>
              <w:t>3,934,462.38</w:t>
            </w: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7"/>
              <w:jc w:val="right"/>
              <w:rPr>
                <w:rFonts w:ascii="Times New Roman" w:hAnsi="Times New Roman" w:cs="Times New Roman" w:eastAsia="Times New Roman" w:hint="default"/>
                <w:sz w:val="18"/>
                <w:szCs w:val="18"/>
              </w:rPr>
            </w:pPr>
            <w:r>
              <w:rPr>
                <w:rFonts w:ascii="Times New Roman"/>
                <w:sz w:val="18"/>
              </w:rPr>
              <w:t>2023</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10,121,200.44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7" w:right="0"/>
              <w:jc w:val="left"/>
              <w:rPr>
                <w:rFonts w:ascii="Times New Roman" w:hAnsi="Times New Roman" w:cs="Times New Roman" w:eastAsia="Times New Roman" w:hint="default"/>
                <w:sz w:val="18"/>
                <w:szCs w:val="18"/>
              </w:rPr>
            </w:pPr>
            <w:r>
              <w:rPr>
                <w:rFonts w:ascii="Times New Roman"/>
                <w:sz w:val="18"/>
              </w:rPr>
              <w:t>60,186,737.67</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7"/>
              <w:jc w:val="right"/>
              <w:rPr>
                <w:rFonts w:ascii="Times New Roman" w:hAnsi="Times New Roman" w:cs="Times New Roman" w:eastAsia="Times New Roman" w:hint="default"/>
                <w:sz w:val="18"/>
                <w:szCs w:val="18"/>
              </w:rPr>
            </w:pPr>
            <w:r>
              <w:rPr>
                <w:rFonts w:ascii="Times New Roman"/>
                <w:sz w:val="18"/>
              </w:rPr>
              <w:t>2024</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1,476,220,634.84</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1,503,732,063.28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7" w:right="0"/>
              <w:jc w:val="left"/>
              <w:rPr>
                <w:rFonts w:ascii="Times New Roman" w:hAnsi="Times New Roman" w:cs="Times New Roman" w:eastAsia="Times New Roman" w:hint="default"/>
                <w:sz w:val="18"/>
                <w:szCs w:val="18"/>
              </w:rPr>
            </w:pPr>
            <w:r>
              <w:rPr>
                <w:rFonts w:ascii="Times New Roman"/>
                <w:sz w:val="18"/>
              </w:rPr>
              <w:t>86,687,021.91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2、其他非流动资产" w:id="331"/>
      <w:bookmarkEnd w:id="331"/>
      <w:r>
        <w:rPr>
          <w:b w:val="0"/>
          <w:bCs w:val="0"/>
        </w:rPr>
      </w:r>
      <w:r>
        <w:rPr>
          <w:rFonts w:ascii="Times New Roman" w:hAnsi="Times New Roman" w:cs="Times New Roman" w:eastAsia="Times New Roman" w:hint="default"/>
        </w:rPr>
        <w:t>32</w:t>
      </w:r>
      <w:r>
        <w:rPr/>
        <w:t>、其他非流动资产</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240" w:lineRule="auto"/>
        <w:ind w:right="-20"/>
        <w:jc w:val="left"/>
      </w:pPr>
      <w:r>
        <w:rPr/>
        <w:t>是否已执行新收入准则</w:t>
      </w:r>
    </w:p>
    <w:p>
      <w:pPr>
        <w:pStyle w:val="BodyText"/>
        <w:spacing w:line="240" w:lineRule="auto" w:before="117"/>
        <w:ind w:right="-20"/>
        <w:jc w:val="left"/>
      </w:pPr>
      <w:r>
        <w:rPr/>
        <w:t>□ 是 √</w:t>
      </w:r>
      <w:r>
        <w:rPr>
          <w:spacing w:val="3"/>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1913" w:space="6916"/>
            <w:col w:w="206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3、短期借款" w:id="332"/>
      <w:bookmarkEnd w:id="332"/>
      <w:r>
        <w:rPr>
          <w:b w:val="0"/>
          <w:bCs w:val="0"/>
        </w:rPr>
      </w:r>
      <w:r>
        <w:rPr>
          <w:rFonts w:ascii="Times New Roman" w:hAnsi="Times New Roman" w:cs="Times New Roman" w:eastAsia="Times New Roman" w:hint="default"/>
        </w:rPr>
        <w:t>33</w:t>
      </w:r>
      <w:r>
        <w:rPr/>
        <w:t>、短期借款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短期借款分类" w:id="333"/>
      <w:bookmarkEnd w:id="333"/>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信用借款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22,016,000.00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22,016,000.00</w:t>
            </w:r>
          </w:p>
        </w:tc>
      </w:tr>
    </w:tbl>
    <w:p>
      <w:pPr>
        <w:pStyle w:val="BodyText"/>
        <w:spacing w:line="240" w:lineRule="auto" w:before="49"/>
        <w:ind w:right="986"/>
        <w:jc w:val="left"/>
      </w:pPr>
      <w:r>
        <w:rPr/>
        <w:t>短期借款分类的说明：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已逾期未偿还的短期借款情况" w:id="334"/>
      <w:bookmarkEnd w:id="334"/>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本期末已逾期未偿还的短期借款总额为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元，其中重要的已逾期未偿还的短期借款情况如下：</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4、交易性金融负债" w:id="335"/>
      <w:bookmarkEnd w:id="335"/>
      <w:r>
        <w:rPr>
          <w:b w:val="0"/>
          <w:bCs w:val="0"/>
        </w:rPr>
      </w:r>
      <w:r>
        <w:rPr>
          <w:rFonts w:ascii="Times New Roman" w:hAnsi="Times New Roman" w:cs="Times New Roman" w:eastAsia="Times New Roman" w:hint="default"/>
        </w:rPr>
        <w:t>34</w:t>
      </w:r>
      <w:r>
        <w:rPr/>
        <w:t>、交易性金融负债</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986"/>
        <w:jc w:val="left"/>
      </w:pPr>
      <w:r>
        <w:rPr/>
        <w:t>其他说明：</w:t>
      </w:r>
    </w:p>
    <w:p>
      <w:pPr>
        <w:spacing w:after="0" w:line="240" w:lineRule="auto"/>
        <w:jc w:val="left"/>
        <w:sectPr>
          <w:type w:val="continuous"/>
          <w:pgSz w:w="11910" w:h="16840"/>
          <w:pgMar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35、衍生金融负债" w:id="336"/>
      <w:bookmarkEnd w:id="336"/>
      <w:r>
        <w:rPr>
          <w:b w:val="0"/>
          <w:bCs w:val="0"/>
        </w:rPr>
      </w:r>
      <w:r>
        <w:rPr>
          <w:rFonts w:ascii="Times New Roman" w:hAnsi="Times New Roman" w:cs="Times New Roman" w:eastAsia="Times New Roman" w:hint="default"/>
        </w:rPr>
        <w:t>35</w:t>
      </w:r>
      <w:r>
        <w:rPr/>
        <w:t>、衍生金融负债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6、应付票据" w:id="337"/>
      <w:bookmarkEnd w:id="337"/>
      <w:r>
        <w:rPr>
          <w:b w:val="0"/>
          <w:bCs w:val="0"/>
        </w:rPr>
      </w:r>
      <w:r>
        <w:rPr>
          <w:rFonts w:ascii="Times New Roman" w:hAnsi="Times New Roman" w:cs="Times New Roman" w:eastAsia="Times New Roman" w:hint="default"/>
        </w:rPr>
        <w:t>36</w:t>
      </w:r>
      <w:r>
        <w:rPr/>
        <w:t>、应付票据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6"/>
        <w:jc w:val="left"/>
      </w:pPr>
      <w:r>
        <w:rPr/>
        <w:t>本期末已到期未支付的应付票据总额为元。</w:t>
      </w:r>
    </w:p>
    <w:p>
      <w:pPr>
        <w:spacing w:line="240" w:lineRule="auto" w:before="0"/>
        <w:rPr>
          <w:rFonts w:ascii="宋体" w:hAnsi="宋体" w:cs="宋体" w:eastAsia="宋体" w:hint="default"/>
          <w:sz w:val="18"/>
          <w:szCs w:val="18"/>
        </w:rPr>
      </w:pPr>
    </w:p>
    <w:p>
      <w:pPr>
        <w:pStyle w:val="Heading4"/>
        <w:spacing w:line="240" w:lineRule="auto" w:before="121"/>
        <w:ind w:right="986"/>
        <w:jc w:val="left"/>
        <w:rPr>
          <w:b w:val="0"/>
          <w:bCs w:val="0"/>
        </w:rPr>
      </w:pPr>
      <w:bookmarkStart w:name="37、应付账款" w:id="338"/>
      <w:bookmarkEnd w:id="338"/>
      <w:r>
        <w:rPr>
          <w:b w:val="0"/>
          <w:bCs w:val="0"/>
        </w:rPr>
      </w:r>
      <w:r>
        <w:rPr>
          <w:rFonts w:ascii="Times New Roman" w:hAnsi="Times New Roman" w:cs="Times New Roman" w:eastAsia="Times New Roman" w:hint="default"/>
        </w:rPr>
        <w:t>37</w:t>
      </w:r>
      <w:r>
        <w:rPr/>
        <w:t>、应付账款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应付账款列示" w:id="339"/>
      <w:bookmarkEnd w:id="339"/>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73"/>
              <w:jc w:val="right"/>
              <w:rPr>
                <w:rFonts w:ascii="Times New Roman" w:hAnsi="Times New Roman" w:cs="Times New Roman" w:eastAsia="Times New Roman" w:hint="default"/>
                <w:sz w:val="18"/>
                <w:szCs w:val="18"/>
              </w:rPr>
            </w:pPr>
            <w:r>
              <w:rPr>
                <w:rFonts w:ascii="Times New Roman"/>
                <w:spacing w:val="-1"/>
                <w:sz w:val="18"/>
              </w:rPr>
              <w:t>20,840,269.49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211,003,483.57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73"/>
              <w:jc w:val="right"/>
              <w:rPr>
                <w:rFonts w:ascii="Times New Roman" w:hAnsi="Times New Roman" w:cs="Times New Roman" w:eastAsia="Times New Roman" w:hint="default"/>
                <w:sz w:val="18"/>
                <w:szCs w:val="18"/>
              </w:rPr>
            </w:pPr>
            <w:r>
              <w:rPr>
                <w:rFonts w:ascii="Times New Roman"/>
                <w:spacing w:val="-1"/>
                <w:sz w:val="18"/>
              </w:rPr>
              <w:t>16,884,924.06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2,716,188.20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238,240.00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1,560,240.25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16"/>
              <w:jc w:val="right"/>
              <w:rPr>
                <w:rFonts w:ascii="Times New Roman" w:hAnsi="Times New Roman" w:cs="Times New Roman" w:eastAsia="Times New Roman" w:hint="default"/>
                <w:sz w:val="18"/>
                <w:szCs w:val="18"/>
              </w:rPr>
            </w:pPr>
            <w:r>
              <w:rPr>
                <w:rFonts w:ascii="Times New Roman"/>
                <w:spacing w:val="-1"/>
                <w:sz w:val="18"/>
              </w:rPr>
              <w:t>9,877,961.98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11,274,822.29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73"/>
              <w:jc w:val="right"/>
              <w:rPr>
                <w:rFonts w:ascii="Times New Roman" w:hAnsi="Times New Roman" w:cs="Times New Roman" w:eastAsia="Times New Roman" w:hint="default"/>
                <w:sz w:val="18"/>
                <w:szCs w:val="18"/>
              </w:rPr>
            </w:pPr>
            <w:r>
              <w:rPr>
                <w:rFonts w:ascii="Times New Roman"/>
                <w:spacing w:val="-1"/>
                <w:sz w:val="18"/>
              </w:rPr>
              <w:t>47,841,395.53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226,554,734.31</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账龄超过1年的重要应付账款" w:id="340"/>
      <w:bookmarkEnd w:id="340"/>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年的重要应付账款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16"/>
              <w:jc w:val="right"/>
              <w:rPr>
                <w:rFonts w:ascii="Times New Roman" w:hAnsi="Times New Roman" w:cs="Times New Roman" w:eastAsia="Times New Roman" w:hint="default"/>
                <w:sz w:val="18"/>
                <w:szCs w:val="18"/>
              </w:rPr>
            </w:pPr>
            <w:r>
              <w:rPr>
                <w:rFonts w:ascii="Times New Roman"/>
                <w:spacing w:val="-1"/>
                <w:sz w:val="18"/>
              </w:rPr>
              <w:t>9,989,961.98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历史遗留</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16"/>
              <w:jc w:val="right"/>
              <w:rPr>
                <w:rFonts w:ascii="Times New Roman" w:hAnsi="Times New Roman" w:cs="Times New Roman" w:eastAsia="Times New Roman" w:hint="default"/>
                <w:sz w:val="18"/>
                <w:szCs w:val="18"/>
              </w:rPr>
            </w:pPr>
            <w:r>
              <w:rPr>
                <w:rFonts w:ascii="Times New Roman"/>
                <w:spacing w:val="-1"/>
                <w:sz w:val="18"/>
              </w:rPr>
              <w:t>4,201,700.00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16"/>
              <w:jc w:val="right"/>
              <w:rPr>
                <w:rFonts w:ascii="Times New Roman" w:hAnsi="Times New Roman" w:cs="Times New Roman" w:eastAsia="Times New Roman" w:hint="default"/>
                <w:sz w:val="18"/>
                <w:szCs w:val="18"/>
              </w:rPr>
            </w:pPr>
            <w:r>
              <w:rPr>
                <w:rFonts w:ascii="Times New Roman"/>
                <w:spacing w:val="-1"/>
                <w:sz w:val="18"/>
              </w:rPr>
              <w:t>3,881,884.62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16"/>
              <w:jc w:val="right"/>
              <w:rPr>
                <w:rFonts w:ascii="Times New Roman" w:hAnsi="Times New Roman" w:cs="Times New Roman" w:eastAsia="Times New Roman" w:hint="default"/>
                <w:sz w:val="18"/>
                <w:szCs w:val="18"/>
              </w:rPr>
            </w:pPr>
            <w:r>
              <w:rPr>
                <w:rFonts w:ascii="Times New Roman"/>
                <w:spacing w:val="-1"/>
                <w:sz w:val="18"/>
              </w:rPr>
              <w:t>3,228,500.00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单位五</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16"/>
              <w:jc w:val="right"/>
              <w:rPr>
                <w:rFonts w:ascii="Times New Roman" w:hAnsi="Times New Roman" w:cs="Times New Roman" w:eastAsia="Times New Roman" w:hint="default"/>
                <w:sz w:val="18"/>
                <w:szCs w:val="18"/>
              </w:rPr>
            </w:pPr>
            <w:r>
              <w:rPr>
                <w:rFonts w:ascii="Times New Roman"/>
                <w:spacing w:val="-1"/>
                <w:sz w:val="18"/>
              </w:rPr>
              <w:t>2,751,000.00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未达到结算条件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73"/>
              <w:jc w:val="right"/>
              <w:rPr>
                <w:rFonts w:ascii="Times New Roman" w:hAnsi="Times New Roman" w:cs="Times New Roman" w:eastAsia="Times New Roman" w:hint="default"/>
                <w:sz w:val="18"/>
                <w:szCs w:val="18"/>
              </w:rPr>
            </w:pPr>
            <w:r>
              <w:rPr>
                <w:rFonts w:ascii="Times New Roman"/>
                <w:spacing w:val="-1"/>
                <w:sz w:val="18"/>
              </w:rPr>
              <w:t>24,053,046.60</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8、预收款项" w:id="341"/>
      <w:bookmarkEnd w:id="341"/>
      <w:r>
        <w:rPr>
          <w:b w:val="0"/>
          <w:bCs w:val="0"/>
        </w:rPr>
      </w:r>
      <w:r>
        <w:rPr>
          <w:rFonts w:ascii="Times New Roman" w:hAnsi="Times New Roman" w:cs="Times New Roman" w:eastAsia="Times New Roman" w:hint="default"/>
        </w:rPr>
        <w:t>38</w:t>
      </w:r>
      <w:r>
        <w:rPr/>
        <w:t>、预收款项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是否已执行新收入准则</w:t>
      </w:r>
    </w:p>
    <w:p>
      <w:pPr>
        <w:spacing w:after="0" w:line="240"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ind w:right="986"/>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1）预收款项列示" w:id="342"/>
      <w:bookmarkEnd w:id="342"/>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11,906,768.76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56,090,535.27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316,453.05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772,788.41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387,844.93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12,611,066.74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56,863,323.68</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账龄超过1年的重要预收款项" w:id="343"/>
      <w:bookmarkEnd w:id="343"/>
      <w:r>
        <w:rPr>
          <w:b w:val="0"/>
          <w:bCs w:val="0"/>
        </w:rPr>
      </w:r>
      <w:r>
        <w:rPr/>
        <w:t>（</w:t>
      </w:r>
      <w:r>
        <w:rPr>
          <w:rFonts w:ascii="Times New Roman" w:hAnsi="Times New Roman" w:cs="Times New Roman" w:eastAsia="Times New Roman" w:hint="default"/>
        </w:rPr>
        <w:t>2</w:t>
      </w:r>
      <w:r>
        <w:rPr/>
        <w:t>）账龄超过</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年的重要预收款项</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期末建造合同形成的已结算未完工项目情况" w:id="344"/>
      <w:bookmarkEnd w:id="344"/>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78"/>
        <w:gridCol w:w="4791"/>
      </w:tblGrid>
      <w:tr>
        <w:trPr>
          <w:trHeight w:val="402" w:hRule="exact"/>
        </w:trPr>
        <w:tc>
          <w:tcPr>
            <w:tcW w:w="4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pStyle w:val="BodyText"/>
        <w:spacing w:line="240" w:lineRule="auto" w:before="50"/>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9、合同负债" w:id="345"/>
      <w:bookmarkEnd w:id="345"/>
      <w:r>
        <w:rPr>
          <w:b w:val="0"/>
          <w:bCs w:val="0"/>
        </w:rPr>
      </w:r>
      <w:r>
        <w:rPr>
          <w:rFonts w:ascii="Times New Roman" w:hAnsi="Times New Roman" w:cs="Times New Roman" w:eastAsia="Times New Roman" w:hint="default"/>
        </w:rPr>
        <w:t>39</w:t>
      </w:r>
      <w:r>
        <w:rPr/>
        <w:t>、合同负债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6"/>
        <w:jc w:val="left"/>
      </w:pPr>
      <w:r>
        <w:rPr/>
        <w:t>报告期内账面价值发生重大变动的金额和原因</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05"/>
        <w:gridCol w:w="2420"/>
        <w:gridCol w:w="4945"/>
      </w:tblGrid>
      <w:tr>
        <w:trPr>
          <w:trHeight w:val="403" w:hRule="exact"/>
        </w:trPr>
        <w:tc>
          <w:tcPr>
            <w:tcW w:w="2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40、应付职工薪酬" w:id="346"/>
      <w:bookmarkEnd w:id="346"/>
      <w:r>
        <w:rPr>
          <w:b w:val="0"/>
          <w:bCs w:val="0"/>
        </w:rPr>
      </w:r>
      <w:r>
        <w:rPr>
          <w:rFonts w:ascii="Times New Roman" w:hAnsi="Times New Roman" w:cs="Times New Roman" w:eastAsia="Times New Roman" w:hint="default"/>
        </w:rPr>
        <w:t>40</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6"/>
        <w:jc w:val="left"/>
        <w:rPr>
          <w:b w:val="0"/>
          <w:bCs w:val="0"/>
        </w:rPr>
      </w:pPr>
      <w:bookmarkStart w:name="（1）应付职工薪酬列示" w:id="347"/>
      <w:bookmarkEnd w:id="347"/>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747"/>
        <w:gridCol w:w="1457"/>
        <w:gridCol w:w="1454"/>
        <w:gridCol w:w="1455"/>
        <w:gridCol w:w="1459"/>
      </w:tblGrid>
      <w:tr>
        <w:trPr>
          <w:trHeight w:val="401" w:hRule="exact"/>
        </w:trPr>
        <w:tc>
          <w:tcPr>
            <w:tcW w:w="3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3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5,225,174.75</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30,244,638.12</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32,367,583.10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3,102,229.77</w:t>
            </w:r>
          </w:p>
        </w:tc>
      </w:tr>
      <w:tr>
        <w:trPr>
          <w:trHeight w:val="401" w:hRule="exact"/>
        </w:trPr>
        <w:tc>
          <w:tcPr>
            <w:tcW w:w="3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设定提存计划</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118,344.22</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3,254,292.88</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3,274,565.48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98,071.62</w:t>
            </w:r>
          </w:p>
        </w:tc>
      </w:tr>
      <w:tr>
        <w:trPr>
          <w:trHeight w:val="403" w:hRule="exact"/>
        </w:trPr>
        <w:tc>
          <w:tcPr>
            <w:tcW w:w="37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16,500.00</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108,500.00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125,000.00</w:t>
            </w:r>
          </w:p>
        </w:tc>
        <w:tc>
          <w:tcPr>
            <w:tcW w:w="14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746"/>
        <w:gridCol w:w="1457"/>
        <w:gridCol w:w="1454"/>
        <w:gridCol w:w="1455"/>
        <w:gridCol w:w="1459"/>
      </w:tblGrid>
      <w:tr>
        <w:trPr>
          <w:trHeight w:val="404" w:hRule="exact"/>
        </w:trPr>
        <w:tc>
          <w:tcPr>
            <w:tcW w:w="37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8" w:right="0"/>
              <w:jc w:val="left"/>
              <w:rPr>
                <w:rFonts w:ascii="Times New Roman" w:hAnsi="Times New Roman" w:cs="Times New Roman" w:eastAsia="Times New Roman" w:hint="default"/>
                <w:sz w:val="18"/>
                <w:szCs w:val="18"/>
              </w:rPr>
            </w:pPr>
            <w:r>
              <w:rPr>
                <w:rFonts w:ascii="Times New Roman"/>
                <w:sz w:val="18"/>
              </w:rPr>
              <w:t>5,360,018.97</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33,607,431.00</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7" w:right="0"/>
              <w:jc w:val="left"/>
              <w:rPr>
                <w:rFonts w:ascii="Times New Roman" w:hAnsi="Times New Roman" w:cs="Times New Roman" w:eastAsia="Times New Roman" w:hint="default"/>
                <w:sz w:val="18"/>
                <w:szCs w:val="18"/>
              </w:rPr>
            </w:pPr>
            <w:r>
              <w:rPr>
                <w:rFonts w:ascii="Times New Roman"/>
                <w:sz w:val="18"/>
              </w:rPr>
              <w:t>35,767,148.58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3,200,301.39</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短期薪酬列示" w:id="348"/>
      <w:bookmarkEnd w:id="348"/>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446"/>
        <w:gridCol w:w="1781"/>
        <w:gridCol w:w="1781"/>
        <w:gridCol w:w="1781"/>
        <w:gridCol w:w="1783"/>
      </w:tblGrid>
      <w:tr>
        <w:trPr>
          <w:trHeight w:val="401" w:hRule="exact"/>
        </w:trPr>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5"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、工资、奖金、津贴和补贴</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5,007,983.32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25,835,216.21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27,851,279.70</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2,991,919.83</w:t>
            </w:r>
          </w:p>
        </w:tc>
      </w:tr>
      <w:tr>
        <w:trPr>
          <w:trHeight w:val="401" w:hRule="exact"/>
        </w:trPr>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106,776.00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734,411.42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828,767.42</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12,420.00</w:t>
            </w:r>
          </w:p>
        </w:tc>
      </w:tr>
      <w:tr>
        <w:trPr>
          <w:trHeight w:val="403" w:hRule="exact"/>
        </w:trPr>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71,176.27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1,890,561.61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1,897,132.94</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64,604.94</w:t>
            </w:r>
          </w:p>
        </w:tc>
      </w:tr>
      <w:tr>
        <w:trPr>
          <w:trHeight w:val="401" w:hRule="exact"/>
        </w:trPr>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63,673.06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1,648,404.91</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1,672,422.27</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39,655.70</w:t>
            </w:r>
          </w:p>
        </w:tc>
      </w:tr>
      <w:tr>
        <w:trPr>
          <w:trHeight w:val="404" w:hRule="exact"/>
        </w:trPr>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3"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1,999.02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50,054.77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50,792.40</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w w:val="95"/>
                <w:sz w:val="18"/>
              </w:rPr>
              <w:t>1,261.39</w:t>
            </w:r>
          </w:p>
        </w:tc>
      </w:tr>
      <w:tr>
        <w:trPr>
          <w:trHeight w:val="401" w:hRule="exact"/>
        </w:trPr>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5,504.19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192,101.93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173,918.27</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23,687.85</w:t>
            </w:r>
          </w:p>
        </w:tc>
      </w:tr>
      <w:tr>
        <w:trPr>
          <w:trHeight w:val="403" w:hRule="exact"/>
        </w:trPr>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39,239.16</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1,618,055.53</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1,624,009.69</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33,285.00</w:t>
            </w:r>
          </w:p>
        </w:tc>
      </w:tr>
      <w:tr>
        <w:trPr>
          <w:trHeight w:val="401" w:hRule="exact"/>
        </w:trPr>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、工会经费和职工教育经费</w:t>
            </w:r>
          </w:p>
        </w:tc>
        <w:tc>
          <w:tcPr>
            <w:tcW w:w="1781" w:type="dxa"/>
            <w:tcBorders>
              <w:top w:val="single" w:sz="4" w:space="0" w:color="000000"/>
              <w:left w:val="single" w:sz="4" w:space="0" w:color="000000"/>
              <w:bottom w:val="single" w:sz="4" w:space="0" w:color="000000"/>
              <w:right w:val="single" w:sz="4" w:space="0" w:color="000000"/>
            </w:tcBorders>
          </w:tcPr>
          <w:p>
            <w:pP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166,393.35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166,393.35</w:t>
            </w:r>
          </w:p>
        </w:tc>
        <w:tc>
          <w:tcPr>
            <w:tcW w:w="17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5,225,174.75</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30,244,638.12</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32,367,583.10</w:t>
            </w:r>
          </w:p>
        </w:tc>
        <w:tc>
          <w:tcPr>
            <w:tcW w:w="1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3,102,229.77</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设定提存计划列示" w:id="349"/>
      <w:bookmarkEnd w:id="349"/>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113,777.91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3,129,808.61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3,149,939.96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93,646.56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4,566.31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124,484.27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124,625.52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w w:val="95"/>
                <w:sz w:val="18"/>
              </w:rPr>
              <w:t>4,425.06</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118,344.22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3,254,292.88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3,274,565.48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98,071.62</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41、应交税费" w:id="350"/>
      <w:bookmarkEnd w:id="350"/>
      <w:r>
        <w:rPr>
          <w:b w:val="0"/>
          <w:bCs w:val="0"/>
        </w:rPr>
      </w:r>
      <w:r>
        <w:rPr>
          <w:rFonts w:ascii="Times New Roman" w:hAnsi="Times New Roman" w:cs="Times New Roman" w:eastAsia="Times New Roman" w:hint="default"/>
        </w:rPr>
        <w:t>41</w:t>
      </w:r>
      <w:r>
        <w:rPr/>
        <w:t>、应交税费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3,477,883.58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6,108,550.18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6,944,293.27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20,917,724.91</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391,343.26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386,277.98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165,755.01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634,929.47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4,421,789.17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4,421,789.17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文化事业建设税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123,591.56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626,376.22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258,473.43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295,702.66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5,802,278.08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5,802,278.08</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2"/>
                <w:sz w:val="18"/>
              </w:rPr>
              <w:t>211.68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253.58</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71,252.23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274,873.56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44,660.96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183,249.27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水利建设专项基金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7,590.36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8,671.89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21,709,122.59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39,660,676.97</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42、其他应付款" w:id="351"/>
      <w:bookmarkEnd w:id="351"/>
      <w:r>
        <w:rPr>
          <w:b w:val="0"/>
          <w:bCs w:val="0"/>
        </w:rPr>
      </w:r>
      <w:r>
        <w:rPr>
          <w:rFonts w:ascii="Times New Roman" w:hAnsi="Times New Roman" w:cs="Times New Roman" w:eastAsia="Times New Roman" w:hint="default"/>
        </w:rPr>
        <w:t>42</w:t>
      </w:r>
      <w:r>
        <w:rPr/>
        <w:t>、其他应付款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206,029.02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206,029.02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77,664,181.89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49,417,794.02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77,870,210.91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49,623,823.04</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1）应付利息" w:id="352"/>
      <w:bookmarkEnd w:id="352"/>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986"/>
        <w:jc w:val="left"/>
      </w:pPr>
      <w:r>
        <w:rPr/>
        <w:t>重要的已逾期未支付的利息情况：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应付股利" w:id="353"/>
      <w:bookmarkEnd w:id="353"/>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206,029.02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206,029.02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206,029.02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206,029.02</w:t>
            </w:r>
          </w:p>
        </w:tc>
      </w:tr>
    </w:tbl>
    <w:p>
      <w:pPr>
        <w:pStyle w:val="BodyText"/>
        <w:spacing w:line="240" w:lineRule="auto" w:before="49"/>
        <w:ind w:right="986"/>
        <w:jc w:val="left"/>
      </w:pPr>
      <w:r>
        <w:rPr/>
        <w:t>其他说明，包括重要的超过</w:t>
      </w:r>
      <w:r>
        <w:rPr>
          <w:spacing w:val="-4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年未支付的应付股利，应披露未支付原因：</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3）其他应付款" w:id="354"/>
      <w:bookmarkEnd w:id="354"/>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按款项性质列示其他应付款" w:id="355"/>
      <w:bookmarkEnd w:id="355"/>
      <w:r>
        <w:rPr>
          <w:b w:val="0"/>
          <w:bCs w:val="0"/>
        </w:rPr>
      </w:r>
      <w:r>
        <w:rPr>
          <w:rFonts w:ascii="Times New Roman" w:hAnsi="Times New Roman" w:cs="Times New Roman" w:eastAsia="Times New Roman" w:hint="default"/>
        </w:rPr>
        <w:t>1</w:t>
      </w:r>
      <w:r>
        <w:rPr/>
        <w:t>）按款项性质列示其他应付款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14,155,406.30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16,256,566.69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1,060,823.58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应付未付费用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2,794,122.88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1,822,131.47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其他单位往来款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25,714,651.10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30,278,272.28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待确认补偿款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35,000,001.00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未付股权收购款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0.61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77,664,181.89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49,417,794.02</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账龄超过1年的重要其他应付款" w:id="356"/>
      <w:bookmarkEnd w:id="356"/>
      <w:r>
        <w:rPr>
          <w:b w:val="0"/>
          <w:bCs w:val="0"/>
        </w:rPr>
      </w:r>
      <w:r>
        <w:rPr>
          <w:rFonts w:ascii="Times New Roman" w:hAnsi="Times New Roman" w:cs="Times New Roman" w:eastAsia="Times New Roman" w:hint="default"/>
        </w:rPr>
        <w:t>2</w:t>
      </w:r>
      <w:r>
        <w:rPr/>
        <w:t>）账龄超过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年的重要其他应付款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单位一</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10,524,938.43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年股权分置改革前遗留</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单位二</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6,095,000.00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年股权分置改革前遗留</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单位三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3,509,157.72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年股权分置改革前遗留</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单位四</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1,041,256.80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年股权分置改革前遗留</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21,170,352.95</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43、持有待售负债" w:id="357"/>
      <w:bookmarkEnd w:id="357"/>
      <w:r>
        <w:rPr>
          <w:b w:val="0"/>
          <w:bCs w:val="0"/>
        </w:rPr>
      </w:r>
      <w:r>
        <w:rPr>
          <w:rFonts w:ascii="Times New Roman" w:hAnsi="Times New Roman" w:cs="Times New Roman" w:eastAsia="Times New Roman" w:hint="default"/>
        </w:rPr>
        <w:t>43</w:t>
      </w:r>
      <w:r>
        <w:rPr/>
        <w:t>、持有待售负债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44、一年内到期的非流动负债" w:id="358"/>
      <w:bookmarkEnd w:id="358"/>
      <w:r>
        <w:rPr>
          <w:b w:val="0"/>
          <w:bCs w:val="0"/>
        </w:rPr>
      </w:r>
      <w:r>
        <w:rPr>
          <w:rFonts w:ascii="Times New Roman" w:hAnsi="Times New Roman" w:cs="Times New Roman" w:eastAsia="Times New Roman" w:hint="default"/>
        </w:rPr>
        <w:t>44</w:t>
      </w:r>
      <w:r>
        <w:rPr/>
        <w:t>、一年内到期的非流动负债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45、其他流动负债" w:id="359"/>
      <w:bookmarkEnd w:id="359"/>
      <w:r>
        <w:rPr>
          <w:b w:val="0"/>
          <w:bCs w:val="0"/>
        </w:rPr>
      </w:r>
      <w:r>
        <w:rPr>
          <w:rFonts w:ascii="Times New Roman" w:hAnsi="Times New Roman" w:cs="Times New Roman" w:eastAsia="Times New Roman" w:hint="default"/>
        </w:rPr>
        <w:t>45</w:t>
      </w:r>
      <w:r>
        <w:rPr/>
        <w:t>、其他流动负债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240" w:lineRule="auto"/>
        <w:ind w:right="-20"/>
        <w:jc w:val="left"/>
      </w:pPr>
      <w:r>
        <w:rPr/>
        <w:t>是否已执行新收入准则</w:t>
      </w:r>
    </w:p>
    <w:p>
      <w:pPr>
        <w:pStyle w:val="BodyText"/>
        <w:spacing w:line="240" w:lineRule="auto" w:before="117"/>
        <w:ind w:right="-20"/>
        <w:jc w:val="left"/>
      </w:pPr>
      <w:r>
        <w:rPr/>
        <w:t>□ 是 √</w:t>
      </w:r>
      <w:r>
        <w:rPr>
          <w:spacing w:val="3"/>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1913" w:space="6916"/>
            <w:col w:w="2061"/>
          </w:cols>
        </w:sectPr>
      </w:pP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6"/>
        <w:jc w:val="left"/>
      </w:pPr>
      <w:r>
        <w:rPr/>
        <w:t>短期应付债券的增减变动：</w:t>
      </w:r>
    </w:p>
    <w:p>
      <w:pPr>
        <w:spacing w:after="0" w:line="240" w:lineRule="auto"/>
        <w:jc w:val="left"/>
        <w:sectPr>
          <w:type w:val="continuous"/>
          <w:pgSz w:w="11910" w:h="16840"/>
          <w:pgMar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606"/>
        <w:gridCol w:w="624"/>
        <w:gridCol w:w="638"/>
        <w:gridCol w:w="650"/>
        <w:gridCol w:w="716"/>
        <w:gridCol w:w="638"/>
        <w:gridCol w:w="614"/>
        <w:gridCol w:w="1212"/>
        <w:gridCol w:w="1058"/>
        <w:gridCol w:w="997"/>
        <w:gridCol w:w="754"/>
        <w:gridCol w:w="1068"/>
      </w:tblGrid>
      <w:tr>
        <w:trPr>
          <w:trHeight w:val="713" w:hRule="exact"/>
        </w:trPr>
        <w:tc>
          <w:tcPr>
            <w:tcW w:w="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6" w:right="118"/>
              <w:jc w:val="left"/>
              <w:rPr>
                <w:rFonts w:ascii="宋体" w:hAnsi="宋体" w:cs="宋体" w:eastAsia="宋体" w:hint="default"/>
                <w:sz w:val="18"/>
                <w:szCs w:val="18"/>
              </w:rPr>
            </w:pPr>
            <w:r>
              <w:rPr>
                <w:rFonts w:ascii="宋体" w:hAnsi="宋体" w:cs="宋体" w:eastAsia="宋体" w:hint="default"/>
                <w:sz w:val="18"/>
                <w:szCs w:val="18"/>
              </w:rPr>
              <w:t>债券 名称</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7"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6" w:right="131"/>
              <w:jc w:val="left"/>
              <w:rPr>
                <w:rFonts w:ascii="宋体" w:hAnsi="宋体" w:cs="宋体" w:eastAsia="宋体" w:hint="default"/>
                <w:sz w:val="18"/>
                <w:szCs w:val="18"/>
              </w:rPr>
            </w:pPr>
            <w:r>
              <w:rPr>
                <w:rFonts w:ascii="宋体" w:hAnsi="宋体" w:cs="宋体" w:eastAsia="宋体" w:hint="default"/>
                <w:sz w:val="18"/>
                <w:szCs w:val="18"/>
              </w:rPr>
              <w:t>发行 日期</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1" w:right="137"/>
              <w:jc w:val="left"/>
              <w:rPr>
                <w:rFonts w:ascii="宋体" w:hAnsi="宋体" w:cs="宋体" w:eastAsia="宋体" w:hint="default"/>
                <w:sz w:val="18"/>
                <w:szCs w:val="18"/>
              </w:rPr>
            </w:pPr>
            <w:r>
              <w:rPr>
                <w:rFonts w:ascii="宋体" w:hAnsi="宋体" w:cs="宋体" w:eastAsia="宋体" w:hint="default"/>
                <w:sz w:val="18"/>
                <w:szCs w:val="18"/>
              </w:rPr>
              <w:t>债券 期限</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75" w:right="168"/>
              <w:jc w:val="left"/>
              <w:rPr>
                <w:rFonts w:ascii="宋体" w:hAnsi="宋体" w:cs="宋体" w:eastAsia="宋体" w:hint="default"/>
                <w:sz w:val="18"/>
                <w:szCs w:val="18"/>
              </w:rPr>
            </w:pPr>
            <w:r>
              <w:rPr>
                <w:rFonts w:ascii="宋体" w:hAnsi="宋体" w:cs="宋体" w:eastAsia="宋体" w:hint="default"/>
                <w:sz w:val="18"/>
                <w:szCs w:val="18"/>
              </w:rPr>
              <w:t>发行 金额</w:t>
            </w:r>
          </w:p>
        </w:tc>
        <w:tc>
          <w:tcPr>
            <w:tcW w:w="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6" w:right="131"/>
              <w:jc w:val="left"/>
              <w:rPr>
                <w:rFonts w:ascii="宋体" w:hAnsi="宋体" w:cs="宋体" w:eastAsia="宋体" w:hint="default"/>
                <w:sz w:val="18"/>
                <w:szCs w:val="18"/>
              </w:rPr>
            </w:pPr>
            <w:r>
              <w:rPr>
                <w:rFonts w:ascii="宋体" w:hAnsi="宋体" w:cs="宋体" w:eastAsia="宋体" w:hint="default"/>
                <w:sz w:val="18"/>
                <w:szCs w:val="18"/>
              </w:rPr>
              <w:t>期初 余额</w:t>
            </w:r>
          </w:p>
        </w:tc>
        <w:tc>
          <w:tcPr>
            <w:tcW w:w="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2" w:right="120"/>
              <w:jc w:val="left"/>
              <w:rPr>
                <w:rFonts w:ascii="宋体" w:hAnsi="宋体" w:cs="宋体" w:eastAsia="宋体" w:hint="default"/>
                <w:sz w:val="18"/>
                <w:szCs w:val="18"/>
              </w:rPr>
            </w:pPr>
            <w:r>
              <w:rPr>
                <w:rFonts w:ascii="宋体" w:hAnsi="宋体" w:cs="宋体" w:eastAsia="宋体" w:hint="default"/>
                <w:sz w:val="18"/>
                <w:szCs w:val="18"/>
              </w:rPr>
              <w:t>本期 发行</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9" w:right="149" w:hanging="269"/>
              <w:jc w:val="left"/>
              <w:rPr>
                <w:rFonts w:ascii="宋体" w:hAnsi="宋体" w:cs="宋体" w:eastAsia="宋体" w:hint="default"/>
                <w:sz w:val="18"/>
                <w:szCs w:val="18"/>
              </w:rPr>
            </w:pPr>
            <w:r>
              <w:rPr>
                <w:rFonts w:ascii="宋体" w:hAnsi="宋体" w:cs="宋体" w:eastAsia="宋体" w:hint="default"/>
                <w:sz w:val="18"/>
                <w:szCs w:val="18"/>
              </w:rPr>
              <w:t>按面值计提 利息</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34" w:right="163" w:hanging="272"/>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9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46、长期借款" w:id="360"/>
      <w:bookmarkEnd w:id="360"/>
      <w:r>
        <w:rPr>
          <w:b w:val="0"/>
          <w:bCs w:val="0"/>
        </w:rPr>
      </w:r>
      <w:r>
        <w:rPr>
          <w:rFonts w:ascii="Times New Roman" w:hAnsi="Times New Roman" w:cs="Times New Roman" w:eastAsia="Times New Roman" w:hint="default"/>
        </w:rPr>
        <w:t>46</w:t>
      </w:r>
      <w:r>
        <w:rPr/>
        <w:t>、长期借款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长期借款分类" w:id="361"/>
      <w:bookmarkEnd w:id="361"/>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49"/>
        <w:ind w:right="8594"/>
        <w:jc w:val="left"/>
      </w:pPr>
      <w:r>
        <w:rPr/>
        <w:t>长期借款分类的说明： 其他说明，包括利率区间：</w:t>
      </w:r>
    </w:p>
    <w:p>
      <w:pPr>
        <w:spacing w:line="240" w:lineRule="auto" w:before="2"/>
        <w:rPr>
          <w:rFonts w:ascii="宋体" w:hAnsi="宋体" w:cs="宋体" w:eastAsia="宋体" w:hint="default"/>
          <w:sz w:val="20"/>
          <w:szCs w:val="20"/>
        </w:rPr>
      </w:pPr>
    </w:p>
    <w:p>
      <w:pPr>
        <w:pStyle w:val="Heading4"/>
        <w:spacing w:line="240" w:lineRule="auto"/>
        <w:ind w:right="986"/>
        <w:jc w:val="left"/>
        <w:rPr>
          <w:b w:val="0"/>
          <w:bCs w:val="0"/>
        </w:rPr>
      </w:pPr>
      <w:bookmarkStart w:name="47、应付债券" w:id="362"/>
      <w:bookmarkEnd w:id="362"/>
      <w:r>
        <w:rPr>
          <w:b w:val="0"/>
          <w:bCs w:val="0"/>
        </w:rPr>
      </w:r>
      <w:r>
        <w:rPr>
          <w:rFonts w:ascii="Times New Roman" w:hAnsi="Times New Roman" w:cs="Times New Roman" w:eastAsia="Times New Roman" w:hint="default"/>
        </w:rPr>
        <w:t>47</w:t>
      </w:r>
      <w:r>
        <w:rPr/>
        <w:t>、应付债券</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应付债券" w:id="363"/>
      <w:bookmarkEnd w:id="363"/>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应付债券的增减变动（不包括划分为金融负债的优先股、永续债等其他金融工具）" w:id="364"/>
      <w:bookmarkEnd w:id="364"/>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800"/>
        <w:gridCol w:w="797"/>
        <w:gridCol w:w="799"/>
        <w:gridCol w:w="797"/>
        <w:gridCol w:w="799"/>
        <w:gridCol w:w="797"/>
        <w:gridCol w:w="800"/>
        <w:gridCol w:w="1044"/>
        <w:gridCol w:w="857"/>
        <w:gridCol w:w="625"/>
        <w:gridCol w:w="667"/>
        <w:gridCol w:w="797"/>
      </w:tblGrid>
      <w:tr>
        <w:trPr>
          <w:trHeight w:val="714"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5" w:right="122" w:hanging="180"/>
              <w:jc w:val="left"/>
              <w:rPr>
                <w:rFonts w:ascii="宋体" w:hAnsi="宋体" w:cs="宋体" w:eastAsia="宋体" w:hint="default"/>
                <w:sz w:val="18"/>
                <w:szCs w:val="18"/>
              </w:rPr>
            </w:pPr>
            <w:r>
              <w:rPr>
                <w:rFonts w:ascii="宋体" w:hAnsi="宋体" w:cs="宋体" w:eastAsia="宋体" w:hint="default"/>
                <w:sz w:val="18"/>
                <w:szCs w:val="18"/>
              </w:rPr>
              <w:t>债券名 称</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4" w:right="122" w:hanging="180"/>
              <w:jc w:val="left"/>
              <w:rPr>
                <w:rFonts w:ascii="宋体" w:hAnsi="宋体" w:cs="宋体" w:eastAsia="宋体" w:hint="default"/>
                <w:sz w:val="18"/>
                <w:szCs w:val="18"/>
              </w:rPr>
            </w:pPr>
            <w:r>
              <w:rPr>
                <w:rFonts w:ascii="宋体" w:hAnsi="宋体" w:cs="宋体" w:eastAsia="宋体" w:hint="default"/>
                <w:sz w:val="18"/>
                <w:szCs w:val="18"/>
              </w:rPr>
              <w:t>发行日 期</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5" w:right="122" w:hanging="181"/>
              <w:jc w:val="left"/>
              <w:rPr>
                <w:rFonts w:ascii="宋体" w:hAnsi="宋体" w:cs="宋体" w:eastAsia="宋体" w:hint="default"/>
                <w:sz w:val="18"/>
                <w:szCs w:val="18"/>
              </w:rPr>
            </w:pPr>
            <w:r>
              <w:rPr>
                <w:rFonts w:ascii="宋体" w:hAnsi="宋体" w:cs="宋体" w:eastAsia="宋体" w:hint="default"/>
                <w:sz w:val="18"/>
                <w:szCs w:val="18"/>
              </w:rPr>
              <w:t>债券期 限</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4" w:right="122" w:hanging="180"/>
              <w:jc w:val="left"/>
              <w:rPr>
                <w:rFonts w:ascii="宋体" w:hAnsi="宋体" w:cs="宋体" w:eastAsia="宋体" w:hint="default"/>
                <w:sz w:val="18"/>
                <w:szCs w:val="18"/>
              </w:rPr>
            </w:pPr>
            <w:r>
              <w:rPr>
                <w:rFonts w:ascii="宋体" w:hAnsi="宋体" w:cs="宋体" w:eastAsia="宋体" w:hint="default"/>
                <w:sz w:val="18"/>
                <w:szCs w:val="18"/>
              </w:rPr>
              <w:t>发行金 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4" w:right="120"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4" w:right="123" w:hanging="180"/>
              <w:jc w:val="left"/>
              <w:rPr>
                <w:rFonts w:ascii="宋体" w:hAnsi="宋体" w:cs="宋体" w:eastAsia="宋体" w:hint="default"/>
                <w:sz w:val="18"/>
                <w:szCs w:val="18"/>
              </w:rPr>
            </w:pPr>
            <w:r>
              <w:rPr>
                <w:rFonts w:ascii="宋体" w:hAnsi="宋体" w:cs="宋体" w:eastAsia="宋体" w:hint="default"/>
                <w:sz w:val="18"/>
                <w:szCs w:val="18"/>
              </w:rPr>
              <w:t>本期发 行</w:t>
            </w:r>
          </w:p>
        </w:tc>
        <w:tc>
          <w:tcPr>
            <w:tcW w:w="10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7" w:right="155" w:hanging="89"/>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44" w:right="151" w:hanging="92"/>
              <w:jc w:val="left"/>
              <w:rPr>
                <w:rFonts w:ascii="宋体" w:hAnsi="宋体" w:cs="宋体" w:eastAsia="宋体" w:hint="default"/>
                <w:sz w:val="18"/>
                <w:szCs w:val="18"/>
              </w:rPr>
            </w:pPr>
            <w:r>
              <w:rPr>
                <w:rFonts w:ascii="宋体" w:hAnsi="宋体" w:cs="宋体" w:eastAsia="宋体" w:hint="default"/>
                <w:sz w:val="18"/>
                <w:szCs w:val="18"/>
              </w:rPr>
              <w:t>溢折价 摊销</w:t>
            </w:r>
          </w:p>
        </w:tc>
        <w:tc>
          <w:tcPr>
            <w:tcW w:w="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27" w:right="125"/>
              <w:jc w:val="left"/>
              <w:rPr>
                <w:rFonts w:ascii="宋体" w:hAnsi="宋体" w:cs="宋体" w:eastAsia="宋体" w:hint="default"/>
                <w:sz w:val="18"/>
                <w:szCs w:val="18"/>
              </w:rPr>
            </w:pPr>
            <w:r>
              <w:rPr>
                <w:rFonts w:ascii="宋体" w:hAnsi="宋体" w:cs="宋体" w:eastAsia="宋体" w:hint="default"/>
                <w:sz w:val="18"/>
                <w:szCs w:val="18"/>
              </w:rPr>
              <w:t>本期 偿还</w:t>
            </w:r>
          </w:p>
        </w:tc>
        <w:tc>
          <w:tcPr>
            <w:tcW w:w="6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04" w:right="120"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401"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1044" w:type="dxa"/>
            <w:tcBorders>
              <w:top w:val="single" w:sz="4" w:space="0" w:color="000000"/>
              <w:left w:val="single" w:sz="4" w:space="0" w:color="000000"/>
              <w:bottom w:val="single" w:sz="4" w:space="0" w:color="000000"/>
              <w:right w:val="single" w:sz="4" w:space="0" w:color="000000"/>
            </w:tcBorders>
          </w:tcPr>
          <w:p>
            <w:pPr/>
          </w:p>
        </w:tc>
        <w:tc>
          <w:tcPr>
            <w:tcW w:w="857" w:type="dxa"/>
            <w:tcBorders>
              <w:top w:val="single" w:sz="4" w:space="0" w:color="000000"/>
              <w:left w:val="single" w:sz="4" w:space="0" w:color="000000"/>
              <w:bottom w:val="single" w:sz="4" w:space="0" w:color="000000"/>
              <w:right w:val="single" w:sz="4" w:space="0" w:color="000000"/>
            </w:tcBorders>
          </w:tcPr>
          <w:p>
            <w:pPr/>
          </w:p>
        </w:tc>
        <w:tc>
          <w:tcPr>
            <w:tcW w:w="625" w:type="dxa"/>
            <w:tcBorders>
              <w:top w:val="single" w:sz="4" w:space="0" w:color="000000"/>
              <w:left w:val="single" w:sz="4" w:space="0" w:color="000000"/>
              <w:bottom w:val="single" w:sz="4" w:space="0" w:color="000000"/>
              <w:right w:val="single" w:sz="4" w:space="0" w:color="000000"/>
            </w:tcBorders>
          </w:tcPr>
          <w:p>
            <w:pPr/>
          </w:p>
        </w:tc>
        <w:tc>
          <w:tcPr>
            <w:tcW w:w="66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可转换公司债券的转股条件、转股时间说明" w:id="365"/>
      <w:bookmarkEnd w:id="365"/>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4）划分为金融负债的其他金融工具说明" w:id="366"/>
      <w:bookmarkEnd w:id="366"/>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10"/>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360" w:lineRule="auto"/>
        <w:ind w:right="-20"/>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4613" w:space="4216"/>
            <w:col w:w="206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18"/>
        <w:gridCol w:w="912"/>
        <w:gridCol w:w="1064"/>
        <w:gridCol w:w="1063"/>
        <w:gridCol w:w="1064"/>
        <w:gridCol w:w="1063"/>
        <w:gridCol w:w="1061"/>
        <w:gridCol w:w="1064"/>
        <w:gridCol w:w="1061"/>
      </w:tblGrid>
      <w:tr>
        <w:trPr>
          <w:trHeight w:val="403" w:hRule="exact"/>
        </w:trPr>
        <w:tc>
          <w:tcPr>
            <w:tcW w:w="121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244" w:right="153" w:hanging="92"/>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197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1" w:hRule="exact"/>
        </w:trPr>
        <w:tc>
          <w:tcPr>
            <w:tcW w:w="1218" w:type="dxa"/>
            <w:vMerge/>
            <w:tcBorders>
              <w:left w:val="single" w:sz="4" w:space="0" w:color="000000"/>
              <w:bottom w:val="single" w:sz="4" w:space="0" w:color="000000"/>
              <w:right w:val="single" w:sz="4" w:space="0" w:color="000000"/>
            </w:tcBorders>
            <w:shd w:val="clear" w:color="auto" w:fill="D2D2D2"/>
          </w:tcPr>
          <w:p>
            <w:pPr/>
          </w:p>
        </w:tc>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1"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7514"/>
        <w:jc w:val="left"/>
      </w:pPr>
      <w:r>
        <w:rPr/>
        <w:t>其他金融工具划分为金融负债的依据说明 其他说明</w:t>
      </w:r>
    </w:p>
    <w:p>
      <w:pPr>
        <w:spacing w:after="0" w:line="360" w:lineRule="auto"/>
        <w:jc w:val="left"/>
        <w:sectPr>
          <w:type w:val="continuous"/>
          <w:pgSz w:w="11910" w:h="16840"/>
          <w:pgMar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48、租赁负债" w:id="367"/>
      <w:bookmarkEnd w:id="367"/>
      <w:r>
        <w:rPr>
          <w:b w:val="0"/>
          <w:bCs w:val="0"/>
        </w:rPr>
      </w:r>
      <w:r>
        <w:rPr>
          <w:rFonts w:ascii="Times New Roman" w:hAnsi="Times New Roman" w:cs="Times New Roman" w:eastAsia="Times New Roman" w:hint="default"/>
        </w:rPr>
        <w:t>48</w:t>
      </w:r>
      <w:r>
        <w:rPr/>
        <w:t>、租赁负债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49、长期应付款" w:id="368"/>
      <w:bookmarkEnd w:id="368"/>
      <w:r>
        <w:rPr>
          <w:b w:val="0"/>
          <w:bCs w:val="0"/>
        </w:rPr>
      </w:r>
      <w:r>
        <w:rPr>
          <w:rFonts w:ascii="Times New Roman" w:hAnsi="Times New Roman" w:cs="Times New Roman" w:eastAsia="Times New Roman" w:hint="default"/>
        </w:rPr>
        <w:t>49</w:t>
      </w:r>
      <w:r>
        <w:rPr/>
        <w:t>、长期应付款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1）按款项性质列示长期应付款" w:id="369"/>
      <w:bookmarkEnd w:id="369"/>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专项应付款" w:id="370"/>
      <w:bookmarkEnd w:id="370"/>
      <w:r>
        <w:rPr>
          <w:b w:val="0"/>
          <w:bCs w:val="0"/>
        </w:rPr>
      </w:r>
      <w:r>
        <w:rPr/>
        <w:t>（</w:t>
      </w:r>
      <w:r>
        <w:rPr>
          <w:rFonts w:ascii="Times New Roman" w:hAnsi="Times New Roman" w:cs="Times New Roman" w:eastAsia="Times New Roman" w:hint="default"/>
        </w:rPr>
        <w:t>2</w:t>
      </w:r>
      <w:r>
        <w:rPr/>
        <w:t>）专项应付款</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3"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50、长期应付职工薪酬" w:id="371"/>
      <w:bookmarkEnd w:id="371"/>
      <w:r>
        <w:rPr>
          <w:b w:val="0"/>
          <w:bCs w:val="0"/>
        </w:rPr>
      </w:r>
      <w:r>
        <w:rPr>
          <w:rFonts w:ascii="Times New Roman" w:hAnsi="Times New Roman" w:cs="Times New Roman" w:eastAsia="Times New Roman" w:hint="default"/>
        </w:rPr>
        <w:t>50</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长期应付职工薪酬表" w:id="372"/>
      <w:bookmarkEnd w:id="372"/>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设定受益计划变动情况" w:id="373"/>
      <w:bookmarkEnd w:id="373"/>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6"/>
        <w:jc w:val="left"/>
      </w:pPr>
      <w:r>
        <w:rPr/>
        <w:t>设定受益计划义务现值：</w:t>
      </w:r>
    </w:p>
    <w:p>
      <w:pPr>
        <w:pStyle w:val="BodyText"/>
        <w:spacing w:line="240" w:lineRule="auto" w:before="118"/>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986"/>
        <w:jc w:val="left"/>
      </w:pPr>
      <w:r>
        <w:rPr/>
        <w:t>计划资产：</w:t>
      </w:r>
    </w:p>
    <w:p>
      <w:pPr>
        <w:pStyle w:val="BodyText"/>
        <w:spacing w:line="240" w:lineRule="auto" w:before="117"/>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986"/>
        <w:jc w:val="left"/>
      </w:pPr>
      <w:r>
        <w:rPr/>
        <w:t>设定受益计划净负债（净资产）</w:t>
      </w:r>
    </w:p>
    <w:p>
      <w:pPr>
        <w:pStyle w:val="BodyText"/>
        <w:spacing w:line="240" w:lineRule="auto" w:before="114"/>
        <w:ind w:left="0" w:right="1131"/>
        <w:jc w:val="right"/>
      </w:pPr>
      <w:r>
        <w:rPr/>
        <w:t>单位：</w:t>
      </w:r>
      <w:r>
        <w:rPr>
          <w:spacing w:val="1"/>
        </w:rPr>
        <w:t> </w:t>
      </w:r>
      <w:r>
        <w:rPr/>
        <w:t>元</w:t>
      </w:r>
    </w:p>
    <w:p>
      <w:pPr>
        <w:spacing w:after="0" w:line="240" w:lineRule="auto"/>
        <w:jc w:val="righ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0"/>
        <w:ind w:right="3554"/>
        <w:jc w:val="left"/>
      </w:pPr>
      <w:r>
        <w:rPr/>
        <w:t>设定受益计划的内容及与之相关风险、对公司未来现金流量、时间和不确定性的影响说明： 设定受益计划重大精算假设及敏感性分析结果说明：</w:t>
      </w:r>
    </w:p>
    <w:p>
      <w:pPr>
        <w:pStyle w:val="BodyText"/>
        <w:spacing w:line="240" w:lineRule="auto" w:before="2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51、预计负债" w:id="374"/>
      <w:bookmarkEnd w:id="374"/>
      <w:r>
        <w:rPr>
          <w:b w:val="0"/>
          <w:bCs w:val="0"/>
        </w:rPr>
      </w:r>
      <w:r>
        <w:rPr>
          <w:rFonts w:ascii="Times New Roman" w:hAnsi="Times New Roman" w:cs="Times New Roman" w:eastAsia="Times New Roman" w:hint="default"/>
        </w:rPr>
        <w:t>51</w:t>
      </w:r>
      <w:r>
        <w:rPr/>
        <w:t>、预计负债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240" w:lineRule="auto"/>
        <w:ind w:right="-20"/>
        <w:jc w:val="left"/>
      </w:pPr>
      <w:r>
        <w:rPr/>
        <w:t>是否已执行新收入准则</w:t>
      </w:r>
    </w:p>
    <w:p>
      <w:pPr>
        <w:pStyle w:val="BodyText"/>
        <w:spacing w:line="240" w:lineRule="auto" w:before="117"/>
        <w:ind w:right="-20"/>
        <w:jc w:val="left"/>
      </w:pPr>
      <w:r>
        <w:rPr/>
        <w:t>□ 是 √</w:t>
      </w:r>
      <w:r>
        <w:rPr>
          <w:spacing w:val="3"/>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1913" w:space="6916"/>
            <w:col w:w="2061"/>
          </w:cols>
        </w:sectPr>
      </w:pP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预计未来支付的成本</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4,556,422.11</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4,556,422.11</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49"/>
        <w:ind w:right="986"/>
        <w:jc w:val="left"/>
      </w:pPr>
      <w:r>
        <w:rPr/>
        <w:t>其他说明，包括重要预计负债的相关重要假设、估计说明： </w:t>
      </w:r>
      <w:r>
        <w:rPr>
          <w:rFonts w:ascii="宋体" w:hAnsi="宋体" w:cs="宋体" w:eastAsia="宋体" w:hint="default"/>
          <w:spacing w:val="-2"/>
        </w:rPr>
        <w:t>[</w:t>
      </w:r>
      <w:r>
        <w:rPr>
          <w:spacing w:val="-2"/>
        </w:rPr>
        <w:t>注</w:t>
      </w:r>
      <w:r>
        <w:rPr>
          <w:rFonts w:ascii="宋体" w:hAnsi="宋体" w:cs="宋体" w:eastAsia="宋体" w:hint="default"/>
          <w:spacing w:val="-2"/>
        </w:rPr>
        <w:t>]</w:t>
      </w:r>
      <w:r>
        <w:rPr>
          <w:spacing w:val="-2"/>
        </w:rPr>
        <w:t>期初确认的预计负债由视赚</w:t>
      </w:r>
      <w:r>
        <w:rPr>
          <w:rFonts w:ascii="宋体" w:hAnsi="宋体" w:cs="宋体" w:eastAsia="宋体" w:hint="default"/>
          <w:spacing w:val="-2"/>
        </w:rPr>
        <w:t>APP</w:t>
      </w:r>
      <w:r>
        <w:rPr>
          <w:spacing w:val="-2"/>
        </w:rPr>
        <w:t>广告业务产生。客户在子公司杭州视赚视赚</w:t>
      </w:r>
      <w:r>
        <w:rPr>
          <w:rFonts w:ascii="宋体" w:hAnsi="宋体" w:cs="宋体" w:eastAsia="宋体" w:hint="default"/>
          <w:spacing w:val="-2"/>
        </w:rPr>
        <w:t>APP</w:t>
      </w:r>
      <w:r>
        <w:rPr>
          <w:spacing w:val="-2"/>
        </w:rPr>
        <w:t>投放广告，注册用户点击观看成功后由杭</w:t>
      </w:r>
      <w:r>
        <w:rPr>
          <w:spacing w:val="-61"/>
        </w:rPr>
        <w:t> </w:t>
      </w:r>
      <w:r>
        <w:rPr>
          <w:spacing w:val="-61"/>
        </w:rPr>
      </w:r>
      <w:r>
        <w:rPr>
          <w:spacing w:val="-2"/>
        </w:rPr>
        <w:t>州视赚给予其一定数量的元宝奖励</w:t>
      </w:r>
      <w:r>
        <w:rPr>
          <w:rFonts w:ascii="宋体" w:hAnsi="宋体" w:cs="宋体" w:eastAsia="宋体" w:hint="default"/>
          <w:spacing w:val="-2"/>
        </w:rPr>
        <w:t>(</w:t>
      </w:r>
      <w:r>
        <w:rPr>
          <w:spacing w:val="-2"/>
        </w:rPr>
        <w:t>用户可使用元宝在视赚</w:t>
      </w:r>
      <w:r>
        <w:rPr>
          <w:rFonts w:ascii="宋体" w:hAnsi="宋体" w:cs="宋体" w:eastAsia="宋体" w:hint="default"/>
          <w:spacing w:val="-2"/>
        </w:rPr>
        <w:t>APP</w:t>
      </w:r>
      <w:r>
        <w:rPr>
          <w:spacing w:val="-2"/>
        </w:rPr>
        <w:t>上兑换商品</w:t>
      </w:r>
      <w:r>
        <w:rPr>
          <w:rFonts w:ascii="宋体" w:hAnsi="宋体" w:cs="宋体" w:eastAsia="宋体" w:hint="default"/>
          <w:spacing w:val="-2"/>
        </w:rPr>
        <w:t>),</w:t>
      </w:r>
      <w:r>
        <w:rPr>
          <w:spacing w:val="-2"/>
        </w:rPr>
        <w:t>杭州视赚在确认广告服务收入的同时，按照每个</w:t>
      </w:r>
    </w:p>
    <w:p>
      <w:pPr>
        <w:pStyle w:val="BodyText"/>
        <w:spacing w:line="240" w:lineRule="auto" w:before="2"/>
        <w:ind w:right="986"/>
        <w:jc w:val="left"/>
      </w:pPr>
      <w:r>
        <w:rPr/>
        <w:t>元宝</w:t>
      </w:r>
      <w:r>
        <w:rPr>
          <w:rFonts w:ascii="宋体" w:hAnsi="宋体" w:cs="宋体" w:eastAsia="宋体" w:hint="default"/>
        </w:rPr>
        <w:t>0.01</w:t>
      </w:r>
      <w:r>
        <w:rPr/>
        <w:t>元的价值确认相应的成本和预计负债，待用户实际兑换商品时，再根据实际兑换商品的价值冲销相应的预计负债。</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52、递延收益" w:id="375"/>
      <w:bookmarkEnd w:id="375"/>
      <w:r>
        <w:rPr>
          <w:b w:val="0"/>
          <w:bCs w:val="0"/>
        </w:rPr>
      </w:r>
      <w:r>
        <w:rPr>
          <w:rFonts w:ascii="Times New Roman" w:hAnsi="Times New Roman" w:cs="Times New Roman" w:eastAsia="Times New Roman" w:hint="default"/>
        </w:rPr>
        <w:t>52</w:t>
      </w:r>
      <w:r>
        <w:rPr/>
        <w:t>、递延收益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93"/>
        <w:gridCol w:w="1597"/>
        <w:gridCol w:w="1594"/>
        <w:gridCol w:w="1596"/>
        <w:gridCol w:w="1594"/>
        <w:gridCol w:w="1594"/>
      </w:tblGrid>
      <w:tr>
        <w:trPr>
          <w:trHeight w:val="402" w:hRule="exact"/>
        </w:trPr>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2"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49"/>
        <w:ind w:right="986"/>
        <w:jc w:val="left"/>
      </w:pPr>
      <w:r>
        <w:rPr/>
        <w:t>涉及政府补助的项目：</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12"/>
        <w:gridCol w:w="1248"/>
        <w:gridCol w:w="1011"/>
        <w:gridCol w:w="1010"/>
        <w:gridCol w:w="1011"/>
        <w:gridCol w:w="1008"/>
        <w:gridCol w:w="1010"/>
        <w:gridCol w:w="1249"/>
        <w:gridCol w:w="1010"/>
      </w:tblGrid>
      <w:tr>
        <w:trPr>
          <w:trHeight w:val="1027" w:hRule="exact"/>
        </w:trPr>
        <w:tc>
          <w:tcPr>
            <w:tcW w:w="10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41" w:right="137"/>
              <w:jc w:val="left"/>
              <w:rPr>
                <w:rFonts w:ascii="宋体" w:hAnsi="宋体" w:cs="宋体" w:eastAsia="宋体" w:hint="default"/>
                <w:sz w:val="18"/>
                <w:szCs w:val="18"/>
              </w:rPr>
            </w:pPr>
            <w:r>
              <w:rPr>
                <w:rFonts w:ascii="宋体" w:hAnsi="宋体" w:cs="宋体" w:eastAsia="宋体" w:hint="default"/>
                <w:sz w:val="18"/>
                <w:szCs w:val="18"/>
              </w:rPr>
              <w:t>本期新增 补助金额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39"/>
              <w:jc w:val="both"/>
              <w:rPr>
                <w:rFonts w:ascii="宋体" w:hAnsi="宋体" w:cs="宋体" w:eastAsia="宋体" w:hint="default"/>
                <w:sz w:val="18"/>
                <w:szCs w:val="18"/>
              </w:rPr>
            </w:pPr>
            <w:r>
              <w:rPr>
                <w:rFonts w:ascii="宋体" w:hAnsi="宋体" w:cs="宋体" w:eastAsia="宋体" w:hint="default"/>
                <w:sz w:val="18"/>
                <w:szCs w:val="18"/>
              </w:rPr>
              <w:t>本期计入 营业外收 入金额</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41"/>
              <w:jc w:val="center"/>
              <w:rPr>
                <w:rFonts w:ascii="宋体" w:hAnsi="宋体" w:cs="宋体" w:eastAsia="宋体" w:hint="default"/>
                <w:sz w:val="18"/>
                <w:szCs w:val="18"/>
              </w:rPr>
            </w:pPr>
            <w:r>
              <w:rPr>
                <w:rFonts w:ascii="宋体" w:hAnsi="宋体" w:cs="宋体" w:eastAsia="宋体" w:hint="default"/>
                <w:sz w:val="18"/>
                <w:szCs w:val="18"/>
              </w:rPr>
              <w:t>本期计入 其他收益 金额</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39" w:right="137"/>
              <w:jc w:val="center"/>
              <w:rPr>
                <w:rFonts w:ascii="宋体" w:hAnsi="宋体" w:cs="宋体" w:eastAsia="宋体" w:hint="default"/>
                <w:sz w:val="18"/>
                <w:szCs w:val="18"/>
              </w:rPr>
            </w:pPr>
            <w:r>
              <w:rPr>
                <w:rFonts w:ascii="宋体" w:hAnsi="宋体" w:cs="宋体" w:eastAsia="宋体" w:hint="default"/>
                <w:sz w:val="18"/>
                <w:szCs w:val="18"/>
              </w:rPr>
              <w:t>本期冲减 成本费用 金额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1"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7" w:right="110"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53、其他非流动负债" w:id="376"/>
      <w:bookmarkEnd w:id="376"/>
      <w:r>
        <w:rPr>
          <w:b w:val="0"/>
          <w:bCs w:val="0"/>
        </w:rPr>
      </w:r>
      <w:r>
        <w:rPr>
          <w:rFonts w:ascii="Times New Roman" w:hAnsi="Times New Roman" w:cs="Times New Roman" w:eastAsia="Times New Roman" w:hint="default"/>
        </w:rPr>
        <w:t>53</w:t>
      </w:r>
      <w:r>
        <w:rPr/>
        <w:t>、其他非流动负债</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type w:val="continuous"/>
          <w:pgSz w:w="11910" w:h="16840"/>
          <w:pgMar w:top="1100" w:bottom="1220" w:left="1020" w:right="0"/>
        </w:sectPr>
      </w:pPr>
    </w:p>
    <w:p>
      <w:pPr>
        <w:pStyle w:val="BodyText"/>
        <w:spacing w:line="240" w:lineRule="auto"/>
        <w:ind w:right="-20"/>
        <w:jc w:val="left"/>
      </w:pPr>
      <w:r>
        <w:rPr/>
        <w:t>是否已执行新收入准则</w:t>
      </w:r>
    </w:p>
    <w:p>
      <w:pPr>
        <w:pStyle w:val="BodyText"/>
        <w:spacing w:line="240" w:lineRule="auto" w:before="118"/>
        <w:ind w:right="-20"/>
        <w:jc w:val="left"/>
      </w:pPr>
      <w:r>
        <w:rPr/>
        <w:t>□ 是 √</w:t>
      </w:r>
      <w:r>
        <w:rPr>
          <w:spacing w:val="3"/>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1913" w:space="6916"/>
            <w:col w:w="206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0"/>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54、股本" w:id="377"/>
      <w:bookmarkEnd w:id="377"/>
      <w:r>
        <w:rPr>
          <w:b w:val="0"/>
          <w:bCs w:val="0"/>
        </w:rPr>
      </w:r>
      <w:r>
        <w:rPr>
          <w:rFonts w:ascii="Times New Roman" w:hAnsi="Times New Roman" w:cs="Times New Roman" w:eastAsia="Times New Roman" w:hint="default"/>
        </w:rPr>
        <w:t>54</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单位：元</w:t>
      </w:r>
    </w:p>
    <w:p>
      <w:pPr>
        <w:spacing w:after="0" w:line="240" w:lineRule="auto"/>
        <w:jc w:val="right"/>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194"/>
        <w:gridCol w:w="1404"/>
        <w:gridCol w:w="989"/>
        <w:gridCol w:w="1195"/>
        <w:gridCol w:w="1198"/>
        <w:gridCol w:w="1195"/>
        <w:gridCol w:w="963"/>
        <w:gridCol w:w="1430"/>
      </w:tblGrid>
      <w:tr>
        <w:trPr>
          <w:trHeight w:val="402" w:hRule="exact"/>
        </w:trPr>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4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5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194" w:type="dxa"/>
            <w:vMerge/>
            <w:tcBorders>
              <w:left w:val="single" w:sz="4" w:space="0" w:color="000000"/>
              <w:bottom w:val="single" w:sz="4" w:space="0" w:color="000000"/>
              <w:right w:val="single" w:sz="4" w:space="0" w:color="000000"/>
            </w:tcBorders>
            <w:shd w:val="clear" w:color="auto" w:fill="D2D2D2"/>
          </w:tcPr>
          <w:p>
            <w:pPr/>
          </w:p>
        </w:tc>
        <w:tc>
          <w:tcPr>
            <w:tcW w:w="1404" w:type="dxa"/>
            <w:vMerge/>
            <w:tcBorders>
              <w:left w:val="single" w:sz="4" w:space="0" w:color="000000"/>
              <w:bottom w:val="single" w:sz="4" w:space="0" w:color="000000"/>
              <w:right w:val="single" w:sz="4" w:space="0" w:color="000000"/>
            </w:tcBorders>
            <w:shd w:val="clear" w:color="auto" w:fill="D2D2D2"/>
          </w:tcPr>
          <w:p>
            <w:pP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95"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30"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522,777,419.00</w:t>
            </w:r>
          </w:p>
        </w:tc>
        <w:tc>
          <w:tcPr>
            <w:tcW w:w="989"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963" w:type="dxa"/>
            <w:tcBorders>
              <w:top w:val="single" w:sz="4" w:space="0" w:color="000000"/>
              <w:left w:val="single" w:sz="4" w:space="0" w:color="000000"/>
              <w:bottom w:val="single" w:sz="4" w:space="0" w:color="000000"/>
              <w:right w:val="single" w:sz="4" w:space="0" w:color="000000"/>
            </w:tcBorders>
          </w:tcPr>
          <w:p>
            <w:pP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2" w:right="0"/>
              <w:jc w:val="left"/>
              <w:rPr>
                <w:rFonts w:ascii="Times New Roman" w:hAnsi="Times New Roman" w:cs="Times New Roman" w:eastAsia="Times New Roman" w:hint="default"/>
                <w:sz w:val="18"/>
                <w:szCs w:val="18"/>
              </w:rPr>
            </w:pPr>
            <w:r>
              <w:rPr>
                <w:rFonts w:ascii="Times New Roman"/>
                <w:sz w:val="18"/>
              </w:rPr>
              <w:t>522,777,419.00</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55、其他权益工具" w:id="378"/>
      <w:bookmarkEnd w:id="378"/>
      <w:r>
        <w:rPr>
          <w:b w:val="0"/>
          <w:bCs w:val="0"/>
        </w:rPr>
      </w:r>
      <w:r>
        <w:rPr>
          <w:rFonts w:ascii="Times New Roman" w:hAnsi="Times New Roman" w:cs="Times New Roman" w:eastAsia="Times New Roman" w:hint="default"/>
        </w:rPr>
        <w:t>55</w:t>
      </w:r>
      <w:r>
        <w:rPr/>
        <w:t>、其他权益工具</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期末发行在外的优先股、永续债等其他金融工具基本情况" w:id="379"/>
      <w:bookmarkEnd w:id="379"/>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2）期末发行在外的优先股、永续债等金融工具变动情况表" w:id="380"/>
      <w:bookmarkEnd w:id="380"/>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5"/>
        <w:gridCol w:w="1066"/>
        <w:gridCol w:w="1064"/>
        <w:gridCol w:w="1063"/>
        <w:gridCol w:w="1064"/>
        <w:gridCol w:w="1063"/>
        <w:gridCol w:w="1061"/>
        <w:gridCol w:w="1064"/>
        <w:gridCol w:w="1061"/>
      </w:tblGrid>
      <w:tr>
        <w:trPr>
          <w:trHeight w:val="401" w:hRule="exact"/>
        </w:trPr>
        <w:tc>
          <w:tcPr>
            <w:tcW w:w="106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67" w:right="165"/>
              <w:jc w:val="center"/>
              <w:rPr>
                <w:rFonts w:ascii="宋体" w:hAnsi="宋体" w:cs="宋体" w:eastAsia="宋体" w:hint="default"/>
                <w:sz w:val="18"/>
                <w:szCs w:val="18"/>
              </w:rPr>
            </w:pPr>
            <w:r>
              <w:rPr>
                <w:rFonts w:ascii="宋体" w:hAnsi="宋体" w:cs="宋体" w:eastAsia="宋体" w:hint="default"/>
                <w:sz w:val="18"/>
                <w:szCs w:val="18"/>
              </w:rPr>
              <w:t>发行在外 的金融工 具</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624" w:hRule="exact"/>
        </w:trPr>
        <w:tc>
          <w:tcPr>
            <w:tcW w:w="1065" w:type="dxa"/>
            <w:vMerge/>
            <w:tcBorders>
              <w:left w:val="single" w:sz="4" w:space="0" w:color="000000"/>
              <w:bottom w:val="single" w:sz="4" w:space="0" w:color="000000"/>
              <w:right w:val="single" w:sz="4" w:space="0" w:color="000000"/>
            </w:tcBorders>
            <w:shd w:val="clear" w:color="auto" w:fill="D2D2D2"/>
          </w:tcPr>
          <w:p>
            <w:pP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6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49"/>
        <w:ind w:right="4634"/>
        <w:jc w:val="left"/>
      </w:pPr>
      <w:r>
        <w:rPr/>
        <w:t>其他权益工具本期增减变动情况、变动原因说明，以及相关会计处理的依据： 其他说明：</w:t>
      </w:r>
    </w:p>
    <w:p>
      <w:pPr>
        <w:spacing w:line="240" w:lineRule="auto" w:before="2"/>
        <w:rPr>
          <w:rFonts w:ascii="宋体" w:hAnsi="宋体" w:cs="宋体" w:eastAsia="宋体" w:hint="default"/>
          <w:sz w:val="20"/>
          <w:szCs w:val="20"/>
        </w:rPr>
      </w:pPr>
    </w:p>
    <w:p>
      <w:pPr>
        <w:pStyle w:val="Heading4"/>
        <w:spacing w:line="240" w:lineRule="auto"/>
        <w:ind w:right="986"/>
        <w:jc w:val="left"/>
        <w:rPr>
          <w:b w:val="0"/>
          <w:bCs w:val="0"/>
        </w:rPr>
      </w:pPr>
      <w:bookmarkStart w:name="56、资本公积" w:id="381"/>
      <w:bookmarkEnd w:id="381"/>
      <w:r>
        <w:rPr>
          <w:b w:val="0"/>
          <w:bCs w:val="0"/>
        </w:rPr>
      </w:r>
      <w:r>
        <w:rPr>
          <w:rFonts w:ascii="Times New Roman" w:hAnsi="Times New Roman" w:cs="Times New Roman" w:eastAsia="Times New Roman" w:hint="default"/>
        </w:rPr>
        <w:t>56</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4,291,551,859.54</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4,291,551,859.54</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21,763,764.96</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21,763,765.96</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4,313,315,624.50</w:t>
            </w: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4,313,315,623.50</w:t>
            </w:r>
          </w:p>
        </w:tc>
      </w:tr>
    </w:tbl>
    <w:p>
      <w:pPr>
        <w:pStyle w:val="BodyText"/>
        <w:spacing w:line="240" w:lineRule="auto" w:before="49"/>
        <w:ind w:right="986"/>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57、库存股" w:id="382"/>
      <w:bookmarkEnd w:id="382"/>
      <w:r>
        <w:rPr>
          <w:b w:val="0"/>
          <w:bCs w:val="0"/>
        </w:rPr>
      </w:r>
      <w:r>
        <w:rPr>
          <w:rFonts w:ascii="Times New Roman" w:hAnsi="Times New Roman" w:cs="Times New Roman" w:eastAsia="Times New Roman" w:hint="default"/>
        </w:rPr>
        <w:t>57</w:t>
      </w:r>
      <w:r>
        <w:rPr/>
        <w:t>、库存股</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0"/>
        <w:ind w:right="986"/>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58、其他综合收益" w:id="383"/>
      <w:bookmarkEnd w:id="383"/>
      <w:r>
        <w:rPr>
          <w:b w:val="0"/>
          <w:bCs w:val="0"/>
        </w:rPr>
      </w:r>
      <w:r>
        <w:rPr>
          <w:rFonts w:ascii="Times New Roman" w:hAnsi="Times New Roman" w:cs="Times New Roman" w:eastAsia="Times New Roman" w:hint="default"/>
        </w:rPr>
        <w:t>58</w:t>
      </w:r>
      <w:r>
        <w:rPr/>
        <w:t>、其他综合收益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245"/>
        <w:gridCol w:w="1274"/>
        <w:gridCol w:w="946"/>
        <w:gridCol w:w="1188"/>
        <w:gridCol w:w="1227"/>
        <w:gridCol w:w="852"/>
        <w:gridCol w:w="1054"/>
        <w:gridCol w:w="1056"/>
        <w:gridCol w:w="727"/>
      </w:tblGrid>
      <w:tr>
        <w:trPr>
          <w:trHeight w:val="402" w:hRule="exact"/>
        </w:trPr>
        <w:tc>
          <w:tcPr>
            <w:tcW w:w="12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2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316" w:lineRule="auto"/>
              <w:ind w:left="180" w:right="175"/>
              <w:jc w:val="left"/>
              <w:rPr>
                <w:rFonts w:ascii="宋体" w:hAnsi="宋体" w:cs="宋体" w:eastAsia="宋体" w:hint="default"/>
                <w:sz w:val="18"/>
                <w:szCs w:val="18"/>
              </w:rPr>
            </w:pPr>
            <w:r>
              <w:rPr>
                <w:rFonts w:ascii="宋体" w:hAnsi="宋体" w:cs="宋体" w:eastAsia="宋体" w:hint="default"/>
                <w:sz w:val="18"/>
                <w:szCs w:val="18"/>
              </w:rPr>
              <w:t>期末 余额</w:t>
            </w:r>
          </w:p>
        </w:tc>
      </w:tr>
      <w:tr>
        <w:trPr>
          <w:trHeight w:val="1026" w:hRule="exact"/>
        </w:trPr>
        <w:tc>
          <w:tcPr>
            <w:tcW w:w="1245"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4"/>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141" w:right="134"/>
              <w:jc w:val="both"/>
              <w:rPr>
                <w:rFonts w:ascii="宋体" w:hAnsi="宋体" w:cs="宋体" w:eastAsia="宋体" w:hint="default"/>
                <w:sz w:val="18"/>
                <w:szCs w:val="18"/>
              </w:rPr>
            </w:pPr>
            <w:r>
              <w:rPr>
                <w:rFonts w:ascii="宋体" w:hAnsi="宋体" w:cs="宋体" w:eastAsia="宋体" w:hint="default"/>
                <w:sz w:val="18"/>
                <w:szCs w:val="18"/>
              </w:rPr>
              <w:t>减：前期计 入其他综合 收益当期转</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8"/>
              <w:ind w:left="158" w:right="101" w:hanging="56"/>
              <w:jc w:val="both"/>
              <w:rPr>
                <w:rFonts w:ascii="宋体" w:hAnsi="宋体" w:cs="宋体" w:eastAsia="宋体" w:hint="default"/>
                <w:sz w:val="18"/>
                <w:szCs w:val="18"/>
              </w:rPr>
            </w:pPr>
            <w:r>
              <w:rPr>
                <w:rFonts w:ascii="宋体" w:hAnsi="宋体" w:cs="宋体" w:eastAsia="宋体" w:hint="default"/>
                <w:spacing w:val="-12"/>
                <w:sz w:val="18"/>
                <w:szCs w:val="18"/>
              </w:rPr>
              <w:t>减：前期计入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其他综合收 益当期转入</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51" w:right="98" w:hanging="48"/>
              <w:jc w:val="left"/>
              <w:rPr>
                <w:rFonts w:ascii="宋体" w:hAnsi="宋体" w:cs="宋体" w:eastAsia="宋体" w:hint="default"/>
                <w:sz w:val="18"/>
                <w:szCs w:val="18"/>
              </w:rPr>
            </w:pPr>
            <w:r>
              <w:rPr>
                <w:rFonts w:ascii="宋体" w:hAnsi="宋体" w:cs="宋体" w:eastAsia="宋体" w:hint="default"/>
                <w:spacing w:val="-21"/>
                <w:sz w:val="18"/>
                <w:szCs w:val="18"/>
              </w:rPr>
              <w:t>减：所得</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税费用</w:t>
            </w: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63" w:right="159"/>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65" w:right="158"/>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7"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245"/>
        <w:gridCol w:w="1274"/>
        <w:gridCol w:w="946"/>
        <w:gridCol w:w="1188"/>
        <w:gridCol w:w="1227"/>
        <w:gridCol w:w="852"/>
        <w:gridCol w:w="1054"/>
        <w:gridCol w:w="1056"/>
        <w:gridCol w:w="727"/>
      </w:tblGrid>
      <w:tr>
        <w:trPr>
          <w:trHeight w:val="363" w:hRule="exact"/>
        </w:trPr>
        <w:tc>
          <w:tcPr>
            <w:tcW w:w="124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z w:val="18"/>
                <w:szCs w:val="18"/>
              </w:rPr>
              <w:t>入损益</w:t>
            </w:r>
          </w:p>
        </w:tc>
        <w:tc>
          <w:tcPr>
            <w:tcW w:w="12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47" w:right="0"/>
              <w:jc w:val="left"/>
              <w:rPr>
                <w:rFonts w:ascii="宋体" w:hAnsi="宋体" w:cs="宋体" w:eastAsia="宋体" w:hint="default"/>
                <w:sz w:val="18"/>
                <w:szCs w:val="18"/>
              </w:rPr>
            </w:pPr>
            <w:r>
              <w:rPr>
                <w:rFonts w:ascii="宋体" w:hAnsi="宋体" w:cs="宋体" w:eastAsia="宋体" w:hint="default"/>
                <w:sz w:val="18"/>
                <w:szCs w:val="18"/>
              </w:rPr>
              <w:t>留存收益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27"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986"/>
        <w:jc w:val="left"/>
      </w:pPr>
      <w:r>
        <w:rPr/>
        <w:t>其他说明，包括对现金流量套期损益的有效部分转为被套期项目初始确认金额调整：</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59、专项储备" w:id="384"/>
      <w:bookmarkEnd w:id="384"/>
      <w:r>
        <w:rPr>
          <w:b w:val="0"/>
          <w:bCs w:val="0"/>
        </w:rPr>
      </w:r>
      <w:r>
        <w:rPr>
          <w:rFonts w:ascii="Times New Roman" w:hAnsi="Times New Roman" w:cs="Times New Roman" w:eastAsia="Times New Roman" w:hint="default"/>
        </w:rPr>
        <w:t>59</w:t>
      </w:r>
      <w:r>
        <w:rPr/>
        <w:t>、专项储备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240" w:lineRule="auto" w:before="50"/>
        <w:ind w:right="986"/>
        <w:jc w:val="left"/>
      </w:pPr>
      <w:r>
        <w:rPr/>
        <w:t>其他说明，包括本期增减变动情况、变动原因说明：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60、盈余公积" w:id="385"/>
      <w:bookmarkEnd w:id="385"/>
      <w:r>
        <w:rPr>
          <w:b w:val="0"/>
          <w:bCs w:val="0"/>
        </w:rPr>
      </w:r>
      <w:r>
        <w:rPr>
          <w:rFonts w:ascii="Times New Roman" w:hAnsi="Times New Roman" w:cs="Times New Roman" w:eastAsia="Times New Roman" w:hint="default"/>
        </w:rPr>
        <w:t>60</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37,390,480.30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16,447,046.77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53,837,527.07</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37,390,480.30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4"/>
              <w:jc w:val="right"/>
              <w:rPr>
                <w:rFonts w:ascii="Times New Roman" w:hAnsi="Times New Roman" w:cs="Times New Roman" w:eastAsia="Times New Roman" w:hint="default"/>
                <w:sz w:val="18"/>
                <w:szCs w:val="18"/>
              </w:rPr>
            </w:pPr>
            <w:r>
              <w:rPr>
                <w:rFonts w:ascii="Times New Roman"/>
                <w:spacing w:val="-1"/>
                <w:sz w:val="18"/>
              </w:rPr>
              <w:t>16,447,046.77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53,837,527.07</w:t>
            </w:r>
          </w:p>
        </w:tc>
      </w:tr>
    </w:tbl>
    <w:p>
      <w:pPr>
        <w:pStyle w:val="BodyText"/>
        <w:spacing w:line="240" w:lineRule="auto" w:before="49"/>
        <w:ind w:right="986"/>
        <w:jc w:val="left"/>
      </w:pPr>
      <w:r>
        <w:rPr/>
        <w:t>盈余公积说明，包括本期增减变动情况、变动原因说明：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61、未分配利润" w:id="386"/>
      <w:bookmarkEnd w:id="386"/>
      <w:r>
        <w:rPr>
          <w:b w:val="0"/>
          <w:bCs w:val="0"/>
        </w:rPr>
      </w:r>
      <w:r>
        <w:rPr>
          <w:rFonts w:ascii="Times New Roman" w:hAnsi="Times New Roman" w:cs="Times New Roman" w:eastAsia="Times New Roman" w:hint="default"/>
        </w:rPr>
        <w:t>61</w:t>
      </w:r>
      <w:r>
        <w:rPr/>
        <w:t>、未分配利润</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726"/>
        <w:gridCol w:w="2924"/>
        <w:gridCol w:w="2919"/>
      </w:tblGrid>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-2,040,463,444.63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518,309,784.10</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调整期初未分配利润合计数（调增</w:t>
            </w:r>
            <w:r>
              <w:rPr>
                <w:rFonts w:ascii="Times New Roman" w:hAnsi="Times New Roman" w:cs="Times New Roman" w:eastAsia="Times New Roman" w:hint="default"/>
                <w:sz w:val="18"/>
                <w:szCs w:val="18"/>
              </w:rPr>
              <w:t>+</w:t>
            </w: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-199,906,297.79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-2,240,369,742.42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518,309,784.10</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122,379,851.84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-2,549,568,558.92</w:t>
            </w: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16,447,046.77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提取一般风险准备</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1,000,000.00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63"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24"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9"/>
              <w:jc w:val="right"/>
              <w:rPr>
                <w:rFonts w:ascii="Times New Roman" w:hAnsi="Times New Roman" w:cs="Times New Roman" w:eastAsia="Times New Roman" w:hint="default"/>
                <w:sz w:val="18"/>
                <w:szCs w:val="18"/>
              </w:rPr>
            </w:pPr>
            <w:r>
              <w:rPr>
                <w:rFonts w:ascii="Times New Roman"/>
                <w:spacing w:val="-1"/>
                <w:sz w:val="18"/>
              </w:rPr>
              <w:t>209,110,967.60</w:t>
            </w:r>
          </w:p>
        </w:tc>
      </w:tr>
      <w:tr>
        <w:trPr>
          <w:trHeight w:val="403" w:hRule="exact"/>
        </w:trPr>
        <w:tc>
          <w:tcPr>
            <w:tcW w:w="3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-2,135,436,937.35</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-2,240,369,742.42</w:t>
            </w:r>
          </w:p>
        </w:tc>
      </w:tr>
    </w:tbl>
    <w:p>
      <w:pPr>
        <w:pStyle w:val="BodyText"/>
        <w:spacing w:line="240" w:lineRule="auto" w:before="49"/>
        <w:ind w:right="986"/>
        <w:jc w:val="left"/>
      </w:pPr>
      <w:r>
        <w:rPr/>
        <w:t>调整期初未分配利润明细：</w:t>
      </w:r>
    </w:p>
    <w:p>
      <w:pPr>
        <w:pStyle w:val="BodyText"/>
        <w:spacing w:line="240" w:lineRule="auto" w:before="115"/>
        <w:ind w:right="986"/>
        <w:jc w:val="left"/>
      </w:pPr>
      <w:r>
        <w:rPr>
          <w:rFonts w:ascii="Times New Roman" w:hAnsi="Times New Roman" w:cs="Times New Roman" w:eastAsia="Times New Roman" w:hint="default"/>
        </w:rPr>
        <w:t>1)</w:t>
      </w:r>
      <w:r>
        <w:rPr/>
        <w:t>、由于《企业会计准则》及其相关新规定进行追溯调整，影响期初未分配利润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86"/>
        <w:jc w:val="left"/>
      </w:pPr>
      <w:r>
        <w:rPr>
          <w:rFonts w:ascii="Times New Roman" w:hAnsi="Times New Roman" w:cs="Times New Roman" w:eastAsia="Times New Roman" w:hint="default"/>
        </w:rPr>
        <w:t>2)</w:t>
      </w:r>
      <w:r>
        <w:rPr/>
        <w:t>、由于会计政策变更，影响期初未分配利润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1"/>
        <w:ind w:right="986"/>
        <w:jc w:val="left"/>
      </w:pPr>
      <w:r>
        <w:rPr>
          <w:rFonts w:ascii="Times New Roman" w:hAnsi="Times New Roman" w:cs="Times New Roman" w:eastAsia="Times New Roman" w:hint="default"/>
        </w:rPr>
        <w:t>3)</w:t>
      </w:r>
      <w:r>
        <w:rPr/>
        <w:t>、由于重大会计差错更正，影响期初未分配利润</w:t>
      </w:r>
      <w:r>
        <w:rPr>
          <w:rFonts w:ascii="Times New Roman" w:hAnsi="Times New Roman" w:cs="Times New Roman" w:eastAsia="Times New Roman" w:hint="default"/>
        </w:rPr>
        <w:t>-199,906,297.79 </w:t>
      </w:r>
      <w:r>
        <w:rPr/>
        <w:t>元。</w:t>
      </w:r>
    </w:p>
    <w:p>
      <w:pPr>
        <w:pStyle w:val="BodyText"/>
        <w:spacing w:line="240" w:lineRule="auto" w:before="103"/>
        <w:ind w:right="986"/>
        <w:jc w:val="left"/>
      </w:pPr>
      <w:r>
        <w:rPr>
          <w:rFonts w:ascii="Times New Roman" w:hAnsi="Times New Roman" w:cs="Times New Roman" w:eastAsia="Times New Roman" w:hint="default"/>
        </w:rPr>
        <w:t>4)</w:t>
      </w:r>
      <w:r>
        <w:rPr/>
        <w:t>、由于同一控制导致的合并范围变更，影响期初未分配利润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986"/>
        <w:jc w:val="left"/>
      </w:pPr>
      <w:r>
        <w:rPr>
          <w:rFonts w:ascii="Times New Roman" w:hAnsi="Times New Roman" w:cs="Times New Roman" w:eastAsia="Times New Roman" w:hint="default"/>
        </w:rPr>
        <w:t>5)</w:t>
      </w:r>
      <w:r>
        <w:rPr/>
        <w:t>、其他调整合计影响期初未分配利润</w:t>
      </w:r>
      <w:r>
        <w:rPr>
          <w:spacing w:val="-44"/>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62、营业收入和营业成本" w:id="387"/>
      <w:bookmarkEnd w:id="387"/>
      <w:r>
        <w:rPr>
          <w:b w:val="0"/>
          <w:bCs w:val="0"/>
        </w:rPr>
      </w:r>
      <w:r>
        <w:rPr>
          <w:rFonts w:ascii="Times New Roman" w:hAnsi="Times New Roman" w:cs="Times New Roman" w:eastAsia="Times New Roman" w:hint="default"/>
        </w:rPr>
        <w:t>62</w:t>
      </w:r>
      <w:r>
        <w:rPr/>
        <w:t>、营业收入和营业成本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1,834,510,247.96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1,684,054,782.53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2,564,552,852.97</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2,376,299,567.28</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335,872.39</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663,374.09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4,780,103.86</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3"/>
              <w:jc w:val="right"/>
              <w:rPr>
                <w:rFonts w:ascii="Times New Roman" w:hAnsi="Times New Roman" w:cs="Times New Roman" w:eastAsia="Times New Roman" w:hint="default"/>
                <w:sz w:val="18"/>
                <w:szCs w:val="18"/>
              </w:rPr>
            </w:pPr>
            <w:r>
              <w:rPr>
                <w:rFonts w:ascii="Times New Roman"/>
                <w:spacing w:val="-1"/>
                <w:sz w:val="18"/>
              </w:rPr>
              <w:t>1,203,950.50</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2"/>
              <w:jc w:val="right"/>
              <w:rPr>
                <w:rFonts w:ascii="Times New Roman" w:hAnsi="Times New Roman" w:cs="Times New Roman" w:eastAsia="Times New Roman" w:hint="default"/>
                <w:sz w:val="18"/>
                <w:szCs w:val="18"/>
              </w:rPr>
            </w:pPr>
            <w:r>
              <w:rPr>
                <w:rFonts w:ascii="Times New Roman"/>
                <w:spacing w:val="-1"/>
                <w:sz w:val="18"/>
              </w:rPr>
              <w:t>1,834,846,120.35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4"/>
              <w:jc w:val="right"/>
              <w:rPr>
                <w:rFonts w:ascii="Times New Roman" w:hAnsi="Times New Roman" w:cs="Times New Roman" w:eastAsia="Times New Roman" w:hint="default"/>
                <w:sz w:val="18"/>
                <w:szCs w:val="18"/>
              </w:rPr>
            </w:pPr>
            <w:r>
              <w:rPr>
                <w:rFonts w:ascii="Times New Roman"/>
                <w:spacing w:val="-1"/>
                <w:sz w:val="18"/>
              </w:rPr>
              <w:t>1,684,718,156.62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2,569,332,956.83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3"/>
              <w:jc w:val="right"/>
              <w:rPr>
                <w:rFonts w:ascii="Times New Roman" w:hAnsi="Times New Roman" w:cs="Times New Roman" w:eastAsia="Times New Roman" w:hint="default"/>
                <w:sz w:val="18"/>
                <w:szCs w:val="18"/>
              </w:rPr>
            </w:pPr>
            <w:r>
              <w:rPr>
                <w:rFonts w:ascii="Times New Roman"/>
                <w:spacing w:val="-1"/>
                <w:sz w:val="18"/>
              </w:rPr>
              <w:t>2,377,503,517.78</w:t>
            </w:r>
          </w:p>
        </w:tc>
      </w:tr>
    </w:tbl>
    <w:p>
      <w:pPr>
        <w:pStyle w:val="BodyText"/>
        <w:spacing w:line="240" w:lineRule="auto" w:before="49"/>
        <w:ind w:right="986"/>
        <w:jc w:val="left"/>
      </w:pPr>
      <w:r>
        <w:rPr/>
        <w:t>是否已执行新收入准则</w:t>
      </w:r>
    </w:p>
    <w:p>
      <w:pPr>
        <w:pStyle w:val="BodyText"/>
        <w:spacing w:line="360" w:lineRule="auto" w:before="115"/>
        <w:ind w:right="9134"/>
        <w:jc w:val="left"/>
      </w:pPr>
      <w:r>
        <w:rPr/>
        <w:t>□ 是 √</w:t>
      </w:r>
      <w:r>
        <w:rPr>
          <w:spacing w:val="3"/>
        </w:rPr>
        <w:t> </w:t>
      </w:r>
      <w:r>
        <w:rPr/>
        <w:t>否</w:t>
      </w:r>
      <w:r>
        <w:rPr/>
        <w:t> 其他说明</w:t>
      </w:r>
    </w:p>
    <w:p>
      <w:pPr>
        <w:spacing w:line="240" w:lineRule="auto" w:before="2"/>
        <w:rPr>
          <w:rFonts w:ascii="宋体" w:hAnsi="宋体" w:cs="宋体" w:eastAsia="宋体" w:hint="default"/>
          <w:sz w:val="20"/>
          <w:szCs w:val="20"/>
        </w:rPr>
      </w:pPr>
    </w:p>
    <w:p>
      <w:pPr>
        <w:pStyle w:val="Heading4"/>
        <w:spacing w:line="240" w:lineRule="auto"/>
        <w:ind w:right="986"/>
        <w:jc w:val="left"/>
        <w:rPr>
          <w:b w:val="0"/>
          <w:bCs w:val="0"/>
        </w:rPr>
      </w:pPr>
      <w:bookmarkStart w:name="63、税金及附加" w:id="388"/>
      <w:bookmarkEnd w:id="388"/>
      <w:r>
        <w:rPr>
          <w:b w:val="0"/>
          <w:bCs w:val="0"/>
        </w:rPr>
      </w:r>
      <w:r>
        <w:rPr>
          <w:rFonts w:ascii="Times New Roman" w:hAnsi="Times New Roman" w:cs="Times New Roman" w:eastAsia="Times New Roman" w:hint="default"/>
        </w:rPr>
        <w:t>63</w:t>
      </w:r>
      <w:r>
        <w:rPr/>
        <w:t>、税金及附加</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1,102,538.70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1,828,724.29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696,058.57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1,315,230.30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32,888.50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34,628.56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846.72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4,653.72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w w:val="95"/>
                <w:sz w:val="18"/>
              </w:rPr>
              <w:t>3,180.00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7,440.00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1,320,838.59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1,842,020.66</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2,593,237.10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5,888,325.60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地方水利建设基金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25,191.46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3,226.91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5,774,779.64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10,924,250.04</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64、销售费用" w:id="389"/>
      <w:bookmarkEnd w:id="389"/>
      <w:r>
        <w:rPr>
          <w:b w:val="0"/>
          <w:bCs w:val="0"/>
        </w:rPr>
      </w:r>
      <w:r>
        <w:rPr>
          <w:rFonts w:ascii="Times New Roman" w:hAnsi="Times New Roman" w:cs="Times New Roman" w:eastAsia="Times New Roman" w:hint="default"/>
        </w:rPr>
        <w:t>64</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11,588,143.30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16,935,942.29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办公费及差旅交通费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2,140,483.51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3,490,691.70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租赁及物业水电费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679,811.04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1,801,696.89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堆存费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2,124,534.81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1,124,076.87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272,045.76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457,236.52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150,470.45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448,152.22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营销推广费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187,875.47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230,717.32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咨询服务费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379,532.20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226,771.50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1,208,489.11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17,749,668.04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25,697,002.92</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65、管理费用" w:id="390"/>
      <w:bookmarkEnd w:id="390"/>
      <w:r>
        <w:rPr>
          <w:b w:val="0"/>
          <w:bCs w:val="0"/>
        </w:rPr>
      </w:r>
      <w:r>
        <w:rPr>
          <w:rFonts w:ascii="Times New Roman" w:hAnsi="Times New Roman" w:cs="Times New Roman" w:eastAsia="Times New Roman" w:hint="default"/>
        </w:rPr>
        <w:t>65</w:t>
      </w:r>
      <w:r>
        <w:rPr/>
        <w:t>、管理费用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24,806,404.67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27,090,420.83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租赁及物业水电费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8,284,941.34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11,261,868.35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12,896,644.50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10,662,352.99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2,211,555.59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4,350,575.84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1,061,630.28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4,298,082.30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差旅及交通费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3,952,453.47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4,403,856.91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412,707.45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396,864.87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945,267.20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993,152.43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54,571,604.50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63,457,174.52</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66、研发费用" w:id="391"/>
      <w:bookmarkEnd w:id="391"/>
      <w:r>
        <w:rPr>
          <w:b w:val="0"/>
          <w:bCs w:val="0"/>
        </w:rPr>
      </w:r>
      <w:r>
        <w:rPr>
          <w:rFonts w:ascii="Times New Roman" w:hAnsi="Times New Roman" w:cs="Times New Roman" w:eastAsia="Times New Roman" w:hint="default"/>
        </w:rPr>
        <w:t>66</w:t>
      </w:r>
      <w:r>
        <w:rPr/>
        <w:t>、研发费用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委托开发费用</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3,188,513.10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1,183,731.19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3,147,184.69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租赁及水电费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76,092.67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942,129.56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折旧与摊销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278,417.46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345,567.30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347,087.38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74,318.13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差旅及交通费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6,127.00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19,073.15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专利申请费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3,444.55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3,240.00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1,994,900.25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7,720,025.93</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67、财务费用" w:id="392"/>
      <w:bookmarkEnd w:id="392"/>
      <w:r>
        <w:rPr>
          <w:b w:val="0"/>
          <w:bCs w:val="0"/>
        </w:rPr>
      </w:r>
      <w:r>
        <w:rPr>
          <w:rFonts w:ascii="Times New Roman" w:hAnsi="Times New Roman" w:cs="Times New Roman" w:eastAsia="Times New Roman" w:hint="default"/>
        </w:rPr>
        <w:t>67</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1,176,345.35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825,705.99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27,797,201.37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51,679,625.64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汇兑损失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163.25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减：汇兑收益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现金折扣</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138,052.71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138,787.02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-26,482,640.06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-50,715,132.63</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68、其他收益" w:id="393"/>
      <w:bookmarkEnd w:id="393"/>
      <w:r>
        <w:rPr>
          <w:b w:val="0"/>
          <w:bCs w:val="0"/>
        </w:rPr>
      </w:r>
      <w:r>
        <w:rPr>
          <w:rFonts w:ascii="Times New Roman" w:hAnsi="Times New Roman" w:cs="Times New Roman" w:eastAsia="Times New Roman" w:hint="default"/>
        </w:rPr>
        <w:t>68</w:t>
      </w:r>
      <w:r>
        <w:rPr/>
        <w:t>、其他收益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1,582,098.64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311,800.00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329,137.79</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69、投资收益" w:id="394"/>
      <w:bookmarkEnd w:id="394"/>
      <w:r>
        <w:rPr>
          <w:b w:val="0"/>
          <w:bCs w:val="0"/>
        </w:rPr>
      </w:r>
      <w:r>
        <w:rPr>
          <w:rFonts w:ascii="Times New Roman" w:hAnsi="Times New Roman" w:cs="Times New Roman" w:eastAsia="Times New Roman" w:hint="default"/>
        </w:rPr>
        <w:t>69</w:t>
      </w:r>
      <w:r>
        <w:rPr/>
        <w:t>、投资收益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462"/>
        <w:gridCol w:w="3190"/>
        <w:gridCol w:w="2919"/>
      </w:tblGrid>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37,721,005.09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69,714.47</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-59,680.00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2,918,333.00</w:t>
            </w:r>
          </w:p>
        </w:tc>
      </w:tr>
      <w:tr>
        <w:trPr>
          <w:trHeight w:val="401" w:hRule="exact"/>
        </w:trPr>
        <w:tc>
          <w:tcPr>
            <w:tcW w:w="3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1,987,427.84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10,786,592.13</w:t>
            </w:r>
          </w:p>
        </w:tc>
      </w:tr>
      <w:tr>
        <w:trPr>
          <w:trHeight w:val="403" w:hRule="exact"/>
        </w:trPr>
        <w:tc>
          <w:tcPr>
            <w:tcW w:w="3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39,648,752.93</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13,774,639.60</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70、净敞口套期收益" w:id="395"/>
      <w:bookmarkEnd w:id="395"/>
      <w:r>
        <w:rPr>
          <w:b w:val="0"/>
          <w:bCs w:val="0"/>
        </w:rPr>
      </w:r>
      <w:r>
        <w:rPr>
          <w:rFonts w:ascii="Times New Roman" w:hAnsi="Times New Roman" w:cs="Times New Roman" w:eastAsia="Times New Roman" w:hint="default"/>
        </w:rPr>
        <w:t>70</w:t>
      </w:r>
      <w:r>
        <w:rPr/>
        <w:t>、净敞口套期收益</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0"/>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71、公允价值变动收益" w:id="396"/>
      <w:bookmarkEnd w:id="396"/>
      <w:r>
        <w:rPr>
          <w:b w:val="0"/>
          <w:bCs w:val="0"/>
        </w:rPr>
      </w:r>
      <w:r>
        <w:rPr>
          <w:rFonts w:ascii="Times New Roman" w:hAnsi="Times New Roman" w:cs="Times New Roman" w:eastAsia="Times New Roman" w:hint="default"/>
        </w:rPr>
        <w:t>71</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240" w:lineRule="auto"/>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72、信用减值损失" w:id="397"/>
      <w:bookmarkEnd w:id="397"/>
      <w:r>
        <w:rPr>
          <w:b w:val="0"/>
          <w:bCs w:val="0"/>
        </w:rPr>
      </w:r>
      <w:r>
        <w:rPr>
          <w:rFonts w:ascii="Times New Roman" w:hAnsi="Times New Roman" w:cs="Times New Roman" w:eastAsia="Times New Roman" w:hint="default"/>
        </w:rPr>
        <w:t>72</w:t>
      </w:r>
      <w:r>
        <w:rPr/>
        <w:t>、信用减值损失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2,232,065.05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债权投资减值损失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-4,181,908.33</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应收账款信用减值损失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-35,145,652.46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其他非流动金融资产减值损失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-40,095,495.74</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73、资产减值损失" w:id="398"/>
      <w:bookmarkEnd w:id="398"/>
      <w:r>
        <w:rPr>
          <w:b w:val="0"/>
          <w:bCs w:val="0"/>
        </w:rPr>
      </w:r>
      <w:r>
        <w:rPr>
          <w:rFonts w:ascii="Times New Roman" w:hAnsi="Times New Roman" w:cs="Times New Roman" w:eastAsia="Times New Roman" w:hint="default"/>
        </w:rPr>
        <w:t>73</w:t>
      </w:r>
      <w:r>
        <w:rPr/>
        <w:t>、资产减值损失</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240" w:lineRule="auto"/>
        <w:ind w:right="-20"/>
        <w:jc w:val="left"/>
      </w:pPr>
      <w:r>
        <w:rPr/>
        <w:t>是否已执行新收入准则</w:t>
      </w:r>
    </w:p>
    <w:p>
      <w:pPr>
        <w:pStyle w:val="BodyText"/>
        <w:spacing w:line="240" w:lineRule="auto" w:before="115"/>
        <w:ind w:right="-20"/>
        <w:jc w:val="left"/>
      </w:pPr>
      <w:r>
        <w:rPr/>
        <w:t>□ 是 √</w:t>
      </w:r>
      <w:r>
        <w:rPr>
          <w:spacing w:val="3"/>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1913" w:space="6916"/>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-345,292,203.18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-636.31</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-17,024,188.03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-51,267,187.71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-2,284,288,771.74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-636.31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-2,697,872,350.66</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74、资产处置收益" w:id="399"/>
      <w:bookmarkEnd w:id="399"/>
      <w:r>
        <w:rPr>
          <w:b w:val="0"/>
          <w:bCs w:val="0"/>
        </w:rPr>
      </w:r>
      <w:r>
        <w:rPr>
          <w:rFonts w:ascii="Times New Roman" w:hAnsi="Times New Roman" w:cs="Times New Roman" w:eastAsia="Times New Roman" w:hint="default"/>
        </w:rPr>
        <w:t>74</w:t>
      </w:r>
      <w:r>
        <w:rPr/>
        <w:t>、资产处置收益</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0"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195"/>
              <w:jc w:val="left"/>
              <w:rPr>
                <w:rFonts w:ascii="宋体" w:hAnsi="宋体" w:cs="宋体" w:eastAsia="宋体" w:hint="default"/>
                <w:sz w:val="18"/>
                <w:szCs w:val="18"/>
              </w:rPr>
            </w:pPr>
            <w:r>
              <w:rPr>
                <w:rFonts w:ascii="宋体" w:hAnsi="宋体" w:cs="宋体" w:eastAsia="宋体" w:hint="default"/>
                <w:sz w:val="18"/>
                <w:szCs w:val="18"/>
              </w:rPr>
              <w:t>处置未划分为持有待售的非流动资产 时确认的收益</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固定资产处置收益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69,351.46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-225.52</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75、营业外收入" w:id="400"/>
      <w:bookmarkEnd w:id="400"/>
      <w:r>
        <w:rPr>
          <w:b w:val="0"/>
          <w:bCs w:val="0"/>
        </w:rPr>
      </w:r>
      <w:r>
        <w:rPr>
          <w:rFonts w:ascii="Times New Roman" w:hAnsi="Times New Roman" w:cs="Times New Roman" w:eastAsia="Times New Roman" w:hint="default"/>
        </w:rPr>
        <w:t>75</w:t>
      </w:r>
      <w:r>
        <w:rPr/>
        <w:t>、营业外收入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87"/>
        <w:gridCol w:w="2396"/>
        <w:gridCol w:w="2002"/>
        <w:gridCol w:w="2785"/>
      </w:tblGrid>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7"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18"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bl>
    <w:p>
      <w:pPr>
        <w:spacing w:after="0" w:line="240"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002"/>
        <w:gridCol w:w="2785"/>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2,000.00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146,289.37</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2,000.00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罚没及违约金收入</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w w:val="95"/>
                <w:sz w:val="18"/>
              </w:rPr>
              <w:t>46,370.11</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1,261,816.34</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w w:val="95"/>
                <w:sz w:val="18"/>
              </w:rPr>
              <w:t>46,370.11</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无法支付的应付款</w:t>
            </w:r>
          </w:p>
        </w:tc>
        <w:tc>
          <w:tcPr>
            <w:tcW w:w="2396" w:type="dxa"/>
            <w:tcBorders>
              <w:top w:val="single" w:sz="4" w:space="0" w:color="000000"/>
              <w:left w:val="single" w:sz="4" w:space="0" w:color="000000"/>
              <w:bottom w:val="single" w:sz="4" w:space="0" w:color="000000"/>
              <w:right w:val="single" w:sz="4" w:space="0" w:color="000000"/>
            </w:tcBorders>
          </w:tcPr>
          <w:p>
            <w:pP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2,048.90</w:t>
            </w:r>
          </w:p>
        </w:tc>
        <w:tc>
          <w:tcPr>
            <w:tcW w:w="27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84,303.40</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w w:val="95"/>
                <w:sz w:val="18"/>
              </w:rPr>
              <w:t>8,126.10</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84,303.40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子公司原股东补偿款</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50,712,821.43</w:t>
            </w:r>
          </w:p>
        </w:tc>
        <w:tc>
          <w:tcPr>
            <w:tcW w:w="2002" w:type="dxa"/>
            <w:tcBorders>
              <w:top w:val="single" w:sz="4" w:space="0" w:color="000000"/>
              <w:left w:val="single" w:sz="4" w:space="0" w:color="000000"/>
              <w:bottom w:val="single" w:sz="4" w:space="0" w:color="000000"/>
              <w:right w:val="single" w:sz="4" w:space="0" w:color="000000"/>
            </w:tcBorders>
          </w:tcPr>
          <w:p>
            <w:pP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50,712,821.43</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50,845,494.94</w:t>
            </w:r>
          </w:p>
        </w:tc>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1,418,280.71</w:t>
            </w:r>
          </w:p>
        </w:tc>
        <w:tc>
          <w:tcPr>
            <w:tcW w:w="2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50,845,494.94</w:t>
            </w:r>
          </w:p>
        </w:tc>
      </w:tr>
    </w:tbl>
    <w:p>
      <w:pPr>
        <w:pStyle w:val="BodyText"/>
        <w:spacing w:line="240" w:lineRule="auto" w:before="49"/>
        <w:ind w:right="986"/>
        <w:jc w:val="left"/>
      </w:pPr>
      <w:r>
        <w:rPr/>
        <w:t>计入当期损益的政府补助：</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66"/>
        <w:gridCol w:w="1063"/>
        <w:gridCol w:w="1064"/>
        <w:gridCol w:w="1063"/>
        <w:gridCol w:w="1061"/>
        <w:gridCol w:w="1063"/>
        <w:gridCol w:w="1063"/>
        <w:gridCol w:w="1064"/>
        <w:gridCol w:w="1063"/>
      </w:tblGrid>
      <w:tr>
        <w:trPr>
          <w:trHeight w:val="1028" w:hRule="exact"/>
        </w:trPr>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8"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65" w:right="165"/>
              <w:jc w:val="center"/>
              <w:rPr>
                <w:rFonts w:ascii="宋体" w:hAnsi="宋体" w:cs="宋体" w:eastAsia="宋体" w:hint="default"/>
                <w:sz w:val="18"/>
                <w:szCs w:val="18"/>
              </w:rPr>
            </w:pPr>
            <w:r>
              <w:rPr>
                <w:rFonts w:ascii="宋体" w:hAnsi="宋体" w:cs="宋体" w:eastAsia="宋体" w:hint="default"/>
                <w:sz w:val="18"/>
                <w:szCs w:val="18"/>
              </w:rPr>
              <w:t>补贴是否 影响当年 盈亏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7" w:right="163" w:hanging="180"/>
              <w:jc w:val="left"/>
              <w:rPr>
                <w:rFonts w:ascii="宋体" w:hAnsi="宋体" w:cs="宋体" w:eastAsia="宋体" w:hint="default"/>
                <w:sz w:val="18"/>
                <w:szCs w:val="18"/>
              </w:rPr>
            </w:pPr>
            <w:r>
              <w:rPr>
                <w:rFonts w:ascii="宋体" w:hAnsi="宋体" w:cs="宋体" w:eastAsia="宋体" w:hint="default"/>
                <w:sz w:val="18"/>
                <w:szCs w:val="18"/>
              </w:rPr>
              <w:t>是否特殊 补贴</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7" w:right="163" w:hanging="180"/>
              <w:jc w:val="left"/>
              <w:rPr>
                <w:rFonts w:ascii="宋体" w:hAnsi="宋体" w:cs="宋体" w:eastAsia="宋体" w:hint="default"/>
                <w:sz w:val="18"/>
                <w:szCs w:val="18"/>
              </w:rPr>
            </w:pPr>
            <w:r>
              <w:rPr>
                <w:rFonts w:ascii="宋体" w:hAnsi="宋体" w:cs="宋体" w:eastAsia="宋体" w:hint="default"/>
                <w:sz w:val="18"/>
                <w:szCs w:val="18"/>
              </w:rPr>
              <w:t>本期发生 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48" w:right="164" w:hanging="181"/>
              <w:jc w:val="left"/>
              <w:rPr>
                <w:rFonts w:ascii="宋体" w:hAnsi="宋体" w:cs="宋体" w:eastAsia="宋体" w:hint="default"/>
                <w:sz w:val="18"/>
                <w:szCs w:val="18"/>
              </w:rPr>
            </w:pPr>
            <w:r>
              <w:rPr>
                <w:rFonts w:ascii="宋体" w:hAnsi="宋体" w:cs="宋体" w:eastAsia="宋体" w:hint="default"/>
                <w:sz w:val="18"/>
                <w:szCs w:val="18"/>
              </w:rPr>
              <w:t>上期发生 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43" w:right="137" w:hanging="3"/>
              <w:jc w:val="center"/>
              <w:rPr>
                <w:rFonts w:ascii="宋体" w:hAnsi="宋体" w:cs="宋体" w:eastAsia="宋体" w:hint="default"/>
                <w:sz w:val="18"/>
                <w:szCs w:val="18"/>
              </w:rPr>
            </w:pPr>
            <w:r>
              <w:rPr>
                <w:rFonts w:ascii="宋体" w:hAnsi="宋体" w:cs="宋体" w:eastAsia="宋体" w:hint="default"/>
                <w:sz w:val="18"/>
                <w:szCs w:val="18"/>
              </w:rPr>
              <w:t>与资产相 关</w:t>
            </w:r>
            <w:r>
              <w:rPr>
                <w:rFonts w:ascii="Times New Roman" w:hAnsi="Times New Roman" w:cs="Times New Roman" w:eastAsia="Times New Roman" w:hint="default"/>
                <w:sz w:val="18"/>
                <w:szCs w:val="18"/>
              </w:rPr>
              <w:t>/</w:t>
            </w:r>
            <w:r>
              <w:rPr>
                <w:rFonts w:ascii="宋体" w:hAnsi="宋体" w:cs="宋体" w:eastAsia="宋体" w:hint="default"/>
                <w:sz w:val="18"/>
                <w:szCs w:val="18"/>
              </w:rPr>
              <w:t>与收益 相关</w:t>
            </w:r>
          </w:p>
        </w:tc>
      </w:tr>
      <w:tr>
        <w:trPr>
          <w:trHeight w:val="2273"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231"/>
              <w:jc w:val="both"/>
              <w:rPr>
                <w:rFonts w:ascii="宋体" w:hAnsi="宋体" w:cs="宋体" w:eastAsia="宋体" w:hint="default"/>
                <w:sz w:val="18"/>
                <w:szCs w:val="18"/>
              </w:rPr>
            </w:pPr>
            <w:r>
              <w:rPr>
                <w:rFonts w:ascii="宋体" w:hAnsi="宋体" w:cs="宋体" w:eastAsia="宋体" w:hint="default"/>
                <w:sz w:val="18"/>
                <w:szCs w:val="18"/>
              </w:rPr>
              <w:t>地方政府 为招商引 资给园区 企业的优 惠政策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103" w:right="228"/>
              <w:jc w:val="left"/>
              <w:rPr>
                <w:rFonts w:ascii="宋体" w:hAnsi="宋体" w:cs="宋体" w:eastAsia="宋体" w:hint="default"/>
                <w:sz w:val="18"/>
                <w:szCs w:val="18"/>
              </w:rPr>
            </w:pPr>
            <w:r>
              <w:rPr>
                <w:rFonts w:ascii="宋体" w:hAnsi="宋体" w:cs="宋体" w:eastAsia="宋体" w:hint="default"/>
                <w:sz w:val="18"/>
                <w:szCs w:val="18"/>
              </w:rPr>
              <w:t>江西金凤 凰产业园</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146,289.37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2"/>
              <w:ind w:left="105"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r>
        <w:trPr>
          <w:trHeight w:val="2276" w:hRule="exact"/>
        </w:trPr>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北山</w:t>
            </w:r>
            <w:r>
              <w:rPr>
                <w:rFonts w:ascii="Times New Roman" w:hAnsi="Times New Roman" w:cs="Times New Roman" w:eastAsia="Times New Roman" w:hint="default"/>
                <w:sz w:val="18"/>
                <w:szCs w:val="18"/>
              </w:rPr>
              <w:t>-2018</w:t>
            </w:r>
          </w:p>
          <w:p>
            <w:pPr>
              <w:pStyle w:val="TableParagraph"/>
              <w:spacing w:line="316" w:lineRule="auto" w:before="63"/>
              <w:ind w:left="103" w:right="231"/>
              <w:jc w:val="both"/>
              <w:rPr>
                <w:rFonts w:ascii="宋体" w:hAnsi="宋体" w:cs="宋体" w:eastAsia="宋体" w:hint="default"/>
                <w:sz w:val="18"/>
                <w:szCs w:val="18"/>
              </w:rPr>
            </w:pPr>
            <w:r>
              <w:rPr>
                <w:rFonts w:ascii="宋体" w:hAnsi="宋体" w:cs="宋体" w:eastAsia="宋体" w:hint="default"/>
                <w:sz w:val="18"/>
                <w:szCs w:val="18"/>
              </w:rPr>
              <w:t>年度经济 贡献先进 集体奖励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103" w:right="228"/>
              <w:jc w:val="both"/>
              <w:rPr>
                <w:rFonts w:ascii="宋体" w:hAnsi="宋体" w:cs="宋体" w:eastAsia="宋体" w:hint="default"/>
                <w:sz w:val="18"/>
                <w:szCs w:val="18"/>
              </w:rPr>
            </w:pPr>
            <w:r>
              <w:rPr>
                <w:rFonts w:ascii="宋体" w:hAnsi="宋体" w:cs="宋体" w:eastAsia="宋体" w:hint="default"/>
                <w:sz w:val="18"/>
                <w:szCs w:val="18"/>
              </w:rPr>
              <w:t>杭州北山 街道办事 处</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8"/>
              <w:jc w:val="both"/>
              <w:rPr>
                <w:rFonts w:ascii="宋体" w:hAnsi="宋体" w:cs="宋体" w:eastAsia="宋体" w:hint="default"/>
                <w:sz w:val="18"/>
                <w:szCs w:val="18"/>
              </w:rPr>
            </w:pPr>
            <w:r>
              <w:rPr>
                <w:rFonts w:ascii="宋体" w:hAnsi="宋体" w:cs="宋体" w:eastAsia="宋体" w:hint="default"/>
                <w:sz w:val="18"/>
                <w:szCs w:val="18"/>
              </w:rPr>
              <w:t>因符合地 方政府招 商引资等 地方性扶 持政策而 获得的补 助</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321" w:right="0"/>
              <w:jc w:val="left"/>
              <w:rPr>
                <w:rFonts w:ascii="Times New Roman" w:hAnsi="Times New Roman" w:cs="Times New Roman" w:eastAsia="Times New Roman" w:hint="default"/>
                <w:sz w:val="18"/>
                <w:szCs w:val="18"/>
              </w:rPr>
            </w:pPr>
            <w:r>
              <w:rPr>
                <w:rFonts w:ascii="Times New Roman"/>
                <w:sz w:val="18"/>
              </w:rPr>
              <w:t>2,000.00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2"/>
              <w:ind w:left="105" w:right="227"/>
              <w:jc w:val="left"/>
              <w:rPr>
                <w:rFonts w:ascii="宋体" w:hAnsi="宋体" w:cs="宋体" w:eastAsia="宋体" w:hint="default"/>
                <w:sz w:val="18"/>
                <w:szCs w:val="18"/>
              </w:rPr>
            </w:pPr>
            <w:r>
              <w:rPr>
                <w:rFonts w:ascii="宋体" w:hAnsi="宋体" w:cs="宋体" w:eastAsia="宋体" w:hint="default"/>
                <w:sz w:val="18"/>
                <w:szCs w:val="18"/>
              </w:rPr>
              <w:t>与收益相 关</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76、营业外支出" w:id="401"/>
      <w:bookmarkEnd w:id="401"/>
      <w:r>
        <w:rPr>
          <w:b w:val="0"/>
          <w:bCs w:val="0"/>
        </w:rPr>
      </w:r>
      <w:r>
        <w:rPr>
          <w:rFonts w:ascii="Times New Roman" w:hAnsi="Times New Roman" w:cs="Times New Roman" w:eastAsia="Times New Roman" w:hint="default"/>
        </w:rPr>
        <w:t>76</w:t>
      </w:r>
      <w:r>
        <w:rPr/>
        <w:t>、营业外支出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206"/>
        <w:gridCol w:w="2581"/>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5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1"/>
              <w:jc w:val="righ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4"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资产报废、毁损损失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73,190.74</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2,375,535.60</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73,190.74</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盘亏损失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58,753.33</w:t>
            </w:r>
          </w:p>
        </w:tc>
        <w:tc>
          <w:tcPr>
            <w:tcW w:w="258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罚款支出</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601,450.00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w w:val="95"/>
                <w:sz w:val="18"/>
              </w:rPr>
              <w:t>4,000.00</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601,450.00</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赔偿金、违约金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1,083,041.10</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1,774,759.74</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1,083,041.10</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税收滞纳金</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856.48</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55,789.69</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856.48</w:t>
            </w:r>
          </w:p>
        </w:tc>
      </w:tr>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1,758,538.32</w:t>
            </w:r>
          </w:p>
        </w:tc>
        <w:tc>
          <w:tcPr>
            <w:tcW w:w="2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4,268,838.36</w:t>
            </w:r>
          </w:p>
        </w:tc>
        <w:tc>
          <w:tcPr>
            <w:tcW w:w="25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1,758,538.32</w:t>
            </w:r>
          </w:p>
        </w:tc>
      </w:tr>
    </w:tbl>
    <w:p>
      <w:pPr>
        <w:pStyle w:val="BodyText"/>
        <w:spacing w:line="240" w:lineRule="auto" w:before="49"/>
        <w:ind w:right="986"/>
        <w:jc w:val="left"/>
      </w:pPr>
      <w:r>
        <w:rPr/>
        <w:t>其他说明：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77、所得税费用" w:id="402"/>
      <w:bookmarkEnd w:id="402"/>
      <w:r>
        <w:rPr>
          <w:b w:val="0"/>
          <w:bCs w:val="0"/>
        </w:rPr>
      </w:r>
      <w:r>
        <w:rPr>
          <w:rFonts w:ascii="Times New Roman" w:hAnsi="Times New Roman" w:cs="Times New Roman" w:eastAsia="Times New Roman" w:hint="default"/>
        </w:rPr>
        <w:t>77</w:t>
      </w:r>
      <w:r>
        <w:rPr/>
        <w:t>、所得税费用</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所得税费用表" w:id="403"/>
      <w:bookmarkEnd w:id="403"/>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23,232,248.42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22,447,063.00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266,048.42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23,232,248.42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2"/>
                <w:sz w:val="18"/>
              </w:rPr>
              <w:t>22,713,111.42</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会计利润与所得税费用调整过程" w:id="404"/>
      <w:bookmarkEnd w:id="404"/>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79"/>
        <w:gridCol w:w="4791"/>
      </w:tblGrid>
      <w:tr>
        <w:trPr>
          <w:trHeight w:val="398"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6"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147,139,816.75</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36,784,954.19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1,216,157.17</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-380,556,196.29</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-14,730,418.74</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63,723.50</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-210,270.37</w:t>
            </w:r>
          </w:p>
        </w:tc>
      </w:tr>
      <w:tr>
        <w:trPr>
          <w:trHeight w:val="715"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64"/>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 亏损的影响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380,500,221.32</w:t>
            </w:r>
          </w:p>
        </w:tc>
      </w:tr>
      <w:tr>
        <w:trPr>
          <w:trHeight w:val="40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研发费加计扣除的影响</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164,077.64</w:t>
            </w:r>
          </w:p>
        </w:tc>
      </w:tr>
      <w:tr>
        <w:trPr>
          <w:trHeight w:val="403"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23,232,248.42</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spacing w:line="547" w:lineRule="auto" w:before="118"/>
        <w:ind w:left="112" w:right="8857" w:firstLine="0"/>
        <w:jc w:val="left"/>
        <w:rPr>
          <w:rFonts w:ascii="宋体" w:hAnsi="宋体" w:cs="宋体" w:eastAsia="宋体" w:hint="default"/>
          <w:sz w:val="21"/>
          <w:szCs w:val="21"/>
        </w:rPr>
      </w:pPr>
      <w:bookmarkStart w:name="78、其他综合收益" w:id="405"/>
      <w:bookmarkEnd w:id="405"/>
      <w:r>
        <w:rPr/>
      </w:r>
      <w:r>
        <w:rPr>
          <w:rFonts w:ascii="Times New Roman" w:hAnsi="Times New Roman" w:cs="Times New Roman" w:eastAsia="Times New Roman" w:hint="default"/>
          <w:b/>
          <w:bCs/>
          <w:sz w:val="21"/>
          <w:szCs w:val="21"/>
        </w:rPr>
        <w:t>78</w:t>
      </w:r>
      <w:r>
        <w:rPr>
          <w:rFonts w:ascii="宋体" w:hAnsi="宋体" w:cs="宋体" w:eastAsia="宋体" w:hint="default"/>
          <w:b/>
          <w:bCs/>
          <w:sz w:val="21"/>
          <w:szCs w:val="21"/>
        </w:rPr>
        <w:t>、其他综合收益</w:t>
      </w:r>
      <w:r>
        <w:rPr>
          <w:rFonts w:ascii="宋体" w:hAnsi="宋体" w:cs="宋体" w:eastAsia="宋体" w:hint="default"/>
          <w:b/>
          <w:bCs/>
          <w:w w:val="100"/>
          <w:sz w:val="21"/>
          <w:szCs w:val="21"/>
        </w:rPr>
        <w:t> </w:t>
      </w:r>
      <w:r>
        <w:rPr>
          <w:rFonts w:ascii="宋体" w:hAnsi="宋体" w:cs="宋体" w:eastAsia="宋体" w:hint="default"/>
          <w:spacing w:val="-19"/>
          <w:sz w:val="18"/>
          <w:szCs w:val="18"/>
        </w:rPr>
        <w:t>详见附注七（</w:t>
      </w:r>
      <w:r>
        <w:rPr>
          <w:rFonts w:ascii="Times New Roman" w:hAnsi="Times New Roman" w:cs="Times New Roman" w:eastAsia="Times New Roman" w:hint="default"/>
          <w:spacing w:val="-19"/>
          <w:sz w:val="18"/>
          <w:szCs w:val="18"/>
        </w:rPr>
        <w:t>57</w:t>
      </w:r>
      <w:r>
        <w:rPr>
          <w:rFonts w:ascii="宋体" w:hAnsi="宋体" w:cs="宋体" w:eastAsia="宋体" w:hint="default"/>
          <w:spacing w:val="-19"/>
          <w:sz w:val="18"/>
          <w:szCs w:val="18"/>
        </w:rPr>
        <w:t>）。</w:t>
      </w:r>
      <w:r>
        <w:rPr>
          <w:rFonts w:ascii="宋体" w:hAnsi="宋体" w:cs="宋体" w:eastAsia="宋体" w:hint="default"/>
          <w:spacing w:val="-82"/>
          <w:sz w:val="18"/>
          <w:szCs w:val="18"/>
        </w:rPr>
        <w:t> </w:t>
      </w:r>
      <w:bookmarkStart w:name="79、现金流量表项目" w:id="406"/>
      <w:bookmarkEnd w:id="406"/>
      <w:r>
        <w:rPr>
          <w:rFonts w:ascii="宋体" w:hAnsi="宋体" w:cs="宋体" w:eastAsia="宋体" w:hint="default"/>
          <w:spacing w:val="-82"/>
          <w:sz w:val="18"/>
          <w:szCs w:val="18"/>
        </w:rPr>
      </w:r>
      <w:r>
        <w:rPr>
          <w:rFonts w:ascii="Times New Roman" w:hAnsi="Times New Roman" w:cs="Times New Roman" w:eastAsia="Times New Roman" w:hint="default"/>
          <w:b/>
          <w:bCs/>
          <w:sz w:val="21"/>
          <w:szCs w:val="21"/>
        </w:rPr>
        <w:t>79</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6"/>
        <w:ind w:right="986"/>
        <w:jc w:val="left"/>
        <w:rPr>
          <w:b w:val="0"/>
          <w:bCs w:val="0"/>
        </w:rPr>
      </w:pPr>
      <w:bookmarkStart w:name="（1）收到的其他与经营活动有关的现金" w:id="407"/>
      <w:bookmarkEnd w:id="407"/>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2909"/>
        <w:gridCol w:w="283"/>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7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银行存款利息</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28,337,366.91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2" w:right="0"/>
              <w:jc w:val="left"/>
              <w:rPr>
                <w:rFonts w:ascii="Times New Roman" w:hAnsi="Times New Roman" w:cs="Times New Roman" w:eastAsia="Times New Roman" w:hint="default"/>
                <w:sz w:val="18"/>
                <w:szCs w:val="18"/>
              </w:rPr>
            </w:pPr>
            <w:r>
              <w:rPr>
                <w:rFonts w:ascii="Times New Roman"/>
                <w:sz w:val="18"/>
              </w:rPr>
              <w:t>51,679,625.64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收回的押金保证金</w:t>
            </w:r>
          </w:p>
        </w:tc>
        <w:tc>
          <w:tcPr>
            <w:tcW w:w="31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38,811,101.06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72" w:right="0"/>
              <w:jc w:val="left"/>
              <w:rPr>
                <w:rFonts w:ascii="Times New Roman" w:hAnsi="Times New Roman" w:cs="Times New Roman" w:eastAsia="Times New Roman" w:hint="default"/>
                <w:sz w:val="18"/>
                <w:szCs w:val="18"/>
              </w:rPr>
            </w:pPr>
            <w:r>
              <w:rPr>
                <w:rFonts w:ascii="Times New Roman"/>
                <w:sz w:val="18"/>
              </w:rPr>
              <w:t>14,633,272.81</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单位往来款项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736,172.10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2,085,902.07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1,553,653.79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458,573.68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275,941.68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240,882.82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 </w:t>
            </w:r>
            <w:r>
              <w:rPr>
                <w:rFonts w:ascii="宋体" w:hAnsi="宋体" w:cs="宋体" w:eastAsia="宋体" w:hint="default"/>
                <w:spacing w:val="2"/>
                <w:sz w:val="18"/>
                <w:szCs w:val="18"/>
              </w:rPr>
              <w:t> </w:t>
            </w:r>
            <w:r>
              <w:rPr>
                <w:rFonts w:ascii="宋体" w:hAnsi="宋体" w:cs="宋体" w:eastAsia="宋体" w:hint="default"/>
                <w:sz w:val="18"/>
                <w:szCs w:val="18"/>
              </w:rPr>
              <w:t>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105,200.26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655,165.19</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70,060,318.62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69,512,539.39</w:t>
            </w:r>
          </w:p>
        </w:tc>
      </w:tr>
    </w:tbl>
    <w:p>
      <w:pPr>
        <w:pStyle w:val="BodyText"/>
        <w:spacing w:line="240" w:lineRule="auto" w:before="49"/>
        <w:ind w:right="986"/>
        <w:jc w:val="left"/>
      </w:pPr>
      <w:r>
        <w:rPr/>
        <w:t>收到的其他与经营活动有关的现金说明：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支付的其他与经营活动有关的现金" w:id="408"/>
      <w:bookmarkEnd w:id="408"/>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5"/>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付现费用</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33,337,012.41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42,392,799.57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银行手续费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138,052.71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138,787.02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支付的违约金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598,762.48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609,008.30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支付的押金保证金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41,330,869.94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2,168,368.74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单位往来款项</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166,766.51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797,055.04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支付的滞纳金</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55,789.69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员工备用金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1,432,262.24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1,256,928.23</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代收代付款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1,608,188.82</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资金受限</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330,217,425.75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保理款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49,399.46</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508,878,740.32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47,418,736.59</w:t>
            </w:r>
          </w:p>
        </w:tc>
      </w:tr>
    </w:tbl>
    <w:p>
      <w:pPr>
        <w:pStyle w:val="BodyText"/>
        <w:spacing w:line="240" w:lineRule="auto" w:before="49"/>
        <w:ind w:right="986"/>
        <w:jc w:val="left"/>
      </w:pPr>
      <w:r>
        <w:rPr/>
        <w:t>支付的其他与经营活动有关的现金说明：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收到的其他与投资活动有关的现金" w:id="409"/>
      <w:bookmarkEnd w:id="409"/>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退回投资款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暂收款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业绩补偿款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36,377,107.90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89,377,107.90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收到的其他与投资活动有关的现金说明：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4）支付的其他与投资活动有关的现金" w:id="410"/>
      <w:bookmarkEnd w:id="410"/>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支付的其他与投资活动有关的现金说明：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5）收到的其他与筹资活动有关的现金" w:id="411"/>
      <w:bookmarkEnd w:id="411"/>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收回外部关联单位款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6,955.56</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6,955.56</w:t>
            </w:r>
          </w:p>
        </w:tc>
      </w:tr>
    </w:tbl>
    <w:p>
      <w:pPr>
        <w:pStyle w:val="BodyText"/>
        <w:spacing w:line="240" w:lineRule="auto" w:before="49"/>
        <w:ind w:right="986"/>
        <w:jc w:val="left"/>
      </w:pPr>
      <w:r>
        <w:rPr/>
        <w:t>收到的其他与筹资活动有关的现金说明：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6）支付的其他与筹资活动有关的现金" w:id="412"/>
      <w:bookmarkEnd w:id="412"/>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36"/>
              <w:jc w:val="righ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支付外部关联单位款</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69"/>
              <w:jc w:val="right"/>
              <w:rPr>
                <w:rFonts w:ascii="Times New Roman" w:hAnsi="Times New Roman" w:cs="Times New Roman" w:eastAsia="Times New Roman" w:hint="default"/>
                <w:sz w:val="18"/>
                <w:szCs w:val="18"/>
              </w:rPr>
            </w:pPr>
            <w:r>
              <w:rPr>
                <w:rFonts w:ascii="Times New Roman"/>
                <w:spacing w:val="-1"/>
                <w:sz w:val="18"/>
              </w:rPr>
              <w:t>12,390,000.00</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收购深圳炫酷行</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少数股权</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 w:right="0"/>
              <w:jc w:val="center"/>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69"/>
              <w:jc w:val="right"/>
              <w:rPr>
                <w:rFonts w:ascii="Times New Roman" w:hAnsi="Times New Roman" w:cs="Times New Roman" w:eastAsia="Times New Roman" w:hint="default"/>
                <w:sz w:val="18"/>
                <w:szCs w:val="18"/>
              </w:rPr>
            </w:pPr>
            <w:r>
              <w:rPr>
                <w:rFonts w:ascii="Times New Roman"/>
                <w:spacing w:val="-1"/>
                <w:sz w:val="18"/>
              </w:rPr>
              <w:t>12,390,001.00</w:t>
            </w:r>
          </w:p>
        </w:tc>
      </w:tr>
    </w:tbl>
    <w:p>
      <w:pPr>
        <w:pStyle w:val="BodyText"/>
        <w:spacing w:line="240" w:lineRule="auto" w:before="49"/>
        <w:ind w:right="986"/>
        <w:jc w:val="left"/>
      </w:pPr>
      <w:r>
        <w:rPr/>
        <w:t>支付的其他与筹资活动有关的现金说明：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80、现金流量表补充资料" w:id="413"/>
      <w:bookmarkEnd w:id="413"/>
      <w:r>
        <w:rPr>
          <w:b w:val="0"/>
          <w:bCs w:val="0"/>
        </w:rPr>
      </w:r>
      <w:r>
        <w:rPr>
          <w:rFonts w:ascii="Times New Roman" w:hAnsi="Times New Roman" w:cs="Times New Roman" w:eastAsia="Times New Roman" w:hint="default"/>
        </w:rPr>
        <w:t>80</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现金流量表补充资料" w:id="414"/>
      <w:bookmarkEnd w:id="414"/>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123,907,568.33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-2,552,655,505.87</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40,096,132.05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2,697,872,350.66</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0" w:firstLine="720"/>
              <w:jc w:val="left"/>
              <w:rPr>
                <w:rFonts w:ascii="宋体" w:hAnsi="宋体" w:cs="宋体" w:eastAsia="宋体" w:hint="default"/>
                <w:sz w:val="18"/>
                <w:szCs w:val="18"/>
              </w:rPr>
            </w:pPr>
            <w:r>
              <w:rPr>
                <w:rFonts w:ascii="宋体" w:hAnsi="宋体" w:cs="宋体" w:eastAsia="宋体" w:hint="default"/>
                <w:spacing w:val="-3"/>
                <w:sz w:val="18"/>
                <w:szCs w:val="18"/>
              </w:rPr>
              <w:t>固定资产折旧、油气资产折耗、</w:t>
            </w:r>
            <w:r>
              <w:rPr>
                <w:rFonts w:ascii="宋体" w:hAnsi="宋体" w:cs="宋体" w:eastAsia="宋体" w:hint="default"/>
                <w:sz w:val="18"/>
                <w:szCs w:val="18"/>
              </w:rPr>
              <w:t> 生产性生物资产折旧</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19,134,152.09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32,377,719.09</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1,895,613.98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4,737,978.23</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997,367.06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1,101,487.89</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102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03" w:right="152" w:firstLine="720"/>
              <w:jc w:val="both"/>
              <w:rPr>
                <w:rFonts w:ascii="宋体" w:hAnsi="宋体" w:cs="宋体" w:eastAsia="宋体" w:hint="default"/>
                <w:sz w:val="18"/>
                <w:szCs w:val="18"/>
              </w:rPr>
            </w:pPr>
            <w:r>
              <w:rPr>
                <w:rFonts w:ascii="宋体" w:hAnsi="宋体" w:cs="宋体" w:eastAsia="宋体" w:hint="default"/>
                <w:sz w:val="18"/>
                <w:szCs w:val="18"/>
              </w:rPr>
              <w:t>处置固定资产、无形资产和其 他长期资产的损失（收益以“－”号填 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-76,453.72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2,434,514.45</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332" w:firstLine="720"/>
              <w:jc w:val="left"/>
              <w:rPr>
                <w:rFonts w:ascii="宋体" w:hAnsi="宋体" w:cs="宋体" w:eastAsia="宋体" w:hint="default"/>
                <w:sz w:val="18"/>
                <w:szCs w:val="18"/>
              </w:rPr>
            </w:pPr>
            <w:r>
              <w:rPr>
                <w:rFonts w:ascii="宋体" w:hAnsi="宋体" w:cs="宋体" w:eastAsia="宋体" w:hint="default"/>
                <w:sz w:val="18"/>
                <w:szCs w:val="18"/>
              </w:rPr>
              <w:t>固定资产报废损失（收益以 “－”号填列）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73,190.74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财务费用（收益以“－”号填</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1,137,721.55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825,705.99</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投资损失（收益以“－”号填</w:t>
            </w:r>
          </w:p>
          <w:p>
            <w:pPr>
              <w:pStyle w:val="TableParagraph"/>
              <w:spacing w:line="240" w:lineRule="auto" w:before="74"/>
              <w:ind w:left="103"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72"/>
              <w:jc w:val="right"/>
              <w:rPr>
                <w:rFonts w:ascii="Times New Roman" w:hAnsi="Times New Roman" w:cs="Times New Roman" w:eastAsia="Times New Roman" w:hint="default"/>
                <w:sz w:val="18"/>
                <w:szCs w:val="18"/>
              </w:rPr>
            </w:pPr>
            <w:r>
              <w:rPr>
                <w:rFonts w:ascii="Times New Roman"/>
                <w:spacing w:val="-1"/>
                <w:sz w:val="18"/>
              </w:rPr>
              <w:t>-39,685,697.37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040"/>
              <w:jc w:val="right"/>
              <w:rPr>
                <w:rFonts w:ascii="Times New Roman" w:hAnsi="Times New Roman" w:cs="Times New Roman" w:eastAsia="Times New Roman" w:hint="default"/>
                <w:sz w:val="18"/>
                <w:szCs w:val="18"/>
              </w:rPr>
            </w:pPr>
            <w:r>
              <w:rPr>
                <w:rFonts w:ascii="Times New Roman"/>
                <w:spacing w:val="-1"/>
                <w:sz w:val="18"/>
              </w:rPr>
              <w:t>-13,774,639.60</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720"/>
              <w:jc w:val="left"/>
              <w:rPr>
                <w:rFonts w:ascii="宋体" w:hAnsi="宋体" w:cs="宋体" w:eastAsia="宋体" w:hint="default"/>
                <w:sz w:val="18"/>
                <w:szCs w:val="18"/>
              </w:rPr>
            </w:pPr>
            <w:r>
              <w:rPr>
                <w:rFonts w:ascii="宋体" w:hAnsi="宋体" w:cs="宋体" w:eastAsia="宋体" w:hint="default"/>
                <w:sz w:val="18"/>
                <w:szCs w:val="18"/>
              </w:rPr>
              <w:t>递延所得税资产减少（增加以 “－”号填列）</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13,626,674.93</w:t>
            </w:r>
          </w:p>
        </w:tc>
      </w:tr>
      <w:tr>
        <w:trPr>
          <w:trHeight w:val="716"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03" w:right="152" w:firstLine="720"/>
              <w:jc w:val="left"/>
              <w:rPr>
                <w:rFonts w:ascii="宋体" w:hAnsi="宋体" w:cs="宋体" w:eastAsia="宋体" w:hint="default"/>
                <w:sz w:val="18"/>
                <w:szCs w:val="18"/>
              </w:rPr>
            </w:pPr>
            <w:r>
              <w:rPr>
                <w:rFonts w:ascii="宋体" w:hAnsi="宋体" w:cs="宋体" w:eastAsia="宋体" w:hint="default"/>
                <w:sz w:val="18"/>
                <w:szCs w:val="18"/>
              </w:rPr>
              <w:t>递延所得税负债增加（减少以 “－”号填列）</w:t>
            </w:r>
          </w:p>
        </w:tc>
        <w:tc>
          <w:tcPr>
            <w:tcW w:w="3058" w:type="dxa"/>
            <w:tcBorders>
              <w:top w:val="single" w:sz="4" w:space="0" w:color="000000"/>
              <w:left w:val="single" w:sz="4" w:space="0" w:color="000000"/>
              <w:bottom w:val="single" w:sz="4" w:space="0" w:color="000000"/>
              <w:right w:val="single" w:sz="4" w:space="0" w:color="000000"/>
            </w:tcBorders>
          </w:tcPr>
          <w:p>
            <w:pP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040"/>
              <w:jc w:val="right"/>
              <w:rPr>
                <w:rFonts w:ascii="Times New Roman" w:hAnsi="Times New Roman" w:cs="Times New Roman" w:eastAsia="Times New Roman" w:hint="default"/>
                <w:sz w:val="18"/>
                <w:szCs w:val="18"/>
              </w:rPr>
            </w:pPr>
            <w:r>
              <w:rPr>
                <w:rFonts w:ascii="Times New Roman"/>
                <w:spacing w:val="-1"/>
                <w:sz w:val="18"/>
              </w:rPr>
              <w:t>-13,360,626.51</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存货的减少（增加以“－”号</w:t>
            </w:r>
          </w:p>
          <w:p>
            <w:pPr>
              <w:pStyle w:val="TableParagraph"/>
              <w:spacing w:line="240" w:lineRule="auto" w:before="76"/>
              <w:ind w:left="103"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48,088,449.81</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6"/>
              <w:jc w:val="right"/>
              <w:rPr>
                <w:rFonts w:ascii="Times New Roman" w:hAnsi="Times New Roman" w:cs="Times New Roman" w:eastAsia="Times New Roman" w:hint="default"/>
                <w:sz w:val="18"/>
                <w:szCs w:val="18"/>
              </w:rPr>
            </w:pPr>
            <w:r>
              <w:rPr>
                <w:rFonts w:ascii="Times New Roman"/>
                <w:spacing w:val="-1"/>
                <w:sz w:val="18"/>
              </w:rPr>
              <w:t>-112,180,250.07</w:t>
            </w:r>
          </w:p>
        </w:tc>
      </w:tr>
      <w:tr>
        <w:trPr>
          <w:trHeight w:val="715"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03" w:right="152" w:firstLine="720"/>
              <w:jc w:val="left"/>
              <w:rPr>
                <w:rFonts w:ascii="宋体" w:hAnsi="宋体" w:cs="宋体" w:eastAsia="宋体" w:hint="default"/>
                <w:sz w:val="18"/>
                <w:szCs w:val="18"/>
              </w:rPr>
            </w:pPr>
            <w:r>
              <w:rPr>
                <w:rFonts w:ascii="宋体" w:hAnsi="宋体" w:cs="宋体" w:eastAsia="宋体" w:hint="default"/>
                <w:sz w:val="18"/>
                <w:szCs w:val="18"/>
              </w:rPr>
              <w:t>经营性应收项目的减少（增加 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27"/>
              <w:jc w:val="right"/>
              <w:rPr>
                <w:rFonts w:ascii="Times New Roman" w:hAnsi="Times New Roman" w:cs="Times New Roman" w:eastAsia="Times New Roman" w:hint="default"/>
                <w:sz w:val="18"/>
                <w:szCs w:val="18"/>
              </w:rPr>
            </w:pPr>
            <w:r>
              <w:rPr>
                <w:rFonts w:ascii="Times New Roman"/>
                <w:spacing w:val="-1"/>
                <w:sz w:val="18"/>
              </w:rPr>
              <w:t>-585,532,705.34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4"/>
              <w:jc w:val="right"/>
              <w:rPr>
                <w:rFonts w:ascii="Times New Roman" w:hAnsi="Times New Roman" w:cs="Times New Roman" w:eastAsia="Times New Roman" w:hint="default"/>
                <w:sz w:val="18"/>
                <w:szCs w:val="18"/>
              </w:rPr>
            </w:pPr>
            <w:r>
              <w:rPr>
                <w:rFonts w:ascii="Times New Roman"/>
                <w:spacing w:val="-1"/>
                <w:sz w:val="18"/>
              </w:rPr>
              <w:t>-836,565,907.57</w:t>
            </w:r>
          </w:p>
        </w:tc>
      </w:tr>
      <w:tr>
        <w:trPr>
          <w:trHeight w:val="71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52" w:firstLine="720"/>
              <w:jc w:val="left"/>
              <w:rPr>
                <w:rFonts w:ascii="宋体" w:hAnsi="宋体" w:cs="宋体" w:eastAsia="宋体" w:hint="default"/>
                <w:sz w:val="18"/>
                <w:szCs w:val="18"/>
              </w:rPr>
            </w:pPr>
            <w:r>
              <w:rPr>
                <w:rFonts w:ascii="宋体" w:hAnsi="宋体" w:cs="宋体" w:eastAsia="宋体" w:hint="default"/>
                <w:sz w:val="18"/>
                <w:szCs w:val="18"/>
              </w:rPr>
              <w:t>经营性应付项目的增加（减少 以“－”号填列）</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27"/>
              <w:jc w:val="right"/>
              <w:rPr>
                <w:rFonts w:ascii="Times New Roman" w:hAnsi="Times New Roman" w:cs="Times New Roman" w:eastAsia="Times New Roman" w:hint="default"/>
                <w:sz w:val="18"/>
                <w:szCs w:val="18"/>
              </w:rPr>
            </w:pPr>
            <w:r>
              <w:rPr>
                <w:rFonts w:ascii="Times New Roman"/>
                <w:spacing w:val="-1"/>
                <w:sz w:val="18"/>
              </w:rPr>
              <w:t>-136,805,261.78</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23"/>
              <w:jc w:val="right"/>
              <w:rPr>
                <w:rFonts w:ascii="Times New Roman" w:hAnsi="Times New Roman" w:cs="Times New Roman" w:eastAsia="Times New Roman" w:hint="default"/>
                <w:sz w:val="18"/>
                <w:szCs w:val="18"/>
              </w:rPr>
            </w:pPr>
            <w:r>
              <w:rPr>
                <w:rFonts w:ascii="Times New Roman"/>
                <w:spacing w:val="-1"/>
                <w:sz w:val="18"/>
              </w:rPr>
              <w:t>125,673,814.18</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2"/>
              <w:jc w:val="right"/>
              <w:rPr>
                <w:rFonts w:ascii="Times New Roman" w:hAnsi="Times New Roman" w:cs="Times New Roman" w:eastAsia="Times New Roman" w:hint="default"/>
                <w:sz w:val="18"/>
                <w:szCs w:val="18"/>
              </w:rPr>
            </w:pPr>
            <w:r>
              <w:rPr>
                <w:rFonts w:ascii="Times New Roman"/>
                <w:spacing w:val="-1"/>
                <w:sz w:val="18"/>
              </w:rPr>
              <w:t>-50,712,821.43</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3"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27"/>
              <w:jc w:val="right"/>
              <w:rPr>
                <w:rFonts w:ascii="Times New Roman" w:hAnsi="Times New Roman" w:cs="Times New Roman" w:eastAsia="Times New Roman" w:hint="default"/>
                <w:sz w:val="18"/>
                <w:szCs w:val="18"/>
              </w:rPr>
            </w:pPr>
            <w:r>
              <w:rPr>
                <w:rFonts w:ascii="Times New Roman"/>
                <w:spacing w:val="-1"/>
                <w:sz w:val="18"/>
              </w:rPr>
              <w:t>-577,482,744.03</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4"/>
              <w:jc w:val="right"/>
              <w:rPr>
                <w:rFonts w:ascii="Times New Roman" w:hAnsi="Times New Roman" w:cs="Times New Roman" w:eastAsia="Times New Roman" w:hint="default"/>
                <w:sz w:val="18"/>
                <w:szCs w:val="18"/>
              </w:rPr>
            </w:pPr>
            <w:r>
              <w:rPr>
                <w:rFonts w:ascii="Times New Roman"/>
                <w:spacing w:val="-1"/>
                <w:sz w:val="18"/>
              </w:rPr>
              <w:t>-649,886,684.20</w:t>
            </w:r>
          </w:p>
        </w:tc>
      </w:tr>
      <w:tr>
        <w:trPr>
          <w:trHeight w:val="714"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03" w:right="101"/>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．不涉及现金收支的重大投资和筹资活</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动：</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8"/>
              <w:jc w:val="right"/>
              <w:rPr>
                <w:rFonts w:ascii="Times New Roman" w:hAnsi="Times New Roman" w:cs="Times New Roman" w:eastAsia="Times New Roman" w:hint="default"/>
                <w:sz w:val="18"/>
                <w:szCs w:val="18"/>
              </w:rPr>
            </w:pPr>
            <w:r>
              <w:rPr>
                <w:rFonts w:ascii="Times New Roman"/>
                <w:spacing w:val="-1"/>
                <w:sz w:val="18"/>
              </w:rPr>
              <w:t>865,272,921.17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56"/>
              <w:jc w:val="right"/>
              <w:rPr>
                <w:rFonts w:ascii="Times New Roman" w:hAnsi="Times New Roman" w:cs="Times New Roman" w:eastAsia="Times New Roman" w:hint="default"/>
                <w:sz w:val="18"/>
                <w:szCs w:val="18"/>
              </w:rPr>
            </w:pPr>
            <w:r>
              <w:rPr>
                <w:rFonts w:ascii="Times New Roman"/>
                <w:spacing w:val="-1"/>
                <w:sz w:val="18"/>
              </w:rPr>
              <w:t>1,386,748,463.69</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91"/>
              <w:jc w:val="right"/>
              <w:rPr>
                <w:rFonts w:ascii="Times New Roman" w:hAnsi="Times New Roman" w:cs="Times New Roman" w:eastAsia="Times New Roman" w:hint="default"/>
                <w:sz w:val="18"/>
                <w:szCs w:val="18"/>
              </w:rPr>
            </w:pPr>
            <w:r>
              <w:rPr>
                <w:rFonts w:ascii="Times New Roman"/>
                <w:spacing w:val="-1"/>
                <w:sz w:val="18"/>
              </w:rPr>
              <w:t>1,386,748,463.69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6"/>
              <w:jc w:val="right"/>
              <w:rPr>
                <w:rFonts w:ascii="Times New Roman" w:hAnsi="Times New Roman" w:cs="Times New Roman" w:eastAsia="Times New Roman" w:hint="default"/>
                <w:sz w:val="18"/>
                <w:szCs w:val="18"/>
              </w:rPr>
            </w:pPr>
            <w:r>
              <w:rPr>
                <w:rFonts w:ascii="Times New Roman"/>
                <w:spacing w:val="-1"/>
                <w:sz w:val="18"/>
              </w:rPr>
              <w:t>1,900,892,199.51</w:t>
            </w:r>
          </w:p>
        </w:tc>
      </w:tr>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6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27"/>
              <w:jc w:val="right"/>
              <w:rPr>
                <w:rFonts w:ascii="Times New Roman" w:hAnsi="Times New Roman" w:cs="Times New Roman" w:eastAsia="Times New Roman" w:hint="default"/>
                <w:sz w:val="18"/>
                <w:szCs w:val="18"/>
              </w:rPr>
            </w:pPr>
            <w:r>
              <w:rPr>
                <w:rFonts w:ascii="Times New Roman"/>
                <w:spacing w:val="-1"/>
                <w:sz w:val="18"/>
              </w:rPr>
              <w:t>-521,475,542.52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94"/>
              <w:jc w:val="right"/>
              <w:rPr>
                <w:rFonts w:ascii="Times New Roman" w:hAnsi="Times New Roman" w:cs="Times New Roman" w:eastAsia="Times New Roman" w:hint="default"/>
                <w:sz w:val="18"/>
                <w:szCs w:val="18"/>
              </w:rPr>
            </w:pPr>
            <w:r>
              <w:rPr>
                <w:rFonts w:ascii="Times New Roman"/>
                <w:spacing w:val="-1"/>
                <w:sz w:val="18"/>
              </w:rPr>
              <w:t>-514,143,735.82</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本期支付的取得子公司的现金净额" w:id="415"/>
      <w:bookmarkEnd w:id="415"/>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988"/>
        <w:gridCol w:w="4583"/>
      </w:tblGrid>
      <w:tr>
        <w:trPr>
          <w:trHeight w:val="397"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本期发生的企业合并于本期支付的现金或现金等价物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0.10</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云南浩南生物科技有限公司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987"/>
        <w:gridCol w:w="4583"/>
      </w:tblGrid>
      <w:tr>
        <w:trPr>
          <w:trHeight w:val="404" w:hRule="exact"/>
        </w:trPr>
        <w:tc>
          <w:tcPr>
            <w:tcW w:w="4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取得子公司支付的现金净额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0.10</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本期收到的处置子公司的现金净额" w:id="416"/>
      <w:bookmarkEnd w:id="416"/>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988"/>
        <w:gridCol w:w="4583"/>
      </w:tblGrid>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13"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本期处置子公司于本期收到的现金或现金等价物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36,990,027.89</w:t>
            </w:r>
          </w:p>
        </w:tc>
      </w:tr>
      <w:tr>
        <w:trPr>
          <w:trHeight w:val="39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浙江视科文化传播有限公司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36,990,027.89</w:t>
            </w:r>
          </w:p>
        </w:tc>
      </w:tr>
      <w:tr>
        <w:trPr>
          <w:trHeight w:val="40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减：丧失控制权日子公司持有的现金及现金等价物</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10,041,731.57</w:t>
            </w:r>
          </w:p>
        </w:tc>
      </w:tr>
      <w:tr>
        <w:trPr>
          <w:trHeight w:val="39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6"/>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浙江视科文化传播有限公司</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10,041,731.57</w:t>
            </w:r>
          </w:p>
        </w:tc>
      </w:tr>
      <w:tr>
        <w:trPr>
          <w:trHeight w:val="398"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6" w:hRule="exact"/>
        </w:trPr>
        <w:tc>
          <w:tcPr>
            <w:tcW w:w="4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处置子公司收到的现金净额</w:t>
            </w:r>
          </w:p>
        </w:tc>
        <w:tc>
          <w:tcPr>
            <w:tcW w:w="4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0"/>
              <w:jc w:val="center"/>
              <w:rPr>
                <w:rFonts w:ascii="Times New Roman" w:hAnsi="Times New Roman" w:cs="Times New Roman" w:eastAsia="Times New Roman" w:hint="default"/>
                <w:sz w:val="18"/>
                <w:szCs w:val="18"/>
              </w:rPr>
            </w:pPr>
            <w:r>
              <w:rPr>
                <w:rFonts w:ascii="Times New Roman"/>
                <w:sz w:val="18"/>
              </w:rPr>
              <w:t>26,948,296.32</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4）现金和现金等价物的构成" w:id="417"/>
      <w:bookmarkEnd w:id="417"/>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6009"/>
        <w:gridCol w:w="1781"/>
        <w:gridCol w:w="1781"/>
      </w:tblGrid>
      <w:tr>
        <w:trPr>
          <w:trHeight w:val="404" w:hRule="exact"/>
        </w:trPr>
        <w:tc>
          <w:tcPr>
            <w:tcW w:w="6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1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6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865,272,921.17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1,386,748,463.69</w:t>
            </w:r>
          </w:p>
        </w:tc>
      </w:tr>
      <w:tr>
        <w:trPr>
          <w:trHeight w:val="403" w:hRule="exact"/>
        </w:trPr>
        <w:tc>
          <w:tcPr>
            <w:tcW w:w="6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7,108.74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90.00</w:t>
            </w:r>
          </w:p>
        </w:tc>
      </w:tr>
      <w:tr>
        <w:trPr>
          <w:trHeight w:val="401" w:hRule="exact"/>
        </w:trPr>
        <w:tc>
          <w:tcPr>
            <w:tcW w:w="6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855,082,563.39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1,386,746,743.56</w:t>
            </w:r>
          </w:p>
        </w:tc>
      </w:tr>
      <w:tr>
        <w:trPr>
          <w:trHeight w:val="403" w:hRule="exact"/>
        </w:trPr>
        <w:tc>
          <w:tcPr>
            <w:tcW w:w="6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10,183,249.04</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1,630.13</w:t>
            </w:r>
          </w:p>
        </w:tc>
      </w:tr>
      <w:tr>
        <w:trPr>
          <w:trHeight w:val="401" w:hRule="exact"/>
        </w:trPr>
        <w:tc>
          <w:tcPr>
            <w:tcW w:w="6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865,272,921.17</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1,386,748,463.69</w:t>
            </w:r>
          </w:p>
        </w:tc>
      </w:tr>
      <w:tr>
        <w:trPr>
          <w:trHeight w:val="403" w:hRule="exact"/>
        </w:trPr>
        <w:tc>
          <w:tcPr>
            <w:tcW w:w="6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其中：母公司或集团内子公司使用受限制的现金和现金等价物</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330,217,425.75</w:t>
            </w:r>
          </w:p>
        </w:tc>
        <w:tc>
          <w:tcPr>
            <w:tcW w:w="178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81、所有者权益变动表项目注释" w:id="418"/>
      <w:bookmarkEnd w:id="418"/>
      <w:r>
        <w:rPr>
          <w:b w:val="0"/>
          <w:bCs w:val="0"/>
        </w:rPr>
      </w:r>
      <w:r>
        <w:rPr>
          <w:rFonts w:ascii="Times New Roman" w:hAnsi="Times New Roman" w:cs="Times New Roman" w:eastAsia="Times New Roman" w:hint="default"/>
        </w:rPr>
        <w:t>81</w:t>
      </w:r>
      <w:r>
        <w:rPr/>
        <w:t>、所有者权益变动表项目注释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说明对上年期末余额进行调整的“其他”项目名称及调整金额等事项：</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82、所有权或使用权受到限制的资产" w:id="419"/>
      <w:bookmarkEnd w:id="419"/>
      <w:r>
        <w:rPr>
          <w:b w:val="0"/>
          <w:bCs w:val="0"/>
        </w:rPr>
      </w:r>
      <w:r>
        <w:rPr>
          <w:rFonts w:ascii="Times New Roman" w:hAnsi="Times New Roman" w:cs="Times New Roman" w:eastAsia="Times New Roman" w:hint="default"/>
        </w:rPr>
        <w:t>82</w:t>
      </w:r>
      <w:r>
        <w:rPr/>
        <w:t>、所有权或使用权受到限制的资产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7"/>
        <w:gridCol w:w="3058"/>
        <w:gridCol w:w="3185"/>
      </w:tblGrid>
      <w:tr>
        <w:trPr>
          <w:trHeight w:val="403"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1" w:hRule="exact"/>
        </w:trPr>
        <w:tc>
          <w:tcPr>
            <w:tcW w:w="3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330,217,425.75</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冻结</w:t>
            </w:r>
          </w:p>
        </w:tc>
      </w:tr>
    </w:tbl>
    <w:p>
      <w:pPr>
        <w:spacing w:after="0" w:line="240" w:lineRule="auto"/>
        <w:jc w:val="center"/>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326"/>
        <w:gridCol w:w="3059"/>
        <w:gridCol w:w="3184"/>
      </w:tblGrid>
      <w:tr>
        <w:trPr>
          <w:trHeight w:val="404" w:hRule="exact"/>
        </w:trPr>
        <w:tc>
          <w:tcPr>
            <w:tcW w:w="33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2" w:right="0"/>
              <w:jc w:val="left"/>
              <w:rPr>
                <w:rFonts w:ascii="Times New Roman" w:hAnsi="Times New Roman" w:cs="Times New Roman" w:eastAsia="Times New Roman" w:hint="default"/>
                <w:sz w:val="18"/>
                <w:szCs w:val="18"/>
              </w:rPr>
            </w:pPr>
            <w:r>
              <w:rPr>
                <w:rFonts w:ascii="Times New Roman"/>
                <w:sz w:val="18"/>
              </w:rPr>
              <w:t>330,217,425.75</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83、外币货币性项目" w:id="420"/>
      <w:bookmarkEnd w:id="420"/>
      <w:r>
        <w:rPr>
          <w:b w:val="0"/>
          <w:bCs w:val="0"/>
        </w:rPr>
      </w:r>
      <w:r>
        <w:rPr>
          <w:rFonts w:ascii="Times New Roman" w:hAnsi="Times New Roman" w:cs="Times New Roman" w:eastAsia="Times New Roman" w:hint="default"/>
        </w:rPr>
        <w:t>83</w:t>
      </w:r>
      <w:r>
        <w:rPr/>
        <w:t>、外币货币性项目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外币货币性项目" w:id="421"/>
      <w:bookmarkEnd w:id="421"/>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496"/>
        <w:gridCol w:w="2293"/>
        <w:gridCol w:w="2391"/>
        <w:gridCol w:w="2391"/>
      </w:tblGrid>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2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6" w:type="dxa"/>
            <w:tcBorders>
              <w:top w:val="single" w:sz="4" w:space="0" w:color="000000"/>
              <w:left w:val="single" w:sz="4" w:space="0" w:color="000000"/>
              <w:bottom w:val="single" w:sz="4" w:space="0" w:color="000000"/>
              <w:right w:val="single" w:sz="4" w:space="0" w:color="000000"/>
            </w:tcBorders>
          </w:tcPr>
          <w:p>
            <w:pPr/>
          </w:p>
        </w:tc>
        <w:tc>
          <w:tcPr>
            <w:tcW w:w="22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56" w:lineRule="auto" w:before="120"/>
        <w:ind w:right="986"/>
        <w:jc w:val="left"/>
        <w:rPr>
          <w:b w:val="0"/>
          <w:bCs w:val="0"/>
        </w:rPr>
      </w:pPr>
      <w:bookmarkStart w:name="（2）境外经营实体说明，包括对于重要的境外经营实体，应披露其境外主要经营地、记账" w:id="422"/>
      <w:bookmarkEnd w:id="422"/>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65"/>
        </w:rPr>
        <w:t> </w:t>
      </w:r>
      <w:r>
        <w:rPr>
          <w:spacing w:val="-65"/>
        </w:rPr>
      </w:r>
      <w:r>
        <w:rPr/>
        <w:t>依据，记账本位币发生变化的还应披露原因。</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1"/>
        <w:ind w:right="986"/>
        <w:jc w:val="left"/>
        <w:rPr>
          <w:b w:val="0"/>
          <w:bCs w:val="0"/>
        </w:rPr>
      </w:pPr>
      <w:bookmarkStart w:name="84、套期" w:id="423"/>
      <w:bookmarkEnd w:id="423"/>
      <w:r>
        <w:rPr>
          <w:b w:val="0"/>
          <w:bCs w:val="0"/>
        </w:rPr>
      </w:r>
      <w:r>
        <w:rPr>
          <w:rFonts w:ascii="Times New Roman" w:hAnsi="Times New Roman" w:cs="Times New Roman" w:eastAsia="Times New Roman" w:hint="default"/>
        </w:rPr>
        <w:t>84</w:t>
      </w:r>
      <w:r>
        <w:rPr/>
        <w:t>、套期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按照套期类别披露套期项目及相关套期工具、被套期风险的定性和定量信息：</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85、政府补助" w:id="424"/>
      <w:bookmarkEnd w:id="424"/>
      <w:r>
        <w:rPr>
          <w:b w:val="0"/>
          <w:bCs w:val="0"/>
        </w:rPr>
      </w:r>
      <w:r>
        <w:rPr>
          <w:rFonts w:ascii="Times New Roman" w:hAnsi="Times New Roman" w:cs="Times New Roman" w:eastAsia="Times New Roman" w:hint="default"/>
        </w:rPr>
        <w:t>85</w:t>
      </w:r>
      <w:r>
        <w:rPr/>
        <w:t>、政府补助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政府补助基本情况" w:id="425"/>
      <w:bookmarkEnd w:id="425"/>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01"/>
        <w:gridCol w:w="1483"/>
        <w:gridCol w:w="2393"/>
        <w:gridCol w:w="2393"/>
      </w:tblGrid>
      <w:tr>
        <w:trPr>
          <w:trHeight w:val="401"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工会经费退回</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18,869.76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18,869.76</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3,723.66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3,723.66</w:t>
            </w:r>
          </w:p>
        </w:tc>
      </w:tr>
      <w:tr>
        <w:trPr>
          <w:trHeight w:val="71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26"/>
              <w:jc w:val="left"/>
              <w:rPr>
                <w:rFonts w:ascii="宋体" w:hAnsi="宋体" w:cs="宋体" w:eastAsia="宋体" w:hint="default"/>
                <w:sz w:val="18"/>
                <w:szCs w:val="18"/>
              </w:rPr>
            </w:pPr>
            <w:r>
              <w:rPr>
                <w:rFonts w:ascii="宋体" w:hAnsi="宋体" w:cs="宋体" w:eastAsia="宋体" w:hint="default"/>
                <w:sz w:val="18"/>
                <w:szCs w:val="18"/>
              </w:rPr>
              <w:t>杭州市西湖区市场监督管理局市级软件 登记费资助</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300.00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300.00</w:t>
            </w:r>
          </w:p>
        </w:tc>
      </w:tr>
      <w:tr>
        <w:trPr>
          <w:trHeight w:val="71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103" w:right="214"/>
              <w:jc w:val="left"/>
              <w:rPr>
                <w:rFonts w:ascii="宋体" w:hAnsi="宋体" w:cs="宋体" w:eastAsia="宋体" w:hint="default"/>
                <w:sz w:val="18"/>
                <w:szCs w:val="18"/>
              </w:rPr>
            </w:pPr>
            <w:r>
              <w:rPr>
                <w:rFonts w:ascii="宋体" w:hAnsi="宋体" w:cs="宋体" w:eastAsia="宋体" w:hint="default"/>
                <w:sz w:val="18"/>
                <w:szCs w:val="18"/>
              </w:rPr>
              <w:t>萧山区发展和改革局</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年度新引进 现代服务企业补助款</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967,000.00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967,000.00</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义乌市就业管理服务局失业保险补贴</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2,861.19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2,861.19</w:t>
            </w:r>
          </w:p>
        </w:tc>
      </w:tr>
      <w:tr>
        <w:trPr>
          <w:trHeight w:val="401"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所得税返还</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589,344.03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其他收益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589,344.03</w:t>
            </w: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北山</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年度经济贡献先进集体奖励</w:t>
            </w:r>
          </w:p>
        </w:tc>
        <w:tc>
          <w:tcPr>
            <w:tcW w:w="14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营业外收入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2,000.00</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政府补助退回情况" w:id="426"/>
      <w:bookmarkEnd w:id="426"/>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2"/>
        <w:rPr>
          <w:rFonts w:ascii="宋体" w:hAnsi="宋体" w:cs="宋体" w:eastAsia="宋体" w:hint="default"/>
          <w:b/>
          <w:bCs/>
          <w:sz w:val="26"/>
          <w:szCs w:val="26"/>
        </w:rPr>
      </w:pPr>
    </w:p>
    <w:p>
      <w:pPr>
        <w:pStyle w:val="BodyText"/>
        <w:spacing w:line="360" w:lineRule="auto" w:before="0"/>
        <w:ind w:right="9221"/>
        <w:jc w:val="left"/>
      </w:pPr>
      <w:r>
        <w:rPr/>
        <w:t>□ 适用 √</w:t>
      </w:r>
      <w:r>
        <w:rPr>
          <w:spacing w:val="3"/>
        </w:rPr>
        <w:t> </w:t>
      </w:r>
      <w:r>
        <w:rPr/>
        <w:t>不适用</w:t>
      </w:r>
      <w:r>
        <w:rPr/>
        <w:t> 其他说明：</w:t>
      </w:r>
    </w:p>
    <w:p>
      <w:pPr>
        <w:spacing w:line="240" w:lineRule="auto" w:before="4"/>
        <w:rPr>
          <w:rFonts w:ascii="宋体" w:hAnsi="宋体" w:cs="宋体" w:eastAsia="宋体" w:hint="default"/>
          <w:sz w:val="20"/>
          <w:szCs w:val="20"/>
        </w:rPr>
      </w:pPr>
    </w:p>
    <w:p>
      <w:pPr>
        <w:spacing w:line="487" w:lineRule="auto" w:before="0"/>
        <w:ind w:left="112" w:right="8330" w:firstLine="0"/>
        <w:jc w:val="left"/>
        <w:rPr>
          <w:rFonts w:ascii="宋体" w:hAnsi="宋体" w:cs="宋体" w:eastAsia="宋体" w:hint="default"/>
          <w:sz w:val="21"/>
          <w:szCs w:val="21"/>
        </w:rPr>
      </w:pPr>
      <w:bookmarkStart w:name="86、其他" w:id="427"/>
      <w:bookmarkEnd w:id="427"/>
      <w:r>
        <w:rPr/>
      </w:r>
      <w:r>
        <w:rPr>
          <w:rFonts w:ascii="Times New Roman" w:hAnsi="Times New Roman" w:cs="Times New Roman" w:eastAsia="Times New Roman" w:hint="default"/>
          <w:b/>
          <w:bCs/>
          <w:sz w:val="21"/>
          <w:szCs w:val="21"/>
        </w:rPr>
        <w:t>86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八、合并范围的变更" w:id="428"/>
      <w:bookmarkEnd w:id="428"/>
      <w:r>
        <w:rPr>
          <w:rFonts w:ascii="宋体" w:hAnsi="宋体" w:cs="宋体" w:eastAsia="宋体" w:hint="default"/>
          <w:b/>
          <w:bCs/>
          <w:w w:val="100"/>
          <w:sz w:val="21"/>
          <w:szCs w:val="21"/>
        </w:rPr>
      </w:r>
      <w:r>
        <w:rPr>
          <w:rFonts w:ascii="宋体" w:hAnsi="宋体" w:cs="宋体" w:eastAsia="宋体" w:hint="default"/>
          <w:b/>
          <w:bCs/>
          <w:sz w:val="24"/>
          <w:szCs w:val="24"/>
        </w:rPr>
        <w:t>八、合并范围的变更</w:t>
      </w:r>
      <w:r>
        <w:rPr>
          <w:rFonts w:ascii="宋体" w:hAnsi="宋体" w:cs="宋体" w:eastAsia="宋体" w:hint="default"/>
          <w:b/>
          <w:bCs/>
          <w:w w:val="99"/>
          <w:sz w:val="24"/>
          <w:szCs w:val="24"/>
        </w:rPr>
        <w:t> </w:t>
      </w:r>
      <w:bookmarkStart w:name="1、非同一控制下企业合并" w:id="429"/>
      <w:bookmarkEnd w:id="429"/>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4"/>
        <w:ind w:right="986"/>
        <w:jc w:val="left"/>
        <w:rPr>
          <w:b w:val="0"/>
          <w:bCs w:val="0"/>
        </w:rPr>
      </w:pPr>
      <w:bookmarkStart w:name="（1）本期发生的非同一控制下企业合并" w:id="430"/>
      <w:bookmarkEnd w:id="430"/>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064"/>
        <w:gridCol w:w="1063"/>
        <w:gridCol w:w="1066"/>
        <w:gridCol w:w="1063"/>
        <w:gridCol w:w="1064"/>
        <w:gridCol w:w="1066"/>
        <w:gridCol w:w="1061"/>
        <w:gridCol w:w="1064"/>
        <w:gridCol w:w="1061"/>
      </w:tblGrid>
      <w:tr>
        <w:trPr>
          <w:trHeight w:val="1337"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6" w:right="165" w:hanging="180"/>
              <w:jc w:val="left"/>
              <w:rPr>
                <w:rFonts w:ascii="宋体" w:hAnsi="宋体" w:cs="宋体" w:eastAsia="宋体" w:hint="default"/>
                <w:sz w:val="18"/>
                <w:szCs w:val="18"/>
              </w:rPr>
            </w:pPr>
            <w:r>
              <w:rPr>
                <w:rFonts w:ascii="宋体" w:hAnsi="宋体" w:cs="宋体" w:eastAsia="宋体" w:hint="default"/>
                <w:sz w:val="18"/>
                <w:szCs w:val="18"/>
              </w:rPr>
              <w:t>被购买方 名称</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5" w:right="167" w:hanging="180"/>
              <w:jc w:val="left"/>
              <w:rPr>
                <w:rFonts w:ascii="宋体" w:hAnsi="宋体" w:cs="宋体" w:eastAsia="宋体" w:hint="default"/>
                <w:sz w:val="18"/>
                <w:szCs w:val="18"/>
              </w:rPr>
            </w:pPr>
            <w:r>
              <w:rPr>
                <w:rFonts w:ascii="宋体" w:hAnsi="宋体" w:cs="宋体" w:eastAsia="宋体" w:hint="default"/>
                <w:sz w:val="18"/>
                <w:szCs w:val="18"/>
              </w:rPr>
              <w:t>股权取得 时点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7" w:right="166" w:hanging="180"/>
              <w:jc w:val="left"/>
              <w:rPr>
                <w:rFonts w:ascii="宋体" w:hAnsi="宋体" w:cs="宋体" w:eastAsia="宋体" w:hint="default"/>
                <w:sz w:val="18"/>
                <w:szCs w:val="18"/>
              </w:rPr>
            </w:pPr>
            <w:r>
              <w:rPr>
                <w:rFonts w:ascii="宋体" w:hAnsi="宋体" w:cs="宋体" w:eastAsia="宋体" w:hint="default"/>
                <w:sz w:val="18"/>
                <w:szCs w:val="18"/>
              </w:rPr>
              <w:t>股权取得 成本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5" w:right="167" w:hanging="180"/>
              <w:jc w:val="left"/>
              <w:rPr>
                <w:rFonts w:ascii="宋体" w:hAnsi="宋体" w:cs="宋体" w:eastAsia="宋体" w:hint="default"/>
                <w:sz w:val="18"/>
                <w:szCs w:val="18"/>
              </w:rPr>
            </w:pPr>
            <w:r>
              <w:rPr>
                <w:rFonts w:ascii="宋体" w:hAnsi="宋体" w:cs="宋体" w:eastAsia="宋体" w:hint="default"/>
                <w:sz w:val="18"/>
                <w:szCs w:val="18"/>
              </w:rPr>
              <w:t>股权取得 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5" w:right="166" w:hanging="180"/>
              <w:jc w:val="left"/>
              <w:rPr>
                <w:rFonts w:ascii="宋体" w:hAnsi="宋体" w:cs="宋体" w:eastAsia="宋体" w:hint="default"/>
                <w:sz w:val="18"/>
                <w:szCs w:val="18"/>
              </w:rPr>
            </w:pPr>
            <w:r>
              <w:rPr>
                <w:rFonts w:ascii="宋体" w:hAnsi="宋体" w:cs="宋体" w:eastAsia="宋体" w:hint="default"/>
                <w:sz w:val="18"/>
                <w:szCs w:val="18"/>
              </w:rPr>
              <w:t>股权取得 方式</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65" w:right="163"/>
              <w:jc w:val="left"/>
              <w:rPr>
                <w:rFonts w:ascii="宋体" w:hAnsi="宋体" w:cs="宋体" w:eastAsia="宋体" w:hint="default"/>
                <w:sz w:val="18"/>
                <w:szCs w:val="18"/>
              </w:rPr>
            </w:pPr>
            <w:r>
              <w:rPr>
                <w:rFonts w:ascii="宋体" w:hAnsi="宋体" w:cs="宋体" w:eastAsia="宋体" w:hint="default"/>
                <w:sz w:val="18"/>
                <w:szCs w:val="18"/>
              </w:rPr>
              <w:t>购买日的 确定依据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67" w:right="164"/>
              <w:jc w:val="center"/>
              <w:rPr>
                <w:rFonts w:ascii="宋体" w:hAnsi="宋体" w:cs="宋体" w:eastAsia="宋体" w:hint="default"/>
                <w:sz w:val="18"/>
                <w:szCs w:val="18"/>
              </w:rPr>
            </w:pPr>
            <w:r>
              <w:rPr>
                <w:rFonts w:ascii="宋体" w:hAnsi="宋体" w:cs="宋体" w:eastAsia="宋体" w:hint="default"/>
                <w:sz w:val="18"/>
                <w:szCs w:val="18"/>
              </w:rPr>
              <w:t>购买日至 期末被购 买方的收 入</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65" w:right="163"/>
              <w:jc w:val="center"/>
              <w:rPr>
                <w:rFonts w:ascii="宋体" w:hAnsi="宋体" w:cs="宋体" w:eastAsia="宋体" w:hint="default"/>
                <w:sz w:val="18"/>
                <w:szCs w:val="18"/>
              </w:rPr>
            </w:pPr>
            <w:r>
              <w:rPr>
                <w:rFonts w:ascii="宋体" w:hAnsi="宋体" w:cs="宋体" w:eastAsia="宋体" w:hint="default"/>
                <w:sz w:val="18"/>
                <w:szCs w:val="18"/>
              </w:rPr>
              <w:t>购买日至 期末被购 买方的净 利润</w:t>
            </w:r>
          </w:p>
        </w:tc>
      </w:tr>
      <w:tr>
        <w:trPr>
          <w:trHeight w:val="1339"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03" w:right="228"/>
              <w:jc w:val="both"/>
              <w:rPr>
                <w:rFonts w:ascii="宋体" w:hAnsi="宋体" w:cs="宋体" w:eastAsia="宋体" w:hint="default"/>
                <w:sz w:val="18"/>
                <w:szCs w:val="18"/>
              </w:rPr>
            </w:pPr>
            <w:r>
              <w:rPr>
                <w:rFonts w:ascii="宋体" w:hAnsi="宋体" w:cs="宋体" w:eastAsia="宋体" w:hint="default"/>
                <w:sz w:val="18"/>
                <w:szCs w:val="18"/>
              </w:rPr>
              <w:t>云南浩南 生物科技 有限公司</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10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38" w:right="0"/>
              <w:jc w:val="left"/>
              <w:rPr>
                <w:rFonts w:ascii="Times New Roman" w:hAnsi="Times New Roman" w:cs="Times New Roman" w:eastAsia="Times New Roman" w:hint="default"/>
                <w:sz w:val="18"/>
                <w:szCs w:val="18"/>
              </w:rPr>
            </w:pPr>
            <w:r>
              <w:rPr>
                <w:rFonts w:ascii="Times New Roman"/>
                <w:sz w:val="18"/>
              </w:rPr>
              <w:t>0.69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395" w:right="0"/>
              <w:jc w:val="left"/>
              <w:rPr>
                <w:rFonts w:ascii="Times New Roman" w:hAnsi="Times New Roman" w:cs="Times New Roman" w:eastAsia="Times New Roman" w:hint="default"/>
                <w:sz w:val="18"/>
                <w:szCs w:val="18"/>
              </w:rPr>
            </w:pPr>
            <w:r>
              <w:rPr>
                <w:rFonts w:ascii="Times New Roman"/>
                <w:sz w:val="18"/>
              </w:rPr>
              <w:t>69.00%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05"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105"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101"/>
              <w:jc w:val="left"/>
              <w:rPr>
                <w:rFonts w:ascii="宋体" w:hAnsi="宋体" w:cs="宋体" w:eastAsia="宋体" w:hint="default"/>
                <w:sz w:val="18"/>
                <w:szCs w:val="18"/>
              </w:rPr>
            </w:pPr>
            <w:r>
              <w:rPr>
                <w:rFonts w:ascii="宋体" w:hAnsi="宋体" w:cs="宋体" w:eastAsia="宋体" w:hint="default"/>
                <w:sz w:val="18"/>
                <w:szCs w:val="18"/>
              </w:rPr>
              <w:t>工商变更 </w:t>
            </w:r>
            <w:r>
              <w:rPr>
                <w:rFonts w:ascii="宋体" w:hAnsi="宋体" w:cs="宋体" w:eastAsia="宋体" w:hint="default"/>
                <w:spacing w:val="-12"/>
                <w:sz w:val="18"/>
                <w:szCs w:val="18"/>
              </w:rPr>
              <w:t>完毕，本公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司实际取 得控制权</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38" w:right="0"/>
              <w:jc w:val="left"/>
              <w:rPr>
                <w:rFonts w:ascii="Times New Roman" w:hAnsi="Times New Roman" w:cs="Times New Roman" w:eastAsia="Times New Roman" w:hint="default"/>
                <w:sz w:val="18"/>
                <w:szCs w:val="18"/>
              </w:rPr>
            </w:pPr>
            <w:r>
              <w:rPr>
                <w:rFonts w:ascii="Times New Roman"/>
                <w:sz w:val="18"/>
              </w:rPr>
              <w:t>0.00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635"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38" w:lineRule="auto" w:before="49"/>
        <w:ind w:right="986"/>
        <w:jc w:val="left"/>
      </w:pPr>
      <w:r>
        <w:rPr/>
        <w:t>其他说明： </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月，本公司之孙公司青岛大通佳合资产管理有限公司从云南汇业投资集团有限责任公司及佘义晗处以</w:t>
      </w:r>
      <w:r>
        <w:rPr>
          <w:rFonts w:ascii="宋体" w:hAnsi="宋体" w:cs="宋体" w:eastAsia="宋体" w:hint="default"/>
          <w:spacing w:val="-2"/>
        </w:rPr>
        <w:t>1</w:t>
      </w:r>
      <w:r>
        <w:rPr>
          <w:spacing w:val="-2"/>
        </w:rPr>
        <w:t>元的名义价格</w:t>
      </w:r>
      <w:r>
        <w:rPr>
          <w:spacing w:val="-60"/>
        </w:rPr>
        <w:t> </w:t>
      </w:r>
      <w:r>
        <w:rPr>
          <w:spacing w:val="-2"/>
        </w:rPr>
        <w:t>购入云南浩南生物科技有限公司</w:t>
      </w:r>
      <w:r>
        <w:rPr>
          <w:rFonts w:ascii="宋体" w:hAnsi="宋体" w:cs="宋体" w:eastAsia="宋体" w:hint="default"/>
          <w:spacing w:val="-2"/>
        </w:rPr>
        <w:t>71%</w:t>
      </w:r>
      <w:r>
        <w:rPr>
          <w:spacing w:val="-2"/>
        </w:rPr>
        <w:t>的股份，随后将</w:t>
      </w:r>
      <w:r>
        <w:rPr>
          <w:rFonts w:ascii="宋体" w:hAnsi="宋体" w:cs="宋体" w:eastAsia="宋体" w:hint="default"/>
          <w:spacing w:val="-2"/>
        </w:rPr>
        <w:t>18%</w:t>
      </w:r>
      <w:r>
        <w:rPr>
          <w:spacing w:val="-2"/>
        </w:rPr>
        <w:t>的股权转让给云南贝捷生物科技有限公司，将</w:t>
      </w:r>
      <w:r>
        <w:rPr>
          <w:rFonts w:ascii="宋体" w:hAnsi="宋体" w:cs="宋体" w:eastAsia="宋体" w:hint="default"/>
          <w:spacing w:val="-2"/>
        </w:rPr>
        <w:t>2%</w:t>
      </w:r>
      <w:r>
        <w:rPr>
          <w:spacing w:val="-2"/>
        </w:rPr>
        <w:t>股权转让给自然人王</w:t>
      </w:r>
    </w:p>
    <w:p>
      <w:pPr>
        <w:spacing w:after="0" w:line="338"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ind w:right="986"/>
        <w:jc w:val="left"/>
      </w:pPr>
      <w:r>
        <w:rPr>
          <w:spacing w:val="-2"/>
        </w:rPr>
        <w:t>栋。该项变更于</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6</w:t>
      </w:r>
      <w:r>
        <w:rPr>
          <w:spacing w:val="-2"/>
        </w:rPr>
        <w:t>日完成工商变更登记，注册资本为人民币</w:t>
      </w:r>
      <w:r>
        <w:rPr>
          <w:rFonts w:ascii="宋体" w:hAnsi="宋体" w:cs="宋体" w:eastAsia="宋体" w:hint="default"/>
          <w:spacing w:val="-2"/>
        </w:rPr>
        <w:t>2687</w:t>
      </w:r>
      <w:r>
        <w:rPr>
          <w:spacing w:val="-2"/>
        </w:rPr>
        <w:t>万元。本公司拥有对其的控制权，故自该公司完成</w:t>
      </w:r>
      <w:r>
        <w:rPr>
          <w:spacing w:val="-57"/>
        </w:rPr>
        <w:t> </w:t>
      </w:r>
      <w:r>
        <w:rPr>
          <w:spacing w:val="-57"/>
        </w:rPr>
      </w:r>
      <w:r>
        <w:rPr/>
        <w:t>工商变更之日起，将其纳入合并报表范围。</w:t>
      </w:r>
    </w:p>
    <w:p>
      <w:pPr>
        <w:spacing w:line="240" w:lineRule="auto" w:before="9"/>
        <w:rPr>
          <w:rFonts w:ascii="宋体" w:hAnsi="宋体" w:cs="宋体" w:eastAsia="宋体" w:hint="default"/>
          <w:sz w:val="22"/>
          <w:szCs w:val="22"/>
        </w:rPr>
      </w:pPr>
    </w:p>
    <w:p>
      <w:pPr>
        <w:pStyle w:val="Heading4"/>
        <w:spacing w:line="240" w:lineRule="auto"/>
        <w:ind w:right="986"/>
        <w:jc w:val="left"/>
        <w:rPr>
          <w:b w:val="0"/>
          <w:bCs w:val="0"/>
        </w:rPr>
      </w:pPr>
      <w:bookmarkStart w:name="（2）合并成本及商誉" w:id="431"/>
      <w:bookmarkEnd w:id="431"/>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982"/>
        <w:gridCol w:w="3589"/>
      </w:tblGrid>
      <w:tr>
        <w:trPr>
          <w:trHeight w:val="403" w:hRule="exact"/>
        </w:trPr>
        <w:tc>
          <w:tcPr>
            <w:tcW w:w="5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合并成本</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云南浩南生物科技有限公司</w:t>
            </w:r>
          </w:p>
        </w:tc>
      </w:tr>
      <w:tr>
        <w:trPr>
          <w:trHeight w:val="401" w:hRule="exact"/>
        </w:trPr>
        <w:tc>
          <w:tcPr>
            <w:tcW w:w="5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0.10</w:t>
            </w:r>
          </w:p>
        </w:tc>
      </w:tr>
      <w:tr>
        <w:trPr>
          <w:trHeight w:val="403" w:hRule="exact"/>
        </w:trPr>
        <w:tc>
          <w:tcPr>
            <w:tcW w:w="5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35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发行或承担的债务的公允价值</w:t>
            </w:r>
          </w:p>
        </w:tc>
        <w:tc>
          <w:tcPr>
            <w:tcW w:w="35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发行的权益性证券的公允价值</w:t>
            </w:r>
          </w:p>
        </w:tc>
        <w:tc>
          <w:tcPr>
            <w:tcW w:w="35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或有对价的公允价值</w:t>
            </w:r>
          </w:p>
        </w:tc>
        <w:tc>
          <w:tcPr>
            <w:tcW w:w="35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购买日之前持有的股权于购买日的公允价值</w:t>
            </w:r>
          </w:p>
        </w:tc>
        <w:tc>
          <w:tcPr>
            <w:tcW w:w="35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0.59</w:t>
            </w:r>
          </w:p>
        </w:tc>
      </w:tr>
      <w:tr>
        <w:trPr>
          <w:trHeight w:val="403" w:hRule="exact"/>
        </w:trPr>
        <w:tc>
          <w:tcPr>
            <w:tcW w:w="5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合并成本合计</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0.69</w:t>
            </w:r>
          </w:p>
        </w:tc>
      </w:tr>
      <w:tr>
        <w:trPr>
          <w:trHeight w:val="401" w:hRule="exact"/>
        </w:trPr>
        <w:tc>
          <w:tcPr>
            <w:tcW w:w="5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减：取得的可辨认净资产公允价值份额</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5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商誉</w:t>
            </w:r>
            <w:r>
              <w:rPr>
                <w:rFonts w:ascii="Times New Roman" w:hAnsi="Times New Roman" w:cs="Times New Roman" w:eastAsia="Times New Roman" w:hint="default"/>
                <w:sz w:val="18"/>
                <w:szCs w:val="18"/>
              </w:rPr>
              <w:t>/</w:t>
            </w:r>
            <w:r>
              <w:rPr>
                <w:rFonts w:ascii="宋体" w:hAnsi="宋体" w:cs="宋体" w:eastAsia="宋体" w:hint="default"/>
                <w:sz w:val="18"/>
                <w:szCs w:val="18"/>
              </w:rPr>
              <w:t>合并成本小于取得的可辨认净资产公允价值份额的金额</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0.69</w:t>
            </w:r>
          </w:p>
        </w:tc>
      </w:tr>
    </w:tbl>
    <w:p>
      <w:pPr>
        <w:pStyle w:val="BodyText"/>
        <w:spacing w:line="357" w:lineRule="auto" w:before="49"/>
        <w:ind w:right="6074"/>
        <w:jc w:val="left"/>
      </w:pPr>
      <w:r>
        <w:rPr/>
        <w:t>合并成本公允价值的确定方法、或有对价及其变动的说明： 大额商誉形成的主要原因：</w:t>
      </w:r>
    </w:p>
    <w:p>
      <w:pPr>
        <w:pStyle w:val="BodyText"/>
        <w:spacing w:line="240" w:lineRule="auto" w:before="2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3）被购买方于购买日可辨认资产、负债" w:id="432"/>
      <w:bookmarkEnd w:id="432"/>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3"/>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3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07" w:right="0"/>
              <w:jc w:val="left"/>
              <w:rPr>
                <w:rFonts w:ascii="宋体" w:hAnsi="宋体" w:cs="宋体" w:eastAsia="宋体" w:hint="default"/>
                <w:sz w:val="18"/>
                <w:szCs w:val="18"/>
              </w:rPr>
            </w:pPr>
            <w:r>
              <w:rPr>
                <w:rFonts w:ascii="宋体" w:hAnsi="宋体" w:cs="宋体" w:eastAsia="宋体" w:hint="default"/>
                <w:sz w:val="18"/>
                <w:szCs w:val="18"/>
              </w:rPr>
              <w:t>云南浩南生物科技有限公司</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2"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2"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取得的净资产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0.00</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pStyle w:val="BodyText"/>
        <w:spacing w:line="357" w:lineRule="auto" w:before="49"/>
        <w:ind w:right="7531"/>
        <w:jc w:val="both"/>
      </w:pPr>
      <w:r>
        <w:rPr/>
        <w:t>可辨认资产、负债公允价值的确定方法： 企业合并中承担的被购买方的或有负债： 其他说明：</w:t>
      </w:r>
    </w:p>
    <w:p>
      <w:pPr>
        <w:spacing w:line="240" w:lineRule="auto" w:before="6"/>
        <w:rPr>
          <w:rFonts w:ascii="宋体" w:hAnsi="宋体" w:cs="宋体" w:eastAsia="宋体" w:hint="default"/>
          <w:sz w:val="20"/>
          <w:szCs w:val="20"/>
        </w:rPr>
      </w:pPr>
    </w:p>
    <w:p>
      <w:pPr>
        <w:pStyle w:val="Heading4"/>
        <w:spacing w:line="240" w:lineRule="auto"/>
        <w:ind w:right="0"/>
        <w:jc w:val="both"/>
        <w:rPr>
          <w:b w:val="0"/>
          <w:bCs w:val="0"/>
        </w:rPr>
      </w:pPr>
      <w:bookmarkStart w:name="（4）购买日之前持有的股权按照公允价值重新计量产生的利得或损失" w:id="433"/>
      <w:bookmarkEnd w:id="433"/>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0"/>
        <w:jc w:val="both"/>
      </w:pPr>
      <w:r>
        <w:rPr/>
        <w:t>是否存在通过多次交易分步实现企业合并且在报告期内取得控制权的交易</w:t>
      </w:r>
    </w:p>
    <w:p>
      <w:pPr>
        <w:pStyle w:val="BodyText"/>
        <w:spacing w:line="240" w:lineRule="auto" w:before="114"/>
        <w:ind w:right="0"/>
        <w:jc w:val="both"/>
      </w:pPr>
      <w:r>
        <w:rPr/>
        <w:t>□ 是 √</w:t>
      </w:r>
      <w:r>
        <w:rPr>
          <w:spacing w:val="3"/>
        </w:rPr>
        <w:t> </w:t>
      </w:r>
      <w:r>
        <w:rPr/>
        <w:t>否</w:t>
      </w:r>
    </w:p>
    <w:p>
      <w:pPr>
        <w:spacing w:after="0" w:line="240"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5）购买日或合并当期期末无法合理确定合并对价或被购买方可辨认资产、负债公允价值" w:id="434"/>
      <w:bookmarkEnd w:id="434"/>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6）其他说明" w:id="435"/>
      <w:bookmarkEnd w:id="435"/>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2、同一控制下企业合并" w:id="436"/>
      <w:bookmarkEnd w:id="436"/>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本期发生的同一控制下企业合并" w:id="437"/>
      <w:bookmarkEnd w:id="437"/>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060"/>
        <w:gridCol w:w="1061"/>
        <w:gridCol w:w="1064"/>
        <w:gridCol w:w="1063"/>
        <w:gridCol w:w="1066"/>
        <w:gridCol w:w="1063"/>
        <w:gridCol w:w="1063"/>
        <w:gridCol w:w="1066"/>
        <w:gridCol w:w="1063"/>
      </w:tblGrid>
      <w:tr>
        <w:trPr>
          <w:trHeight w:val="1649" w:hRule="exact"/>
        </w:trPr>
        <w:tc>
          <w:tcPr>
            <w:tcW w:w="1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44" w:right="163" w:hanging="180"/>
              <w:jc w:val="left"/>
              <w:rPr>
                <w:rFonts w:ascii="宋体" w:hAnsi="宋体" w:cs="宋体" w:eastAsia="宋体" w:hint="default"/>
                <w:sz w:val="18"/>
                <w:szCs w:val="18"/>
              </w:rPr>
            </w:pPr>
            <w:r>
              <w:rPr>
                <w:rFonts w:ascii="宋体" w:hAnsi="宋体" w:cs="宋体" w:eastAsia="宋体" w:hint="default"/>
                <w:sz w:val="18"/>
                <w:szCs w:val="18"/>
              </w:rPr>
              <w:t>被合并方 名称</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68" w:right="161"/>
              <w:jc w:val="both"/>
              <w:rPr>
                <w:rFonts w:ascii="宋体" w:hAnsi="宋体" w:cs="宋体" w:eastAsia="宋体" w:hint="default"/>
                <w:sz w:val="18"/>
                <w:szCs w:val="18"/>
              </w:rPr>
            </w:pPr>
            <w:r>
              <w:rPr>
                <w:rFonts w:ascii="宋体" w:hAnsi="宋体" w:cs="宋体" w:eastAsia="宋体" w:hint="default"/>
                <w:sz w:val="18"/>
                <w:szCs w:val="18"/>
              </w:rPr>
              <w:t>企业合并 中取得的 权益比例</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67" w:right="164"/>
              <w:jc w:val="center"/>
              <w:rPr>
                <w:rFonts w:ascii="宋体" w:hAnsi="宋体" w:cs="宋体" w:eastAsia="宋体" w:hint="default"/>
                <w:sz w:val="18"/>
                <w:szCs w:val="18"/>
              </w:rPr>
            </w:pPr>
            <w:r>
              <w:rPr>
                <w:rFonts w:ascii="宋体" w:hAnsi="宋体" w:cs="宋体" w:eastAsia="宋体" w:hint="default"/>
                <w:sz w:val="18"/>
                <w:szCs w:val="18"/>
              </w:rPr>
              <w:t>构成同一 控制下企 业合并的 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67" w:right="166"/>
              <w:jc w:val="left"/>
              <w:rPr>
                <w:rFonts w:ascii="宋体" w:hAnsi="宋体" w:cs="宋体" w:eastAsia="宋体" w:hint="default"/>
                <w:sz w:val="18"/>
                <w:szCs w:val="18"/>
              </w:rPr>
            </w:pPr>
            <w:r>
              <w:rPr>
                <w:rFonts w:ascii="宋体" w:hAnsi="宋体" w:cs="宋体" w:eastAsia="宋体" w:hint="default"/>
                <w:sz w:val="18"/>
                <w:szCs w:val="18"/>
              </w:rPr>
              <w:t>合并日的 确定依据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65" w:right="167"/>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68" w:right="163"/>
              <w:jc w:val="center"/>
              <w:rPr>
                <w:rFonts w:ascii="宋体" w:hAnsi="宋体" w:cs="宋体" w:eastAsia="宋体" w:hint="default"/>
                <w:sz w:val="18"/>
                <w:szCs w:val="18"/>
              </w:rPr>
            </w:pPr>
            <w:r>
              <w:rPr>
                <w:rFonts w:ascii="宋体" w:hAnsi="宋体" w:cs="宋体" w:eastAsia="宋体" w:hint="default"/>
                <w:sz w:val="18"/>
                <w:szCs w:val="18"/>
              </w:rPr>
              <w:t>合并当期 期初至合 并日被合 并方的净 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68" w:right="166"/>
              <w:jc w:val="both"/>
              <w:rPr>
                <w:rFonts w:ascii="宋体" w:hAnsi="宋体" w:cs="宋体" w:eastAsia="宋体" w:hint="default"/>
                <w:sz w:val="18"/>
                <w:szCs w:val="18"/>
              </w:rPr>
            </w:pPr>
            <w:r>
              <w:rPr>
                <w:rFonts w:ascii="宋体" w:hAnsi="宋体" w:cs="宋体" w:eastAsia="宋体" w:hint="default"/>
                <w:sz w:val="18"/>
                <w:szCs w:val="18"/>
              </w:rPr>
              <w:t>比较期间 被合并方 的收入</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165" w:right="167"/>
              <w:jc w:val="both"/>
              <w:rPr>
                <w:rFonts w:ascii="宋体" w:hAnsi="宋体" w:cs="宋体" w:eastAsia="宋体" w:hint="default"/>
                <w:sz w:val="18"/>
                <w:szCs w:val="18"/>
              </w:rPr>
            </w:pPr>
            <w:r>
              <w:rPr>
                <w:rFonts w:ascii="宋体" w:hAnsi="宋体" w:cs="宋体" w:eastAsia="宋体" w:hint="default"/>
                <w:sz w:val="18"/>
                <w:szCs w:val="18"/>
              </w:rPr>
              <w:t>比较期间 被合并方 的净利润</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合并成本" w:id="438"/>
      <w:bookmarkEnd w:id="438"/>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0"/>
        <w:rPr>
          <w:rFonts w:ascii="宋体" w:hAnsi="宋体" w:cs="宋体" w:eastAsia="宋体" w:hint="default"/>
          <w:sz w:val="7"/>
          <w:szCs w:val="7"/>
        </w:rPr>
      </w:pPr>
    </w:p>
    <w:p>
      <w:pPr>
        <w:spacing w:line="422" w:lineRule="exact"/>
        <w:ind w:left="10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15pt;mso-position-horizontal-relative:char;mso-position-vertical-relative:line" coordorigin="0,0" coordsize="9581,423">
            <v:group style="position:absolute;left:12;top:17;width:101;height:392" coordorigin="12,17" coordsize="101,392">
              <v:shape style="position:absolute;left:12;top:17;width:101;height:392" coordorigin="12,17" coordsize="101,392" path="m12,408l113,408,113,17,12,17,12,408xe" filled="true" fillcolor="#d2d2d2" stroked="false">
                <v:path arrowok="t"/>
                <v:fill type="solid"/>
              </v:shape>
            </v:group>
            <v:group style="position:absolute;left:4683;top:17;width:104;height:392" coordorigin="4683,17" coordsize="104,392">
              <v:shape style="position:absolute;left:4683;top:17;width:104;height:392" coordorigin="4683,17" coordsize="104,392" path="m4683,408l4787,408,4787,17,4683,17,4683,408xe" filled="true" fillcolor="#d2d2d2" stroked="false">
                <v:path arrowok="t"/>
                <v:fill type="solid"/>
              </v:shape>
            </v:group>
            <v:group style="position:absolute;left:113;top:17;width:4571;height:392" coordorigin="113,17" coordsize="4571,392">
              <v:shape style="position:absolute;left:113;top:17;width:4571;height:392" coordorigin="113,17" coordsize="4571,392" path="m113,408l4683,408,4683,17,113,17,113,408xe" filled="true" fillcolor="#d2d2d2" stroked="false">
                <v:path arrowok="t"/>
                <v:fill type="solid"/>
              </v:shape>
            </v:group>
            <v:group style="position:absolute;left:4796;top:17;width:104;height:392" coordorigin="4796,17" coordsize="104,392">
              <v:shape style="position:absolute;left:4796;top:17;width:104;height:392" coordorigin="4796,17" coordsize="104,392" path="m4796,408l4899,408,4899,17,4796,17,4796,408xe" filled="true" fillcolor="#d2d2d2" stroked="false">
                <v:path arrowok="t"/>
                <v:fill type="solid"/>
              </v:shape>
            </v:group>
            <v:group style="position:absolute;left:9468;top:17;width:104;height:392" coordorigin="9468,17" coordsize="104,392">
              <v:shape style="position:absolute;left:9468;top:17;width:104;height:392" coordorigin="9468,17" coordsize="104,392" path="m9468,408l9571,408,9571,17,9468,17,9468,408xe" filled="true" fillcolor="#d2d2d2" stroked="false">
                <v:path arrowok="t"/>
                <v:fill type="solid"/>
              </v:shape>
            </v:group>
            <v:group style="position:absolute;left:4899;top:17;width:4569;height:392" coordorigin="4899,17" coordsize="4569,392">
              <v:shape style="position:absolute;left:4899;top:17;width:4569;height:392" coordorigin="4899,17" coordsize="4569,392" path="m4899,408l9468,408,9468,17,4899,17,4899,408xe" filled="true" fillcolor="#d2d2d2" stroked="false">
                <v:path arrowok="t"/>
                <v:fill type="solid"/>
              </v:shape>
            </v:group>
            <v:group style="position:absolute;left:10;top:10;width:4775;height:2" coordorigin="10,10" coordsize="4775,2">
              <v:shape style="position:absolute;left:10;top:10;width:4775;height:2" coordorigin="10,10" coordsize="4775,0" path="m10,10l4784,10e" filled="false" stroked="true" strokeweight=".48001pt" strokecolor="#000000">
                <v:path arrowok="t"/>
              </v:shape>
            </v:group>
            <v:group style="position:absolute;left:4794;top:10;width:4777;height:2" coordorigin="4794,10" coordsize="4777,2">
              <v:shape style="position:absolute;left:4794;top:10;width:4777;height:2" coordorigin="4794,10" coordsize="4777,0" path="m4794,10l9571,10e" filled="false" stroked="true" strokeweight=".48001pt" strokecolor="#000000">
                <v:path arrowok="t"/>
              </v:shape>
            </v:group>
            <v:group style="position:absolute;left:5;top:5;width:2;height:413" coordorigin="5,5" coordsize="2,413">
              <v:shape style="position:absolute;left:5;top:5;width:2;height:413" coordorigin="5,5" coordsize="0,413" path="m5,5l5,418e" filled="false" stroked="true" strokeweight=".48pt" strokecolor="#000000">
                <v:path arrowok="t"/>
              </v:shape>
            </v:group>
            <v:group style="position:absolute;left:10;top:413;width:4775;height:2" coordorigin="10,413" coordsize="4775,2">
              <v:shape style="position:absolute;left:10;top:413;width:4775;height:2" coordorigin="10,413" coordsize="4775,0" path="m10,413l4784,413e" filled="false" stroked="true" strokeweight=".48001pt" strokecolor="#000000">
                <v:path arrowok="t"/>
              </v:shape>
            </v:group>
            <v:group style="position:absolute;left:4789;top:5;width:2;height:413" coordorigin="4789,5" coordsize="2,413">
              <v:shape style="position:absolute;left:4789;top:5;width:2;height:413" coordorigin="4789,5" coordsize="0,413" path="m4789,5l4789,418e" filled="false" stroked="true" strokeweight=".48001pt" strokecolor="#000000">
                <v:path arrowok="t"/>
              </v:shape>
            </v:group>
            <v:group style="position:absolute;left:4794;top:413;width:4777;height:2" coordorigin="4794,413" coordsize="4777,2">
              <v:shape style="position:absolute;left:4794;top:413;width:4777;height:2" coordorigin="4794,413" coordsize="4777,0" path="m4794,413l9571,413e" filled="false" stroked="true" strokeweight=".48001pt" strokecolor="#000000">
                <v:path arrowok="t"/>
              </v:shape>
            </v:group>
            <v:group style="position:absolute;left:9576;top:5;width:2;height:413" coordorigin="9576,5" coordsize="2,413">
              <v:shape style="position:absolute;left:9576;top:5;width:2;height:413" coordorigin="9576,5" coordsize="0,413" path="m9576,5l9576,418e" filled="false" stroked="true" strokeweight=".47998pt" strokecolor="#000000">
                <v:path arrowok="t"/>
              </v:shape>
              <v:shape style="position:absolute;left:6;top:11;width:4783;height:402" type="#_x0000_t202" filled="false" stroked="false">
                <v:textbox inset="0,0,0,0">
                  <w:txbxContent>
                    <w:p>
                      <w:pPr>
                        <w:spacing w:before="55"/>
                        <w:ind w:left="0" w:right="1"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57" w:lineRule="auto"/>
        <w:ind w:right="8594"/>
        <w:jc w:val="left"/>
      </w:pPr>
      <w:r>
        <w:rPr/>
        <w:t>或有对价及其变动的说明： 其他说明：</w:t>
      </w:r>
    </w:p>
    <w:p>
      <w:pPr>
        <w:spacing w:line="240" w:lineRule="auto" w:before="6"/>
        <w:rPr>
          <w:rFonts w:ascii="宋体" w:hAnsi="宋体" w:cs="宋体" w:eastAsia="宋体" w:hint="default"/>
          <w:sz w:val="20"/>
          <w:szCs w:val="20"/>
        </w:rPr>
      </w:pPr>
    </w:p>
    <w:p>
      <w:pPr>
        <w:pStyle w:val="Heading4"/>
        <w:spacing w:line="240" w:lineRule="auto"/>
        <w:ind w:right="986"/>
        <w:jc w:val="left"/>
        <w:rPr>
          <w:b w:val="0"/>
          <w:bCs w:val="0"/>
        </w:rPr>
      </w:pPr>
      <w:bookmarkStart w:name="（3）合并日被合并方资产、负债的账面价值" w:id="439"/>
      <w:bookmarkEnd w:id="439"/>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13"/>
        <w:rPr>
          <w:rFonts w:ascii="宋体" w:hAnsi="宋体" w:cs="宋体" w:eastAsia="宋体" w:hint="default"/>
          <w:sz w:val="7"/>
          <w:szCs w:val="7"/>
        </w:rPr>
      </w:pPr>
    </w:p>
    <w:p>
      <w:pPr>
        <w:spacing w:line="823" w:lineRule="exact"/>
        <w:ind w:left="108"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15pt;height:41.2pt;mso-position-horizontal-relative:char;mso-position-vertical-relative:line" coordorigin="0,0" coordsize="9583,824">
            <v:group style="position:absolute;left:12;top:14;width:101;height:392" coordorigin="12,14" coordsize="101,392">
              <v:shape style="position:absolute;left:12;top:14;width:101;height:392" coordorigin="12,14" coordsize="101,392" path="m12,406l113,406,113,14,12,14,12,406xe" filled="true" fillcolor="#d2d2d2" stroked="false">
                <v:path arrowok="t"/>
                <v:fill type="solid"/>
              </v:shape>
            </v:group>
            <v:group style="position:absolute;left:3090;top:14;width:104;height:392" coordorigin="3090,14" coordsize="104,392">
              <v:shape style="position:absolute;left:3090;top:14;width:104;height:392" coordorigin="3090,14" coordsize="104,392" path="m3090,406l3193,406,3193,14,3090,14,3090,406xe" filled="true" fillcolor="#d2d2d2" stroked="false">
                <v:path arrowok="t"/>
                <v:fill type="solid"/>
              </v:shape>
            </v:group>
            <v:group style="position:absolute;left:113;top:14;width:2977;height:392" coordorigin="113,14" coordsize="2977,392">
              <v:shape style="position:absolute;left:113;top:14;width:2977;height:392" coordorigin="113,14" coordsize="2977,392" path="m113,406l3090,406,3090,14,113,14,113,406xe" filled="true" fillcolor="#d2d2d2" stroked="false">
                <v:path arrowok="t"/>
                <v:fill type="solid"/>
              </v:shape>
            </v:group>
            <v:group style="position:absolute;left:3203;top:14;width:104;height:392" coordorigin="3203,14" coordsize="104,392">
              <v:shape style="position:absolute;left:3203;top:14;width:104;height:392" coordorigin="3203,14" coordsize="104,392" path="m3203,406l3306,406,3306,14,3203,14,3203,406xe" filled="true" fillcolor="#d2d2d2" stroked="false">
                <v:path arrowok="t"/>
                <v:fill type="solid"/>
              </v:shape>
            </v:group>
            <v:group style="position:absolute;left:9470;top:14;width:104;height:392" coordorigin="9470,14" coordsize="104,392">
              <v:shape style="position:absolute;left:9470;top:14;width:104;height:392" coordorigin="9470,14" coordsize="104,392" path="m9470,406l9573,406,9573,14,9470,14,9470,406xe" filled="true" fillcolor="#d2d2d2" stroked="false">
                <v:path arrowok="t"/>
                <v:fill type="solid"/>
              </v:shape>
            </v:group>
            <v:group style="position:absolute;left:3306;top:14;width:6165;height:392" coordorigin="3306,14" coordsize="6165,392">
              <v:shape style="position:absolute;left:3306;top:14;width:6165;height:392" coordorigin="3306,14" coordsize="6165,392" path="m3306,406l9470,406,9470,14,3306,14,3306,406xe" filled="true" fillcolor="#d2d2d2" stroked="false">
                <v:path arrowok="t"/>
                <v:fill type="solid"/>
              </v:shape>
            </v:group>
            <v:group style="position:absolute;left:10;top:10;width:3181;height:2" coordorigin="10,10" coordsize="3181,2">
              <v:shape style="position:absolute;left:10;top:10;width:3181;height:2" coordorigin="10,10" coordsize="3181,0" path="m10,10l3191,10e" filled="false" stroked="true" strokeweight=".47998pt" strokecolor="#000000">
                <v:path arrowok="t"/>
              </v:shape>
            </v:group>
            <v:group style="position:absolute;left:3200;top:10;width:6373;height:2" coordorigin="3200,10" coordsize="6373,2">
              <v:shape style="position:absolute;left:3200;top:10;width:6373;height:2" coordorigin="3200,10" coordsize="6373,0" path="m3200,10l9573,10e" filled="false" stroked="true" strokeweight=".47998pt" strokecolor="#000000">
                <v:path arrowok="t"/>
              </v:shape>
            </v:group>
            <v:group style="position:absolute;left:12;top:415;width:101;height:394" coordorigin="12,415" coordsize="101,394">
              <v:shape style="position:absolute;left:12;top:415;width:101;height:394" coordorigin="12,415" coordsize="101,394" path="m12,809l113,809,113,415,12,415,12,809xe" filled="true" fillcolor="#d2d2d2" stroked="false">
                <v:path arrowok="t"/>
                <v:fill type="solid"/>
              </v:shape>
            </v:group>
            <v:group style="position:absolute;left:3090;top:415;width:104;height:394" coordorigin="3090,415" coordsize="104,394">
              <v:shape style="position:absolute;left:3090;top:415;width:104;height:394" coordorigin="3090,415" coordsize="104,394" path="m3090,809l3193,809,3193,415,3090,415,3090,809xe" filled="true" fillcolor="#d2d2d2" stroked="false">
                <v:path arrowok="t"/>
                <v:fill type="solid"/>
              </v:shape>
            </v:group>
            <v:group style="position:absolute;left:113;top:415;width:2977;height:394" coordorigin="113,415" coordsize="2977,394">
              <v:shape style="position:absolute;left:113;top:415;width:2977;height:394" coordorigin="113,415" coordsize="2977,394" path="m113,809l3090,809,3090,415,113,415,113,809xe" filled="true" fillcolor="#d2d2d2" stroked="false">
                <v:path arrowok="t"/>
                <v:fill type="solid"/>
              </v:shape>
            </v:group>
            <v:group style="position:absolute;left:3203;top:415;width:104;height:394" coordorigin="3203,415" coordsize="104,394">
              <v:shape style="position:absolute;left:3203;top:415;width:104;height:394" coordorigin="3203,415" coordsize="104,394" path="m3203,809l3306,809,3306,415,3203,415,3203,809xe" filled="true" fillcolor="#d2d2d2" stroked="false">
                <v:path arrowok="t"/>
                <v:fill type="solid"/>
              </v:shape>
            </v:group>
            <v:group style="position:absolute;left:6280;top:415;width:104;height:394" coordorigin="6280,415" coordsize="104,394">
              <v:shape style="position:absolute;left:6280;top:415;width:104;height:394" coordorigin="6280,415" coordsize="104,394" path="m6280,809l6383,809,6383,415,6280,415,6280,809xe" filled="true" fillcolor="#d2d2d2" stroked="false">
                <v:path arrowok="t"/>
                <v:fill type="solid"/>
              </v:shape>
            </v:group>
            <v:group style="position:absolute;left:3306;top:415;width:2974;height:394" coordorigin="3306,415" coordsize="2974,394">
              <v:shape style="position:absolute;left:3306;top:415;width:2974;height:394" coordorigin="3306,415" coordsize="2974,394" path="m3306,809l6280,809,6280,415,3306,415,3306,809xe" filled="true" fillcolor="#d2d2d2" stroked="false">
                <v:path arrowok="t"/>
                <v:fill type="solid"/>
              </v:shape>
            </v:group>
            <v:group style="position:absolute;left:6393;top:415;width:104;height:394" coordorigin="6393,415" coordsize="104,394">
              <v:shape style="position:absolute;left:6393;top:415;width:104;height:394" coordorigin="6393,415" coordsize="104,394" path="m6393,809l6496,809,6496,415,6393,415,6393,809xe" filled="true" fillcolor="#d2d2d2" stroked="false">
                <v:path arrowok="t"/>
                <v:fill type="solid"/>
              </v:shape>
            </v:group>
            <v:group style="position:absolute;left:9470;top:415;width:104;height:394" coordorigin="9470,415" coordsize="104,394">
              <v:shape style="position:absolute;left:9470;top:415;width:104;height:394" coordorigin="9470,415" coordsize="104,394" path="m9470,809l9573,809,9573,415,9470,415,9470,809xe" filled="true" fillcolor="#d2d2d2" stroked="false">
                <v:path arrowok="t"/>
                <v:fill type="solid"/>
              </v:shape>
            </v:group>
            <v:group style="position:absolute;left:6496;top:415;width:2974;height:394" coordorigin="6496,415" coordsize="2974,394">
              <v:shape style="position:absolute;left:6496;top:415;width:2974;height:394" coordorigin="6496,415" coordsize="2974,394" path="m6496,809l9470,809,9470,415,6496,415,6496,809xe" filled="true" fillcolor="#d2d2d2" stroked="false">
                <v:path arrowok="t"/>
                <v:fill type="solid"/>
              </v:shape>
            </v:group>
            <v:group style="position:absolute;left:10;top:410;width:3181;height:2" coordorigin="10,410" coordsize="3181,2">
              <v:shape style="position:absolute;left:10;top:410;width:3181;height:2" coordorigin="10,410" coordsize="3181,0" path="m10,410l3191,410e" filled="false" stroked="true" strokeweight=".48004pt" strokecolor="#000000">
                <v:path arrowok="t"/>
              </v:shape>
            </v:group>
            <v:group style="position:absolute;left:3200;top:410;width:3181;height:2" coordorigin="3200,410" coordsize="3181,2">
              <v:shape style="position:absolute;left:3200;top:410;width:3181;height:2" coordorigin="3200,410" coordsize="3181,0" path="m3200,410l6381,410e" filled="false" stroked="true" strokeweight=".48004pt" strokecolor="#000000">
                <v:path arrowok="t"/>
              </v:shape>
            </v:group>
            <v:group style="position:absolute;left:6390;top:410;width:3183;height:2" coordorigin="6390,410" coordsize="3183,2">
              <v:shape style="position:absolute;left:6390;top:410;width:3183;height:2" coordorigin="6390,410" coordsize="3183,0" path="m6390,410l9573,410e" filled="false" stroked="true" strokeweight=".48004pt" strokecolor="#000000">
                <v:path arrowok="t"/>
              </v:shape>
            </v:group>
            <v:group style="position:absolute;left:5;top:5;width:2;height:814" coordorigin="5,5" coordsize="2,814">
              <v:shape style="position:absolute;left:5;top:5;width:2;height:814" coordorigin="5,5" coordsize="0,814" path="m5,5l5,818e" filled="false" stroked="true" strokeweight=".48pt" strokecolor="#000000">
                <v:path arrowok="t"/>
              </v:shape>
            </v:group>
            <v:group style="position:absolute;left:10;top:814;width:3181;height:2" coordorigin="10,814" coordsize="3181,2">
              <v:shape style="position:absolute;left:10;top:814;width:3181;height:2" coordorigin="10,814" coordsize="3181,0" path="m10,814l3191,814e" filled="false" stroked="true" strokeweight=".47998pt" strokecolor="#000000">
                <v:path arrowok="t"/>
              </v:shape>
            </v:group>
            <v:group style="position:absolute;left:3195;top:5;width:2;height:814" coordorigin="3195,5" coordsize="2,814">
              <v:shape style="position:absolute;left:3195;top:5;width:2;height:814" coordorigin="3195,5" coordsize="0,814" path="m3195,5l3195,818e" filled="false" stroked="true" strokeweight=".48pt" strokecolor="#000000">
                <v:path arrowok="t"/>
              </v:shape>
            </v:group>
            <v:group style="position:absolute;left:3200;top:814;width:3181;height:2" coordorigin="3200,814" coordsize="3181,2">
              <v:shape style="position:absolute;left:3200;top:814;width:3181;height:2" coordorigin="3200,814" coordsize="3181,0" path="m3200,814l6381,814e" filled="false" stroked="true" strokeweight=".47998pt" strokecolor="#000000">
                <v:path arrowok="t"/>
              </v:shape>
            </v:group>
            <v:group style="position:absolute;left:6385;top:406;width:2;height:413" coordorigin="6385,406" coordsize="2,413">
              <v:shape style="position:absolute;left:6385;top:406;width:2;height:413" coordorigin="6385,406" coordsize="0,413" path="m6385,406l6385,818e" filled="false" stroked="true" strokeweight=".48001pt" strokecolor="#000000">
                <v:path arrowok="t"/>
              </v:shape>
            </v:group>
            <v:group style="position:absolute;left:6390;top:814;width:3183;height:2" coordorigin="6390,814" coordsize="3183,2">
              <v:shape style="position:absolute;left:6390;top:814;width:3183;height:2" coordorigin="6390,814" coordsize="3183,0" path="m6390,814l9573,814e" filled="false" stroked="true" strokeweight=".47998pt" strokecolor="#000000">
                <v:path arrowok="t"/>
              </v:shape>
            </v:group>
            <v:group style="position:absolute;left:9578;top:5;width:2;height:814" coordorigin="9578,5" coordsize="2,814">
              <v:shape style="position:absolute;left:9578;top:5;width:2;height:814" coordorigin="9578,5" coordsize="0,814" path="m9578,5l9578,818e" filled="false" stroked="true" strokeweight=".47998pt" strokecolor="#000000">
                <v:path arrowok="t"/>
              </v:shape>
              <v:shape style="position:absolute;left:3195;top:410;width:3190;height:404" type="#_x0000_t202" filled="false" stroked="false">
                <v:textbox inset="0,0,0,0">
                  <w:txbxContent>
                    <w:p>
                      <w:pPr>
                        <w:spacing w:before="53"/>
                        <w:ind w:left="4"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85;top:410;width:3193;height:404" type="#_x0000_t202" filled="false" stroked="false">
                <v:textbox inset="0,0,0,0">
                  <w:txbxContent>
                    <w:p>
                      <w:pPr>
                        <w:spacing w:before="53"/>
                        <w:ind w:left="0"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57" w:lineRule="auto"/>
        <w:ind w:right="7514"/>
        <w:jc w:val="left"/>
      </w:pPr>
      <w:r>
        <w:rPr/>
        <w:t>企业合并中承担的被合并方的或有负债： 其他说明：</w:t>
      </w:r>
    </w:p>
    <w:p>
      <w:pPr>
        <w:spacing w:line="240" w:lineRule="auto" w:before="6"/>
        <w:rPr>
          <w:rFonts w:ascii="宋体" w:hAnsi="宋体" w:cs="宋体" w:eastAsia="宋体" w:hint="default"/>
          <w:sz w:val="20"/>
          <w:szCs w:val="20"/>
        </w:rPr>
      </w:pPr>
    </w:p>
    <w:p>
      <w:pPr>
        <w:pStyle w:val="Heading4"/>
        <w:spacing w:line="240" w:lineRule="auto"/>
        <w:ind w:right="986"/>
        <w:jc w:val="left"/>
        <w:rPr>
          <w:b w:val="0"/>
          <w:bCs w:val="0"/>
        </w:rPr>
      </w:pPr>
      <w:bookmarkStart w:name="3、反向购买" w:id="440"/>
      <w:bookmarkEnd w:id="440"/>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5"/>
        <w:rPr>
          <w:rFonts w:ascii="宋体" w:hAnsi="宋体" w:cs="宋体" w:eastAsia="宋体" w:hint="default"/>
          <w:b/>
          <w:bCs/>
          <w:sz w:val="26"/>
          <w:szCs w:val="26"/>
        </w:rPr>
      </w:pPr>
    </w:p>
    <w:p>
      <w:pPr>
        <w:pStyle w:val="BodyText"/>
        <w:spacing w:line="316" w:lineRule="auto" w:before="0"/>
        <w:ind w:right="986"/>
        <w:jc w:val="left"/>
      </w:pPr>
      <w:r>
        <w:rPr>
          <w:spacing w:val="-2"/>
        </w:rPr>
        <w:t>交易基本信息、交易构成反向购买的依据、上市公司保留的资产、负债是否构成业务及其依据、合并成本的确定、按照权益</w:t>
      </w:r>
      <w:r>
        <w:rPr>
          <w:spacing w:val="-67"/>
        </w:rPr>
        <w:t> </w:t>
      </w:r>
      <w:r>
        <w:rPr>
          <w:spacing w:val="-67"/>
        </w:rPr>
      </w:r>
      <w:r>
        <w:rPr/>
        <w:t>性交易处理时调整权益的金额及其计算：</w:t>
      </w:r>
    </w:p>
    <w:p>
      <w:pPr>
        <w:spacing w:line="240" w:lineRule="auto" w:before="8"/>
        <w:rPr>
          <w:rFonts w:ascii="宋体" w:hAnsi="宋体" w:cs="宋体" w:eastAsia="宋体" w:hint="default"/>
          <w:sz w:val="22"/>
          <w:szCs w:val="22"/>
        </w:rPr>
      </w:pPr>
    </w:p>
    <w:p>
      <w:pPr>
        <w:pStyle w:val="Heading4"/>
        <w:spacing w:line="240" w:lineRule="auto"/>
        <w:ind w:right="986"/>
        <w:jc w:val="left"/>
        <w:rPr>
          <w:b w:val="0"/>
          <w:bCs w:val="0"/>
        </w:rPr>
      </w:pPr>
      <w:bookmarkStart w:name="4、处置子公司" w:id="441"/>
      <w:bookmarkEnd w:id="441"/>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906" w:footer="1021" w:top="1100" w:bottom="1220" w:left="1020" w:right="0"/>
        </w:sectPr>
      </w:pPr>
    </w:p>
    <w:p>
      <w:pPr>
        <w:pStyle w:val="BodyText"/>
        <w:spacing w:line="240" w:lineRule="auto"/>
        <w:ind w:right="-20"/>
        <w:jc w:val="left"/>
      </w:pPr>
      <w:r>
        <w:rPr/>
        <w:t>是否存在单次处置对子公司投资即丧失控制权的情形</w:t>
      </w:r>
    </w:p>
    <w:p>
      <w:pPr>
        <w:pStyle w:val="BodyText"/>
        <w:spacing w:line="240" w:lineRule="auto" w:before="117"/>
        <w:ind w:right="-20"/>
        <w:jc w:val="left"/>
      </w:pPr>
      <w:r>
        <w:rPr/>
        <w:t>√ 是 □</w:t>
      </w:r>
      <w:r>
        <w:rPr>
          <w:spacing w:val="3"/>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4253" w:space="4576"/>
            <w:col w:w="206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810"/>
        <w:gridCol w:w="485"/>
        <w:gridCol w:w="497"/>
        <w:gridCol w:w="434"/>
        <w:gridCol w:w="577"/>
        <w:gridCol w:w="689"/>
        <w:gridCol w:w="1238"/>
        <w:gridCol w:w="639"/>
        <w:gridCol w:w="715"/>
        <w:gridCol w:w="662"/>
        <w:gridCol w:w="907"/>
        <w:gridCol w:w="958"/>
        <w:gridCol w:w="953"/>
      </w:tblGrid>
      <w:tr>
        <w:trPr>
          <w:trHeight w:val="362" w:hRule="exact"/>
        </w:trPr>
        <w:tc>
          <w:tcPr>
            <w:tcW w:w="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8"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股</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4"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丧</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8" w:right="0"/>
              <w:jc w:val="left"/>
              <w:rPr>
                <w:rFonts w:ascii="宋体" w:hAnsi="宋体" w:cs="宋体" w:eastAsia="宋体" w:hint="default"/>
                <w:sz w:val="18"/>
                <w:szCs w:val="18"/>
              </w:rPr>
            </w:pPr>
            <w:r>
              <w:rPr>
                <w:rFonts w:ascii="宋体" w:hAnsi="宋体" w:cs="宋体" w:eastAsia="宋体" w:hint="default"/>
                <w:sz w:val="18"/>
                <w:szCs w:val="18"/>
              </w:rPr>
              <w:t>丧失</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处置价款与</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4" w:right="0"/>
              <w:jc w:val="left"/>
              <w:rPr>
                <w:rFonts w:ascii="宋体" w:hAnsi="宋体" w:cs="宋体" w:eastAsia="宋体" w:hint="default"/>
                <w:sz w:val="18"/>
                <w:szCs w:val="18"/>
              </w:rPr>
            </w:pPr>
            <w:r>
              <w:rPr>
                <w:rFonts w:ascii="宋体" w:hAnsi="宋体" w:cs="宋体" w:eastAsia="宋体" w:hint="default"/>
                <w:sz w:val="18"/>
                <w:szCs w:val="18"/>
              </w:rPr>
              <w:t>丧失</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2" w:right="0"/>
              <w:jc w:val="left"/>
              <w:rPr>
                <w:rFonts w:ascii="宋体" w:hAnsi="宋体" w:cs="宋体" w:eastAsia="宋体" w:hint="default"/>
                <w:sz w:val="18"/>
                <w:szCs w:val="18"/>
              </w:rPr>
            </w:pPr>
            <w:r>
              <w:rPr>
                <w:rFonts w:ascii="宋体" w:hAnsi="宋体" w:cs="宋体" w:eastAsia="宋体" w:hint="default"/>
                <w:sz w:val="18"/>
                <w:szCs w:val="18"/>
              </w:rPr>
              <w:t>丧失</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丧失</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9" w:right="0"/>
              <w:jc w:val="left"/>
              <w:rPr>
                <w:rFonts w:ascii="宋体" w:hAnsi="宋体" w:cs="宋体" w:eastAsia="宋体" w:hint="default"/>
                <w:sz w:val="18"/>
                <w:szCs w:val="18"/>
              </w:rPr>
            </w:pPr>
            <w:r>
              <w:rPr>
                <w:rFonts w:ascii="宋体" w:hAnsi="宋体" w:cs="宋体" w:eastAsia="宋体" w:hint="default"/>
                <w:sz w:val="18"/>
                <w:szCs w:val="18"/>
              </w:rPr>
              <w:t>按照公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3" w:right="0"/>
              <w:jc w:val="left"/>
              <w:rPr>
                <w:rFonts w:ascii="宋体" w:hAnsi="宋体" w:cs="宋体" w:eastAsia="宋体" w:hint="default"/>
                <w:sz w:val="18"/>
                <w:szCs w:val="18"/>
              </w:rPr>
            </w:pPr>
            <w:r>
              <w:rPr>
                <w:rFonts w:ascii="宋体" w:hAnsi="宋体" w:cs="宋体" w:eastAsia="宋体" w:hint="default"/>
                <w:sz w:val="18"/>
                <w:szCs w:val="18"/>
              </w:rPr>
              <w:t>丧失控制</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与原子公</w:t>
            </w:r>
          </w:p>
        </w:tc>
      </w:tr>
    </w:tbl>
    <w:p>
      <w:pPr>
        <w:spacing w:after="0" w:line="240" w:lineRule="auto"/>
        <w:jc w:val="left"/>
        <w:rPr>
          <w:rFonts w:ascii="宋体" w:hAnsi="宋体" w:cs="宋体" w:eastAsia="宋体"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812"/>
        <w:gridCol w:w="485"/>
        <w:gridCol w:w="497"/>
        <w:gridCol w:w="434"/>
        <w:gridCol w:w="577"/>
        <w:gridCol w:w="689"/>
        <w:gridCol w:w="1238"/>
        <w:gridCol w:w="639"/>
        <w:gridCol w:w="715"/>
        <w:gridCol w:w="662"/>
        <w:gridCol w:w="907"/>
        <w:gridCol w:w="958"/>
        <w:gridCol w:w="953"/>
      </w:tblGrid>
      <w:tr>
        <w:trPr>
          <w:trHeight w:val="2235" w:hRule="exact"/>
        </w:trPr>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18" w:right="0"/>
              <w:jc w:val="left"/>
              <w:rPr>
                <w:rFonts w:ascii="宋体" w:hAnsi="宋体" w:cs="宋体" w:eastAsia="宋体" w:hint="default"/>
                <w:sz w:val="18"/>
                <w:szCs w:val="18"/>
              </w:rPr>
            </w:pPr>
            <w:r>
              <w:rPr>
                <w:rFonts w:ascii="宋体" w:hAnsi="宋体" w:cs="宋体" w:eastAsia="宋体" w:hint="default"/>
                <w:sz w:val="18"/>
                <w:szCs w:val="18"/>
              </w:rPr>
              <w:t>名称</w:t>
            </w:r>
          </w:p>
        </w:tc>
        <w:tc>
          <w:tcPr>
            <w:tcW w:w="4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48" w:right="144"/>
              <w:jc w:val="both"/>
              <w:rPr>
                <w:rFonts w:ascii="宋体" w:hAnsi="宋体" w:cs="宋体" w:eastAsia="宋体" w:hint="default"/>
                <w:sz w:val="18"/>
                <w:szCs w:val="18"/>
              </w:rPr>
            </w:pPr>
            <w:r>
              <w:rPr>
                <w:rFonts w:ascii="宋体" w:hAnsi="宋体" w:cs="宋体" w:eastAsia="宋体" w:hint="default"/>
                <w:sz w:val="18"/>
                <w:szCs w:val="18"/>
              </w:rPr>
              <w:t>权 处 置 价 款</w:t>
            </w:r>
          </w:p>
        </w:tc>
        <w:tc>
          <w:tcPr>
            <w:tcW w:w="4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53" w:right="151"/>
              <w:jc w:val="both"/>
              <w:rPr>
                <w:rFonts w:ascii="宋体" w:hAnsi="宋体" w:cs="宋体" w:eastAsia="宋体" w:hint="default"/>
                <w:sz w:val="18"/>
                <w:szCs w:val="18"/>
              </w:rPr>
            </w:pPr>
            <w:r>
              <w:rPr>
                <w:rFonts w:ascii="宋体" w:hAnsi="宋体" w:cs="宋体" w:eastAsia="宋体" w:hint="default"/>
                <w:sz w:val="18"/>
                <w:szCs w:val="18"/>
              </w:rPr>
              <w:t>权 处 置 比 例</w:t>
            </w:r>
          </w:p>
        </w:tc>
        <w:tc>
          <w:tcPr>
            <w:tcW w:w="4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24" w:right="119"/>
              <w:jc w:val="both"/>
              <w:rPr>
                <w:rFonts w:ascii="宋体" w:hAnsi="宋体" w:cs="宋体" w:eastAsia="宋体" w:hint="default"/>
                <w:sz w:val="18"/>
                <w:szCs w:val="18"/>
              </w:rPr>
            </w:pPr>
            <w:r>
              <w:rPr>
                <w:rFonts w:ascii="宋体" w:hAnsi="宋体" w:cs="宋体" w:eastAsia="宋体" w:hint="default"/>
                <w:sz w:val="18"/>
                <w:szCs w:val="18"/>
              </w:rPr>
              <w:t>权 处 置 方 式</w:t>
            </w:r>
          </w:p>
        </w:tc>
        <w:tc>
          <w:tcPr>
            <w:tcW w:w="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91" w:right="194"/>
              <w:jc w:val="both"/>
              <w:rPr>
                <w:rFonts w:ascii="宋体" w:hAnsi="宋体" w:cs="宋体" w:eastAsia="宋体" w:hint="default"/>
                <w:sz w:val="18"/>
                <w:szCs w:val="18"/>
              </w:rPr>
            </w:pPr>
            <w:r>
              <w:rPr>
                <w:rFonts w:ascii="宋体" w:hAnsi="宋体" w:cs="宋体" w:eastAsia="宋体" w:hint="default"/>
                <w:sz w:val="18"/>
                <w:szCs w:val="18"/>
              </w:rPr>
              <w:t>失 控 制 权 的 时 点</w:t>
            </w:r>
          </w:p>
        </w:tc>
        <w:tc>
          <w:tcPr>
            <w:tcW w:w="6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58" w:right="158"/>
              <w:jc w:val="both"/>
              <w:rPr>
                <w:rFonts w:ascii="宋体" w:hAnsi="宋体" w:cs="宋体" w:eastAsia="宋体" w:hint="default"/>
                <w:sz w:val="18"/>
                <w:szCs w:val="18"/>
              </w:rPr>
            </w:pPr>
            <w:r>
              <w:rPr>
                <w:rFonts w:ascii="宋体" w:hAnsi="宋体" w:cs="宋体" w:eastAsia="宋体" w:hint="default"/>
                <w:sz w:val="18"/>
                <w:szCs w:val="18"/>
              </w:rPr>
              <w:t>控制 权时 点的 确定 依据</w:t>
            </w:r>
          </w:p>
        </w:tc>
        <w:tc>
          <w:tcPr>
            <w:tcW w:w="12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63" w:right="163"/>
              <w:jc w:val="both"/>
              <w:rPr>
                <w:rFonts w:ascii="宋体" w:hAnsi="宋体" w:cs="宋体" w:eastAsia="宋体" w:hint="default"/>
                <w:sz w:val="18"/>
                <w:szCs w:val="18"/>
              </w:rPr>
            </w:pPr>
            <w:r>
              <w:rPr>
                <w:rFonts w:ascii="宋体" w:hAnsi="宋体" w:cs="宋体" w:eastAsia="宋体" w:hint="default"/>
                <w:sz w:val="18"/>
                <w:szCs w:val="18"/>
              </w:rPr>
              <w:t>处置投资对 应的合并财 务报表层面 享有该子公 司净资产份 额的差额</w:t>
            </w:r>
          </w:p>
        </w:tc>
        <w:tc>
          <w:tcPr>
            <w:tcW w:w="6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34" w:right="132"/>
              <w:jc w:val="both"/>
              <w:rPr>
                <w:rFonts w:ascii="宋体" w:hAnsi="宋体" w:cs="宋体" w:eastAsia="宋体" w:hint="default"/>
                <w:sz w:val="18"/>
                <w:szCs w:val="18"/>
              </w:rPr>
            </w:pPr>
            <w:r>
              <w:rPr>
                <w:rFonts w:ascii="宋体" w:hAnsi="宋体" w:cs="宋体" w:eastAsia="宋体" w:hint="default"/>
                <w:sz w:val="18"/>
                <w:szCs w:val="18"/>
              </w:rPr>
              <w:t>控制 权之 日剩 余股 权的 比例</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72" w:right="170"/>
              <w:jc w:val="both"/>
              <w:rPr>
                <w:rFonts w:ascii="宋体" w:hAnsi="宋体" w:cs="宋体" w:eastAsia="宋体" w:hint="default"/>
                <w:sz w:val="18"/>
                <w:szCs w:val="18"/>
              </w:rPr>
            </w:pPr>
            <w:r>
              <w:rPr>
                <w:rFonts w:ascii="宋体" w:hAnsi="宋体" w:cs="宋体" w:eastAsia="宋体" w:hint="default"/>
                <w:sz w:val="18"/>
                <w:szCs w:val="18"/>
              </w:rPr>
              <w:t>控制 权之 日剩 余股 权的 账面 价值</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46" w:right="144"/>
              <w:jc w:val="both"/>
              <w:rPr>
                <w:rFonts w:ascii="宋体" w:hAnsi="宋体" w:cs="宋体" w:eastAsia="宋体" w:hint="default"/>
                <w:sz w:val="18"/>
                <w:szCs w:val="18"/>
              </w:rPr>
            </w:pPr>
            <w:r>
              <w:rPr>
                <w:rFonts w:ascii="宋体" w:hAnsi="宋体" w:cs="宋体" w:eastAsia="宋体" w:hint="default"/>
                <w:sz w:val="18"/>
                <w:szCs w:val="18"/>
              </w:rPr>
              <w:t>控制 权之 日剩 余股 权的 公允 价值</w:t>
            </w:r>
          </w:p>
        </w:tc>
        <w:tc>
          <w:tcPr>
            <w:tcW w:w="9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79" w:right="175"/>
              <w:jc w:val="center"/>
              <w:rPr>
                <w:rFonts w:ascii="宋体" w:hAnsi="宋体" w:cs="宋体" w:eastAsia="宋体" w:hint="default"/>
                <w:sz w:val="18"/>
                <w:szCs w:val="18"/>
              </w:rPr>
            </w:pPr>
            <w:r>
              <w:rPr>
                <w:rFonts w:ascii="宋体" w:hAnsi="宋体" w:cs="宋体" w:eastAsia="宋体" w:hint="default"/>
                <w:sz w:val="18"/>
                <w:szCs w:val="18"/>
              </w:rPr>
              <w:t>允价值 重新计 量剩余 股权产 生的利 得或损 失</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13" w:right="113"/>
              <w:jc w:val="center"/>
              <w:rPr>
                <w:rFonts w:ascii="宋体" w:hAnsi="宋体" w:cs="宋体" w:eastAsia="宋体" w:hint="default"/>
                <w:sz w:val="18"/>
                <w:szCs w:val="18"/>
              </w:rPr>
            </w:pPr>
            <w:r>
              <w:rPr>
                <w:rFonts w:ascii="宋体" w:hAnsi="宋体" w:cs="宋体" w:eastAsia="宋体" w:hint="default"/>
                <w:sz w:val="18"/>
                <w:szCs w:val="18"/>
              </w:rPr>
              <w:t>权之日剩 余股权公 允价值的 确定方法 及主要假 设</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110" w:right="110"/>
              <w:jc w:val="both"/>
              <w:rPr>
                <w:rFonts w:ascii="宋体" w:hAnsi="宋体" w:cs="宋体" w:eastAsia="宋体" w:hint="default"/>
                <w:sz w:val="18"/>
                <w:szCs w:val="18"/>
              </w:rPr>
            </w:pPr>
            <w:r>
              <w:rPr>
                <w:rFonts w:ascii="宋体" w:hAnsi="宋体" w:cs="宋体" w:eastAsia="宋体" w:hint="default"/>
                <w:sz w:val="18"/>
                <w:szCs w:val="18"/>
              </w:rPr>
              <w:t>司股权投 资相关的 其他综合 收益转入 投资损益 的金额</w:t>
            </w:r>
          </w:p>
        </w:tc>
      </w:tr>
      <w:tr>
        <w:trPr>
          <w:trHeight w:val="1961" w:hRule="exact"/>
        </w:trPr>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03" w:right="156"/>
              <w:jc w:val="both"/>
              <w:rPr>
                <w:rFonts w:ascii="宋体" w:hAnsi="宋体" w:cs="宋体" w:eastAsia="宋体" w:hint="default"/>
                <w:sz w:val="18"/>
                <w:szCs w:val="18"/>
              </w:rPr>
            </w:pPr>
            <w:r>
              <w:rPr>
                <w:rFonts w:ascii="宋体" w:hAnsi="宋体" w:cs="宋体" w:eastAsia="宋体" w:hint="default"/>
                <w:sz w:val="18"/>
                <w:szCs w:val="18"/>
              </w:rPr>
              <w:t>浙江视 科文化 传播有 限公司</w:t>
            </w:r>
          </w:p>
        </w:tc>
        <w:tc>
          <w:tcPr>
            <w:tcW w:w="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184</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4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94" w:right="0"/>
              <w:jc w:val="left"/>
              <w:rPr>
                <w:rFonts w:ascii="Times New Roman" w:hAnsi="Times New Roman" w:cs="Times New Roman" w:eastAsia="Times New Roman" w:hint="default"/>
                <w:sz w:val="18"/>
                <w:szCs w:val="18"/>
              </w:rPr>
            </w:pPr>
            <w:r>
              <w:rPr>
                <w:rFonts w:ascii="Times New Roman"/>
                <w:sz w:val="18"/>
              </w:rPr>
              <w:t>00</w:t>
            </w:r>
          </w:p>
        </w:tc>
        <w:tc>
          <w:tcPr>
            <w:tcW w:w="4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12" w:right="0"/>
              <w:jc w:val="center"/>
              <w:rPr>
                <w:rFonts w:ascii="Times New Roman" w:hAnsi="Times New Roman" w:cs="Times New Roman" w:eastAsia="Times New Roman" w:hint="default"/>
                <w:sz w:val="18"/>
                <w:szCs w:val="18"/>
              </w:rPr>
            </w:pPr>
            <w:r>
              <w:rPr>
                <w:rFonts w:ascii="Times New Roman"/>
                <w:sz w:val="18"/>
              </w:rPr>
              <w:t>100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.00</w:t>
            </w:r>
          </w:p>
          <w:p>
            <w:pPr>
              <w:pStyle w:val="TableParagraph"/>
              <w:spacing w:line="240" w:lineRule="auto" w:before="105"/>
              <w:ind w:left="133"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4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105" w:right="137"/>
              <w:jc w:val="left"/>
              <w:rPr>
                <w:rFonts w:ascii="宋体" w:hAnsi="宋体" w:cs="宋体" w:eastAsia="宋体" w:hint="default"/>
                <w:sz w:val="18"/>
                <w:szCs w:val="18"/>
              </w:rPr>
            </w:pPr>
            <w:r>
              <w:rPr>
                <w:rFonts w:ascii="宋体" w:hAnsi="宋体" w:cs="宋体" w:eastAsia="宋体" w:hint="default"/>
                <w:sz w:val="18"/>
                <w:szCs w:val="18"/>
              </w:rPr>
              <w:t>拍 卖</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201</w:t>
            </w:r>
          </w:p>
          <w:p>
            <w:pPr>
              <w:pStyle w:val="TableParagraph"/>
              <w:spacing w:line="240" w:lineRule="auto" w:before="6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pacing w:val="-6"/>
                <w:sz w:val="18"/>
              </w:rPr>
              <w:t>11</w:t>
            </w:r>
            <w:r>
              <w:rPr>
                <w:rFonts w:ascii="Times New Roman"/>
                <w:sz w:val="18"/>
              </w:rPr>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月</w:t>
            </w:r>
          </w:p>
          <w:p>
            <w:pPr>
              <w:pStyle w:val="TableParagraph"/>
              <w:spacing w:line="240" w:lineRule="auto" w:before="118"/>
              <w:ind w:left="103" w:right="0"/>
              <w:jc w:val="left"/>
              <w:rPr>
                <w:rFonts w:ascii="Times New Roman" w:hAnsi="Times New Roman" w:cs="Times New Roman" w:eastAsia="Times New Roman" w:hint="default"/>
                <w:sz w:val="18"/>
                <w:szCs w:val="18"/>
              </w:rPr>
            </w:pPr>
            <w:r>
              <w:rPr>
                <w:rFonts w:ascii="Times New Roman"/>
                <w:sz w:val="18"/>
              </w:rPr>
              <w:t>30</w:t>
            </w:r>
          </w:p>
          <w:p>
            <w:pPr>
              <w:pStyle w:val="TableParagraph"/>
              <w:spacing w:line="240" w:lineRule="auto" w:before="63"/>
              <w:ind w:left="10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p>
        </w:tc>
        <w:tc>
          <w:tcPr>
            <w:tcW w:w="12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37,721,005.0</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9</w:t>
            </w:r>
          </w:p>
        </w:tc>
        <w:tc>
          <w:tcPr>
            <w:tcW w:w="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108" w:right="0"/>
              <w:jc w:val="center"/>
              <w:rPr>
                <w:rFonts w:ascii="Times New Roman" w:hAnsi="Times New Roman" w:cs="Times New Roman" w:eastAsia="Times New Roman" w:hint="default"/>
                <w:sz w:val="18"/>
                <w:szCs w:val="18"/>
              </w:rPr>
            </w:pPr>
            <w:r>
              <w:rPr>
                <w:rFonts w:ascii="Times New Roman"/>
                <w:sz w:val="18"/>
              </w:rPr>
              <w:t>0.00</w:t>
            </w:r>
          </w:p>
          <w:p>
            <w:pPr>
              <w:pStyle w:val="TableParagraph"/>
              <w:spacing w:line="240" w:lineRule="auto" w:before="105"/>
              <w:ind w:left="274"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88" w:right="0"/>
              <w:jc w:val="left"/>
              <w:rPr>
                <w:rFonts w:ascii="Times New Roman" w:hAnsi="Times New Roman" w:cs="Times New Roman" w:eastAsia="Times New Roman" w:hint="default"/>
                <w:sz w:val="18"/>
                <w:szCs w:val="18"/>
              </w:rPr>
            </w:pPr>
            <w:r>
              <w:rPr>
                <w:rFonts w:ascii="Times New Roman"/>
                <w:sz w:val="18"/>
              </w:rPr>
              <w:t>0.00</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0.00</w:t>
            </w:r>
          </w:p>
        </w:tc>
        <w:tc>
          <w:tcPr>
            <w:tcW w:w="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482"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03"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left="525" w:right="0"/>
              <w:jc w:val="left"/>
              <w:rPr>
                <w:rFonts w:ascii="Times New Roman" w:hAnsi="Times New Roman" w:cs="Times New Roman" w:eastAsia="Times New Roman" w:hint="default"/>
                <w:sz w:val="18"/>
                <w:szCs w:val="18"/>
              </w:rPr>
            </w:pPr>
            <w:r>
              <w:rPr>
                <w:rFonts w:ascii="Times New Roman"/>
                <w:sz w:val="18"/>
              </w:rPr>
              <w:t>0.00</w:t>
            </w:r>
          </w:p>
        </w:tc>
      </w:tr>
    </w:tbl>
    <w:p>
      <w:pPr>
        <w:pStyle w:val="BodyText"/>
        <w:spacing w:line="338" w:lineRule="auto" w:before="49"/>
        <w:ind w:right="1118"/>
        <w:jc w:val="left"/>
      </w:pPr>
      <w:r>
        <w:rPr/>
        <w:t>其他说明： </w:t>
      </w:r>
      <w:r>
        <w:rPr>
          <w:rFonts w:ascii="宋体" w:hAnsi="宋体" w:cs="宋体" w:eastAsia="宋体" w:hint="default"/>
          <w:spacing w:val="-3"/>
        </w:rPr>
        <w:t>[</w:t>
      </w:r>
      <w:r>
        <w:rPr>
          <w:spacing w:val="-3"/>
        </w:rPr>
        <w:t>注</w:t>
      </w:r>
      <w:r>
        <w:rPr>
          <w:rFonts w:ascii="宋体" w:hAnsi="宋体" w:cs="宋体" w:eastAsia="宋体" w:hint="default"/>
          <w:spacing w:val="-3"/>
        </w:rPr>
        <w:t>1]</w:t>
      </w:r>
      <w:r>
        <w:rPr>
          <w:spacing w:val="-3"/>
        </w:rPr>
        <w:t>本期公司与青岛腾视文化科技有限公司签署了《股权转让合同》，将公司持有的浙江视科文化传播有限公司</w:t>
      </w:r>
      <w:r>
        <w:rPr>
          <w:rFonts w:ascii="宋体" w:hAnsi="宋体" w:cs="宋体" w:eastAsia="宋体" w:hint="default"/>
          <w:spacing w:val="-3"/>
        </w:rPr>
        <w:t>100%</w:t>
      </w:r>
      <w:r>
        <w:rPr>
          <w:spacing w:val="-3"/>
        </w:rPr>
        <w:t>股权作</w:t>
      </w:r>
      <w:r>
        <w:rPr/>
        <w:t> 价</w:t>
      </w:r>
      <w:r>
        <w:rPr>
          <w:rFonts w:ascii="宋体" w:hAnsi="宋体" w:cs="宋体" w:eastAsia="宋体" w:hint="default"/>
        </w:rPr>
        <w:t>18,400</w:t>
      </w:r>
      <w:r>
        <w:rPr/>
        <w:t>万元转让给腾视文化。公司已于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日前收到转让价款的</w:t>
      </w:r>
      <w:r>
        <w:rPr>
          <w:rFonts w:ascii="宋体" w:hAnsi="宋体" w:cs="宋体" w:eastAsia="宋体" w:hint="default"/>
        </w:rPr>
        <w:t>51%</w:t>
      </w:r>
      <w:r>
        <w:rPr/>
        <w:t>，双方已于</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23</w:t>
      </w:r>
      <w:r>
        <w:rPr/>
        <w:t>日办妥此次股权转</w:t>
      </w:r>
    </w:p>
    <w:p>
      <w:pPr>
        <w:pStyle w:val="BodyText"/>
        <w:spacing w:line="316" w:lineRule="auto" w:before="2"/>
        <w:ind w:right="1124"/>
        <w:jc w:val="left"/>
      </w:pPr>
      <w:r>
        <w:rPr>
          <w:spacing w:val="-5"/>
        </w:rPr>
        <w:t>让的工商变更及其他有关交接手续。为便于核算，根据重要性原则，确定出售日为</w:t>
      </w:r>
      <w:r>
        <w:rPr>
          <w:rFonts w:ascii="宋体" w:hAnsi="宋体" w:cs="宋体" w:eastAsia="宋体" w:hint="default"/>
          <w:spacing w:val="-5"/>
        </w:rPr>
        <w:t>2019</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30</w:t>
      </w:r>
      <w:r>
        <w:rPr>
          <w:spacing w:val="-5"/>
        </w:rPr>
        <w:t>日。本公司自</w:t>
      </w:r>
      <w:r>
        <w:rPr>
          <w:rFonts w:ascii="宋体" w:hAnsi="宋体" w:cs="宋体" w:eastAsia="宋体" w:hint="default"/>
          <w:spacing w:val="-5"/>
        </w:rPr>
        <w:t>2019</w:t>
      </w:r>
      <w:r>
        <w:rPr>
          <w:spacing w:val="-5"/>
        </w:rPr>
        <w:t>年</w:t>
      </w:r>
      <w:r>
        <w:rPr>
          <w:rFonts w:ascii="宋体" w:hAnsi="宋体" w:cs="宋体" w:eastAsia="宋体" w:hint="default"/>
          <w:spacing w:val="-5"/>
        </w:rPr>
        <w:t>12</w:t>
      </w:r>
      <w:r>
        <w:rPr>
          <w:spacing w:val="-5"/>
        </w:rPr>
        <w:t>月起，</w:t>
      </w:r>
      <w:r>
        <w:rPr>
          <w:spacing w:val="-45"/>
        </w:rPr>
        <w:t> </w:t>
      </w:r>
      <w:r>
        <w:rPr/>
        <w:t>不再将该公司纳入合并财务报表范围。 </w:t>
      </w:r>
      <w:r>
        <w:rPr>
          <w:spacing w:val="-2"/>
        </w:rPr>
        <w:t>杭州俏动营销策划有限公司、杭州视赚网络技术有限公司、杭州联屏文化策划有限公司、义乌视科文化传播有限公司、杭州</w:t>
      </w:r>
      <w:r>
        <w:rPr>
          <w:spacing w:val="-66"/>
        </w:rPr>
        <w:t> </w:t>
      </w:r>
      <w:r>
        <w:rPr>
          <w:spacing w:val="-66"/>
        </w:rPr>
      </w:r>
      <w:r>
        <w:rPr>
          <w:spacing w:val="-2"/>
        </w:rPr>
        <w:t>视赚优嘉电子商务有限公司、北京三吉嘉喜传媒科技有限公司、北京赛鸽天地广告有限公司、浙江视赚赛鸽科技有限公司为</w:t>
      </w:r>
      <w:r>
        <w:rPr>
          <w:spacing w:val="-63"/>
        </w:rPr>
        <w:t> </w:t>
      </w:r>
      <w:r>
        <w:rPr>
          <w:spacing w:val="-63"/>
        </w:rPr>
      </w:r>
      <w:r>
        <w:rPr>
          <w:spacing w:val="-2"/>
        </w:rPr>
        <w:t>浙江视科文化传播有限公司（孙）子公司，随同浙江视科文化传播有限公司一并对外转让，自</w:t>
      </w:r>
      <w:r>
        <w:rPr>
          <w:rFonts w:ascii="宋体" w:hAnsi="宋体" w:cs="宋体" w:eastAsia="宋体" w:hint="default"/>
          <w:spacing w:val="-2"/>
        </w:rPr>
        <w:t>2019</w:t>
      </w:r>
      <w:r>
        <w:rPr>
          <w:spacing w:val="-2"/>
        </w:rPr>
        <w:t>年</w:t>
      </w:r>
      <w:r>
        <w:rPr>
          <w:rFonts w:ascii="宋体" w:hAnsi="宋体" w:cs="宋体" w:eastAsia="宋体" w:hint="default"/>
          <w:spacing w:val="-2"/>
        </w:rPr>
        <w:t>12</w:t>
      </w:r>
      <w:r>
        <w:rPr>
          <w:spacing w:val="-2"/>
        </w:rPr>
        <w:t>月起亦不再将其纳入</w:t>
      </w:r>
      <w:r>
        <w:rPr>
          <w:spacing w:val="-59"/>
        </w:rPr>
        <w:t> </w:t>
      </w:r>
      <w:r>
        <w:rPr/>
        <w:t>公司合并财务报表范围。 桐庐视科文化传播有限公司为浙江视科文化传播有限公司子公司，已于</w:t>
      </w:r>
      <w:r>
        <w:rPr>
          <w:rFonts w:ascii="宋体" w:hAnsi="宋体" w:cs="宋体" w:eastAsia="宋体" w:hint="default"/>
        </w:rPr>
        <w:t>2019</w:t>
      </w:r>
      <w:r>
        <w:rPr/>
        <w:t>年</w:t>
      </w:r>
      <w:r>
        <w:rPr>
          <w:rFonts w:ascii="宋体" w:hAnsi="宋体" w:cs="宋体" w:eastAsia="宋体" w:hint="default"/>
        </w:rPr>
        <w:t>3</w:t>
      </w:r>
      <w:r>
        <w:rPr/>
        <w:t>月办妥注销手续。故自该公司注销时起，不 再将其纳入合并财务报表范围。</w:t>
      </w:r>
    </w:p>
    <w:p>
      <w:pPr>
        <w:pStyle w:val="BodyText"/>
        <w:spacing w:line="240" w:lineRule="auto" w:before="59"/>
        <w:ind w:right="986"/>
        <w:jc w:val="left"/>
      </w:pPr>
      <w:r>
        <w:rPr/>
        <w:t>是否存在通过多次交易分步处置对子公司投资且在本期丧失控制权的情形</w:t>
      </w:r>
    </w:p>
    <w:p>
      <w:pPr>
        <w:pStyle w:val="BodyText"/>
        <w:spacing w:line="240" w:lineRule="auto" w:before="115"/>
        <w:ind w:right="986"/>
        <w:jc w:val="left"/>
      </w:pPr>
      <w:r>
        <w:rPr/>
        <w:t>□ 是 √</w:t>
      </w:r>
      <w:r>
        <w:rPr>
          <w:spacing w:val="3"/>
        </w:rPr>
        <w:t> </w:t>
      </w:r>
      <w:r>
        <w:rPr/>
        <w:t>否</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5、其他原因的合并范围变动" w:id="442"/>
      <w:bookmarkEnd w:id="442"/>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4"/>
        <w:rPr>
          <w:rFonts w:ascii="宋体" w:hAnsi="宋体" w:cs="宋体" w:eastAsia="宋体" w:hint="default"/>
          <w:b/>
          <w:bCs/>
          <w:sz w:val="26"/>
          <w:szCs w:val="26"/>
        </w:rPr>
      </w:pPr>
    </w:p>
    <w:p>
      <w:pPr>
        <w:pStyle w:val="BodyText"/>
        <w:spacing w:line="338" w:lineRule="auto" w:before="0"/>
        <w:ind w:right="986"/>
        <w:jc w:val="left"/>
      </w:pPr>
      <w:r>
        <w:rPr/>
        <w:t>说明其他原因导致的合并范围变动（如，新设子公司、清算子公司等）及其相关情况： </w:t>
      </w:r>
      <w:r>
        <w:rPr>
          <w:rFonts w:ascii="宋体" w:hAnsi="宋体" w:cs="宋体" w:eastAsia="宋体" w:hint="default"/>
          <w:spacing w:val="-2"/>
        </w:rPr>
        <w:t>2019</w:t>
      </w:r>
      <w:r>
        <w:rPr>
          <w:spacing w:val="-2"/>
        </w:rPr>
        <w:t>年</w:t>
      </w:r>
      <w:r>
        <w:rPr>
          <w:rFonts w:ascii="宋体" w:hAnsi="宋体" w:cs="宋体" w:eastAsia="宋体" w:hint="default"/>
          <w:spacing w:val="-2"/>
        </w:rPr>
        <w:t>4</w:t>
      </w:r>
      <w:r>
        <w:rPr>
          <w:spacing w:val="-2"/>
        </w:rPr>
        <w:t>月，本公司之孙公司青岛大通佳合资产管理有限公司单独出资设立云南云冠通生物科技有限公司。该公司于</w:t>
      </w:r>
      <w:r>
        <w:rPr>
          <w:rFonts w:ascii="宋体" w:hAnsi="宋体" w:cs="宋体" w:eastAsia="宋体" w:hint="default"/>
          <w:spacing w:val="-2"/>
        </w:rPr>
        <w:t>2019</w:t>
      </w:r>
      <w:r>
        <w:rPr>
          <w:spacing w:val="-2"/>
        </w:rPr>
        <w:t>年</w:t>
      </w:r>
      <w:r>
        <w:rPr>
          <w:rFonts w:ascii="宋体" w:hAnsi="宋体" w:cs="宋体" w:eastAsia="宋体" w:hint="default"/>
          <w:spacing w:val="-2"/>
        </w:rPr>
        <w:t>4</w:t>
      </w:r>
      <w:r>
        <w:rPr>
          <w:rFonts w:ascii="宋体" w:hAnsi="宋体" w:cs="宋体" w:eastAsia="宋体" w:hint="default"/>
          <w:spacing w:val="-58"/>
        </w:rPr>
        <w:t> </w:t>
      </w:r>
      <w:r>
        <w:rPr>
          <w:spacing w:val="-2"/>
        </w:rPr>
        <w:t>月</w:t>
      </w:r>
      <w:r>
        <w:rPr>
          <w:rFonts w:ascii="宋体" w:hAnsi="宋体" w:cs="宋体" w:eastAsia="宋体" w:hint="default"/>
          <w:spacing w:val="-2"/>
        </w:rPr>
        <w:t>24</w:t>
      </w:r>
      <w:r>
        <w:rPr>
          <w:spacing w:val="-2"/>
        </w:rPr>
        <w:t>日完成工商设立登记，注册资本为人民币</w:t>
      </w:r>
      <w:r>
        <w:rPr>
          <w:rFonts w:ascii="宋体" w:hAnsi="宋体" w:cs="宋体" w:eastAsia="宋体" w:hint="default"/>
          <w:spacing w:val="-2"/>
        </w:rPr>
        <w:t>5000</w:t>
      </w:r>
      <w:r>
        <w:rPr>
          <w:spacing w:val="-2"/>
        </w:rPr>
        <w:t>万元。本公司拥有对其的控制权，故自该公司成立之日起，将其纳入合并</w:t>
      </w:r>
    </w:p>
    <w:p>
      <w:pPr>
        <w:pStyle w:val="BodyText"/>
        <w:spacing w:line="316" w:lineRule="auto" w:before="2"/>
        <w:ind w:right="1124"/>
        <w:jc w:val="left"/>
      </w:pPr>
      <w:r>
        <w:rPr/>
        <w:t>报表范围。 </w:t>
      </w:r>
      <w:r>
        <w:rPr>
          <w:rFonts w:ascii="宋体" w:hAnsi="宋体" w:cs="宋体" w:eastAsia="宋体" w:hint="default"/>
        </w:rPr>
        <w:t>2019</w:t>
      </w:r>
      <w:r>
        <w:rPr/>
        <w:t>年</w:t>
      </w:r>
      <w:r>
        <w:rPr>
          <w:rFonts w:ascii="宋体" w:hAnsi="宋体" w:cs="宋体" w:eastAsia="宋体" w:hint="default"/>
        </w:rPr>
        <w:t>4</w:t>
      </w:r>
      <w:r>
        <w:rPr/>
        <w:t>月，本公司之孙公司青岛大通佳合资产管理有限公司单独出资设立云南贝捷生物科技有限公司。该公司于</w:t>
      </w:r>
      <w:r>
        <w:rPr>
          <w:rFonts w:ascii="宋体" w:hAnsi="宋体" w:cs="宋体" w:eastAsia="宋体" w:hint="default"/>
        </w:rPr>
        <w:t>2019</w:t>
      </w:r>
      <w:r>
        <w:rPr/>
        <w:t>年</w:t>
      </w:r>
      <w:r>
        <w:rPr>
          <w:rFonts w:ascii="宋体" w:hAnsi="宋体" w:cs="宋体" w:eastAsia="宋体" w:hint="default"/>
        </w:rPr>
        <w:t>4 </w:t>
      </w:r>
      <w:r>
        <w:rPr/>
        <w:t>月</w:t>
      </w:r>
      <w:r>
        <w:rPr>
          <w:rFonts w:ascii="宋体" w:hAnsi="宋体" w:cs="宋体" w:eastAsia="宋体" w:hint="default"/>
        </w:rPr>
        <w:t>24</w:t>
      </w:r>
      <w:r>
        <w:rPr/>
        <w:t>日完成工商设立登记，注册资本为人民币</w:t>
      </w:r>
      <w:r>
        <w:rPr>
          <w:rFonts w:ascii="宋体" w:hAnsi="宋体" w:cs="宋体" w:eastAsia="宋体" w:hint="default"/>
        </w:rPr>
        <w:t>100</w:t>
      </w:r>
      <w:r>
        <w:rPr/>
        <w:t>万元。本公司拥有对其的控制权，故自该公司成立之日起，将其纳入合并 报表范围。 </w:t>
      </w:r>
      <w:r>
        <w:rPr>
          <w:rFonts w:ascii="宋体" w:hAnsi="宋体" w:cs="宋体" w:eastAsia="宋体" w:hint="default"/>
        </w:rPr>
        <w:t>2019</w:t>
      </w:r>
      <w:r>
        <w:rPr/>
        <w:t>年</w:t>
      </w:r>
      <w:r>
        <w:rPr>
          <w:rFonts w:ascii="宋体" w:hAnsi="宋体" w:cs="宋体" w:eastAsia="宋体" w:hint="default"/>
        </w:rPr>
        <w:t>5</w:t>
      </w:r>
      <w:r>
        <w:rPr/>
        <w:t>月，本公司之孙公司青岛大通佳合资产管理有限公司及其子公司云南贝捷生物科技有限公司与李晓琳共同出资成立 </w:t>
      </w:r>
      <w:r>
        <w:rPr>
          <w:spacing w:val="-4"/>
        </w:rPr>
        <w:t>青岛大通云麻生物科技合伙企业（有限合伙），总认缴出资额</w:t>
      </w:r>
      <w:r>
        <w:rPr>
          <w:rFonts w:ascii="宋体" w:hAnsi="宋体" w:cs="宋体" w:eastAsia="宋体" w:hint="default"/>
          <w:spacing w:val="-4"/>
        </w:rPr>
        <w:t>100</w:t>
      </w:r>
      <w:r>
        <w:rPr>
          <w:spacing w:val="-4"/>
        </w:rPr>
        <w:t>万元，青岛大通佳合资产管理有限公司及其子公司云南贝捷</w:t>
      </w:r>
      <w:r>
        <w:rPr>
          <w:spacing w:val="-41"/>
        </w:rPr>
        <w:t> </w:t>
      </w:r>
      <w:r>
        <w:rPr>
          <w:spacing w:val="-41"/>
        </w:rPr>
      </w:r>
      <w:r>
        <w:rPr>
          <w:spacing w:val="-2"/>
        </w:rPr>
        <w:t>生物科技有限公司分别认缴</w:t>
      </w:r>
      <w:r>
        <w:rPr>
          <w:rFonts w:ascii="宋体" w:hAnsi="宋体" w:cs="宋体" w:eastAsia="宋体" w:hint="default"/>
          <w:spacing w:val="-2"/>
        </w:rPr>
        <w:t>55</w:t>
      </w:r>
      <w:r>
        <w:rPr>
          <w:spacing w:val="-2"/>
        </w:rPr>
        <w:t>万、</w:t>
      </w:r>
      <w:r>
        <w:rPr>
          <w:rFonts w:ascii="宋体" w:hAnsi="宋体" w:cs="宋体" w:eastAsia="宋体" w:hint="default"/>
          <w:spacing w:val="-2"/>
        </w:rPr>
        <w:t>20</w:t>
      </w:r>
      <w:r>
        <w:rPr>
          <w:spacing w:val="-2"/>
        </w:rPr>
        <w:t>万。青岛大通佳合资产管理有限公司为该公司的普通合伙人并担任执行合伙人。本公司</w:t>
      </w:r>
      <w:r>
        <w:rPr>
          <w:spacing w:val="-63"/>
        </w:rPr>
        <w:t> </w:t>
      </w:r>
      <w:r>
        <w:rPr>
          <w:spacing w:val="-63"/>
        </w:rPr>
      </w:r>
      <w:r>
        <w:rPr/>
        <w:t>拥有对其的控制权，故自该公司成立之日起，将其纳入合并报表范围。 </w:t>
      </w:r>
      <w:r>
        <w:rPr>
          <w:rFonts w:ascii="宋体" w:hAnsi="宋体" w:cs="宋体" w:eastAsia="宋体" w:hint="default"/>
        </w:rPr>
        <w:t>2019</w:t>
      </w:r>
      <w:r>
        <w:rPr/>
        <w:t>年</w:t>
      </w:r>
      <w:r>
        <w:rPr>
          <w:rFonts w:ascii="宋体" w:hAnsi="宋体" w:cs="宋体" w:eastAsia="宋体" w:hint="default"/>
        </w:rPr>
        <w:t>5</w:t>
      </w:r>
      <w:r>
        <w:rPr/>
        <w:t>月，本公司之孙公司青岛大通佳合资产管理有限公司及青岛大通云麻生物科技合伙企业（有限合伙）共同出资设立 </w:t>
      </w:r>
      <w:r>
        <w:rPr>
          <w:spacing w:val="-2"/>
        </w:rPr>
        <w:t>青岛大通云澜生物科技有限公司，注册资本为人民币</w:t>
      </w:r>
      <w:r>
        <w:rPr>
          <w:rFonts w:ascii="宋体" w:hAnsi="宋体" w:cs="宋体" w:eastAsia="宋体" w:hint="default"/>
          <w:spacing w:val="-2"/>
        </w:rPr>
        <w:t>1000</w:t>
      </w:r>
      <w:r>
        <w:rPr>
          <w:spacing w:val="-2"/>
        </w:rPr>
        <w:t>万元，其中青岛大通佳合资产管理有限公司及青岛大通云麻生物科</w:t>
      </w:r>
      <w:r>
        <w:rPr>
          <w:spacing w:val="-61"/>
        </w:rPr>
        <w:t> </w:t>
      </w:r>
      <w:r>
        <w:rPr>
          <w:spacing w:val="-61"/>
        </w:rPr>
      </w:r>
      <w:r>
        <w:rPr/>
        <w:t>技合伙企业（有限合伙）分别持有</w:t>
      </w:r>
      <w:r>
        <w:rPr>
          <w:rFonts w:ascii="宋体" w:hAnsi="宋体" w:cs="宋体" w:eastAsia="宋体" w:hint="default"/>
        </w:rPr>
        <w:t>60%</w:t>
      </w:r>
      <w:r>
        <w:rPr/>
        <w:t>和</w:t>
      </w:r>
      <w:r>
        <w:rPr>
          <w:rFonts w:ascii="宋体" w:hAnsi="宋体" w:cs="宋体" w:eastAsia="宋体" w:hint="default"/>
        </w:rPr>
        <w:t>40%</w:t>
      </w:r>
      <w:r>
        <w:rPr/>
        <w:t>股份。该公司于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10</w:t>
      </w:r>
      <w:r>
        <w:rPr/>
        <w:t>日完成工商设立登记，本公司拥有对其的控制权，</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ind w:right="1124"/>
        <w:jc w:val="left"/>
      </w:pPr>
      <w:r>
        <w:rPr/>
        <w:t>故自该公司成立之日起，将其纳入合并报表范围。 </w:t>
      </w:r>
      <w:r>
        <w:rPr>
          <w:rFonts w:ascii="宋体" w:hAnsi="宋体" w:cs="宋体" w:eastAsia="宋体" w:hint="default"/>
        </w:rPr>
        <w:t>2019</w:t>
      </w:r>
      <w:r>
        <w:rPr/>
        <w:t>年</w:t>
      </w:r>
      <w:r>
        <w:rPr>
          <w:rFonts w:ascii="宋体" w:hAnsi="宋体" w:cs="宋体" w:eastAsia="宋体" w:hint="default"/>
        </w:rPr>
        <w:t>5</w:t>
      </w:r>
      <w:r>
        <w:rPr/>
        <w:t>月，本公司之孙公司青岛大通佳合资产管理有限公司及其子公司青岛大通云澜生物科技有限公司共同出资设立深通 澜麻生物科技（澜沧）有限公司。该公司于</w:t>
      </w:r>
      <w:r>
        <w:rPr>
          <w:rFonts w:ascii="宋体" w:hAnsi="宋体" w:cs="宋体" w:eastAsia="宋体" w:hint="default"/>
        </w:rPr>
        <w:t>2019</w:t>
      </w:r>
      <w:r>
        <w:rPr/>
        <w:t>年</w:t>
      </w:r>
      <w:r>
        <w:rPr>
          <w:rFonts w:ascii="宋体" w:hAnsi="宋体" w:cs="宋体" w:eastAsia="宋体" w:hint="default"/>
        </w:rPr>
        <w:t>5</w:t>
      </w:r>
      <w:r>
        <w:rPr/>
        <w:t>月</w:t>
      </w:r>
      <w:r>
        <w:rPr>
          <w:rFonts w:ascii="宋体" w:hAnsi="宋体" w:cs="宋体" w:eastAsia="宋体" w:hint="default"/>
        </w:rPr>
        <w:t>13</w:t>
      </w:r>
      <w:r>
        <w:rPr/>
        <w:t>日完成工商设立登记，注册资本为人民币</w:t>
      </w:r>
      <w:r>
        <w:rPr>
          <w:rFonts w:ascii="宋体" w:hAnsi="宋体" w:cs="宋体" w:eastAsia="宋体" w:hint="default"/>
        </w:rPr>
        <w:t>5000</w:t>
      </w:r>
      <w:r>
        <w:rPr/>
        <w:t>万元。本公司拥有对 </w:t>
      </w:r>
      <w:r>
        <w:rPr>
          <w:spacing w:val="-2"/>
        </w:rPr>
        <w:t>其的控制权，故自该公司成立之日起，将其纳入合并报表范围。另，该公司已于</w:t>
      </w:r>
      <w:r>
        <w:rPr>
          <w:rFonts w:ascii="宋体" w:hAnsi="宋体" w:cs="宋体" w:eastAsia="宋体" w:hint="default"/>
          <w:spacing w:val="-2"/>
        </w:rPr>
        <w:t>2019</w:t>
      </w:r>
      <w:r>
        <w:rPr>
          <w:spacing w:val="-2"/>
        </w:rPr>
        <w:t>年</w:t>
      </w:r>
      <w:r>
        <w:rPr>
          <w:rFonts w:ascii="宋体" w:hAnsi="宋体" w:cs="宋体" w:eastAsia="宋体" w:hint="default"/>
          <w:spacing w:val="-2"/>
        </w:rPr>
        <w:t>10</w:t>
      </w:r>
      <w:r>
        <w:rPr>
          <w:spacing w:val="-2"/>
        </w:rPr>
        <w:t>月注销，自注销之日起，该公司不</w:t>
      </w:r>
      <w:r>
        <w:rPr>
          <w:spacing w:val="-63"/>
        </w:rPr>
        <w:t> </w:t>
      </w:r>
      <w:r>
        <w:rPr>
          <w:spacing w:val="-63"/>
        </w:rPr>
      </w:r>
      <w:r>
        <w:rPr/>
        <w:t>再纳入合并报表范围。</w:t>
      </w:r>
    </w:p>
    <w:p>
      <w:pPr>
        <w:spacing w:line="240" w:lineRule="auto" w:before="9"/>
        <w:rPr>
          <w:rFonts w:ascii="宋体" w:hAnsi="宋体" w:cs="宋体" w:eastAsia="宋体" w:hint="default"/>
          <w:sz w:val="22"/>
          <w:szCs w:val="22"/>
        </w:rPr>
      </w:pPr>
    </w:p>
    <w:p>
      <w:pPr>
        <w:spacing w:line="487" w:lineRule="auto" w:before="0"/>
        <w:ind w:left="112" w:right="8104" w:firstLine="0"/>
        <w:jc w:val="left"/>
        <w:rPr>
          <w:rFonts w:ascii="宋体" w:hAnsi="宋体" w:cs="宋体" w:eastAsia="宋体" w:hint="default"/>
          <w:sz w:val="21"/>
          <w:szCs w:val="21"/>
        </w:rPr>
      </w:pPr>
      <w:bookmarkStart w:name="6、其他" w:id="443"/>
      <w:bookmarkEnd w:id="443"/>
      <w:r>
        <w:rPr/>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九、在其他主体中的权益" w:id="444"/>
      <w:bookmarkEnd w:id="444"/>
      <w:r>
        <w:rPr>
          <w:rFonts w:ascii="宋体" w:hAnsi="宋体" w:cs="宋体" w:eastAsia="宋体" w:hint="default"/>
          <w:b/>
          <w:bCs/>
          <w:w w:val="100"/>
          <w:sz w:val="21"/>
          <w:szCs w:val="21"/>
        </w:rPr>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bookmarkStart w:name="1、在子公司中的权益" w:id="445"/>
      <w:bookmarkEnd w:id="445"/>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4"/>
        <w:ind w:right="986"/>
        <w:jc w:val="left"/>
        <w:rPr>
          <w:b w:val="0"/>
          <w:bCs w:val="0"/>
        </w:rPr>
      </w:pPr>
      <w:bookmarkStart w:name="（1）企业集团的构成" w:id="446"/>
      <w:bookmarkEnd w:id="446"/>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59"/>
        <w:gridCol w:w="766"/>
        <w:gridCol w:w="780"/>
        <w:gridCol w:w="1776"/>
        <w:gridCol w:w="1020"/>
        <w:gridCol w:w="1100"/>
        <w:gridCol w:w="972"/>
      </w:tblGrid>
      <w:tr>
        <w:trPr>
          <w:trHeight w:val="403" w:hRule="exact"/>
        </w:trPr>
        <w:tc>
          <w:tcPr>
            <w:tcW w:w="31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7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4"/>
              <w:ind w:left="199" w:right="103" w:hanging="89"/>
              <w:jc w:val="left"/>
              <w:rPr>
                <w:rFonts w:ascii="宋体" w:hAnsi="宋体" w:cs="宋体" w:eastAsia="宋体" w:hint="default"/>
                <w:sz w:val="18"/>
                <w:szCs w:val="18"/>
              </w:rPr>
            </w:pPr>
            <w:r>
              <w:rPr>
                <w:rFonts w:ascii="宋体" w:hAnsi="宋体" w:cs="宋体" w:eastAsia="宋体" w:hint="default"/>
                <w:sz w:val="18"/>
                <w:szCs w:val="18"/>
              </w:rPr>
              <w:t>主要经 营地</w:t>
            </w:r>
          </w:p>
        </w:tc>
        <w:tc>
          <w:tcPr>
            <w:tcW w:w="7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7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3"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3159" w:type="dxa"/>
            <w:vMerge/>
            <w:tcBorders>
              <w:left w:val="single" w:sz="4" w:space="0" w:color="000000"/>
              <w:bottom w:val="single" w:sz="4" w:space="0" w:color="000000"/>
              <w:right w:val="single" w:sz="4" w:space="0" w:color="000000"/>
            </w:tcBorders>
            <w:shd w:val="clear" w:color="auto" w:fill="D2D2D2"/>
          </w:tcPr>
          <w:p>
            <w:pPr/>
          </w:p>
        </w:tc>
        <w:tc>
          <w:tcPr>
            <w:tcW w:w="766" w:type="dxa"/>
            <w:vMerge/>
            <w:tcBorders>
              <w:left w:val="single" w:sz="4" w:space="0" w:color="000000"/>
              <w:bottom w:val="single" w:sz="4" w:space="0" w:color="000000"/>
              <w:right w:val="single" w:sz="4" w:space="0" w:color="000000"/>
            </w:tcBorders>
            <w:shd w:val="clear" w:color="auto" w:fill="D2D2D2"/>
          </w:tcPr>
          <w:p>
            <w:pPr/>
          </w:p>
        </w:tc>
        <w:tc>
          <w:tcPr>
            <w:tcW w:w="780" w:type="dxa"/>
            <w:vMerge/>
            <w:tcBorders>
              <w:left w:val="single" w:sz="4" w:space="0" w:color="000000"/>
              <w:bottom w:val="single" w:sz="4" w:space="0" w:color="000000"/>
              <w:right w:val="single" w:sz="4" w:space="0" w:color="000000"/>
            </w:tcBorders>
            <w:shd w:val="clear" w:color="auto" w:fill="D2D2D2"/>
          </w:tcPr>
          <w:p>
            <w:pPr/>
          </w:p>
        </w:tc>
        <w:tc>
          <w:tcPr>
            <w:tcW w:w="1776" w:type="dxa"/>
            <w:vMerge/>
            <w:tcBorders>
              <w:left w:val="single" w:sz="4" w:space="0" w:color="000000"/>
              <w:bottom w:val="single" w:sz="4" w:space="0" w:color="000000"/>
              <w:right w:val="single" w:sz="4" w:space="0" w:color="000000"/>
            </w:tcBorders>
            <w:shd w:val="clear" w:color="auto" w:fill="D2D2D2"/>
          </w:tcPr>
          <w:p>
            <w:pP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4"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1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972"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冉十科技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聚交科技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青岛冉十科技有限公司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青岛市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青岛大通资本有限公司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青岛市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股权投资及管理</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青岛大通佳合资产管理有限公司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青岛市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股权投资及管理</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深圳大通致远供应链管理有限公司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供应链管理</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80.00%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霍尔果斯聚交信息科技有限公司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5" w:right="122"/>
              <w:jc w:val="left"/>
              <w:rPr>
                <w:rFonts w:ascii="宋体" w:hAnsi="宋体" w:cs="宋体" w:eastAsia="宋体" w:hint="default"/>
                <w:sz w:val="18"/>
                <w:szCs w:val="18"/>
              </w:rPr>
            </w:pPr>
            <w:r>
              <w:rPr>
                <w:rFonts w:ascii="宋体" w:hAnsi="宋体" w:cs="宋体" w:eastAsia="宋体" w:hint="default"/>
                <w:sz w:val="18"/>
                <w:szCs w:val="18"/>
              </w:rPr>
              <w:t>霍尔果 斯</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深圳时代幻视传媒有限公司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21"/>
              <w:jc w:val="left"/>
              <w:rPr>
                <w:rFonts w:ascii="宋体" w:hAnsi="宋体" w:cs="宋体" w:eastAsia="宋体" w:hint="default"/>
                <w:sz w:val="18"/>
                <w:szCs w:val="18"/>
              </w:rPr>
            </w:pPr>
            <w:r>
              <w:rPr>
                <w:rFonts w:ascii="宋体" w:hAnsi="宋体" w:cs="宋体" w:eastAsia="宋体" w:hint="default"/>
                <w:sz w:val="18"/>
                <w:szCs w:val="18"/>
              </w:rPr>
              <w:t>互联网及移动互联 网开发</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58.00%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深圳大通致远商业保理有限公司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80.00%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青岛大通汇鑫民间资本管理有限公司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青岛市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投资及管理</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深圳市炫酷行科技有限公司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商务服务业</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北京昊祥融资租赁有限公司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二级</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融租租赁</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75.00%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深圳大通昊祥商业保理有限公司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深圳市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商业保理</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75.00%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北京大通无限传媒广告有限公司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商业服务业</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100.00%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北京大通汉达生物科技有限公司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一级</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北京市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商业服务业</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2" w:right="0"/>
              <w:jc w:val="left"/>
              <w:rPr>
                <w:rFonts w:ascii="Times New Roman" w:hAnsi="Times New Roman" w:cs="Times New Roman" w:eastAsia="Times New Roman" w:hint="default"/>
                <w:sz w:val="18"/>
                <w:szCs w:val="18"/>
              </w:rPr>
            </w:pPr>
            <w:r>
              <w:rPr>
                <w:rFonts w:ascii="Times New Roman"/>
                <w:sz w:val="18"/>
              </w:rPr>
              <w:t>60.00%</w:t>
            </w:r>
          </w:p>
        </w:tc>
        <w:tc>
          <w:tcPr>
            <w:tcW w:w="1100" w:type="dxa"/>
            <w:tcBorders>
              <w:top w:val="single" w:sz="4" w:space="0" w:color="000000"/>
              <w:left w:val="single" w:sz="4" w:space="0" w:color="000000"/>
              <w:bottom w:val="single" w:sz="4" w:space="0" w:color="000000"/>
              <w:right w:val="single" w:sz="4" w:space="0" w:color="000000"/>
            </w:tcBorders>
          </w:tcPr>
          <w:p>
            <w:pP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云南浩南生物科技有限公司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昆明市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商业服务业</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69.00%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w:t>
            </w:r>
          </w:p>
        </w:tc>
      </w:tr>
      <w:tr>
        <w:trPr>
          <w:trHeight w:val="403"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云南云冠通生物科技有限公司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昆明市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商业服务业</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401"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云南贝捷生物科技有限公司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昆明市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商业服务业</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r>
      <w:tr>
        <w:trPr>
          <w:trHeight w:val="715"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4"/>
              <w:jc w:val="left"/>
              <w:rPr>
                <w:rFonts w:ascii="宋体" w:hAnsi="宋体" w:cs="宋体" w:eastAsia="宋体" w:hint="default"/>
                <w:sz w:val="18"/>
                <w:szCs w:val="18"/>
              </w:rPr>
            </w:pPr>
            <w:r>
              <w:rPr>
                <w:rFonts w:ascii="宋体" w:hAnsi="宋体" w:cs="宋体" w:eastAsia="宋体" w:hint="default"/>
                <w:sz w:val="18"/>
                <w:szCs w:val="18"/>
              </w:rPr>
              <w:t>青岛大通云麻生物科技合伙企业（有 限合伙）</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青岛市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商业服务业</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z w:val="18"/>
              </w:rPr>
              <w:t>75.00%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3159"/>
        <w:gridCol w:w="766"/>
        <w:gridCol w:w="780"/>
        <w:gridCol w:w="1776"/>
        <w:gridCol w:w="1020"/>
        <w:gridCol w:w="1100"/>
        <w:gridCol w:w="972"/>
      </w:tblGrid>
      <w:tr>
        <w:trPr>
          <w:trHeight w:val="404" w:hRule="exact"/>
        </w:trPr>
        <w:tc>
          <w:tcPr>
            <w:tcW w:w="3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青岛大通云澜生物科技有限公司</w:t>
            </w:r>
          </w:p>
        </w:tc>
        <w:tc>
          <w:tcPr>
            <w:tcW w:w="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三级</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7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商业服务业</w:t>
            </w:r>
          </w:p>
        </w:tc>
        <w:tc>
          <w:tcPr>
            <w:tcW w:w="1020" w:type="dxa"/>
            <w:tcBorders>
              <w:top w:val="single" w:sz="4" w:space="0" w:color="000000"/>
              <w:left w:val="single" w:sz="4" w:space="0" w:color="000000"/>
              <w:bottom w:val="single" w:sz="4" w:space="0" w:color="000000"/>
              <w:right w:val="single" w:sz="4" w:space="0" w:color="000000"/>
            </w:tcBorders>
          </w:tcPr>
          <w:p>
            <w:pP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2" w:right="0"/>
              <w:jc w:val="left"/>
              <w:rPr>
                <w:rFonts w:ascii="Times New Roman" w:hAnsi="Times New Roman" w:cs="Times New Roman" w:eastAsia="Times New Roman" w:hint="default"/>
                <w:sz w:val="18"/>
                <w:szCs w:val="18"/>
              </w:rPr>
            </w:pPr>
            <w:r>
              <w:rPr>
                <w:rFonts w:ascii="Times New Roman"/>
                <w:sz w:val="18"/>
              </w:rPr>
              <w:t>90.00%</w:t>
            </w:r>
          </w:p>
        </w:tc>
        <w:tc>
          <w:tcPr>
            <w:tcW w:w="9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新设</w:t>
            </w:r>
          </w:p>
        </w:tc>
      </w:tr>
    </w:tbl>
    <w:p>
      <w:pPr>
        <w:pStyle w:val="BodyText"/>
        <w:spacing w:line="357" w:lineRule="auto" w:before="49"/>
        <w:ind w:right="2834"/>
        <w:jc w:val="left"/>
      </w:pPr>
      <w:r>
        <w:rPr/>
        <w:t>在子公司的持股比例不同于表决权比例的说明： 持有半数或以下表决权但仍控制被投资单位、以及持有半数以上表决权但不控制被投资单位的依据： 对于纳入合并范围的重要的结构化主体，控制的依据：</w:t>
      </w:r>
    </w:p>
    <w:p>
      <w:pPr>
        <w:pStyle w:val="BodyText"/>
        <w:spacing w:line="360" w:lineRule="auto" w:before="26"/>
        <w:ind w:right="7694"/>
        <w:jc w:val="left"/>
      </w:pPr>
      <w:r>
        <w:rPr/>
        <w:t>确定公司是代理人还是委托人的依据： 其他说明：</w:t>
      </w:r>
    </w:p>
    <w:p>
      <w:pPr>
        <w:spacing w:line="240" w:lineRule="auto" w:before="4"/>
        <w:rPr>
          <w:rFonts w:ascii="宋体" w:hAnsi="宋体" w:cs="宋体" w:eastAsia="宋体" w:hint="default"/>
          <w:sz w:val="20"/>
          <w:szCs w:val="20"/>
        </w:rPr>
      </w:pPr>
    </w:p>
    <w:p>
      <w:pPr>
        <w:pStyle w:val="Heading4"/>
        <w:spacing w:line="240" w:lineRule="auto"/>
        <w:ind w:right="986"/>
        <w:jc w:val="left"/>
        <w:rPr>
          <w:b w:val="0"/>
          <w:bCs w:val="0"/>
        </w:rPr>
      </w:pPr>
      <w:bookmarkStart w:name="（2）重要的非全资子公司" w:id="447"/>
      <w:bookmarkEnd w:id="447"/>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619"/>
        <w:gridCol w:w="1488"/>
        <w:gridCol w:w="1486"/>
        <w:gridCol w:w="1489"/>
        <w:gridCol w:w="1490"/>
      </w:tblGrid>
      <w:tr>
        <w:trPr>
          <w:trHeight w:val="766" w:hRule="exact"/>
        </w:trPr>
        <w:tc>
          <w:tcPr>
            <w:tcW w:w="36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648" w:right="108" w:hanging="540"/>
              <w:jc w:val="left"/>
              <w:rPr>
                <w:rFonts w:ascii="宋体" w:hAnsi="宋体" w:cs="宋体" w:eastAsia="宋体" w:hint="default"/>
                <w:sz w:val="18"/>
                <w:szCs w:val="18"/>
              </w:rPr>
            </w:pPr>
            <w:r>
              <w:rPr>
                <w:rFonts w:ascii="宋体" w:hAnsi="宋体" w:cs="宋体" w:eastAsia="宋体" w:hint="default"/>
                <w:sz w:val="18"/>
                <w:szCs w:val="18"/>
              </w:rPr>
              <w:t>少数股东持股比 例</w:t>
            </w:r>
          </w:p>
        </w:tc>
        <w:tc>
          <w:tcPr>
            <w:tcW w:w="14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288" w:right="107" w:hanging="180"/>
              <w:jc w:val="left"/>
              <w:rPr>
                <w:rFonts w:ascii="宋体" w:hAnsi="宋体" w:cs="宋体" w:eastAsia="宋体" w:hint="default"/>
                <w:sz w:val="18"/>
                <w:szCs w:val="18"/>
              </w:rPr>
            </w:pPr>
            <w:r>
              <w:rPr>
                <w:rFonts w:ascii="宋体" w:hAnsi="宋体" w:cs="宋体" w:eastAsia="宋体" w:hint="default"/>
                <w:sz w:val="18"/>
                <w:szCs w:val="18"/>
              </w:rPr>
              <w:t>本期归属于少数 股东的损益</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110" w:right="106"/>
              <w:jc w:val="left"/>
              <w:rPr>
                <w:rFonts w:ascii="宋体" w:hAnsi="宋体" w:cs="宋体" w:eastAsia="宋体" w:hint="default"/>
                <w:sz w:val="18"/>
                <w:szCs w:val="18"/>
              </w:rPr>
            </w:pPr>
            <w:r>
              <w:rPr>
                <w:rFonts w:ascii="宋体" w:hAnsi="宋体" w:cs="宋体" w:eastAsia="宋体" w:hint="default"/>
                <w:sz w:val="18"/>
                <w:szCs w:val="18"/>
              </w:rPr>
              <w:t>本期向少数股东 宣告分派的股利</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5"/>
              <w:ind w:left="470" w:right="108" w:hanging="360"/>
              <w:jc w:val="left"/>
              <w:rPr>
                <w:rFonts w:ascii="宋体" w:hAnsi="宋体" w:cs="宋体" w:eastAsia="宋体" w:hint="default"/>
                <w:sz w:val="18"/>
                <w:szCs w:val="18"/>
              </w:rPr>
            </w:pPr>
            <w:r>
              <w:rPr>
                <w:rFonts w:ascii="宋体" w:hAnsi="宋体" w:cs="宋体" w:eastAsia="宋体" w:hint="default"/>
                <w:sz w:val="18"/>
                <w:szCs w:val="18"/>
              </w:rPr>
              <w:t>期末少数股东权 益余额</w:t>
            </w:r>
          </w:p>
        </w:tc>
      </w:tr>
      <w:tr>
        <w:trPr>
          <w:trHeight w:val="401" w:hRule="exact"/>
        </w:trPr>
        <w:tc>
          <w:tcPr>
            <w:tcW w:w="36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深圳大通致远供应链管理有限公司</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60" w:right="0"/>
              <w:jc w:val="left"/>
              <w:rPr>
                <w:rFonts w:ascii="Times New Roman" w:hAnsi="Times New Roman" w:cs="Times New Roman" w:eastAsia="Times New Roman" w:hint="default"/>
                <w:sz w:val="18"/>
                <w:szCs w:val="18"/>
              </w:rPr>
            </w:pPr>
            <w:r>
              <w:rPr>
                <w:rFonts w:ascii="Times New Roman"/>
                <w:sz w:val="18"/>
              </w:rPr>
              <w:t>20.00%</w:t>
            </w:r>
          </w:p>
        </w:tc>
        <w:tc>
          <w:tcPr>
            <w:tcW w:w="14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6" w:right="0"/>
              <w:jc w:val="left"/>
              <w:rPr>
                <w:rFonts w:ascii="Times New Roman" w:hAnsi="Times New Roman" w:cs="Times New Roman" w:eastAsia="Times New Roman" w:hint="default"/>
                <w:sz w:val="18"/>
                <w:szCs w:val="18"/>
              </w:rPr>
            </w:pPr>
            <w:r>
              <w:rPr>
                <w:rFonts w:ascii="Times New Roman"/>
                <w:sz w:val="18"/>
              </w:rPr>
              <w:t>1,555,059.39</w:t>
            </w:r>
          </w:p>
        </w:tc>
        <w:tc>
          <w:tcPr>
            <w:tcW w:w="1489" w:type="dxa"/>
            <w:tcBorders>
              <w:top w:val="single" w:sz="4" w:space="0" w:color="000000"/>
              <w:left w:val="single" w:sz="4" w:space="0" w:color="000000"/>
              <w:bottom w:val="single" w:sz="4" w:space="0" w:color="000000"/>
              <w:right w:val="single" w:sz="4" w:space="0" w:color="000000"/>
            </w:tcBorders>
          </w:tcPr>
          <w:p>
            <w:pP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4" w:right="0"/>
              <w:jc w:val="left"/>
              <w:rPr>
                <w:rFonts w:ascii="Times New Roman" w:hAnsi="Times New Roman" w:cs="Times New Roman" w:eastAsia="Times New Roman" w:hint="default"/>
                <w:sz w:val="18"/>
                <w:szCs w:val="18"/>
              </w:rPr>
            </w:pPr>
            <w:r>
              <w:rPr>
                <w:rFonts w:ascii="Times New Roman"/>
                <w:sz w:val="18"/>
              </w:rPr>
              <w:t>-943,104.15</w:t>
            </w:r>
          </w:p>
        </w:tc>
      </w:tr>
    </w:tbl>
    <w:p>
      <w:pPr>
        <w:pStyle w:val="BodyText"/>
        <w:spacing w:line="360" w:lineRule="auto" w:before="49"/>
        <w:ind w:right="6434"/>
        <w:jc w:val="left"/>
      </w:pPr>
      <w:r>
        <w:rPr/>
        <w:t>子公司少数股东的持股比例不同于表决权比例的说明： 其他说明：</w:t>
      </w:r>
    </w:p>
    <w:p>
      <w:pPr>
        <w:spacing w:line="240" w:lineRule="auto" w:before="2"/>
        <w:rPr>
          <w:rFonts w:ascii="宋体" w:hAnsi="宋体" w:cs="宋体" w:eastAsia="宋体" w:hint="default"/>
          <w:sz w:val="20"/>
          <w:szCs w:val="20"/>
        </w:rPr>
      </w:pPr>
    </w:p>
    <w:p>
      <w:pPr>
        <w:pStyle w:val="Heading4"/>
        <w:spacing w:line="240" w:lineRule="auto"/>
        <w:ind w:right="986"/>
        <w:jc w:val="left"/>
        <w:rPr>
          <w:b w:val="0"/>
          <w:bCs w:val="0"/>
        </w:rPr>
      </w:pPr>
      <w:bookmarkStart w:name="（3）重要非全资子公司的主要财务信息" w:id="448"/>
      <w:bookmarkEnd w:id="448"/>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975"/>
        <w:gridCol w:w="715"/>
        <w:gridCol w:w="713"/>
        <w:gridCol w:w="716"/>
        <w:gridCol w:w="715"/>
        <w:gridCol w:w="715"/>
        <w:gridCol w:w="718"/>
        <w:gridCol w:w="715"/>
        <w:gridCol w:w="715"/>
        <w:gridCol w:w="715"/>
        <w:gridCol w:w="716"/>
        <w:gridCol w:w="715"/>
        <w:gridCol w:w="722"/>
      </w:tblGrid>
      <w:tr>
        <w:trPr>
          <w:trHeight w:val="401" w:hRule="exact"/>
        </w:trPr>
        <w:tc>
          <w:tcPr>
            <w:tcW w:w="97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391" w:right="120" w:hanging="269"/>
              <w:jc w:val="left"/>
              <w:rPr>
                <w:rFonts w:ascii="宋体" w:hAnsi="宋体" w:cs="宋体" w:eastAsia="宋体" w:hint="default"/>
                <w:sz w:val="18"/>
                <w:szCs w:val="18"/>
              </w:rPr>
            </w:pPr>
            <w:r>
              <w:rPr>
                <w:rFonts w:ascii="宋体" w:hAnsi="宋体" w:cs="宋体" w:eastAsia="宋体" w:hint="default"/>
                <w:sz w:val="18"/>
                <w:szCs w:val="18"/>
              </w:rPr>
              <w:t>子公司名 称</w:t>
            </w:r>
          </w:p>
        </w:tc>
        <w:tc>
          <w:tcPr>
            <w:tcW w:w="4292"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29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028" w:hRule="exact"/>
        </w:trPr>
        <w:tc>
          <w:tcPr>
            <w:tcW w:w="975" w:type="dxa"/>
            <w:vMerge/>
            <w:tcBorders>
              <w:left w:val="single" w:sz="4" w:space="0" w:color="000000"/>
              <w:bottom w:val="single" w:sz="4" w:space="0" w:color="000000"/>
              <w:right w:val="single" w:sz="4" w:space="0" w:color="000000"/>
            </w:tcBorders>
            <w:shd w:val="clear" w:color="auto" w:fill="D2D2D2"/>
          </w:tcPr>
          <w:p>
            <w:pP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72" w:right="170"/>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70" w:right="170"/>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72" w:right="171"/>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72" w:right="170"/>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72" w:right="17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75" w:right="171"/>
              <w:jc w:val="left"/>
              <w:rPr>
                <w:rFonts w:ascii="宋体" w:hAnsi="宋体" w:cs="宋体" w:eastAsia="宋体" w:hint="default"/>
                <w:sz w:val="18"/>
                <w:szCs w:val="18"/>
              </w:rPr>
            </w:pPr>
            <w:r>
              <w:rPr>
                <w:rFonts w:ascii="宋体" w:hAnsi="宋体" w:cs="宋体" w:eastAsia="宋体" w:hint="default"/>
                <w:sz w:val="18"/>
                <w:szCs w:val="18"/>
              </w:rPr>
              <w:t>负债 合计</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75" w:right="168"/>
              <w:jc w:val="left"/>
              <w:rPr>
                <w:rFonts w:ascii="宋体" w:hAnsi="宋体" w:cs="宋体" w:eastAsia="宋体" w:hint="default"/>
                <w:sz w:val="18"/>
                <w:szCs w:val="18"/>
              </w:rPr>
            </w:pPr>
            <w:r>
              <w:rPr>
                <w:rFonts w:ascii="宋体" w:hAnsi="宋体" w:cs="宋体" w:eastAsia="宋体" w:hint="default"/>
                <w:sz w:val="18"/>
                <w:szCs w:val="18"/>
              </w:rPr>
              <w:t>流动 资产</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75" w:right="168"/>
              <w:jc w:val="both"/>
              <w:rPr>
                <w:rFonts w:ascii="宋体" w:hAnsi="宋体" w:cs="宋体" w:eastAsia="宋体" w:hint="default"/>
                <w:sz w:val="18"/>
                <w:szCs w:val="18"/>
              </w:rPr>
            </w:pPr>
            <w:r>
              <w:rPr>
                <w:rFonts w:ascii="宋体" w:hAnsi="宋体" w:cs="宋体" w:eastAsia="宋体" w:hint="default"/>
                <w:sz w:val="18"/>
                <w:szCs w:val="18"/>
              </w:rPr>
              <w:t>非流 动资 产</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72" w:right="170"/>
              <w:jc w:val="left"/>
              <w:rPr>
                <w:rFonts w:ascii="宋体" w:hAnsi="宋体" w:cs="宋体" w:eastAsia="宋体" w:hint="default"/>
                <w:sz w:val="18"/>
                <w:szCs w:val="18"/>
              </w:rPr>
            </w:pPr>
            <w:r>
              <w:rPr>
                <w:rFonts w:ascii="宋体" w:hAnsi="宋体" w:cs="宋体" w:eastAsia="宋体" w:hint="default"/>
                <w:sz w:val="18"/>
                <w:szCs w:val="18"/>
              </w:rPr>
              <w:t>资产 合计</w:t>
            </w:r>
          </w:p>
        </w:tc>
        <w:tc>
          <w:tcPr>
            <w:tcW w:w="7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72" w:right="171"/>
              <w:jc w:val="left"/>
              <w:rPr>
                <w:rFonts w:ascii="宋体" w:hAnsi="宋体" w:cs="宋体" w:eastAsia="宋体" w:hint="default"/>
                <w:sz w:val="18"/>
                <w:szCs w:val="18"/>
              </w:rPr>
            </w:pPr>
            <w:r>
              <w:rPr>
                <w:rFonts w:ascii="宋体" w:hAnsi="宋体" w:cs="宋体" w:eastAsia="宋体" w:hint="default"/>
                <w:sz w:val="18"/>
                <w:szCs w:val="18"/>
              </w:rPr>
              <w:t>流动 负债</w:t>
            </w:r>
          </w:p>
        </w:tc>
        <w:tc>
          <w:tcPr>
            <w:tcW w:w="7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72" w:right="170"/>
              <w:jc w:val="both"/>
              <w:rPr>
                <w:rFonts w:ascii="宋体" w:hAnsi="宋体" w:cs="宋体" w:eastAsia="宋体" w:hint="default"/>
                <w:sz w:val="18"/>
                <w:szCs w:val="18"/>
              </w:rPr>
            </w:pPr>
            <w:r>
              <w:rPr>
                <w:rFonts w:ascii="宋体" w:hAnsi="宋体" w:cs="宋体" w:eastAsia="宋体" w:hint="default"/>
                <w:sz w:val="18"/>
                <w:szCs w:val="18"/>
              </w:rPr>
              <w:t>非流 动负 债</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9" w:lineRule="auto"/>
              <w:ind w:left="175" w:right="175"/>
              <w:jc w:val="left"/>
              <w:rPr>
                <w:rFonts w:ascii="宋体" w:hAnsi="宋体" w:cs="宋体" w:eastAsia="宋体" w:hint="default"/>
                <w:sz w:val="18"/>
                <w:szCs w:val="18"/>
              </w:rPr>
            </w:pPr>
            <w:r>
              <w:rPr>
                <w:rFonts w:ascii="宋体" w:hAnsi="宋体" w:cs="宋体" w:eastAsia="宋体" w:hint="default"/>
                <w:sz w:val="18"/>
                <w:szCs w:val="18"/>
              </w:rPr>
              <w:t>负债 合计</w:t>
            </w:r>
          </w:p>
        </w:tc>
      </w:tr>
      <w:tr>
        <w:trPr>
          <w:trHeight w:val="1337" w:hRule="exact"/>
        </w:trPr>
        <w:tc>
          <w:tcPr>
            <w:tcW w:w="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41"/>
              <w:jc w:val="both"/>
              <w:rPr>
                <w:rFonts w:ascii="宋体" w:hAnsi="宋体" w:cs="宋体" w:eastAsia="宋体" w:hint="default"/>
                <w:sz w:val="18"/>
                <w:szCs w:val="18"/>
              </w:rPr>
            </w:pPr>
            <w:r>
              <w:rPr>
                <w:rFonts w:ascii="宋体" w:hAnsi="宋体" w:cs="宋体" w:eastAsia="宋体" w:hint="default"/>
                <w:sz w:val="18"/>
                <w:szCs w:val="18"/>
              </w:rPr>
              <w:t>深圳大通 致远供应 链管理有 限公司</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261,52</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7,803.</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03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05" w:right="0"/>
              <w:jc w:val="left"/>
              <w:rPr>
                <w:rFonts w:ascii="Times New Roman" w:hAnsi="Times New Roman" w:cs="Times New Roman" w:eastAsia="Times New Roman" w:hint="default"/>
                <w:sz w:val="18"/>
                <w:szCs w:val="18"/>
              </w:rPr>
            </w:pPr>
            <w:r>
              <w:rPr>
                <w:rFonts w:ascii="Times New Roman"/>
                <w:sz w:val="18"/>
              </w:rPr>
              <w:t>67,380</w:t>
            </w:r>
          </w:p>
          <w:p>
            <w:pPr>
              <w:pStyle w:val="TableParagraph"/>
              <w:spacing w:line="240" w:lineRule="auto" w:before="105"/>
              <w:ind w:left="374" w:right="0"/>
              <w:jc w:val="left"/>
              <w:rPr>
                <w:rFonts w:ascii="Times New Roman" w:hAnsi="Times New Roman" w:cs="Times New Roman" w:eastAsia="Times New Roman" w:hint="default"/>
                <w:sz w:val="18"/>
                <w:szCs w:val="18"/>
              </w:rPr>
            </w:pPr>
            <w:r>
              <w:rPr>
                <w:rFonts w:ascii="Times New Roman"/>
                <w:sz w:val="18"/>
              </w:rPr>
              <w:t>.76</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261,59</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5,183.</w:t>
            </w:r>
          </w:p>
          <w:p>
            <w:pPr>
              <w:pStyle w:val="TableParagraph"/>
              <w:spacing w:line="240" w:lineRule="auto" w:before="105"/>
              <w:ind w:left="423" w:right="0"/>
              <w:jc w:val="left"/>
              <w:rPr>
                <w:rFonts w:ascii="Times New Roman" w:hAnsi="Times New Roman" w:cs="Times New Roman" w:eastAsia="Times New Roman" w:hint="default"/>
                <w:sz w:val="18"/>
                <w:szCs w:val="18"/>
              </w:rPr>
            </w:pPr>
            <w:r>
              <w:rPr>
                <w:rFonts w:ascii="Times New Roman"/>
                <w:sz w:val="18"/>
              </w:rPr>
              <w:t>79</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259,53</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0,821.</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88</w:t>
            </w:r>
          </w:p>
        </w:tc>
        <w:tc>
          <w:tcPr>
            <w:tcW w:w="715" w:type="dxa"/>
            <w:tcBorders>
              <w:top w:val="single" w:sz="4" w:space="0" w:color="000000"/>
              <w:left w:val="single" w:sz="4" w:space="0" w:color="000000"/>
              <w:bottom w:val="single" w:sz="4" w:space="0" w:color="000000"/>
              <w:right w:val="single" w:sz="4" w:space="0" w:color="000000"/>
            </w:tcBorders>
          </w:tcPr>
          <w:p>
            <w:pP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left"/>
              <w:rPr>
                <w:rFonts w:ascii="Times New Roman" w:hAnsi="Times New Roman" w:cs="Times New Roman" w:eastAsia="Times New Roman" w:hint="default"/>
                <w:sz w:val="18"/>
                <w:szCs w:val="18"/>
              </w:rPr>
            </w:pPr>
            <w:r>
              <w:rPr>
                <w:rFonts w:ascii="Times New Roman"/>
                <w:sz w:val="18"/>
              </w:rPr>
              <w:t>259,53</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0,821.</w:t>
            </w:r>
          </w:p>
          <w:p>
            <w:pPr>
              <w:pStyle w:val="TableParagraph"/>
              <w:spacing w:line="240" w:lineRule="auto" w:before="105"/>
              <w:ind w:left="427" w:right="0"/>
              <w:jc w:val="left"/>
              <w:rPr>
                <w:rFonts w:ascii="Times New Roman" w:hAnsi="Times New Roman" w:cs="Times New Roman" w:eastAsia="Times New Roman" w:hint="default"/>
                <w:sz w:val="18"/>
                <w:szCs w:val="18"/>
              </w:rPr>
            </w:pPr>
            <w:r>
              <w:rPr>
                <w:rFonts w:ascii="Times New Roman"/>
                <w:sz w:val="18"/>
              </w:rPr>
              <w:t>88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297,38</w:t>
            </w:r>
          </w:p>
          <w:p>
            <w:pPr>
              <w:pStyle w:val="TableParagraph"/>
              <w:spacing w:line="240" w:lineRule="auto" w:before="105"/>
              <w:ind w:left="153" w:right="0"/>
              <w:jc w:val="left"/>
              <w:rPr>
                <w:rFonts w:ascii="Times New Roman" w:hAnsi="Times New Roman" w:cs="Times New Roman" w:eastAsia="Times New Roman" w:hint="default"/>
                <w:sz w:val="18"/>
                <w:szCs w:val="18"/>
              </w:rPr>
            </w:pPr>
            <w:r>
              <w:rPr>
                <w:rFonts w:ascii="Times New Roman"/>
                <w:sz w:val="18"/>
              </w:rPr>
              <w:t>9,007.</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40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87,644</w:t>
            </w:r>
          </w:p>
          <w:p>
            <w:pPr>
              <w:pStyle w:val="TableParagraph"/>
              <w:spacing w:line="240" w:lineRule="auto" w:before="105"/>
              <w:ind w:left="379" w:right="0"/>
              <w:jc w:val="left"/>
              <w:rPr>
                <w:rFonts w:ascii="Times New Roman" w:hAnsi="Times New Roman" w:cs="Times New Roman" w:eastAsia="Times New Roman" w:hint="default"/>
                <w:sz w:val="18"/>
                <w:szCs w:val="18"/>
              </w:rPr>
            </w:pPr>
            <w:r>
              <w:rPr>
                <w:rFonts w:ascii="Times New Roman"/>
                <w:sz w:val="18"/>
              </w:rPr>
              <w:t>.20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7" w:right="0"/>
              <w:jc w:val="left"/>
              <w:rPr>
                <w:rFonts w:ascii="Times New Roman" w:hAnsi="Times New Roman" w:cs="Times New Roman" w:eastAsia="Times New Roman" w:hint="default"/>
                <w:sz w:val="18"/>
                <w:szCs w:val="18"/>
              </w:rPr>
            </w:pPr>
            <w:r>
              <w:rPr>
                <w:rFonts w:ascii="Times New Roman"/>
                <w:sz w:val="18"/>
              </w:rPr>
              <w:t>297,47</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6,651.</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60</w:t>
            </w:r>
          </w:p>
        </w:tc>
        <w:tc>
          <w:tcPr>
            <w:tcW w:w="7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8" w:right="0"/>
              <w:jc w:val="left"/>
              <w:rPr>
                <w:rFonts w:ascii="Times New Roman" w:hAnsi="Times New Roman" w:cs="Times New Roman" w:eastAsia="Times New Roman" w:hint="default"/>
                <w:sz w:val="18"/>
                <w:szCs w:val="18"/>
              </w:rPr>
            </w:pPr>
            <w:r>
              <w:rPr>
                <w:rFonts w:ascii="Times New Roman"/>
                <w:sz w:val="18"/>
              </w:rPr>
              <w:t>303,18</w:t>
            </w:r>
          </w:p>
          <w:p>
            <w:pPr>
              <w:pStyle w:val="TableParagraph"/>
              <w:spacing w:line="240" w:lineRule="auto" w:before="105"/>
              <w:ind w:left="151" w:right="0"/>
              <w:jc w:val="left"/>
              <w:rPr>
                <w:rFonts w:ascii="Times New Roman" w:hAnsi="Times New Roman" w:cs="Times New Roman" w:eastAsia="Times New Roman" w:hint="default"/>
                <w:sz w:val="18"/>
                <w:szCs w:val="18"/>
              </w:rPr>
            </w:pPr>
            <w:r>
              <w:rPr>
                <w:rFonts w:ascii="Times New Roman"/>
                <w:sz w:val="18"/>
              </w:rPr>
              <w:t>7,586.</w:t>
            </w:r>
          </w:p>
          <w:p>
            <w:pPr>
              <w:pStyle w:val="TableParagraph"/>
              <w:spacing w:line="240" w:lineRule="auto" w:before="105"/>
              <w:ind w:left="423" w:right="0"/>
              <w:jc w:val="left"/>
              <w:rPr>
                <w:rFonts w:ascii="Times New Roman" w:hAnsi="Times New Roman" w:cs="Times New Roman" w:eastAsia="Times New Roman" w:hint="default"/>
                <w:sz w:val="18"/>
                <w:szCs w:val="18"/>
              </w:rPr>
            </w:pPr>
            <w:r>
              <w:rPr>
                <w:rFonts w:ascii="Times New Roman"/>
                <w:sz w:val="18"/>
              </w:rPr>
              <w:t>62</w:t>
            </w:r>
          </w:p>
        </w:tc>
        <w:tc>
          <w:tcPr>
            <w:tcW w:w="715"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5" w:right="0"/>
              <w:jc w:val="left"/>
              <w:rPr>
                <w:rFonts w:ascii="Times New Roman" w:hAnsi="Times New Roman" w:cs="Times New Roman" w:eastAsia="Times New Roman" w:hint="default"/>
                <w:sz w:val="18"/>
                <w:szCs w:val="18"/>
              </w:rPr>
            </w:pPr>
            <w:r>
              <w:rPr>
                <w:rFonts w:ascii="Times New Roman"/>
                <w:sz w:val="18"/>
              </w:rPr>
              <w:t>303,18</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7,586.</w:t>
            </w:r>
          </w:p>
          <w:p>
            <w:pPr>
              <w:pStyle w:val="TableParagraph"/>
              <w:spacing w:line="240" w:lineRule="auto" w:before="105"/>
              <w:ind w:left="429" w:right="0"/>
              <w:jc w:val="left"/>
              <w:rPr>
                <w:rFonts w:ascii="Times New Roman" w:hAnsi="Times New Roman" w:cs="Times New Roman" w:eastAsia="Times New Roman" w:hint="default"/>
                <w:sz w:val="18"/>
                <w:szCs w:val="18"/>
              </w:rPr>
            </w:pPr>
            <w:r>
              <w:rPr>
                <w:rFonts w:ascii="Times New Roman"/>
                <w:sz w:val="18"/>
              </w:rPr>
              <w:t>62</w:t>
            </w:r>
          </w:p>
        </w:tc>
      </w:tr>
    </w:tbl>
    <w:p>
      <w:pPr>
        <w:pStyle w:val="BodyText"/>
        <w:spacing w:line="240" w:lineRule="auto" w:before="49"/>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59"/>
        <w:gridCol w:w="1025"/>
        <w:gridCol w:w="1028"/>
        <w:gridCol w:w="1025"/>
        <w:gridCol w:w="1028"/>
        <w:gridCol w:w="1027"/>
        <w:gridCol w:w="1025"/>
        <w:gridCol w:w="1028"/>
        <w:gridCol w:w="1027"/>
      </w:tblGrid>
      <w:tr>
        <w:trPr>
          <w:trHeight w:val="401" w:hRule="exact"/>
        </w:trPr>
        <w:tc>
          <w:tcPr>
            <w:tcW w:w="13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10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10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359" w:type="dxa"/>
            <w:vMerge/>
            <w:tcBorders>
              <w:left w:val="single" w:sz="4" w:space="0" w:color="000000"/>
              <w:bottom w:val="single" w:sz="4" w:space="0" w:color="000000"/>
              <w:right w:val="single" w:sz="4" w:space="0" w:color="000000"/>
            </w:tcBorders>
            <w:shd w:val="clear" w:color="auto" w:fill="D2D2D2"/>
          </w:tcPr>
          <w:p>
            <w:pP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0"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8" w:right="144" w:hanging="180"/>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51" w:right="144"/>
              <w:jc w:val="left"/>
              <w:rPr>
                <w:rFonts w:ascii="宋体" w:hAnsi="宋体" w:cs="宋体" w:eastAsia="宋体" w:hint="default"/>
                <w:sz w:val="18"/>
                <w:szCs w:val="18"/>
              </w:rPr>
            </w:pPr>
            <w:r>
              <w:rPr>
                <w:rFonts w:ascii="宋体" w:hAnsi="宋体" w:cs="宋体" w:eastAsia="宋体" w:hint="default"/>
                <w:sz w:val="18"/>
                <w:szCs w:val="18"/>
              </w:rPr>
              <w:t>经营活动 现金流量</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1" w:right="146" w:hanging="181"/>
              <w:jc w:val="left"/>
              <w:rPr>
                <w:rFonts w:ascii="宋体" w:hAnsi="宋体" w:cs="宋体" w:eastAsia="宋体" w:hint="default"/>
                <w:sz w:val="18"/>
                <w:szCs w:val="18"/>
              </w:rPr>
            </w:pPr>
            <w:r>
              <w:rPr>
                <w:rFonts w:ascii="宋体" w:hAnsi="宋体" w:cs="宋体" w:eastAsia="宋体" w:hint="default"/>
                <w:sz w:val="18"/>
                <w:szCs w:val="18"/>
              </w:rPr>
              <w:t>综合收益 总额</w:t>
            </w:r>
          </w:p>
        </w:tc>
        <w:tc>
          <w:tcPr>
            <w:tcW w:w="1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8" w:right="146"/>
              <w:jc w:val="left"/>
              <w:rPr>
                <w:rFonts w:ascii="宋体" w:hAnsi="宋体" w:cs="宋体" w:eastAsia="宋体" w:hint="default"/>
                <w:sz w:val="18"/>
                <w:szCs w:val="18"/>
              </w:rPr>
            </w:pPr>
            <w:r>
              <w:rPr>
                <w:rFonts w:ascii="宋体" w:hAnsi="宋体" w:cs="宋体" w:eastAsia="宋体" w:hint="default"/>
                <w:sz w:val="18"/>
                <w:szCs w:val="18"/>
              </w:rPr>
              <w:t>经营活动 现金流量</w:t>
            </w:r>
          </w:p>
        </w:tc>
      </w:tr>
      <w:tr>
        <w:trPr>
          <w:trHeight w:val="1025"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65"/>
              <w:jc w:val="both"/>
              <w:rPr>
                <w:rFonts w:ascii="宋体" w:hAnsi="宋体" w:cs="宋体" w:eastAsia="宋体" w:hint="default"/>
                <w:sz w:val="18"/>
                <w:szCs w:val="18"/>
              </w:rPr>
            </w:pPr>
            <w:r>
              <w:rPr>
                <w:rFonts w:ascii="宋体" w:hAnsi="宋体" w:cs="宋体" w:eastAsia="宋体" w:hint="default"/>
                <w:sz w:val="18"/>
                <w:szCs w:val="18"/>
              </w:rPr>
              <w:t>深圳大通致远 供应链管理有 限公司</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1,433,296,</w:t>
            </w:r>
          </w:p>
          <w:p>
            <w:pPr>
              <w:pStyle w:val="TableParagraph"/>
              <w:spacing w:line="240" w:lineRule="auto" w:before="105"/>
              <w:ind w:left="419" w:right="0"/>
              <w:jc w:val="left"/>
              <w:rPr>
                <w:rFonts w:ascii="Times New Roman" w:hAnsi="Times New Roman" w:cs="Times New Roman" w:eastAsia="Times New Roman" w:hint="default"/>
                <w:sz w:val="18"/>
                <w:szCs w:val="18"/>
              </w:rPr>
            </w:pPr>
            <w:r>
              <w:rPr>
                <w:rFonts w:ascii="Times New Roman"/>
                <w:sz w:val="18"/>
              </w:rPr>
              <w:t>670.59</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7,775,296.</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93</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18"/>
                <w:szCs w:val="18"/>
              </w:rPr>
            </w:pPr>
            <w:r>
              <w:rPr>
                <w:rFonts w:ascii="Times New Roman"/>
                <w:spacing w:val="-1"/>
                <w:sz w:val="18"/>
              </w:rPr>
              <w:t>7,775,296.</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93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34,478,778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.76</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1,450,969,</w:t>
            </w:r>
          </w:p>
          <w:p>
            <w:pPr>
              <w:pStyle w:val="TableParagraph"/>
              <w:spacing w:line="240" w:lineRule="auto" w:before="105"/>
              <w:ind w:left="422" w:right="0"/>
              <w:jc w:val="left"/>
              <w:rPr>
                <w:rFonts w:ascii="Times New Roman" w:hAnsi="Times New Roman" w:cs="Times New Roman" w:eastAsia="Times New Roman" w:hint="default"/>
                <w:sz w:val="18"/>
                <w:szCs w:val="18"/>
              </w:rPr>
            </w:pPr>
            <w:r>
              <w:rPr>
                <w:rFonts w:ascii="Times New Roman"/>
                <w:sz w:val="18"/>
              </w:rPr>
              <w:t>128.49</w:t>
            </w:r>
          </w:p>
        </w:tc>
        <w:tc>
          <w:tcPr>
            <w:tcW w:w="10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-13,205,67</w:t>
            </w:r>
          </w:p>
          <w:p>
            <w:pPr>
              <w:pStyle w:val="TableParagraph"/>
              <w:spacing w:line="240" w:lineRule="auto" w:before="105"/>
              <w:ind w:left="599" w:right="0"/>
              <w:jc w:val="left"/>
              <w:rPr>
                <w:rFonts w:ascii="Times New Roman" w:hAnsi="Times New Roman" w:cs="Times New Roman" w:eastAsia="Times New Roman" w:hint="default"/>
                <w:sz w:val="18"/>
                <w:szCs w:val="18"/>
              </w:rPr>
            </w:pPr>
            <w:r>
              <w:rPr>
                <w:rFonts w:ascii="Times New Roman"/>
                <w:sz w:val="18"/>
              </w:rPr>
              <w:t>3.23</w:t>
            </w:r>
          </w:p>
        </w:tc>
        <w:tc>
          <w:tcPr>
            <w:tcW w:w="10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-13,205,67</w:t>
            </w:r>
          </w:p>
          <w:p>
            <w:pPr>
              <w:pStyle w:val="TableParagraph"/>
              <w:spacing w:line="240" w:lineRule="auto" w:before="105"/>
              <w:ind w:left="603" w:right="0"/>
              <w:jc w:val="left"/>
              <w:rPr>
                <w:rFonts w:ascii="Times New Roman" w:hAnsi="Times New Roman" w:cs="Times New Roman" w:eastAsia="Times New Roman" w:hint="default"/>
                <w:sz w:val="18"/>
                <w:szCs w:val="18"/>
              </w:rPr>
            </w:pPr>
            <w:r>
              <w:rPr>
                <w:rFonts w:ascii="Times New Roman"/>
                <w:sz w:val="18"/>
              </w:rPr>
              <w:t>3.23</w:t>
            </w:r>
          </w:p>
        </w:tc>
        <w:tc>
          <w:tcPr>
            <w:tcW w:w="1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-79,514,45</w:t>
            </w:r>
          </w:p>
          <w:p>
            <w:pPr>
              <w:pStyle w:val="TableParagraph"/>
              <w:spacing w:line="240" w:lineRule="auto" w:before="105"/>
              <w:ind w:left="600" w:right="0"/>
              <w:jc w:val="left"/>
              <w:rPr>
                <w:rFonts w:ascii="Times New Roman" w:hAnsi="Times New Roman" w:cs="Times New Roman" w:eastAsia="Times New Roman" w:hint="default"/>
                <w:sz w:val="18"/>
                <w:szCs w:val="18"/>
              </w:rPr>
            </w:pPr>
            <w:r>
              <w:rPr>
                <w:rFonts w:ascii="Times New Roman"/>
                <w:sz w:val="18"/>
              </w:rPr>
              <w:t>7.95</w:t>
            </w:r>
          </w:p>
        </w:tc>
      </w:tr>
    </w:tbl>
    <w:p>
      <w:pPr>
        <w:pStyle w:val="BodyText"/>
        <w:spacing w:line="240" w:lineRule="auto" w:before="49"/>
        <w:ind w:right="986"/>
        <w:jc w:val="left"/>
      </w:pPr>
      <w:r>
        <w:rPr/>
        <w:t>其他说明：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0"/>
        <w:jc w:val="both"/>
        <w:rPr>
          <w:b w:val="0"/>
          <w:bCs w:val="0"/>
        </w:rPr>
      </w:pPr>
      <w:bookmarkStart w:name="（4）使用企业集团资产和清偿企业集团债务的重大限制" w:id="449"/>
      <w:bookmarkEnd w:id="449"/>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5）向纳入合并财务报表范围的结构化主体提供的财务支持或其他支持" w:id="450"/>
      <w:bookmarkEnd w:id="450"/>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right="0"/>
        <w:jc w:val="both"/>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0"/>
        <w:jc w:val="both"/>
        <w:rPr>
          <w:b w:val="0"/>
          <w:bCs w:val="0"/>
        </w:rPr>
      </w:pPr>
      <w:bookmarkStart w:name="2、在子公司的所有者权益份额发生变化且仍控制子公司的交易" w:id="451"/>
      <w:bookmarkEnd w:id="451"/>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1）在子公司所有者权益份额发生变化的情况说明" w:id="452"/>
      <w:bookmarkEnd w:id="452"/>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2"/>
        <w:rPr>
          <w:rFonts w:ascii="宋体" w:hAnsi="宋体" w:cs="宋体" w:eastAsia="宋体" w:hint="default"/>
          <w:b/>
          <w:bCs/>
          <w:sz w:val="26"/>
          <w:szCs w:val="26"/>
        </w:rPr>
      </w:pPr>
    </w:p>
    <w:p>
      <w:pPr>
        <w:pStyle w:val="BodyText"/>
        <w:spacing w:line="319" w:lineRule="auto" w:before="0"/>
        <w:ind w:right="1128"/>
        <w:jc w:val="both"/>
      </w:pPr>
      <w:r>
        <w:rPr>
          <w:rFonts w:ascii="宋体" w:hAnsi="宋体" w:cs="宋体" w:eastAsia="宋体" w:hint="default"/>
          <w:spacing w:val="-2"/>
        </w:rPr>
        <w:t>2019</w:t>
      </w:r>
      <w:r>
        <w:rPr>
          <w:spacing w:val="-2"/>
        </w:rPr>
        <w:t>年</w:t>
      </w:r>
      <w:r>
        <w:rPr>
          <w:rFonts w:ascii="宋体" w:hAnsi="宋体" w:cs="宋体" w:eastAsia="宋体" w:hint="default"/>
          <w:spacing w:val="-2"/>
        </w:rPr>
        <w:t>7</w:t>
      </w:r>
      <w:r>
        <w:rPr>
          <w:spacing w:val="-2"/>
        </w:rPr>
        <w:t>月</w:t>
      </w:r>
      <w:r>
        <w:rPr>
          <w:rFonts w:ascii="宋体" w:hAnsi="宋体" w:cs="宋体" w:eastAsia="宋体" w:hint="default"/>
          <w:spacing w:val="-2"/>
        </w:rPr>
        <w:t>18</w:t>
      </w:r>
      <w:r>
        <w:rPr>
          <w:spacing w:val="-2"/>
        </w:rPr>
        <w:t>日，公司与北京赢众文化发展有限公司前述《股权转让协议》，作价</w:t>
      </w:r>
      <w:r>
        <w:rPr>
          <w:rFonts w:ascii="宋体" w:hAnsi="宋体" w:cs="宋体" w:eastAsia="宋体" w:hint="default"/>
          <w:spacing w:val="-2"/>
        </w:rPr>
        <w:t>1</w:t>
      </w:r>
      <w:r>
        <w:rPr>
          <w:spacing w:val="-2"/>
        </w:rPr>
        <w:t>元收购其持有的北京大通汉达生物科技有</w:t>
      </w:r>
      <w:r>
        <w:rPr>
          <w:spacing w:val="-66"/>
        </w:rPr>
        <w:t> </w:t>
      </w:r>
      <w:r>
        <w:rPr>
          <w:spacing w:val="-3"/>
        </w:rPr>
        <w:t>限公司（原名北京通旅文化有限公司）</w:t>
      </w:r>
      <w:r>
        <w:rPr>
          <w:rFonts w:ascii="宋体" w:hAnsi="宋体" w:cs="宋体" w:eastAsia="宋体" w:hint="default"/>
          <w:spacing w:val="-3"/>
        </w:rPr>
        <w:t>4%</w:t>
      </w:r>
      <w:r>
        <w:rPr>
          <w:spacing w:val="-3"/>
        </w:rPr>
        <w:t>股权（即注册资本</w:t>
      </w:r>
      <w:r>
        <w:rPr>
          <w:rFonts w:ascii="宋体" w:hAnsi="宋体" w:cs="宋体" w:eastAsia="宋体" w:hint="default"/>
          <w:spacing w:val="-3"/>
        </w:rPr>
        <w:t>1000</w:t>
      </w:r>
      <w:r>
        <w:rPr>
          <w:spacing w:val="-3"/>
        </w:rPr>
        <w:t>万元中</w:t>
      </w:r>
      <w:r>
        <w:rPr>
          <w:rFonts w:ascii="宋体" w:hAnsi="宋体" w:cs="宋体" w:eastAsia="宋体" w:hint="default"/>
          <w:spacing w:val="-3"/>
        </w:rPr>
        <w:t>40</w:t>
      </w:r>
      <w:r>
        <w:rPr>
          <w:spacing w:val="-3"/>
        </w:rPr>
        <w:t>万元的认缴出资部分），已于</w:t>
      </w:r>
      <w:r>
        <w:rPr>
          <w:rFonts w:ascii="宋体" w:hAnsi="宋体" w:cs="宋体" w:eastAsia="宋体" w:hint="default"/>
          <w:spacing w:val="-3"/>
        </w:rPr>
        <w:t>201</w:t>
      </w:r>
      <w:r>
        <w:rPr>
          <w:spacing w:val="-3"/>
        </w:rPr>
        <w:t>年</w:t>
      </w:r>
      <w:r>
        <w:rPr>
          <w:rFonts w:ascii="宋体" w:hAnsi="宋体" w:cs="宋体" w:eastAsia="宋体" w:hint="default"/>
          <w:spacing w:val="-3"/>
        </w:rPr>
        <w:t>9</w:t>
      </w:r>
      <w:r>
        <w:rPr>
          <w:spacing w:val="-3"/>
        </w:rPr>
        <w:t>月</w:t>
      </w:r>
      <w:r>
        <w:rPr>
          <w:rFonts w:ascii="宋体" w:hAnsi="宋体" w:cs="宋体" w:eastAsia="宋体" w:hint="default"/>
          <w:spacing w:val="-3"/>
        </w:rPr>
        <w:t>5</w:t>
      </w:r>
      <w:r>
        <w:rPr>
          <w:spacing w:val="-3"/>
        </w:rPr>
        <w:t>日完成工商</w:t>
      </w:r>
      <w:r>
        <w:rPr>
          <w:spacing w:val="-82"/>
        </w:rPr>
        <w:t> </w:t>
      </w:r>
      <w:r>
        <w:rPr>
          <w:spacing w:val="-82"/>
        </w:rPr>
      </w:r>
      <w:r>
        <w:rPr/>
        <w:t>变更登记</w:t>
      </w:r>
      <w:r>
        <w:rPr>
          <w:rFonts w:ascii="宋体" w:hAnsi="宋体" w:cs="宋体" w:eastAsia="宋体" w:hint="default"/>
        </w:rPr>
        <w:t>.</w:t>
      </w:r>
      <w:r>
        <w:rPr/>
        <w:t>上述交易完成后，公司对北京大通汉达生物科技有限公司的合计持股比例由</w:t>
      </w:r>
      <w:r>
        <w:rPr>
          <w:rFonts w:ascii="宋体" w:hAnsi="宋体" w:cs="宋体" w:eastAsia="宋体" w:hint="default"/>
        </w:rPr>
        <w:t>56%</w:t>
      </w:r>
      <w:r>
        <w:rPr/>
        <w:t>变为</w:t>
      </w:r>
      <w:r>
        <w:rPr>
          <w:rFonts w:ascii="宋体" w:hAnsi="宋体" w:cs="宋体" w:eastAsia="宋体" w:hint="default"/>
        </w:rPr>
        <w:t>60%</w:t>
      </w:r>
      <w:r>
        <w:rPr/>
        <w:t>，北京大通汉达生物科技</w:t>
      </w:r>
      <w:r>
        <w:rPr>
          <w:spacing w:val="-86"/>
        </w:rPr>
        <w:t> </w:t>
      </w:r>
      <w:r>
        <w:rPr/>
        <w:t>有限公司仍为公司控股子公司。</w:t>
      </w:r>
    </w:p>
    <w:p>
      <w:pPr>
        <w:spacing w:line="240" w:lineRule="auto" w:before="9"/>
        <w:rPr>
          <w:rFonts w:ascii="宋体" w:hAnsi="宋体" w:cs="宋体" w:eastAsia="宋体" w:hint="default"/>
          <w:sz w:val="22"/>
          <w:szCs w:val="22"/>
        </w:rPr>
      </w:pPr>
    </w:p>
    <w:p>
      <w:pPr>
        <w:pStyle w:val="Heading4"/>
        <w:spacing w:line="240" w:lineRule="auto"/>
        <w:ind w:right="0"/>
        <w:jc w:val="both"/>
        <w:rPr>
          <w:b w:val="0"/>
          <w:bCs w:val="0"/>
        </w:rPr>
      </w:pPr>
      <w:bookmarkStart w:name="（2）交易对于少数股东权益及归属于母公司所有者权益的影响" w:id="453"/>
      <w:bookmarkEnd w:id="453"/>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835"/>
        <w:gridCol w:w="4835"/>
      </w:tblGrid>
      <w:tr>
        <w:trPr>
          <w:trHeight w:val="39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154" w:right="0"/>
              <w:jc w:val="left"/>
              <w:rPr>
                <w:rFonts w:ascii="宋体" w:hAnsi="宋体" w:cs="宋体" w:eastAsia="宋体" w:hint="default"/>
                <w:sz w:val="18"/>
                <w:szCs w:val="18"/>
              </w:rPr>
            </w:pPr>
            <w:r>
              <w:rPr>
                <w:rFonts w:ascii="宋体" w:hAnsi="宋体" w:cs="宋体" w:eastAsia="宋体" w:hint="default"/>
                <w:sz w:val="18"/>
                <w:szCs w:val="18"/>
              </w:rPr>
              <w:t>北京大通汉达生物科技有限公司</w:t>
            </w:r>
          </w:p>
        </w:tc>
      </w:tr>
      <w:tr>
        <w:trPr>
          <w:trHeight w:val="407"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97"/>
              <w:jc w:val="right"/>
              <w:rPr>
                <w:rFonts w:ascii="Times New Roman" w:hAnsi="Times New Roman" w:cs="Times New Roman" w:eastAsia="Times New Roman" w:hint="default"/>
                <w:sz w:val="18"/>
                <w:szCs w:val="18"/>
              </w:rPr>
            </w:pPr>
            <w:r>
              <w:rPr>
                <w:rFonts w:ascii="Times New Roman"/>
                <w:sz w:val="18"/>
              </w:rPr>
              <w:t>1.00</w:t>
            </w:r>
          </w:p>
        </w:tc>
      </w:tr>
      <w:tr>
        <w:trPr>
          <w:trHeight w:val="402"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8"/>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2"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2"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处置的股权比例计算的子公司净资产份额</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z w:val="18"/>
              </w:rPr>
              <w:t>12.99</w:t>
            </w:r>
          </w:p>
        </w:tc>
      </w:tr>
      <w:tr>
        <w:trPr>
          <w:trHeight w:val="402"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2"/>
                <w:sz w:val="18"/>
              </w:rPr>
              <w:t>11.99</w:t>
            </w:r>
          </w:p>
        </w:tc>
      </w:tr>
      <w:tr>
        <w:trPr>
          <w:trHeight w:val="402"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3"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4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7"/>
              <w:jc w:val="right"/>
              <w:rPr>
                <w:rFonts w:ascii="Times New Roman" w:hAnsi="Times New Roman" w:cs="Times New Roman" w:eastAsia="Times New Roman" w:hint="default"/>
                <w:sz w:val="18"/>
                <w:szCs w:val="18"/>
              </w:rPr>
            </w:pPr>
            <w:r>
              <w:rPr>
                <w:rFonts w:ascii="Times New Roman"/>
                <w:spacing w:val="-1"/>
                <w:sz w:val="18"/>
              </w:rPr>
              <w:t>1.00</w:t>
            </w:r>
          </w:p>
        </w:tc>
      </w:tr>
      <w:tr>
        <w:trPr>
          <w:trHeight w:val="403" w:hRule="exact"/>
        </w:trPr>
        <w:tc>
          <w:tcPr>
            <w:tcW w:w="4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43"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4835"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在合营安排或联营企业中的权益" w:id="454"/>
      <w:bookmarkEnd w:id="454"/>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重要的合营企业或联营企业" w:id="455"/>
      <w:bookmarkEnd w:id="455"/>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7"/>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319"/>
        <w:gridCol w:w="1214"/>
        <w:gridCol w:w="994"/>
        <w:gridCol w:w="1176"/>
        <w:gridCol w:w="1073"/>
        <w:gridCol w:w="982"/>
        <w:gridCol w:w="2813"/>
      </w:tblGrid>
      <w:tr>
        <w:trPr>
          <w:trHeight w:val="404" w:hRule="exact"/>
        </w:trPr>
        <w:tc>
          <w:tcPr>
            <w:tcW w:w="131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203" w:right="113" w:hanging="90"/>
              <w:jc w:val="left"/>
              <w:rPr>
                <w:rFonts w:ascii="宋体" w:hAnsi="宋体" w:cs="宋体" w:eastAsia="宋体" w:hint="default"/>
                <w:sz w:val="18"/>
                <w:szCs w:val="18"/>
              </w:rPr>
            </w:pPr>
            <w:r>
              <w:rPr>
                <w:rFonts w:ascii="宋体" w:hAnsi="宋体" w:cs="宋体" w:eastAsia="宋体" w:hint="default"/>
                <w:sz w:val="18"/>
                <w:szCs w:val="18"/>
              </w:rPr>
              <w:t>合营企业或联 营企业名称</w:t>
            </w:r>
          </w:p>
        </w:tc>
        <w:tc>
          <w:tcPr>
            <w:tcW w:w="12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15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1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b/>
                <w:bCs/>
                <w:sz w:val="19"/>
                <w:szCs w:val="19"/>
              </w:rPr>
            </w:pPr>
          </w:p>
          <w:p>
            <w:pPr>
              <w:pStyle w:val="TableParagraph"/>
              <w:spacing w:line="240" w:lineRule="auto"/>
              <w:ind w:left="223"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05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2"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281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94"/>
              <w:ind w:left="953" w:right="137" w:hanging="810"/>
              <w:jc w:val="left"/>
              <w:rPr>
                <w:rFonts w:ascii="宋体" w:hAnsi="宋体" w:cs="宋体" w:eastAsia="宋体" w:hint="default"/>
                <w:sz w:val="18"/>
                <w:szCs w:val="18"/>
              </w:rPr>
            </w:pPr>
            <w:r>
              <w:rPr>
                <w:rFonts w:ascii="宋体" w:hAnsi="宋体" w:cs="宋体" w:eastAsia="宋体" w:hint="default"/>
                <w:sz w:val="18"/>
                <w:szCs w:val="18"/>
              </w:rPr>
              <w:t>对合营企业或联营企业投资的会 计处理方法</w:t>
            </w:r>
          </w:p>
        </w:tc>
      </w:tr>
      <w:tr>
        <w:trPr>
          <w:trHeight w:val="401" w:hRule="exact"/>
        </w:trPr>
        <w:tc>
          <w:tcPr>
            <w:tcW w:w="1319" w:type="dxa"/>
            <w:vMerge/>
            <w:tcBorders>
              <w:left w:val="single" w:sz="4" w:space="0" w:color="000000"/>
              <w:bottom w:val="single" w:sz="4" w:space="0" w:color="000000"/>
              <w:right w:val="single" w:sz="4" w:space="0" w:color="000000"/>
            </w:tcBorders>
            <w:shd w:val="clear" w:color="auto" w:fill="D2D2D2"/>
          </w:tcPr>
          <w:p>
            <w:pPr/>
          </w:p>
        </w:tc>
        <w:tc>
          <w:tcPr>
            <w:tcW w:w="1214" w:type="dxa"/>
            <w:vMerge/>
            <w:tcBorders>
              <w:left w:val="single" w:sz="4" w:space="0" w:color="000000"/>
              <w:bottom w:val="single" w:sz="4" w:space="0" w:color="000000"/>
              <w:right w:val="single" w:sz="4" w:space="0" w:color="000000"/>
            </w:tcBorders>
            <w:shd w:val="clear" w:color="auto" w:fill="D2D2D2"/>
          </w:tcPr>
          <w:p>
            <w:pPr/>
          </w:p>
        </w:tc>
        <w:tc>
          <w:tcPr>
            <w:tcW w:w="994" w:type="dxa"/>
            <w:vMerge/>
            <w:tcBorders>
              <w:left w:val="single" w:sz="4" w:space="0" w:color="000000"/>
              <w:bottom w:val="single" w:sz="4" w:space="0" w:color="000000"/>
              <w:right w:val="single" w:sz="4" w:space="0" w:color="000000"/>
            </w:tcBorders>
            <w:shd w:val="clear" w:color="auto" w:fill="D2D2D2"/>
          </w:tcPr>
          <w:p>
            <w:pPr/>
          </w:p>
        </w:tc>
        <w:tc>
          <w:tcPr>
            <w:tcW w:w="1176" w:type="dxa"/>
            <w:vMerge/>
            <w:tcBorders>
              <w:left w:val="single" w:sz="4" w:space="0" w:color="000000"/>
              <w:bottom w:val="single" w:sz="4" w:space="0" w:color="000000"/>
              <w:right w:val="single" w:sz="4" w:space="0" w:color="000000"/>
            </w:tcBorders>
            <w:shd w:val="clear" w:color="auto" w:fill="D2D2D2"/>
          </w:tcPr>
          <w:p>
            <w:pPr/>
          </w:p>
        </w:tc>
        <w:tc>
          <w:tcPr>
            <w:tcW w:w="10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0" w:right="0"/>
              <w:jc w:val="left"/>
              <w:rPr>
                <w:rFonts w:ascii="宋体" w:hAnsi="宋体" w:cs="宋体" w:eastAsia="宋体" w:hint="default"/>
                <w:sz w:val="18"/>
                <w:szCs w:val="18"/>
              </w:rPr>
            </w:pPr>
            <w:r>
              <w:rPr>
                <w:rFonts w:ascii="宋体" w:hAnsi="宋体" w:cs="宋体" w:eastAsia="宋体" w:hint="default"/>
                <w:sz w:val="18"/>
                <w:szCs w:val="18"/>
              </w:rPr>
              <w:t>直接</w:t>
            </w:r>
          </w:p>
        </w:tc>
        <w:tc>
          <w:tcPr>
            <w:tcW w:w="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7"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2813"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986"/>
        <w:jc w:val="left"/>
      </w:pPr>
      <w:r>
        <w:rPr/>
        <w:t>在合营企业或联营企业的持股比例不同于表决权比例的说明：</w:t>
      </w:r>
    </w:p>
    <w:p>
      <w:pPr>
        <w:pStyle w:val="BodyText"/>
        <w:spacing w:line="240" w:lineRule="auto" w:before="117"/>
        <w:ind w:right="986"/>
        <w:jc w:val="left"/>
      </w:pPr>
      <w:r>
        <w:rPr/>
        <w:t>持有</w:t>
      </w:r>
      <w:r>
        <w:rPr>
          <w:spacing w:val="-47"/>
        </w:rPr>
        <w:t> </w:t>
      </w:r>
      <w:r>
        <w:rPr>
          <w:rFonts w:ascii="Times New Roman" w:hAnsi="Times New Roman" w:cs="Times New Roman" w:eastAsia="Times New Roman" w:hint="default"/>
        </w:rPr>
        <w:t>20%</w:t>
      </w:r>
      <w:r>
        <w:rPr/>
        <w:t>以下表决权但具有重大影响，或者持有</w:t>
      </w:r>
      <w:r>
        <w:rPr>
          <w:spacing w:val="-47"/>
        </w:rPr>
        <w:t> </w:t>
      </w:r>
      <w:r>
        <w:rPr>
          <w:rFonts w:ascii="Times New Roman" w:hAnsi="Times New Roman" w:cs="Times New Roman" w:eastAsia="Times New Roman" w:hint="default"/>
        </w:rPr>
        <w:t>20%</w:t>
      </w:r>
      <w:r>
        <w:rPr/>
        <w:t>或以上表决权但不具有重大影响的依据：</w:t>
      </w:r>
    </w:p>
    <w:p>
      <w:pPr>
        <w:spacing w:line="240" w:lineRule="auto" w:before="13"/>
        <w:rPr>
          <w:rFonts w:ascii="宋体" w:hAnsi="宋体" w:cs="宋体" w:eastAsia="宋体" w:hint="default"/>
          <w:sz w:val="25"/>
          <w:szCs w:val="25"/>
        </w:rPr>
      </w:pPr>
    </w:p>
    <w:p>
      <w:pPr>
        <w:pStyle w:val="Heading4"/>
        <w:spacing w:line="240" w:lineRule="auto"/>
        <w:ind w:right="986"/>
        <w:jc w:val="left"/>
        <w:rPr>
          <w:b w:val="0"/>
          <w:bCs w:val="0"/>
        </w:rPr>
      </w:pPr>
      <w:bookmarkStart w:name="（2）重要合营企业的主要财务信息" w:id="456"/>
      <w:bookmarkEnd w:id="456"/>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3"/>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3"/>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50"/>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重要联营企业的主要财务信息" w:id="457"/>
      <w:bookmarkEnd w:id="457"/>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9"/>
        <w:gridCol w:w="3190"/>
        <w:gridCol w:w="3193"/>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5"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4）不重要的合营企业和联营企业的汇总财务信息" w:id="458"/>
      <w:bookmarkEnd w:id="458"/>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5）合营企业或联营企业向本公司转移资金的能力存在重大限制的说明" w:id="459"/>
      <w:bookmarkEnd w:id="459"/>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6"/>
        <w:jc w:val="left"/>
        <w:rPr>
          <w:b w:val="0"/>
          <w:bCs w:val="0"/>
        </w:rPr>
      </w:pPr>
      <w:bookmarkStart w:name="（6）合营企业或联营企业发生的超额亏损" w:id="460"/>
      <w:bookmarkEnd w:id="460"/>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279"/>
        <w:gridCol w:w="2629"/>
        <w:gridCol w:w="2266"/>
        <w:gridCol w:w="2396"/>
      </w:tblGrid>
      <w:tr>
        <w:trPr>
          <w:trHeight w:val="713" w:hRule="exact"/>
        </w:trPr>
        <w:tc>
          <w:tcPr>
            <w:tcW w:w="2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累积未确认前期累计认的损失</w:t>
            </w:r>
          </w:p>
        </w:tc>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8" w:right="137" w:hanging="272"/>
              <w:jc w:val="left"/>
              <w:rPr>
                <w:rFonts w:ascii="宋体" w:hAnsi="宋体" w:cs="宋体" w:eastAsia="宋体" w:hint="default"/>
                <w:sz w:val="18"/>
                <w:szCs w:val="18"/>
              </w:rPr>
            </w:pPr>
            <w:r>
              <w:rPr>
                <w:rFonts w:ascii="宋体" w:hAnsi="宋体" w:cs="宋体" w:eastAsia="宋体" w:hint="default"/>
                <w:sz w:val="18"/>
                <w:szCs w:val="18"/>
              </w:rPr>
              <w:t>本期未确认的损失（或本 期分享的净利润）</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7）与合营企业投资相关的未确认承诺" w:id="461"/>
      <w:bookmarkEnd w:id="461"/>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8）与合营企业或联营企业投资相关的或有负债" w:id="462"/>
      <w:bookmarkEnd w:id="462"/>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6"/>
        <w:jc w:val="left"/>
        <w:rPr>
          <w:b w:val="0"/>
          <w:bCs w:val="0"/>
        </w:rPr>
      </w:pPr>
      <w:bookmarkStart w:name="4、重要的共同经营" w:id="463"/>
      <w:bookmarkEnd w:id="463"/>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595"/>
        <w:gridCol w:w="1597"/>
        <w:gridCol w:w="1594"/>
        <w:gridCol w:w="1594"/>
        <w:gridCol w:w="1594"/>
        <w:gridCol w:w="1594"/>
      </w:tblGrid>
      <w:tr>
        <w:trPr>
          <w:trHeight w:val="401"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3"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享有的份额</w:t>
            </w:r>
          </w:p>
        </w:tc>
      </w:tr>
      <w:tr>
        <w:trPr>
          <w:trHeight w:val="403"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57" w:lineRule="auto" w:before="49"/>
        <w:ind w:right="5534"/>
        <w:jc w:val="left"/>
      </w:pPr>
      <w:r>
        <w:rPr/>
        <w:t>在共同经营中的持股比例或享有的份额不同于表决权比例的说明： 共同经营为单独主体的，分类为共同经营的依据：</w:t>
      </w:r>
    </w:p>
    <w:p>
      <w:pPr>
        <w:pStyle w:val="BodyText"/>
        <w:spacing w:line="240" w:lineRule="auto" w:before="29"/>
        <w:ind w:right="986"/>
        <w:jc w:val="left"/>
      </w:pPr>
      <w:r>
        <w:rPr/>
        <w:t>其他说明</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5、在未纳入合并财务报表范围的结构化主体中的权益" w:id="464"/>
      <w:bookmarkEnd w:id="464"/>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未纳入合并财务报表范围的结构化主体的相关说明：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6、其他" w:id="465"/>
      <w:bookmarkEnd w:id="465"/>
      <w:r>
        <w:rPr>
          <w:b w:val="0"/>
          <w:bCs w:val="0"/>
        </w:rPr>
      </w:r>
      <w:r>
        <w:rPr>
          <w:rFonts w:ascii="Times New Roman" w:hAnsi="Times New Roman" w:cs="Times New Roman" w:eastAsia="Times New Roman" w:hint="default"/>
        </w:rPr>
        <w:t>6</w:t>
      </w:r>
      <w:r>
        <w:rPr/>
        <w:t>、其他</w:t>
      </w:r>
      <w:r>
        <w:rPr>
          <w:b w:val="0"/>
          <w:bCs w:val="0"/>
        </w:rPr>
      </w:r>
    </w:p>
    <w:p>
      <w:pPr>
        <w:spacing w:line="240" w:lineRule="auto" w:before="10"/>
        <w:rPr>
          <w:rFonts w:ascii="宋体" w:hAnsi="宋体" w:cs="宋体" w:eastAsia="宋体" w:hint="default"/>
          <w:b/>
          <w:bCs/>
          <w:sz w:val="22"/>
          <w:szCs w:val="22"/>
        </w:rPr>
      </w:pPr>
    </w:p>
    <w:p>
      <w:pPr>
        <w:pStyle w:val="Heading2"/>
        <w:spacing w:line="240" w:lineRule="auto"/>
        <w:ind w:right="986"/>
        <w:jc w:val="left"/>
        <w:rPr>
          <w:b w:val="0"/>
          <w:bCs w:val="0"/>
        </w:rPr>
      </w:pPr>
      <w:bookmarkStart w:name="十、与金融工具相关的风险" w:id="466"/>
      <w:bookmarkEnd w:id="466"/>
      <w:r>
        <w:rPr>
          <w:b w:val="0"/>
          <w:bCs w:val="0"/>
        </w:rPr>
      </w: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6" w:lineRule="auto" w:before="0"/>
        <w:ind w:right="1131"/>
        <w:jc w:val="both"/>
      </w:pPr>
      <w:r>
        <w:rPr>
          <w:spacing w:val="-5"/>
        </w:rPr>
        <w:t>本公司在经营过程中面临着各种金融风险：信用风险、市场风险和流动性风险。本公司的主要金融工具包括股权投资、借款、</w:t>
      </w:r>
      <w:r>
        <w:rPr>
          <w:spacing w:val="-78"/>
        </w:rPr>
        <w:t> </w:t>
      </w:r>
      <w:r>
        <w:rPr>
          <w:spacing w:val="-78"/>
        </w:rPr>
      </w:r>
      <w:r>
        <w:rPr>
          <w:spacing w:val="-2"/>
        </w:rPr>
        <w:t>应收账款、应付账款等，各项金融工具的详细情况说明见本附注五相关项目。与这些金融工具有关的风险，以及本公司为降</w:t>
      </w:r>
      <w:r>
        <w:rPr>
          <w:spacing w:val="-64"/>
        </w:rPr>
        <w:t> </w:t>
      </w:r>
      <w:r>
        <w:rPr>
          <w:spacing w:val="-64"/>
        </w:rPr>
      </w:r>
      <w:r>
        <w:rPr>
          <w:spacing w:val="-2"/>
        </w:rPr>
        <w:t>低这些风险所采取的风险管理政策如下所述。本公司管理层对这些风险敞口进行管理和监控以确保将上述风险控制在限定的</w:t>
      </w:r>
      <w:r>
        <w:rPr>
          <w:spacing w:val="-64"/>
        </w:rPr>
        <w:t> </w:t>
      </w:r>
      <w:r>
        <w:rPr>
          <w:spacing w:val="-64"/>
        </w:rPr>
      </w:r>
      <w:r>
        <w:rPr/>
        <w:t>范围之内。</w:t>
      </w:r>
    </w:p>
    <w:p>
      <w:pPr>
        <w:pStyle w:val="BodyText"/>
        <w:spacing w:line="316" w:lineRule="auto" w:before="19"/>
        <w:ind w:right="986"/>
        <w:jc w:val="left"/>
      </w:pPr>
      <w:r>
        <w:rPr>
          <w:rFonts w:ascii="宋体" w:hAnsi="宋体" w:cs="宋体" w:eastAsia="宋体" w:hint="default"/>
        </w:rPr>
        <w:t>(</w:t>
      </w:r>
      <w:r>
        <w:rPr/>
        <w:t>一</w:t>
      </w:r>
      <w:r>
        <w:rPr>
          <w:rFonts w:ascii="宋体" w:hAnsi="宋体" w:cs="宋体" w:eastAsia="宋体" w:hint="default"/>
        </w:rPr>
        <w:t>)</w:t>
      </w:r>
      <w:r>
        <w:rPr>
          <w:rFonts w:ascii="宋体" w:hAnsi="宋体" w:cs="宋体" w:eastAsia="宋体" w:hint="default"/>
          <w:spacing w:val="2"/>
        </w:rPr>
        <w:t> </w:t>
      </w:r>
      <w:r>
        <w:rPr/>
        <w:t>风险管理目标和政策 </w:t>
      </w:r>
      <w:r>
        <w:rPr>
          <w:spacing w:val="-2"/>
        </w:rPr>
        <w:t>本公司从事风险管理的目标是在风险和收益之间取得适当的平衡，将风险对本公司经营业绩的负面影响降低到最低水平，使</w:t>
      </w:r>
      <w:r>
        <w:rPr>
          <w:spacing w:val="-64"/>
        </w:rPr>
        <w:t> </w:t>
      </w:r>
      <w:r>
        <w:rPr>
          <w:spacing w:val="-64"/>
        </w:rPr>
      </w:r>
      <w:r>
        <w:rPr>
          <w:spacing w:val="-2"/>
        </w:rPr>
        <w:t>股东及其他权益投资者的利益最大化。基于该风险管理目标，本公司风险管理的基本策略是确定和分析本公司所面临的各种</w:t>
      </w:r>
      <w:r>
        <w:rPr>
          <w:spacing w:val="-64"/>
        </w:rPr>
        <w:t> </w:t>
      </w:r>
      <w:r>
        <w:rPr>
          <w:spacing w:val="-64"/>
        </w:rPr>
      </w:r>
      <w:r>
        <w:rPr>
          <w:spacing w:val="-2"/>
        </w:rPr>
        <w:t>风险，建立适当的风险承受底线并进行风险管理，本公司定期审阅这些风险管理政策及有关内部控制系统，以适应市场情况</w:t>
      </w:r>
      <w:r>
        <w:rPr>
          <w:spacing w:val="-63"/>
        </w:rPr>
        <w:t> </w:t>
      </w:r>
      <w:r>
        <w:rPr>
          <w:spacing w:val="-63"/>
        </w:rPr>
      </w:r>
      <w:r>
        <w:rPr/>
        <w:t>或本公司经营活动的改变，同时及时有效地对各种风险进行监督，将风险控制在限定的范围之内。</w:t>
      </w:r>
    </w:p>
    <w:p>
      <w:pPr>
        <w:pStyle w:val="BodyText"/>
        <w:spacing w:line="316" w:lineRule="auto" w:before="19"/>
        <w:ind w:right="986"/>
        <w:jc w:val="left"/>
      </w:pPr>
      <w:r>
        <w:rPr>
          <w:rFonts w:ascii="宋体" w:hAnsi="宋体" w:cs="宋体" w:eastAsia="宋体" w:hint="default"/>
        </w:rPr>
        <w:t>(</w:t>
      </w:r>
      <w:r>
        <w:rPr/>
        <w:t>二</w:t>
      </w:r>
      <w:r>
        <w:rPr>
          <w:rFonts w:ascii="宋体" w:hAnsi="宋体" w:cs="宋体" w:eastAsia="宋体" w:hint="default"/>
        </w:rPr>
        <w:t>)</w:t>
      </w:r>
      <w:r>
        <w:rPr>
          <w:rFonts w:ascii="宋体" w:hAnsi="宋体" w:cs="宋体" w:eastAsia="宋体" w:hint="default"/>
          <w:spacing w:val="2"/>
        </w:rPr>
        <w:t> </w:t>
      </w:r>
      <w:r>
        <w:rPr/>
        <w:t>市场风险 </w:t>
      </w:r>
      <w:r>
        <w:rPr>
          <w:spacing w:val="-2"/>
        </w:rPr>
        <w:t>金融工具的市场风险，是指金融工具的公允价值或未来现金流量因市场价格变动而发生波动的风险，包括外汇风险、利率风</w:t>
      </w:r>
      <w:r>
        <w:rPr>
          <w:spacing w:val="-65"/>
        </w:rPr>
        <w:t> </w:t>
      </w:r>
      <w:r>
        <w:rPr>
          <w:spacing w:val="-65"/>
        </w:rPr>
      </w:r>
      <w:r>
        <w:rPr/>
        <w:t>险和其他价格风险。</w:t>
      </w:r>
    </w:p>
    <w:p>
      <w:pPr>
        <w:pStyle w:val="BodyText"/>
        <w:spacing w:line="316" w:lineRule="auto" w:before="19"/>
        <w:ind w:right="1034"/>
        <w:jc w:val="left"/>
      </w:pPr>
      <w:r>
        <w:rPr>
          <w:rFonts w:ascii="宋体" w:hAnsi="宋体" w:cs="宋体" w:eastAsia="宋体" w:hint="default"/>
        </w:rPr>
        <w:t>1</w:t>
      </w:r>
      <w:r>
        <w:rPr/>
        <w:t>．汇率风险 汇率风险是指金融工具的公允价值或未来现金流量因外汇汇率变动而发生波动的风险。本公司的主要经营均位于中国境内，</w:t>
      </w:r>
      <w:r>
        <w:rPr>
          <w:spacing w:val="-86"/>
        </w:rPr>
        <w:t> </w:t>
      </w:r>
      <w:r>
        <w:rPr>
          <w:spacing w:val="-86"/>
        </w:rPr>
      </w:r>
      <w:r>
        <w:rPr/>
        <w:t>主要业务均以人民币结算。因此，本公司所承担的外汇变动市场风险不重大。</w:t>
      </w:r>
    </w:p>
    <w:p>
      <w:pPr>
        <w:pStyle w:val="BodyText"/>
        <w:spacing w:line="316" w:lineRule="auto" w:before="19"/>
        <w:ind w:right="986"/>
        <w:jc w:val="left"/>
      </w:pPr>
      <w:r>
        <w:rPr>
          <w:rFonts w:ascii="宋体" w:hAnsi="宋体" w:cs="宋体" w:eastAsia="宋体" w:hint="default"/>
        </w:rPr>
        <w:t>2</w:t>
      </w:r>
      <w:r>
        <w:rPr/>
        <w:t>．利率风险 </w:t>
      </w:r>
      <w:r>
        <w:rPr>
          <w:spacing w:val="-2"/>
        </w:rPr>
        <w:t>利率风险，是指金融工具的公允价值或未来现金流量因市场利率变动而发生波动的风险。本公司面临的市场利率变动的风险</w:t>
      </w:r>
      <w:r>
        <w:rPr>
          <w:spacing w:val="-64"/>
        </w:rPr>
        <w:t> </w:t>
      </w:r>
      <w:r>
        <w:rPr>
          <w:spacing w:val="-64"/>
        </w:rPr>
      </w:r>
      <w:r>
        <w:rPr>
          <w:spacing w:val="-2"/>
        </w:rPr>
        <w:t>主要与本公司以浮动利率计息的借款有关。本公司的利率风险主要产生于长期银行借款及应付债券等长期带息债务。浮动利</w:t>
      </w:r>
      <w:r>
        <w:rPr>
          <w:spacing w:val="-64"/>
        </w:rPr>
        <w:t> </w:t>
      </w:r>
      <w:r>
        <w:rPr>
          <w:spacing w:val="-64"/>
        </w:rPr>
      </w:r>
      <w:r>
        <w:rPr>
          <w:spacing w:val="-2"/>
        </w:rPr>
        <w:t>率的金融负债使本公司面临现金流量利率风险，固定利率的金融负债使本公司面临公允价值利率风险。本公司根据当时的市</w:t>
      </w:r>
      <w:r>
        <w:rPr>
          <w:spacing w:val="-63"/>
        </w:rPr>
        <w:t> </w:t>
      </w:r>
      <w:r>
        <w:rPr>
          <w:spacing w:val="-63"/>
        </w:rPr>
      </w:r>
      <w:r>
        <w:rPr/>
        <w:t>场环境来决定固定利率及浮动利率合同的相对比例，并通过定期审阅与监察维持适当的固定和浮动利率工具组合。 截至</w:t>
      </w:r>
      <w:r>
        <w:rPr>
          <w:rFonts w:ascii="宋体" w:hAnsi="宋体" w:cs="宋体" w:eastAsia="宋体" w:hint="default"/>
        </w:rPr>
        <w:t>2019</w:t>
      </w:r>
      <w:r>
        <w:rPr/>
        <w:t>年</w:t>
      </w:r>
      <w:r>
        <w:rPr>
          <w:rFonts w:ascii="宋体" w:hAnsi="宋体" w:cs="宋体" w:eastAsia="宋体" w:hint="default"/>
        </w:rPr>
        <w:t>12</w:t>
      </w:r>
      <w:r>
        <w:rPr/>
        <w:t>月</w:t>
      </w:r>
      <w:r>
        <w:rPr>
          <w:rFonts w:ascii="宋体" w:hAnsi="宋体" w:cs="宋体" w:eastAsia="宋体" w:hint="default"/>
        </w:rPr>
        <w:t>31</w:t>
      </w:r>
      <w:r>
        <w:rPr/>
        <w:t>日，本公司未向银行借款。因此，本公司不会受到利率变动所导致的现金流量变动风险的影响。 </w:t>
      </w:r>
      <w:r>
        <w:rPr>
          <w:rFonts w:ascii="宋体" w:hAnsi="宋体" w:cs="宋体" w:eastAsia="宋体" w:hint="default"/>
        </w:rPr>
        <w:t>3</w:t>
      </w:r>
      <w:r>
        <w:rPr/>
        <w:t>．其他价格风险</w:t>
      </w:r>
    </w:p>
    <w:p>
      <w:pPr>
        <w:pStyle w:val="BodyText"/>
        <w:spacing w:line="316" w:lineRule="auto" w:before="19"/>
        <w:ind w:right="4274"/>
        <w:jc w:val="left"/>
      </w:pPr>
      <w:r>
        <w:rPr/>
        <w:t>本公司管理层认为与金融资产、金融负债相关的价格风险对本公司无重大影响。 </w:t>
      </w:r>
      <w:r>
        <w:rPr>
          <w:rFonts w:ascii="宋体" w:hAnsi="宋体" w:cs="宋体" w:eastAsia="宋体" w:hint="default"/>
        </w:rPr>
        <w:t>(</w:t>
      </w:r>
      <w:r>
        <w:rPr/>
        <w:t>三</w:t>
      </w:r>
      <w:r>
        <w:rPr>
          <w:rFonts w:ascii="宋体" w:hAnsi="宋体" w:cs="宋体" w:eastAsia="宋体" w:hint="default"/>
        </w:rPr>
        <w:t>)</w:t>
      </w:r>
      <w:r>
        <w:rPr>
          <w:rFonts w:ascii="宋体" w:hAnsi="宋体" w:cs="宋体" w:eastAsia="宋体" w:hint="default"/>
          <w:spacing w:val="2"/>
        </w:rPr>
        <w:t> </w:t>
      </w:r>
      <w:r>
        <w:rPr/>
        <w:t>信用风险 信用风险，是指交易对手方未能履行合同义务而导致本公司产生财务损失的风险。</w:t>
      </w:r>
    </w:p>
    <w:p>
      <w:pPr>
        <w:pStyle w:val="BodyText"/>
        <w:spacing w:line="316" w:lineRule="auto" w:before="19"/>
        <w:ind w:right="1034"/>
        <w:jc w:val="left"/>
      </w:pPr>
      <w:r>
        <w:rPr/>
        <w:t>本公司对信用风险按组合分类进行管理。信用风险主要产生于银行存款和应收款项等。 本公司银行存款主要存放于国有银行和其它大中型上市银行，本公司预期银行存款不存在重大的信用风险。 </w:t>
      </w:r>
      <w:r>
        <w:rPr>
          <w:spacing w:val="-2"/>
        </w:rPr>
        <w:t>对于应收款项，本公司设定相关政策以控制信用风险敞口。本公司基于对债务人的财务状况、外部评级、从第三方获取担保</w:t>
      </w:r>
      <w:r>
        <w:rPr>
          <w:spacing w:val="-64"/>
        </w:rPr>
        <w:t> </w:t>
      </w:r>
      <w:r>
        <w:rPr>
          <w:spacing w:val="-64"/>
        </w:rPr>
      </w:r>
      <w:r>
        <w:rPr/>
        <w:t>的可能性、信用记录及其它因素诸如目前市场状况等评估债务人的信用资质并设置相应欠款额度与信用期限。 </w:t>
      </w:r>
      <w:r>
        <w:rPr>
          <w:spacing w:val="-2"/>
        </w:rPr>
        <w:t>对于租赁公司提供的租赁业务，本公司仅与经认可的、信誉良好的第三方进行交易。按照本公司的政策，对所有采用信用方</w:t>
      </w:r>
      <w:r>
        <w:rPr>
          <w:spacing w:val="-64"/>
        </w:rPr>
        <w:t> </w:t>
      </w:r>
      <w:r>
        <w:rPr>
          <w:spacing w:val="-64"/>
        </w:rPr>
      </w:r>
      <w:r>
        <w:rPr>
          <w:spacing w:val="-2"/>
        </w:rPr>
        <w:t>式进行交易的客户均需进行信用审核。本公司对于长期应收租赁款余额进行持续监控，以确保不导致本公司面临重大坏账风</w:t>
      </w:r>
      <w:r>
        <w:rPr>
          <w:spacing w:val="-63"/>
        </w:rPr>
        <w:t> </w:t>
      </w:r>
      <w:r>
        <w:rPr>
          <w:spacing w:val="-63"/>
        </w:rPr>
      </w:r>
      <w:r>
        <w:rPr/>
        <w:t>险。 </w:t>
      </w:r>
      <w:r>
        <w:rPr>
          <w:spacing w:val="-4"/>
        </w:rPr>
        <w:t>本公司其他金融资产包括理财产品等金融工具。本公司对合作的银行、信托公司、证券公司和基金公司实行评级准入制度，</w:t>
      </w:r>
      <w:r>
        <w:rPr>
          <w:spacing w:val="-48"/>
        </w:rPr>
        <w:t> </w:t>
      </w:r>
      <w:r>
        <w:rPr>
          <w:spacing w:val="-48"/>
        </w:rPr>
      </w:r>
      <w:r>
        <w:rPr>
          <w:spacing w:val="-2"/>
        </w:rPr>
        <w:t>对信托收益权回购方、同业理财产品发行方、定向资产管理计划最终融资方设定授信额度，并定期进行后续风险管理；对单</w:t>
      </w:r>
      <w:r>
        <w:rPr>
          <w:spacing w:val="-64"/>
        </w:rPr>
        <w:t> </w:t>
      </w:r>
      <w:r>
        <w:rPr>
          <w:spacing w:val="-64"/>
        </w:rPr>
      </w:r>
      <w:r>
        <w:rPr/>
        <w:t>个金融机构的信用风险进行定期的审阅和管理；对于与本公司有资金往来的单个银行或非银行金融机构均设定有信用额度。</w:t>
      </w:r>
      <w:r>
        <w:rPr>
          <w:spacing w:val="-86"/>
        </w:rPr>
        <w:t> </w:t>
      </w:r>
      <w:r>
        <w:rPr>
          <w:spacing w:val="-86"/>
        </w:rPr>
      </w:r>
      <w:r>
        <w:rPr/>
        <w:t>本公司通过控制投资规模、设定发行主体准入名单、评级准入、投后管理等机制管理上述金融资产的信用风险敞口。 </w:t>
      </w:r>
      <w:r>
        <w:rPr>
          <w:spacing w:val="-2"/>
        </w:rPr>
        <w:t>本公司会定期对债务人信用记录进行监控，对于信用记录不良的债务人，本公司会采用书面催款、缩短信用期或取消信用期</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ind w:right="6254"/>
        <w:jc w:val="left"/>
      </w:pPr>
      <w:r>
        <w:rPr/>
        <w:t>等方式，以确保本公司的整体信用风险在可控的范围内。 </w:t>
      </w:r>
      <w:r>
        <w:rPr>
          <w:rFonts w:ascii="宋体" w:hAnsi="宋体" w:cs="宋体" w:eastAsia="宋体" w:hint="default"/>
        </w:rPr>
        <w:t>(</w:t>
      </w:r>
      <w:r>
        <w:rPr/>
        <w:t>四</w:t>
      </w:r>
      <w:r>
        <w:rPr>
          <w:rFonts w:ascii="宋体" w:hAnsi="宋体" w:cs="宋体" w:eastAsia="宋体" w:hint="default"/>
        </w:rPr>
        <w:t>)</w:t>
      </w:r>
      <w:r>
        <w:rPr>
          <w:rFonts w:ascii="宋体" w:hAnsi="宋体" w:cs="宋体" w:eastAsia="宋体" w:hint="default"/>
          <w:spacing w:val="3"/>
        </w:rPr>
        <w:t> </w:t>
      </w:r>
      <w:r>
        <w:rPr/>
        <w:t>流动风险</w:t>
      </w:r>
    </w:p>
    <w:p>
      <w:pPr>
        <w:pStyle w:val="BodyText"/>
        <w:spacing w:line="316" w:lineRule="auto" w:before="17"/>
        <w:ind w:right="1129"/>
        <w:jc w:val="both"/>
      </w:pPr>
      <w:r>
        <w:rPr>
          <w:spacing w:val="-2"/>
        </w:rPr>
        <w:t>流动风险，是指企业在履行以交付现金或其他金融资产的方式结算的义务时发生资金短缺的风险。流动性风险由本公司的财</w:t>
      </w:r>
      <w:r>
        <w:rPr>
          <w:spacing w:val="-64"/>
        </w:rPr>
        <w:t> </w:t>
      </w:r>
      <w:r>
        <w:rPr>
          <w:spacing w:val="-64"/>
        </w:rPr>
      </w:r>
      <w:r>
        <w:rPr>
          <w:spacing w:val="-2"/>
        </w:rPr>
        <w:t>务部门集中控制。财务部门通过监控现金余额、可随时变现的有价证券以及对未来</w:t>
      </w:r>
      <w:r>
        <w:rPr>
          <w:rFonts w:ascii="宋体" w:hAnsi="宋体" w:cs="宋体" w:eastAsia="宋体" w:hint="default"/>
          <w:spacing w:val="-2"/>
        </w:rPr>
        <w:t>12</w:t>
      </w:r>
      <w:r>
        <w:rPr>
          <w:spacing w:val="-2"/>
        </w:rPr>
        <w:t>个月现金流量的滚动预测，确保公司在</w:t>
      </w:r>
      <w:r>
        <w:rPr>
          <w:spacing w:val="-61"/>
        </w:rPr>
        <w:t> </w:t>
      </w:r>
      <w:r>
        <w:rPr>
          <w:spacing w:val="-61"/>
        </w:rPr>
      </w:r>
      <w:r>
        <w:rPr/>
        <w:t>所有合理预测的情况下拥有充足的资金偿还债务，满足本公司经营需要，并降低现金流量波动的影响。</w:t>
      </w:r>
    </w:p>
    <w:p>
      <w:pPr>
        <w:pStyle w:val="BodyText"/>
        <w:spacing w:line="316" w:lineRule="auto" w:before="19"/>
        <w:ind w:right="986"/>
        <w:jc w:val="left"/>
      </w:pPr>
      <w:r>
        <w:rPr>
          <w:rFonts w:ascii="宋体" w:hAnsi="宋体" w:cs="宋体" w:eastAsia="宋体" w:hint="default"/>
        </w:rPr>
        <w:t>(</w:t>
      </w:r>
      <w:r>
        <w:rPr/>
        <w:t>五</w:t>
      </w:r>
      <w:r>
        <w:rPr>
          <w:rFonts w:ascii="宋体" w:hAnsi="宋体" w:cs="宋体" w:eastAsia="宋体" w:hint="default"/>
        </w:rPr>
        <w:t>)</w:t>
      </w:r>
      <w:r>
        <w:rPr>
          <w:rFonts w:ascii="宋体" w:hAnsi="宋体" w:cs="宋体" w:eastAsia="宋体" w:hint="default"/>
          <w:spacing w:val="2"/>
        </w:rPr>
        <w:t> </w:t>
      </w:r>
      <w:r>
        <w:rPr/>
        <w:t>资本管理 </w:t>
      </w:r>
      <w:r>
        <w:rPr>
          <w:spacing w:val="-2"/>
        </w:rPr>
        <w:t>本公司资本管理政策的目标是为了保障本公司能够持续经营，从而为股东提供回报，并使其他利益相关者获益，同时维持最</w:t>
      </w:r>
      <w:r>
        <w:rPr>
          <w:spacing w:val="-65"/>
        </w:rPr>
        <w:t> </w:t>
      </w:r>
      <w:r>
        <w:rPr>
          <w:spacing w:val="-65"/>
        </w:rPr>
      </w:r>
      <w:r>
        <w:rPr>
          <w:spacing w:val="-2"/>
        </w:rPr>
        <w:t>佳的资本结构以降低资本成本。为了维持或调整资本结构，本公司可能会调整支付给股东的股利金额、向股东返还资本、发</w:t>
      </w:r>
      <w:r>
        <w:rPr>
          <w:spacing w:val="-66"/>
        </w:rPr>
        <w:t> </w:t>
      </w:r>
      <w:r>
        <w:rPr>
          <w:spacing w:val="-66"/>
        </w:rPr>
      </w:r>
      <w:r>
        <w:rPr/>
        <w:t>行新股或出售资产以减低债务。本公司以资产负债率</w:t>
      </w:r>
      <w:r>
        <w:rPr>
          <w:rFonts w:ascii="宋体" w:hAnsi="宋体" w:cs="宋体" w:eastAsia="宋体" w:hint="default"/>
        </w:rPr>
        <w:t>(</w:t>
      </w:r>
      <w:r>
        <w:rPr/>
        <w:t>即总负债除以总资产</w:t>
      </w:r>
      <w:r>
        <w:rPr>
          <w:rFonts w:ascii="宋体" w:hAnsi="宋体" w:cs="宋体" w:eastAsia="宋体" w:hint="default"/>
        </w:rPr>
        <w:t>)</w:t>
      </w:r>
      <w:r>
        <w:rPr/>
        <w:t>为基础对资本结构进行监控。</w:t>
      </w:r>
      <w:r>
        <w:rPr>
          <w:spacing w:val="-87"/>
        </w:rPr>
        <w:t> </w:t>
      </w:r>
      <w:r>
        <w:rPr/>
        <w:t>本公司报告期末的资产负债率为</w:t>
      </w:r>
      <w:r>
        <w:rPr>
          <w:rFonts w:ascii="宋体" w:hAnsi="宋体" w:cs="宋体" w:eastAsia="宋体" w:hint="default"/>
        </w:rPr>
        <w:t>5.60%(2018</w:t>
      </w:r>
      <w:r>
        <w:rPr/>
        <w:t>年</w:t>
      </w:r>
      <w:r>
        <w:rPr>
          <w:rFonts w:ascii="宋体" w:hAnsi="宋体" w:cs="宋体" w:eastAsia="宋体" w:hint="default"/>
        </w:rPr>
        <w:t>12</w:t>
      </w:r>
      <w:r>
        <w:rPr/>
        <w:t>月</w:t>
      </w:r>
      <w:r>
        <w:rPr>
          <w:rFonts w:ascii="宋体" w:hAnsi="宋体" w:cs="宋体" w:eastAsia="宋体" w:hint="default"/>
        </w:rPr>
        <w:t>31</w:t>
      </w:r>
      <w:r>
        <w:rPr/>
        <w:t>日：</w:t>
      </w:r>
      <w:r>
        <w:rPr>
          <w:rFonts w:ascii="宋体" w:hAnsi="宋体" w:cs="宋体" w:eastAsia="宋体" w:hint="default"/>
        </w:rPr>
        <w:t>2.49%)</w:t>
      </w:r>
      <w:r>
        <w:rPr/>
        <w:t>。</w:t>
      </w:r>
    </w:p>
    <w:p>
      <w:pPr>
        <w:spacing w:line="240" w:lineRule="auto" w:before="11"/>
        <w:rPr>
          <w:rFonts w:ascii="宋体" w:hAnsi="宋体" w:cs="宋体" w:eastAsia="宋体" w:hint="default"/>
          <w:sz w:val="20"/>
          <w:szCs w:val="20"/>
        </w:rPr>
      </w:pPr>
    </w:p>
    <w:p>
      <w:pPr>
        <w:pStyle w:val="Heading2"/>
        <w:spacing w:line="240" w:lineRule="auto"/>
        <w:ind w:right="986"/>
        <w:jc w:val="left"/>
        <w:rPr>
          <w:b w:val="0"/>
          <w:bCs w:val="0"/>
        </w:rPr>
      </w:pPr>
      <w:bookmarkStart w:name="十一、公允价值的披露" w:id="467"/>
      <w:bookmarkEnd w:id="467"/>
      <w:r>
        <w:rPr>
          <w:b w:val="0"/>
          <w:bCs w:val="0"/>
        </w:rPr>
      </w:r>
      <w:r>
        <w:rPr/>
        <w:t>十一、公允价值的披露</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以公允价值计量的资产和负债的期末公允价值" w:id="468"/>
      <w:bookmarkEnd w:id="468"/>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100"/>
        <w:gridCol w:w="2060"/>
        <w:gridCol w:w="2060"/>
        <w:gridCol w:w="2062"/>
        <w:gridCol w:w="1291"/>
      </w:tblGrid>
      <w:tr>
        <w:trPr>
          <w:trHeight w:val="401" w:hRule="exact"/>
        </w:trPr>
        <w:tc>
          <w:tcPr>
            <w:tcW w:w="21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47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403" w:hRule="exact"/>
        </w:trPr>
        <w:tc>
          <w:tcPr>
            <w:tcW w:w="2100" w:type="dxa"/>
            <w:vMerge/>
            <w:tcBorders>
              <w:left w:val="single" w:sz="4" w:space="0" w:color="000000"/>
              <w:bottom w:val="single" w:sz="4" w:space="0" w:color="000000"/>
              <w:right w:val="single" w:sz="4" w:space="0" w:color="000000"/>
            </w:tcBorders>
            <w:shd w:val="clear" w:color="auto" w:fill="D2D2D2"/>
          </w:tcPr>
          <w:p>
            <w:pPr/>
          </w:p>
        </w:tc>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第一层次公允价值计量</w:t>
            </w:r>
          </w:p>
        </w:tc>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2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5"/>
              <w:jc w:val="righ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3" w:hRule="exact"/>
        </w:trPr>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85"/>
              <w:jc w:val="left"/>
              <w:rPr>
                <w:rFonts w:ascii="宋体" w:hAnsi="宋体" w:cs="宋体" w:eastAsia="宋体" w:hint="default"/>
                <w:sz w:val="18"/>
                <w:szCs w:val="18"/>
              </w:rPr>
            </w:pPr>
            <w:r>
              <w:rPr>
                <w:rFonts w:ascii="宋体" w:hAnsi="宋体" w:cs="宋体" w:eastAsia="宋体" w:hint="default"/>
                <w:sz w:val="18"/>
                <w:szCs w:val="18"/>
              </w:rPr>
              <w:t>一、持续的公允价值计 量</w:t>
            </w:r>
          </w:p>
        </w:tc>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r>
        <w:trPr>
          <w:trHeight w:val="1028" w:hRule="exact"/>
        </w:trPr>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03" w:right="185"/>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指定以公允价值计量 且其变动计入当期损益 的金融资产</w:t>
            </w:r>
          </w:p>
        </w:tc>
        <w:tc>
          <w:tcPr>
            <w:tcW w:w="2060"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13,000,000.00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13,000,000.00</w:t>
            </w:r>
          </w:p>
        </w:tc>
      </w:tr>
      <w:tr>
        <w:trPr>
          <w:trHeight w:val="401" w:hRule="exact"/>
        </w:trPr>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）权益工具投资</w:t>
            </w:r>
          </w:p>
        </w:tc>
        <w:tc>
          <w:tcPr>
            <w:tcW w:w="2060"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13,000,000.00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center"/>
              <w:rPr>
                <w:rFonts w:ascii="Times New Roman" w:hAnsi="Times New Roman" w:cs="Times New Roman" w:eastAsia="Times New Roman" w:hint="default"/>
                <w:sz w:val="18"/>
                <w:szCs w:val="18"/>
              </w:rPr>
            </w:pPr>
            <w:r>
              <w:rPr>
                <w:rFonts w:ascii="Times New Roman"/>
                <w:sz w:val="18"/>
              </w:rPr>
              <w:t>13,000,000.00</w:t>
            </w:r>
          </w:p>
        </w:tc>
      </w:tr>
      <w:tr>
        <w:trPr>
          <w:trHeight w:val="715" w:hRule="exact"/>
        </w:trPr>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85"/>
              <w:jc w:val="left"/>
              <w:rPr>
                <w:rFonts w:ascii="宋体" w:hAnsi="宋体" w:cs="宋体" w:eastAsia="宋体" w:hint="default"/>
                <w:sz w:val="18"/>
                <w:szCs w:val="18"/>
              </w:rPr>
            </w:pPr>
            <w:r>
              <w:rPr>
                <w:rFonts w:ascii="宋体" w:hAnsi="宋体" w:cs="宋体" w:eastAsia="宋体" w:hint="default"/>
                <w:sz w:val="18"/>
                <w:szCs w:val="18"/>
              </w:rPr>
              <w:t>持续以公允价值计量的 资产总额</w:t>
            </w:r>
          </w:p>
        </w:tc>
        <w:tc>
          <w:tcPr>
            <w:tcW w:w="2060" w:type="dxa"/>
            <w:tcBorders>
              <w:top w:val="single" w:sz="4" w:space="0" w:color="000000"/>
              <w:left w:val="single" w:sz="4" w:space="0" w:color="000000"/>
              <w:bottom w:val="single" w:sz="4" w:space="0" w:color="000000"/>
              <w:right w:val="single" w:sz="4" w:space="0" w:color="000000"/>
            </w:tcBorders>
          </w:tcPr>
          <w:p>
            <w:pPr/>
          </w:p>
        </w:tc>
        <w:tc>
          <w:tcPr>
            <w:tcW w:w="2060" w:type="dxa"/>
            <w:tcBorders>
              <w:top w:val="single" w:sz="4" w:space="0" w:color="000000"/>
              <w:left w:val="single" w:sz="4" w:space="0" w:color="000000"/>
              <w:bottom w:val="single" w:sz="4" w:space="0" w:color="000000"/>
              <w:right w:val="single" w:sz="4" w:space="0" w:color="000000"/>
            </w:tcBorders>
          </w:tcPr>
          <w:p>
            <w:pPr/>
          </w:p>
        </w:tc>
        <w:tc>
          <w:tcPr>
            <w:tcW w:w="2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13,000,000.00</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center"/>
              <w:rPr>
                <w:rFonts w:ascii="Times New Roman" w:hAnsi="Times New Roman" w:cs="Times New Roman" w:eastAsia="Times New Roman" w:hint="default"/>
                <w:sz w:val="18"/>
                <w:szCs w:val="18"/>
              </w:rPr>
            </w:pPr>
            <w:r>
              <w:rPr>
                <w:rFonts w:ascii="Times New Roman"/>
                <w:sz w:val="18"/>
              </w:rPr>
              <w:t>13,000,000.00</w:t>
            </w:r>
          </w:p>
        </w:tc>
      </w:tr>
      <w:tr>
        <w:trPr>
          <w:trHeight w:val="713" w:hRule="exact"/>
        </w:trPr>
        <w:tc>
          <w:tcPr>
            <w:tcW w:w="2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185"/>
              <w:jc w:val="left"/>
              <w:rPr>
                <w:rFonts w:ascii="宋体" w:hAnsi="宋体" w:cs="宋体" w:eastAsia="宋体" w:hint="default"/>
                <w:sz w:val="18"/>
                <w:szCs w:val="18"/>
              </w:rPr>
            </w:pPr>
            <w:r>
              <w:rPr>
                <w:rFonts w:ascii="宋体" w:hAnsi="宋体" w:cs="宋体" w:eastAsia="宋体" w:hint="default"/>
                <w:sz w:val="18"/>
                <w:szCs w:val="18"/>
              </w:rPr>
              <w:t>二、非持续的公允价值 计量</w:t>
            </w:r>
          </w:p>
        </w:tc>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2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2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持续和非持续第一层次公允价值计量项目市价的确定依据" w:id="469"/>
      <w:bookmarkEnd w:id="469"/>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3、持续和非持续第二层次公允价值计量项目，采用的估值技术和重要参数的定性及定量信" w:id="470"/>
      <w:bookmarkEnd w:id="470"/>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986"/>
        <w:jc w:val="left"/>
        <w:rPr>
          <w:b w:val="0"/>
          <w:bCs w:val="0"/>
        </w:rPr>
      </w:pPr>
      <w:bookmarkStart w:name="4、持续和非持续第三层次公允价值计量项目，采用的估值技术和重要参数的定性及定量信" w:id="471"/>
      <w:bookmarkEnd w:id="471"/>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10"/>
        <w:rPr>
          <w:rFonts w:ascii="宋体" w:hAnsi="宋体" w:cs="宋体" w:eastAsia="宋体" w:hint="default"/>
          <w:b/>
          <w:bCs/>
          <w:sz w:val="24"/>
          <w:szCs w:val="24"/>
        </w:rPr>
      </w:pPr>
    </w:p>
    <w:p>
      <w:pPr>
        <w:spacing w:line="273" w:lineRule="auto" w:before="0"/>
        <w:ind w:left="112" w:right="986" w:firstLine="0"/>
        <w:jc w:val="left"/>
        <w:rPr>
          <w:rFonts w:ascii="宋体" w:hAnsi="宋体" w:cs="宋体" w:eastAsia="宋体" w:hint="default"/>
          <w:sz w:val="21"/>
          <w:szCs w:val="21"/>
        </w:rPr>
      </w:pPr>
      <w:r>
        <w:rPr>
          <w:rFonts w:ascii="宋体" w:hAnsi="宋体" w:cs="宋体" w:eastAsia="宋体" w:hint="default"/>
          <w:spacing w:val="-2"/>
          <w:sz w:val="21"/>
          <w:szCs w:val="21"/>
        </w:rPr>
        <w:t>在其他非流动金融资产列示，为对北京沃美影城投资有限公司和投资，因不存在活跃市场，也无同类交易</w:t>
      </w:r>
      <w:r>
        <w:rPr>
          <w:rFonts w:ascii="宋体" w:hAnsi="宋体" w:cs="宋体" w:eastAsia="宋体" w:hint="default"/>
          <w:spacing w:val="-43"/>
          <w:sz w:val="21"/>
          <w:szCs w:val="21"/>
        </w:rPr>
        <w:t> </w:t>
      </w:r>
      <w:r>
        <w:rPr>
          <w:rFonts w:ascii="宋体" w:hAnsi="宋体" w:cs="宋体" w:eastAsia="宋体" w:hint="default"/>
          <w:spacing w:val="-43"/>
          <w:sz w:val="21"/>
          <w:szCs w:val="21"/>
        </w:rPr>
      </w:r>
      <w:r>
        <w:rPr>
          <w:rFonts w:ascii="宋体" w:hAnsi="宋体" w:cs="宋体" w:eastAsia="宋体" w:hint="default"/>
          <w:sz w:val="21"/>
          <w:szCs w:val="21"/>
        </w:rPr>
        <w:t>可对比，公允价值以投资该公司初始投资成本确认。</w:t>
      </w:r>
    </w:p>
    <w:p>
      <w:pPr>
        <w:spacing w:after="0" w:line="273" w:lineRule="auto"/>
        <w:jc w:val="left"/>
        <w:rPr>
          <w:rFonts w:ascii="宋体" w:hAnsi="宋体" w:cs="宋体" w:eastAsia="宋体" w:hint="default"/>
          <w:sz w:val="21"/>
          <w:szCs w:val="21"/>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5、持续的第三层次公允价值计量项目，期初与期末账面价值间的调节信息及不可观察参数" w:id="472"/>
      <w:bookmarkEnd w:id="472"/>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6、持续的公允价值计量项目，本期内发生各层级之间转换的，转换的原因及确定转换时点" w:id="473"/>
      <w:bookmarkEnd w:id="473"/>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7、本期内发生的估值技术变更及变更原因" w:id="474"/>
      <w:bookmarkEnd w:id="474"/>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8、不以公允价值计量的金融资产和金融负债的公允价值情况" w:id="475"/>
      <w:bookmarkEnd w:id="475"/>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4"/>
          <w:szCs w:val="24"/>
        </w:rPr>
      </w:pPr>
    </w:p>
    <w:p>
      <w:pPr>
        <w:spacing w:line="487" w:lineRule="auto" w:before="0"/>
        <w:ind w:left="112" w:right="8104" w:firstLine="0"/>
        <w:jc w:val="left"/>
        <w:rPr>
          <w:rFonts w:ascii="宋体" w:hAnsi="宋体" w:cs="宋体" w:eastAsia="宋体" w:hint="default"/>
          <w:sz w:val="21"/>
          <w:szCs w:val="21"/>
        </w:rPr>
      </w:pPr>
      <w:bookmarkStart w:name="9、其他" w:id="476"/>
      <w:bookmarkEnd w:id="476"/>
      <w:r>
        <w:rPr/>
      </w:r>
      <w:r>
        <w:rPr>
          <w:rFonts w:ascii="Times New Roman" w:hAnsi="Times New Roman" w:cs="Times New Roman" w:eastAsia="Times New Roman" w:hint="default"/>
          <w:b/>
          <w:bCs/>
          <w:sz w:val="21"/>
          <w:szCs w:val="21"/>
        </w:rPr>
        <w:t>9</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二、关联方及关联交易" w:id="477"/>
      <w:bookmarkEnd w:id="477"/>
      <w:r>
        <w:rPr>
          <w:rFonts w:ascii="宋体" w:hAnsi="宋体" w:cs="宋体" w:eastAsia="宋体" w:hint="default"/>
          <w:b/>
          <w:bCs/>
          <w:w w:val="100"/>
          <w:sz w:val="21"/>
          <w:szCs w:val="21"/>
        </w:rPr>
      </w:r>
      <w:r>
        <w:rPr>
          <w:rFonts w:ascii="宋体" w:hAnsi="宋体" w:cs="宋体" w:eastAsia="宋体" w:hint="default"/>
          <w:b/>
          <w:bCs/>
          <w:sz w:val="24"/>
          <w:szCs w:val="24"/>
        </w:rPr>
        <w:t>十二、关联方及关联交易</w:t>
      </w:r>
      <w:r>
        <w:rPr>
          <w:rFonts w:ascii="宋体" w:hAnsi="宋体" w:cs="宋体" w:eastAsia="宋体" w:hint="default"/>
          <w:b/>
          <w:bCs/>
          <w:w w:val="99"/>
          <w:sz w:val="24"/>
          <w:szCs w:val="24"/>
        </w:rPr>
        <w:t> </w:t>
      </w:r>
      <w:bookmarkStart w:name="1、本企业的母公司情况" w:id="478"/>
      <w:bookmarkEnd w:id="478"/>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、本企业的母公司情况</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4"/>
        <w:gridCol w:w="1594"/>
        <w:gridCol w:w="1596"/>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43" w:right="159" w:hanging="180"/>
              <w:jc w:val="left"/>
              <w:rPr>
                <w:rFonts w:ascii="宋体" w:hAnsi="宋体" w:cs="宋体" w:eastAsia="宋体" w:hint="default"/>
                <w:sz w:val="18"/>
                <w:szCs w:val="18"/>
              </w:rPr>
            </w:pPr>
            <w:r>
              <w:rPr>
                <w:rFonts w:ascii="宋体" w:hAnsi="宋体" w:cs="宋体" w:eastAsia="宋体" w:hint="default"/>
                <w:sz w:val="18"/>
                <w:szCs w:val="18"/>
              </w:rPr>
              <w:t>母公司对本企业 的持股比例</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4" w:right="158" w:hanging="89"/>
              <w:jc w:val="left"/>
              <w:rPr>
                <w:rFonts w:ascii="宋体" w:hAnsi="宋体" w:cs="宋体" w:eastAsia="宋体" w:hint="default"/>
                <w:sz w:val="18"/>
                <w:szCs w:val="18"/>
              </w:rPr>
            </w:pPr>
            <w:r>
              <w:rPr>
                <w:rFonts w:ascii="宋体" w:hAnsi="宋体" w:cs="宋体" w:eastAsia="宋体" w:hint="default"/>
                <w:sz w:val="18"/>
                <w:szCs w:val="18"/>
              </w:rPr>
              <w:t>母公司对本企业 的表决权比例</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21"/>
              <w:jc w:val="left"/>
              <w:rPr>
                <w:rFonts w:ascii="宋体" w:hAnsi="宋体" w:cs="宋体" w:eastAsia="宋体" w:hint="default"/>
                <w:sz w:val="18"/>
                <w:szCs w:val="18"/>
              </w:rPr>
            </w:pPr>
            <w:r>
              <w:rPr>
                <w:rFonts w:ascii="宋体" w:hAnsi="宋体" w:cs="宋体" w:eastAsia="宋体" w:hint="default"/>
                <w:sz w:val="18"/>
                <w:szCs w:val="18"/>
              </w:rPr>
              <w:t>青岛亚星实业有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青岛市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商业服务业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28" w:right="0"/>
              <w:jc w:val="left"/>
              <w:rPr>
                <w:rFonts w:ascii="Times New Roman" w:hAnsi="Times New Roman" w:cs="Times New Roman" w:eastAsia="Times New Roman" w:hint="default"/>
                <w:sz w:val="18"/>
                <w:szCs w:val="18"/>
              </w:rPr>
            </w:pPr>
            <w:r>
              <w:rPr>
                <w:rFonts w:ascii="Times New Roman"/>
                <w:sz w:val="18"/>
              </w:rPr>
              <w:t>13.57%</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13.57%</w:t>
            </w:r>
          </w:p>
        </w:tc>
      </w:tr>
    </w:tbl>
    <w:p>
      <w:pPr>
        <w:pStyle w:val="BodyText"/>
        <w:spacing w:line="338" w:lineRule="auto" w:before="49"/>
        <w:ind w:right="1124"/>
        <w:jc w:val="left"/>
      </w:pPr>
      <w:r>
        <w:rPr/>
        <w:t>本企业的母公司情况的说明 </w:t>
      </w:r>
      <w:r>
        <w:rPr>
          <w:spacing w:val="-2"/>
        </w:rPr>
        <w:t>姜剑直接持有本公司</w:t>
      </w:r>
      <w:r>
        <w:rPr>
          <w:rFonts w:ascii="宋体" w:hAnsi="宋体" w:cs="宋体" w:eastAsia="宋体" w:hint="default"/>
          <w:spacing w:val="-2"/>
        </w:rPr>
        <w:t>21.42%</w:t>
      </w:r>
      <w:r>
        <w:rPr>
          <w:spacing w:val="-2"/>
        </w:rPr>
        <w:t>股权，并通过北京天和智远投资有限公司和北京信泽至恒投资有限公司对青岛亚星的投资间接持</w:t>
      </w:r>
      <w:r>
        <w:rPr>
          <w:spacing w:val="-61"/>
        </w:rPr>
        <w:t> </w:t>
      </w:r>
      <w:r>
        <w:rPr>
          <w:spacing w:val="-61"/>
        </w:rPr>
      </w:r>
      <w:r>
        <w:rPr/>
        <w:t>有本公司</w:t>
      </w:r>
      <w:r>
        <w:rPr>
          <w:rFonts w:ascii="宋体" w:hAnsi="宋体" w:cs="宋体" w:eastAsia="宋体" w:hint="default"/>
        </w:rPr>
        <w:t>7.74%</w:t>
      </w:r>
      <w:r>
        <w:rPr/>
        <w:t>股权，合计持股</w:t>
      </w:r>
      <w:r>
        <w:rPr>
          <w:rFonts w:ascii="宋体" w:hAnsi="宋体" w:cs="宋体" w:eastAsia="宋体" w:hint="default"/>
        </w:rPr>
        <w:t>29.16%</w:t>
      </w:r>
      <w:r>
        <w:rPr/>
        <w:t>。另加上其一致行动人朱兰英持有的本公司</w:t>
      </w:r>
      <w:r>
        <w:rPr>
          <w:rFonts w:ascii="宋体" w:hAnsi="宋体" w:cs="宋体" w:eastAsia="宋体" w:hint="default"/>
        </w:rPr>
        <w:t>25.53%</w:t>
      </w:r>
      <w:r>
        <w:rPr/>
        <w:t>股权的表决权、一致行动人青岛惠</w:t>
      </w:r>
    </w:p>
    <w:p>
      <w:pPr>
        <w:pStyle w:val="BodyText"/>
        <w:spacing w:line="316" w:lineRule="auto" w:before="2"/>
        <w:ind w:right="986"/>
        <w:jc w:val="left"/>
      </w:pPr>
      <w:r>
        <w:rPr>
          <w:spacing w:val="-2"/>
        </w:rPr>
        <w:t>风和畅企业管理有限公司</w:t>
      </w:r>
      <w:r>
        <w:rPr>
          <w:rFonts w:ascii="宋体" w:hAnsi="宋体" w:cs="宋体" w:eastAsia="宋体" w:hint="default"/>
          <w:spacing w:val="-2"/>
        </w:rPr>
        <w:t>0.13%</w:t>
      </w:r>
      <w:r>
        <w:rPr>
          <w:spacing w:val="-2"/>
        </w:rPr>
        <w:t>股权的表决权、汉众企业管理集团有限公司</w:t>
      </w:r>
      <w:r>
        <w:rPr>
          <w:rFonts w:ascii="宋体" w:hAnsi="宋体" w:cs="宋体" w:eastAsia="宋体" w:hint="default"/>
          <w:spacing w:val="-2"/>
        </w:rPr>
        <w:t>0.13%</w:t>
      </w:r>
      <w:r>
        <w:rPr>
          <w:spacing w:val="-2"/>
        </w:rPr>
        <w:t>的表决权，姜剑实际拥有本公司</w:t>
      </w:r>
      <w:r>
        <w:rPr>
          <w:rFonts w:ascii="宋体" w:hAnsi="宋体" w:cs="宋体" w:eastAsia="宋体" w:hint="default"/>
          <w:spacing w:val="-2"/>
        </w:rPr>
        <w:t>54.94%</w:t>
      </w:r>
      <w:r>
        <w:rPr>
          <w:spacing w:val="-2"/>
        </w:rPr>
        <w:t>的表</w:t>
      </w:r>
      <w:r>
        <w:rPr>
          <w:spacing w:val="-57"/>
        </w:rPr>
        <w:t> </w:t>
      </w:r>
      <w:r>
        <w:rPr/>
        <w:t>决权，为本公司实际控制人。</w:t>
      </w:r>
    </w:p>
    <w:p>
      <w:pPr>
        <w:pStyle w:val="BodyText"/>
        <w:spacing w:line="360" w:lineRule="auto" w:before="60"/>
        <w:ind w:right="8414"/>
        <w:jc w:val="left"/>
      </w:pPr>
      <w:r>
        <w:rPr/>
        <w:t>本企业最终控制方是姜剑。 其他说明：</w:t>
      </w:r>
    </w:p>
    <w:p>
      <w:pPr>
        <w:spacing w:line="240" w:lineRule="auto" w:before="2"/>
        <w:rPr>
          <w:rFonts w:ascii="宋体" w:hAnsi="宋体" w:cs="宋体" w:eastAsia="宋体" w:hint="default"/>
          <w:sz w:val="20"/>
          <w:szCs w:val="20"/>
        </w:rPr>
      </w:pPr>
    </w:p>
    <w:p>
      <w:pPr>
        <w:spacing w:line="547" w:lineRule="auto" w:before="0"/>
        <w:ind w:left="112" w:right="5534" w:firstLine="0"/>
        <w:jc w:val="left"/>
        <w:rPr>
          <w:rFonts w:ascii="宋体" w:hAnsi="宋体" w:cs="宋体" w:eastAsia="宋体" w:hint="default"/>
          <w:sz w:val="21"/>
          <w:szCs w:val="21"/>
        </w:rPr>
      </w:pPr>
      <w:bookmarkStart w:name="2、本企业的子公司情况" w:id="479"/>
      <w:bookmarkEnd w:id="479"/>
      <w:r>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100"/>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）在子公司中的权益。 </w:t>
      </w:r>
      <w:bookmarkStart w:name="3、本企业合营和联营企业情况" w:id="480"/>
      <w:bookmarkEnd w:id="480"/>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pStyle w:val="BodyText"/>
        <w:spacing w:line="338" w:lineRule="auto" w:before="46"/>
        <w:ind w:right="2294"/>
        <w:jc w:val="left"/>
      </w:pPr>
      <w:r>
        <w:rPr/>
        <w:t>本企业重要的合营或联营企业详见附注七（</w:t>
      </w:r>
      <w:r>
        <w:rPr>
          <w:rFonts w:ascii="Times New Roman" w:hAnsi="Times New Roman" w:cs="Times New Roman" w:eastAsia="Times New Roman" w:hint="default"/>
        </w:rPr>
        <w:t>17</w:t>
      </w:r>
      <w:r>
        <w:rPr/>
        <w:t>）长期股权投资。 本期与本公司发生关联方交易，或前期与本公司发生关联方交易形成余额的其他合营或联营企业情况如下：</w:t>
      </w:r>
    </w:p>
    <w:p>
      <w:pPr>
        <w:spacing w:line="240" w:lineRule="auto" w:before="9"/>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4"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76"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4、其他关联方情况" w:id="481"/>
      <w:bookmarkEnd w:id="481"/>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青岛广顺房地产有限公司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本公司控股股东之控股子公司</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本公司控股股东之控股子公司</w:t>
            </w:r>
          </w:p>
        </w:tc>
      </w:tr>
    </w:tbl>
    <w:p>
      <w:pPr>
        <w:spacing w:after="0" w:line="240"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10"/>
        <w:rPr>
          <w:rFonts w:ascii="宋体" w:hAnsi="宋体" w:cs="宋体" w:eastAsia="宋体" w:hint="default"/>
          <w:b/>
          <w:bCs/>
          <w:sz w:val="22"/>
          <w:szCs w:val="22"/>
        </w:rPr>
      </w:pPr>
    </w:p>
    <w:p>
      <w:pPr>
        <w:pStyle w:val="BodyText"/>
        <w:spacing w:line="240" w:lineRule="auto"/>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5、关联交易情况" w:id="482"/>
      <w:bookmarkEnd w:id="482"/>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购销商品、提供和接受劳务的关联交易" w:id="483"/>
      <w:bookmarkEnd w:id="483"/>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6"/>
        <w:jc w:val="left"/>
      </w:pPr>
      <w:r>
        <w:rPr/>
        <w:t>采购商品</w:t>
      </w:r>
      <w:r>
        <w:rPr>
          <w:rFonts w:ascii="Times New Roman" w:hAnsi="Times New Roman" w:cs="Times New Roman" w:eastAsia="Times New Roman" w:hint="default"/>
        </w:rPr>
        <w:t>/</w:t>
      </w:r>
      <w:r>
        <w:rPr/>
        <w:t>接受劳务情况表</w:t>
      </w:r>
    </w:p>
    <w:p>
      <w:pPr>
        <w:pStyle w:val="BodyText"/>
        <w:spacing w:line="240" w:lineRule="auto" w:before="103"/>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540"/>
        <w:gridCol w:w="1455"/>
        <w:gridCol w:w="1452"/>
        <w:gridCol w:w="1709"/>
        <w:gridCol w:w="1707"/>
        <w:gridCol w:w="1706"/>
      </w:tblGrid>
      <w:tr>
        <w:trPr>
          <w:trHeight w:val="402"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0"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7"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986"/>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101"/>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7"/>
        <w:gridCol w:w="2259"/>
        <w:gridCol w:w="2259"/>
        <w:gridCol w:w="2655"/>
      </w:tblGrid>
      <w:tr>
        <w:trPr>
          <w:trHeight w:val="404" w:hRule="exact"/>
        </w:trPr>
        <w:tc>
          <w:tcPr>
            <w:tcW w:w="23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49"/>
        <w:ind w:right="986"/>
        <w:jc w:val="left"/>
      </w:pPr>
      <w:r>
        <w:rPr/>
        <w:t>购销商品、提供和接受劳务的关联交易说明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关联受托管理/承包及委托管理/出包情况" w:id="484"/>
      <w:bookmarkEnd w:id="484"/>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本公司受托管理</w:t>
      </w:r>
      <w:r>
        <w:rPr>
          <w:rFonts w:ascii="Times New Roman" w:hAnsi="Times New Roman" w:cs="Times New Roman" w:eastAsia="Times New Roman" w:hint="default"/>
        </w:rPr>
        <w:t>/</w:t>
      </w:r>
      <w:r>
        <w:rPr/>
        <w:t>承包情况表：</w:t>
      </w:r>
    </w:p>
    <w:p>
      <w:pPr>
        <w:pStyle w:val="BodyText"/>
        <w:spacing w:line="240" w:lineRule="auto" w:before="103"/>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1027"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8" w:right="113" w:hanging="38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9" w:right="113" w:hanging="38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499" w:right="113" w:hanging="387"/>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 类型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88" w:right="111"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590" w:right="110" w:hanging="476"/>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 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139" w:right="110" w:hanging="2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49"/>
              <w:ind w:left="115" w:right="110" w:firstLine="2"/>
              <w:jc w:val="center"/>
              <w:rPr>
                <w:rFonts w:ascii="宋体" w:hAnsi="宋体" w:cs="宋体" w:eastAsia="宋体" w:hint="default"/>
                <w:sz w:val="18"/>
                <w:szCs w:val="18"/>
              </w:rPr>
            </w:pPr>
            <w:r>
              <w:rPr>
                <w:rFonts w:ascii="宋体" w:hAnsi="宋体" w:cs="宋体" w:eastAsia="宋体" w:hint="default"/>
                <w:sz w:val="18"/>
                <w:szCs w:val="18"/>
              </w:rPr>
              <w:t>本期确认的托 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w:t>
            </w:r>
          </w:p>
        </w:tc>
      </w:tr>
    </w:tbl>
    <w:p>
      <w:pPr>
        <w:spacing w:after="0" w:line="309" w:lineRule="auto"/>
        <w:jc w:val="center"/>
        <w:rPr>
          <w:rFonts w:ascii="宋体" w:hAnsi="宋体" w:cs="宋体" w:eastAsia="宋体" w:hint="default"/>
          <w:sz w:val="18"/>
          <w:szCs w:val="18"/>
        </w:rPr>
        <w:sectPr>
          <w:pgSz w:w="11910" w:h="16840"/>
          <w:pgMar w:header="906" w:footer="1021" w:top="1100" w:bottom="1220" w:left="1020" w:right="0"/>
        </w:sectPr>
      </w:pPr>
    </w:p>
    <w:p>
      <w:pPr>
        <w:pStyle w:val="BodyText"/>
        <w:spacing w:line="338" w:lineRule="auto" w:before="49"/>
        <w:ind w:right="-19"/>
        <w:jc w:val="left"/>
      </w:pPr>
      <w:r>
        <w:rPr/>
        <w:t>关联托管</w:t>
      </w:r>
      <w:r>
        <w:rPr>
          <w:rFonts w:ascii="Times New Roman" w:hAnsi="Times New Roman" w:cs="Times New Roman" w:eastAsia="Times New Roman" w:hint="default"/>
        </w:rPr>
        <w:t>/</w:t>
      </w:r>
      <w:r>
        <w:rPr/>
        <w:t>承包情况说明 本公司委托管理</w:t>
      </w:r>
      <w:r>
        <w:rPr>
          <w:rFonts w:ascii="Times New Roman" w:hAnsi="Times New Roman" w:cs="Times New Roman" w:eastAsia="Times New Roman"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before="0"/>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2504" w:space="6325"/>
            <w:col w:w="2061"/>
          </w:cols>
        </w:sectPr>
      </w:pP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98" w:right="113" w:hanging="387"/>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99" w:right="113" w:hanging="387"/>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 名称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99" w:right="113" w:hanging="387"/>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 类型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8" w:right="111" w:hanging="47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 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0" w:right="110" w:hanging="476"/>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 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319" w:right="111" w:hanging="20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 定价依据</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06" w:right="134" w:hanging="65"/>
              <w:jc w:val="left"/>
              <w:rPr>
                <w:rFonts w:ascii="宋体" w:hAnsi="宋体" w:cs="宋体" w:eastAsia="宋体" w:hint="default"/>
                <w:sz w:val="18"/>
                <w:szCs w:val="18"/>
              </w:rPr>
            </w:pPr>
            <w:r>
              <w:rPr>
                <w:rFonts w:ascii="宋体" w:hAnsi="宋体" w:cs="宋体" w:eastAsia="宋体" w:hint="default"/>
                <w:sz w:val="18"/>
                <w:szCs w:val="18"/>
              </w:rPr>
              <w:t>本期确认的托 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pStyle w:val="BodyText"/>
        <w:spacing w:line="240" w:lineRule="auto" w:before="49"/>
        <w:ind w:right="986"/>
        <w:jc w:val="left"/>
      </w:pPr>
      <w:r>
        <w:rPr/>
        <w:t>关联管理</w:t>
      </w:r>
      <w:r>
        <w:rPr>
          <w:rFonts w:ascii="Times New Roman" w:hAnsi="Times New Roman" w:cs="Times New Roman" w:eastAsia="Times New Roman" w:hint="default"/>
        </w:rPr>
        <w:t>/</w:t>
      </w:r>
      <w:r>
        <w:rPr/>
        <w:t>出包情况说明</w:t>
      </w:r>
    </w:p>
    <w:p>
      <w:pPr>
        <w:spacing w:line="240" w:lineRule="auto" w:before="2"/>
        <w:rPr>
          <w:rFonts w:ascii="宋体" w:hAnsi="宋体" w:cs="宋体" w:eastAsia="宋体" w:hint="default"/>
          <w:sz w:val="26"/>
          <w:szCs w:val="26"/>
        </w:rPr>
      </w:pPr>
    </w:p>
    <w:p>
      <w:pPr>
        <w:pStyle w:val="Heading4"/>
        <w:spacing w:line="240" w:lineRule="auto"/>
        <w:ind w:right="986"/>
        <w:jc w:val="left"/>
        <w:rPr>
          <w:b w:val="0"/>
          <w:bCs w:val="0"/>
        </w:rPr>
      </w:pPr>
      <w:bookmarkStart w:name="（3）关联租赁情况" w:id="485"/>
      <w:bookmarkEnd w:id="485"/>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6"/>
        <w:jc w:val="left"/>
      </w:pPr>
      <w:r>
        <w:rPr/>
        <w:t>本公司作为出租方：</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88"/>
        <w:gridCol w:w="2396"/>
        <w:gridCol w:w="2393"/>
        <w:gridCol w:w="2393"/>
      </w:tblGrid>
      <w:tr>
        <w:trPr>
          <w:trHeight w:val="401" w:hRule="exact"/>
        </w:trPr>
        <w:tc>
          <w:tcPr>
            <w:tcW w:w="23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r>
        <w:trPr>
          <w:trHeight w:val="403" w:hRule="exact"/>
        </w:trPr>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9" w:right="0"/>
              <w:jc w:val="left"/>
              <w:rPr>
                <w:rFonts w:ascii="Times New Roman" w:hAnsi="Times New Roman" w:cs="Times New Roman" w:eastAsia="Times New Roman" w:hint="default"/>
                <w:sz w:val="18"/>
                <w:szCs w:val="18"/>
              </w:rPr>
            </w:pPr>
            <w:r>
              <w:rPr>
                <w:rFonts w:ascii="Times New Roman"/>
                <w:sz w:val="18"/>
              </w:rPr>
              <w:t>284,675.09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69" w:right="0"/>
              <w:jc w:val="left"/>
              <w:rPr>
                <w:rFonts w:ascii="Times New Roman" w:hAnsi="Times New Roman" w:cs="Times New Roman" w:eastAsia="Times New Roman" w:hint="default"/>
                <w:sz w:val="18"/>
                <w:szCs w:val="18"/>
              </w:rPr>
            </w:pPr>
            <w:r>
              <w:rPr>
                <w:rFonts w:ascii="Times New Roman"/>
                <w:sz w:val="18"/>
              </w:rPr>
              <w:t>264,228.39</w:t>
            </w:r>
          </w:p>
        </w:tc>
      </w:tr>
    </w:tbl>
    <w:p>
      <w:pPr>
        <w:pStyle w:val="BodyText"/>
        <w:spacing w:line="240" w:lineRule="auto" w:before="49"/>
        <w:ind w:right="986"/>
        <w:jc w:val="left"/>
      </w:pPr>
      <w:r>
        <w:rPr/>
        <w:t>本公司作为承租方：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3"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房屋及建筑物等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71" w:right="0"/>
              <w:jc w:val="left"/>
              <w:rPr>
                <w:rFonts w:ascii="Times New Roman" w:hAnsi="Times New Roman" w:cs="Times New Roman" w:eastAsia="Times New Roman" w:hint="default"/>
                <w:sz w:val="18"/>
                <w:szCs w:val="18"/>
              </w:rPr>
            </w:pPr>
            <w:r>
              <w:rPr>
                <w:rFonts w:ascii="Times New Roman"/>
                <w:sz w:val="18"/>
              </w:rPr>
              <w:t>379,162.43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469" w:right="0"/>
              <w:jc w:val="left"/>
              <w:rPr>
                <w:rFonts w:ascii="Times New Roman" w:hAnsi="Times New Roman" w:cs="Times New Roman" w:eastAsia="Times New Roman" w:hint="default"/>
                <w:sz w:val="18"/>
                <w:szCs w:val="18"/>
              </w:rPr>
            </w:pPr>
            <w:r>
              <w:rPr>
                <w:rFonts w:ascii="Times New Roman"/>
                <w:sz w:val="18"/>
              </w:rPr>
              <w:t>262,812.26</w:t>
            </w:r>
          </w:p>
        </w:tc>
      </w:tr>
    </w:tbl>
    <w:p>
      <w:pPr>
        <w:pStyle w:val="BodyText"/>
        <w:spacing w:line="240" w:lineRule="auto" w:before="49"/>
        <w:ind w:right="986"/>
        <w:jc w:val="left"/>
      </w:pPr>
      <w:r>
        <w:rPr/>
        <w:t>关联租赁情况说明</w:t>
      </w:r>
    </w:p>
    <w:p>
      <w:pPr>
        <w:spacing w:after="0" w:line="240" w:lineRule="auto"/>
        <w:jc w:val="left"/>
        <w:sectPr>
          <w:type w:val="continuous"/>
          <w:pgSz w:w="11910" w:h="16840"/>
          <w:pgMar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4）关联担保情况" w:id="486"/>
      <w:bookmarkEnd w:id="486"/>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本公司作为担保方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62" w:right="143" w:hanging="720"/>
              <w:jc w:val="left"/>
              <w:rPr>
                <w:rFonts w:ascii="宋体" w:hAnsi="宋体" w:cs="宋体" w:eastAsia="宋体" w:hint="default"/>
                <w:sz w:val="18"/>
                <w:szCs w:val="18"/>
              </w:rPr>
            </w:pPr>
            <w:r>
              <w:rPr>
                <w:rFonts w:ascii="宋体" w:hAnsi="宋体" w:cs="宋体" w:eastAsia="宋体" w:hint="default"/>
                <w:sz w:val="18"/>
                <w:szCs w:val="18"/>
              </w:rPr>
              <w:t>担保是否已经履行完 毕</w:t>
            </w:r>
          </w:p>
        </w:tc>
      </w:tr>
    </w:tbl>
    <w:p>
      <w:pPr>
        <w:pStyle w:val="BodyText"/>
        <w:spacing w:line="240" w:lineRule="auto" w:before="50"/>
        <w:ind w:right="986"/>
        <w:jc w:val="left"/>
      </w:pPr>
      <w:r>
        <w:rPr/>
        <w:t>本公司作为被担保方</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13"/>
        <w:gridCol w:w="1916"/>
        <w:gridCol w:w="1916"/>
        <w:gridCol w:w="1692"/>
        <w:gridCol w:w="2137"/>
      </w:tblGrid>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6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21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4"/>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杭州通育投资合伙企 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636,185,000.00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28" w:lineRule="auto" w:before="49"/>
              <w:ind w:left="103" w:right="98"/>
              <w:jc w:val="left"/>
              <w:rPr>
                <w:rFonts w:ascii="Times New Roman" w:hAnsi="Times New Roman" w:cs="Times New Roman" w:eastAsia="Times New Roman" w:hint="default"/>
                <w:sz w:val="18"/>
                <w:szCs w:val="18"/>
              </w:rPr>
            </w:pPr>
            <w:r>
              <w:rPr>
                <w:rFonts w:ascii="宋体" w:hAnsi="宋体" w:cs="宋体" w:eastAsia="宋体" w:hint="default"/>
                <w:sz w:val="18"/>
                <w:szCs w:val="18"/>
              </w:rPr>
              <w:t>苏州大通箐鹰投资合 </w:t>
            </w:r>
            <w:r>
              <w:rPr>
                <w:rFonts w:ascii="宋体" w:hAnsi="宋体" w:cs="宋体" w:eastAsia="宋体" w:hint="default"/>
                <w:spacing w:val="-15"/>
                <w:sz w:val="18"/>
                <w:szCs w:val="18"/>
              </w:rPr>
              <w:t>伙企业（有限合伙）</w:t>
            </w:r>
            <w:r>
              <w:rPr>
                <w:rFonts w:ascii="Times New Roman" w:hAnsi="Times New Roman" w:cs="Times New Roman" w:eastAsia="Times New Roman" w:hint="default"/>
                <w:spacing w:val="-15"/>
                <w:sz w:val="18"/>
                <w:szCs w:val="18"/>
              </w:rPr>
              <w:t>[</w:t>
            </w:r>
            <w:r>
              <w:rPr>
                <w:rFonts w:ascii="宋体" w:hAnsi="宋体" w:cs="宋体" w:eastAsia="宋体" w:hint="default"/>
                <w:spacing w:val="-15"/>
                <w:sz w:val="18"/>
                <w:szCs w:val="18"/>
              </w:rPr>
              <w:t>注</w:t>
            </w:r>
            <w:r>
              <w:rPr>
                <w:rFonts w:ascii="宋体" w:hAnsi="宋体" w:cs="宋体" w:eastAsia="宋体" w:hint="default"/>
                <w:spacing w:val="-87"/>
                <w:sz w:val="18"/>
                <w:szCs w:val="18"/>
              </w:rPr>
              <w:t> </w:t>
            </w:r>
            <w:r>
              <w:rPr>
                <w:rFonts w:ascii="Times New Roman" w:hAnsi="Times New Roman" w:cs="Times New Roman" w:eastAsia="Times New Roman" w:hint="default"/>
                <w:sz w:val="18"/>
                <w:szCs w:val="18"/>
              </w:rPr>
              <w:t>2]</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376,500,000.00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04"/>
              <w:jc w:val="left"/>
              <w:rPr>
                <w:rFonts w:ascii="Times New Roman" w:hAnsi="Times New Roman" w:cs="Times New Roman" w:eastAsia="Times New Roman" w:hint="default"/>
                <w:sz w:val="18"/>
                <w:szCs w:val="18"/>
              </w:rPr>
            </w:pPr>
            <w:r>
              <w:rPr>
                <w:rFonts w:ascii="宋体" w:hAnsi="宋体" w:cs="宋体" w:eastAsia="宋体" w:hint="default"/>
                <w:sz w:val="18"/>
                <w:szCs w:val="18"/>
              </w:rPr>
              <w:t>杭州通锐投资合伙企 业（有限合伙）</w:t>
            </w:r>
            <w:r>
              <w:rPr>
                <w:rFonts w:ascii="Times New Roman" w:hAnsi="Times New Roman" w:cs="Times New Roman" w:eastAsia="Times New Roman" w:hint="default"/>
                <w:sz w:val="18"/>
                <w:szCs w:val="18"/>
              </w:rPr>
              <w:t>[</w:t>
            </w:r>
            <w:r>
              <w:rPr>
                <w:rFonts w:ascii="宋体" w:hAnsi="宋体" w:cs="宋体" w:eastAsia="宋体" w:hint="default"/>
                <w:sz w:val="18"/>
                <w:szCs w:val="18"/>
              </w:rPr>
              <w:t>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1,101,000,000.00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338" w:lineRule="auto" w:before="49"/>
        <w:ind w:right="1122"/>
        <w:jc w:val="left"/>
      </w:pPr>
      <w:r>
        <w:rPr/>
        <w:t>关联担保情况说明 </w:t>
      </w:r>
      <w:r>
        <w:rPr>
          <w:rFonts w:ascii="宋体" w:hAnsi="宋体" w:cs="宋体" w:eastAsia="宋体" w:hint="default"/>
          <w:spacing w:val="-5"/>
        </w:rPr>
        <w:t>[</w:t>
      </w:r>
      <w:r>
        <w:rPr>
          <w:spacing w:val="-5"/>
        </w:rPr>
        <w:t>注</w:t>
      </w:r>
      <w:r>
        <w:rPr>
          <w:rFonts w:ascii="宋体" w:hAnsi="宋体" w:cs="宋体" w:eastAsia="宋体" w:hint="default"/>
          <w:spacing w:val="-5"/>
        </w:rPr>
        <w:t>1]</w:t>
      </w:r>
      <w:r>
        <w:rPr>
          <w:spacing w:val="-5"/>
        </w:rPr>
        <w:t>杭州通育投资合伙企业（有限合伙）（以下简称杭州通育）系由甘肃浙银天虹资本</w:t>
      </w:r>
      <w:r>
        <w:rPr>
          <w:rFonts w:ascii="宋体" w:hAnsi="宋体" w:cs="宋体" w:eastAsia="宋体" w:hint="default"/>
          <w:spacing w:val="-5"/>
        </w:rPr>
        <w:t>:</w:t>
      </w:r>
      <w:r>
        <w:rPr>
          <w:spacing w:val="-5"/>
        </w:rPr>
        <w:t>管理有限公司（以下简称浙银天虹）</w:t>
      </w:r>
      <w:r>
        <w:rPr>
          <w:spacing w:val="-68"/>
        </w:rPr>
        <w:t> </w:t>
      </w:r>
      <w:r>
        <w:rPr>
          <w:spacing w:val="-68"/>
        </w:rPr>
      </w:r>
      <w:r>
        <w:rPr/>
        <w:t>作为普通合伙人、国民信托有限公司（以下简称国民信托）</w:t>
      </w:r>
      <w:r>
        <w:rPr>
          <w:spacing w:val="2"/>
        </w:rPr>
        <w:t> </w:t>
      </w:r>
      <w:r>
        <w:rPr/>
        <w:t>作为优先级有限合伙人、本公司作为劣后级有限合伙人共同发</w:t>
      </w:r>
    </w:p>
    <w:p>
      <w:pPr>
        <w:pStyle w:val="BodyText"/>
        <w:spacing w:line="316" w:lineRule="auto" w:before="2"/>
        <w:ind w:right="1124"/>
        <w:jc w:val="left"/>
        <w:rPr>
          <w:rFonts w:ascii="宋体" w:hAnsi="宋体" w:cs="宋体" w:eastAsia="宋体" w:hint="default"/>
        </w:rPr>
      </w:pPr>
      <w:r>
        <w:rPr/>
        <w:t>起，于</w:t>
      </w:r>
      <w:r>
        <w:rPr>
          <w:rFonts w:ascii="宋体" w:hAnsi="宋体" w:cs="宋体" w:eastAsia="宋体" w:hint="default"/>
        </w:rPr>
        <w:t>2016</w:t>
      </w:r>
      <w:r>
        <w:rPr/>
        <w:t>年</w:t>
      </w:r>
      <w:r>
        <w:rPr>
          <w:rFonts w:ascii="宋体" w:hAnsi="宋体" w:cs="宋体" w:eastAsia="宋体" w:hint="default"/>
        </w:rPr>
        <w:t>12</w:t>
      </w:r>
      <w:r>
        <w:rPr/>
        <w:t>月</w:t>
      </w:r>
      <w:r>
        <w:rPr>
          <w:rFonts w:ascii="宋体" w:hAnsi="宋体" w:cs="宋体" w:eastAsia="宋体" w:hint="default"/>
        </w:rPr>
        <w:t>1</w:t>
      </w:r>
      <w:r>
        <w:rPr/>
        <w:t>日在杭州市富阳区市场监督管理局登记注册。杭州通育认缴出资总额为人民币</w:t>
      </w:r>
      <w:r>
        <w:rPr>
          <w:rFonts w:ascii="宋体" w:hAnsi="宋体" w:cs="宋体" w:eastAsia="宋体" w:hint="default"/>
        </w:rPr>
        <w:t>71,001</w:t>
      </w:r>
      <w:r>
        <w:rPr/>
        <w:t>万元，其中国民信 托认缴出资</w:t>
      </w:r>
      <w:r>
        <w:rPr>
          <w:rFonts w:ascii="宋体" w:hAnsi="宋体" w:cs="宋体" w:eastAsia="宋体" w:hint="default"/>
        </w:rPr>
        <w:t>47,</w:t>
      </w:r>
      <w:r>
        <w:rPr>
          <w:rFonts w:ascii="宋体" w:hAnsi="宋体" w:cs="宋体" w:eastAsia="宋体" w:hint="default"/>
          <w:spacing w:val="-44"/>
        </w:rPr>
        <w:t> </w:t>
      </w:r>
      <w:r>
        <w:rPr>
          <w:rFonts w:ascii="宋体" w:hAnsi="宋体" w:cs="宋体" w:eastAsia="宋体" w:hint="default"/>
          <w:spacing w:val="-5"/>
        </w:rPr>
        <w:t>300</w:t>
      </w:r>
      <w:r>
        <w:rPr>
          <w:spacing w:val="-5"/>
        </w:rPr>
        <w:t>万元，占</w:t>
      </w:r>
      <w:r>
        <w:rPr>
          <w:rFonts w:ascii="宋体" w:hAnsi="宋体" w:cs="宋体" w:eastAsia="宋体" w:hint="default"/>
          <w:spacing w:val="-5"/>
        </w:rPr>
        <w:t>66.</w:t>
      </w:r>
      <w:r>
        <w:rPr>
          <w:rFonts w:ascii="宋体" w:hAnsi="宋体" w:cs="宋体" w:eastAsia="宋体" w:hint="default"/>
          <w:spacing w:val="-44"/>
        </w:rPr>
        <w:t> </w:t>
      </w:r>
      <w:r>
        <w:rPr>
          <w:rFonts w:ascii="宋体" w:hAnsi="宋体" w:cs="宋体" w:eastAsia="宋体" w:hint="default"/>
          <w:spacing w:val="-3"/>
        </w:rPr>
        <w:t>6188%</w:t>
      </w:r>
      <w:r>
        <w:rPr>
          <w:spacing w:val="-3"/>
        </w:rPr>
        <w:t>；本公司认缴出资</w:t>
      </w:r>
      <w:r>
        <w:rPr>
          <w:rFonts w:ascii="宋体" w:hAnsi="宋体" w:cs="宋体" w:eastAsia="宋体" w:hint="default"/>
          <w:spacing w:val="-3"/>
        </w:rPr>
        <w:t>23,</w:t>
      </w:r>
      <w:r>
        <w:rPr>
          <w:rFonts w:ascii="宋体" w:hAnsi="宋体" w:cs="宋体" w:eastAsia="宋体" w:hint="default"/>
          <w:spacing w:val="-44"/>
        </w:rPr>
        <w:t> </w:t>
      </w:r>
      <w:r>
        <w:rPr>
          <w:rFonts w:ascii="宋体" w:hAnsi="宋体" w:cs="宋体" w:eastAsia="宋体" w:hint="default"/>
          <w:spacing w:val="-5"/>
        </w:rPr>
        <w:t>700</w:t>
      </w:r>
      <w:r>
        <w:rPr>
          <w:spacing w:val="-5"/>
        </w:rPr>
        <w:t>万元，占</w:t>
      </w:r>
      <w:r>
        <w:rPr>
          <w:rFonts w:ascii="宋体" w:hAnsi="宋体" w:cs="宋体" w:eastAsia="宋体" w:hint="default"/>
          <w:spacing w:val="-5"/>
        </w:rPr>
        <w:t>33.</w:t>
      </w:r>
      <w:r>
        <w:rPr>
          <w:rFonts w:ascii="宋体" w:hAnsi="宋体" w:cs="宋体" w:eastAsia="宋体" w:hint="default"/>
          <w:spacing w:val="-44"/>
        </w:rPr>
        <w:t> </w:t>
      </w:r>
      <w:r>
        <w:rPr>
          <w:rFonts w:ascii="宋体" w:hAnsi="宋体" w:cs="宋体" w:eastAsia="宋体" w:hint="default"/>
        </w:rPr>
        <w:t>3798%</w:t>
      </w:r>
      <w:r>
        <w:rPr/>
        <w:t>；</w:t>
      </w:r>
      <w:r>
        <w:rPr>
          <w:spacing w:val="-40"/>
        </w:rPr>
        <w:t> </w:t>
      </w:r>
      <w:r>
        <w:rPr>
          <w:spacing w:val="-4"/>
        </w:rPr>
        <w:t>浙银天虹认缴出资</w:t>
      </w:r>
      <w:r>
        <w:rPr>
          <w:rFonts w:ascii="宋体" w:hAnsi="宋体" w:cs="宋体" w:eastAsia="宋体" w:hint="default"/>
          <w:spacing w:val="-4"/>
        </w:rPr>
        <w:t>1</w:t>
      </w:r>
      <w:r>
        <w:rPr>
          <w:spacing w:val="-4"/>
        </w:rPr>
        <w:t>万元，占</w:t>
      </w:r>
      <w:r>
        <w:rPr>
          <w:rFonts w:ascii="宋体" w:hAnsi="宋体" w:cs="宋体" w:eastAsia="宋体" w:hint="default"/>
          <w:spacing w:val="-4"/>
        </w:rPr>
        <w:t>0.</w:t>
      </w:r>
      <w:r>
        <w:rPr>
          <w:rFonts w:ascii="宋体" w:hAnsi="宋体" w:cs="宋体" w:eastAsia="宋体" w:hint="default"/>
          <w:spacing w:val="-42"/>
        </w:rPr>
        <w:t> </w:t>
      </w:r>
      <w:r>
        <w:rPr>
          <w:rFonts w:ascii="宋体" w:hAnsi="宋体" w:cs="宋体" w:eastAsia="宋体" w:hint="default"/>
        </w:rPr>
        <w:t>0014%</w:t>
      </w:r>
      <w:r>
        <w:rPr/>
        <w:t>。 </w:t>
      </w:r>
      <w:r>
        <w:rPr>
          <w:spacing w:val="-2"/>
        </w:rPr>
        <w:t>截止</w:t>
      </w:r>
      <w:r>
        <w:rPr>
          <w:rFonts w:ascii="宋体" w:hAnsi="宋体" w:cs="宋体" w:eastAsia="宋体" w:hint="default"/>
          <w:spacing w:val="-2"/>
        </w:rPr>
        <w:t>2016</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日，各合伙人的认缴出资均已实缴到位。截止</w:t>
      </w:r>
      <w:r>
        <w:rPr>
          <w:rFonts w:ascii="宋体" w:hAnsi="宋体" w:cs="宋体" w:eastAsia="宋体" w:hint="default"/>
          <w:spacing w:val="-2"/>
        </w:rPr>
        <w:t>2017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31</w:t>
      </w:r>
      <w:r>
        <w:rPr>
          <w:spacing w:val="-2"/>
        </w:rPr>
        <w:t>日本公司已将持有的杭州通育所有份额转让给</w:t>
      </w:r>
      <w:r>
        <w:rPr>
          <w:spacing w:val="-57"/>
        </w:rPr>
        <w:t> </w:t>
      </w:r>
      <w:r>
        <w:rPr>
          <w:spacing w:val="-57"/>
        </w:rPr>
      </w:r>
      <w:r>
        <w:rPr/>
        <w:t>天津星合通达资产管理有限公司，且转让款已全部收讫。 </w:t>
      </w:r>
      <w:r>
        <w:rPr>
          <w:spacing w:val="-2"/>
        </w:rPr>
        <w:t>根据本公司</w:t>
      </w:r>
      <w:r>
        <w:rPr>
          <w:rFonts w:ascii="宋体" w:hAnsi="宋体" w:cs="宋体" w:eastAsia="宋体" w:hint="default"/>
          <w:spacing w:val="-2"/>
        </w:rPr>
        <w:t>2016</w:t>
      </w:r>
      <w:r>
        <w:rPr>
          <w:spacing w:val="-2"/>
        </w:rPr>
        <w:t>年与国民信托签署的《远期收购及差额补足协议》约定，本公司对优先级合伙人国民信托负有于远期收购日</w:t>
      </w:r>
      <w:r>
        <w:rPr>
          <w:spacing w:val="-65"/>
        </w:rPr>
        <w:t> </w:t>
      </w:r>
      <w:r>
        <w:rPr>
          <w:spacing w:val="-65"/>
        </w:rPr>
      </w:r>
      <w:r>
        <w:rPr/>
        <w:t>无条件收购优先级有限合伙人持有的合伙企业份额，</w:t>
      </w:r>
      <w:r>
        <w:rPr>
          <w:spacing w:val="2"/>
        </w:rPr>
        <w:t> </w:t>
      </w:r>
      <w:r>
        <w:rPr/>
        <w:t>并为优先级有限合伙人期间收益及到期本金及收益（预计不超过</w:t>
      </w:r>
      <w:r>
        <w:rPr/>
        <w:t> </w:t>
      </w:r>
      <w:r>
        <w:rPr>
          <w:rFonts w:ascii="宋体" w:hAnsi="宋体" w:cs="宋体" w:eastAsia="宋体" w:hint="default"/>
          <w:spacing w:val="-2"/>
        </w:rPr>
        <w:t>63,452.95</w:t>
      </w:r>
      <w:r>
        <w:rPr>
          <w:spacing w:val="-2"/>
        </w:rPr>
        <w:t>万元）承担差额补足义务。差额补足属于实质意义上的担保行为，公司为国民信托提供担保的金额预计不超过</w:t>
      </w:r>
      <w:r>
        <w:rPr>
          <w:rFonts w:ascii="宋体" w:hAnsi="宋体" w:cs="宋体" w:eastAsia="宋体" w:hint="default"/>
          <w:spacing w:val="-2"/>
        </w:rPr>
        <w:t>63,</w:t>
      </w:r>
    </w:p>
    <w:p>
      <w:pPr>
        <w:pStyle w:val="BodyText"/>
        <w:spacing w:line="316" w:lineRule="auto" w:before="19"/>
        <w:ind w:right="1132"/>
        <w:jc w:val="both"/>
      </w:pPr>
      <w:r>
        <w:rPr>
          <w:rFonts w:ascii="宋体" w:hAnsi="宋体" w:cs="宋体" w:eastAsia="宋体" w:hint="default"/>
        </w:rPr>
        <w:t>452.</w:t>
      </w:r>
      <w:r>
        <w:rPr>
          <w:rFonts w:ascii="宋体" w:hAnsi="宋体" w:cs="宋体" w:eastAsia="宋体" w:hint="default"/>
          <w:spacing w:val="-26"/>
        </w:rPr>
        <w:t> </w:t>
      </w:r>
      <w:r>
        <w:rPr>
          <w:rFonts w:ascii="宋体" w:hAnsi="宋体" w:cs="宋体" w:eastAsia="宋体" w:hint="default"/>
          <w:spacing w:val="-3"/>
        </w:rPr>
        <w:t>95</w:t>
      </w:r>
      <w:r>
        <w:rPr>
          <w:spacing w:val="-3"/>
        </w:rPr>
        <w:t>万元。另根据本公司与姜剑（本公司实际控制人）、朱兰英（本公司实际控制人之一致行动人）和青岛亚星实业有限</w:t>
      </w:r>
      <w:r>
        <w:rPr>
          <w:spacing w:val="-84"/>
        </w:rPr>
        <w:t> </w:t>
      </w:r>
      <w:r>
        <w:rPr>
          <w:spacing w:val="-84"/>
        </w:rPr>
      </w:r>
      <w:r>
        <w:rPr>
          <w:spacing w:val="-2"/>
        </w:rPr>
        <w:t>公司（本公司控股股东）签署的《保证合同》，姜剑、朱兰英和青岛亚星为该收购及差额补足义务提供无限连带责任保证担</w:t>
      </w:r>
      <w:r>
        <w:rPr>
          <w:spacing w:val="-71"/>
        </w:rPr>
        <w:t> </w:t>
      </w:r>
      <w:r>
        <w:rPr>
          <w:spacing w:val="-71"/>
        </w:rPr>
      </w:r>
      <w:r>
        <w:rPr/>
        <w:t>保。</w:t>
      </w:r>
    </w:p>
    <w:p>
      <w:pPr>
        <w:pStyle w:val="BodyText"/>
        <w:spacing w:line="316" w:lineRule="auto" w:before="19"/>
        <w:ind w:right="1034"/>
        <w:jc w:val="left"/>
      </w:pPr>
      <w:r>
        <w:rPr>
          <w:rFonts w:ascii="宋体" w:hAnsi="宋体" w:cs="宋体" w:eastAsia="宋体" w:hint="default"/>
        </w:rPr>
        <w:t>[</w:t>
      </w:r>
      <w:r>
        <w:rPr/>
        <w:t>注</w:t>
      </w:r>
      <w:r>
        <w:rPr>
          <w:rFonts w:ascii="宋体" w:hAnsi="宋体" w:cs="宋体" w:eastAsia="宋体" w:hint="default"/>
        </w:rPr>
        <w:t>2]</w:t>
      </w:r>
      <w:r>
        <w:rPr/>
        <w:t>本公司的控股股东青岛亚星作为劣后级有限合伙人出资</w:t>
      </w:r>
      <w:r>
        <w:rPr>
          <w:rFonts w:ascii="宋体" w:hAnsi="宋体" w:cs="宋体" w:eastAsia="宋体" w:hint="default"/>
        </w:rPr>
        <w:t>9,</w:t>
      </w:r>
      <w:r>
        <w:rPr>
          <w:rFonts w:ascii="宋体" w:hAnsi="宋体" w:cs="宋体" w:eastAsia="宋体" w:hint="default"/>
          <w:spacing w:val="1"/>
        </w:rPr>
        <w:t> </w:t>
      </w:r>
      <w:r>
        <w:rPr>
          <w:rFonts w:ascii="宋体" w:hAnsi="宋体" w:cs="宋体" w:eastAsia="宋体" w:hint="default"/>
        </w:rPr>
        <w:t>900</w:t>
      </w:r>
      <w:r>
        <w:rPr/>
        <w:t>万元与山东省金融资产管理股份有限公司（以下简称山 </w:t>
      </w:r>
      <w:r>
        <w:rPr>
          <w:spacing w:val="-5"/>
        </w:rPr>
        <w:t>东省金融资产管理公司）、苏州大通智远投资有限公司共同投资设立苏州大通警鹰投资合伙企业（有限合伙）。该投资基金以</w:t>
      </w:r>
      <w:r>
        <w:rPr>
          <w:spacing w:val="-80"/>
        </w:rPr>
        <w:t> </w:t>
      </w:r>
      <w:r>
        <w:rPr>
          <w:spacing w:val="-80"/>
        </w:rPr>
      </w:r>
      <w:r>
        <w:rPr>
          <w:spacing w:val="-4"/>
        </w:rPr>
        <w:t>有限合伙的形式设立，总认缴出资额为人民币</w:t>
      </w:r>
      <w:r>
        <w:rPr>
          <w:rFonts w:ascii="宋体" w:hAnsi="宋体" w:cs="宋体" w:eastAsia="宋体" w:hint="default"/>
          <w:spacing w:val="-4"/>
        </w:rPr>
        <w:t>40,000</w:t>
      </w:r>
      <w:r>
        <w:rPr>
          <w:spacing w:val="-4"/>
        </w:rPr>
        <w:t>万元。根据本公司与山东省金融资产管理公司签订的《差额补 </w:t>
      </w:r>
      <w:r>
        <w:rPr/>
        <w:t>足协议》</w:t>
      </w:r>
      <w:r>
        <w:rPr>
          <w:spacing w:val="-47"/>
        </w:rPr>
        <w:t> </w:t>
      </w:r>
      <w:r>
        <w:rPr>
          <w:spacing w:val="-47"/>
        </w:rPr>
      </w:r>
      <w:r>
        <w:rPr/>
        <w:t>约定，本公司对优先级有限合伙人山东省金融资产管理公司在投资期间的预期投资收益及实缴出资额负有差额补足的义务。</w:t>
      </w:r>
      <w:r>
        <w:rPr>
          <w:spacing w:val="-86"/>
        </w:rPr>
        <w:t> </w:t>
      </w:r>
      <w:r>
        <w:rPr>
          <w:spacing w:val="-86"/>
        </w:rPr>
      </w:r>
      <w:r>
        <w:rPr/>
        <w:t>差额补足属于实质意义上的担保行为，公司为山东省金融资产管理公司提供担保的金额为</w:t>
      </w:r>
      <w:r>
        <w:rPr>
          <w:rFonts w:ascii="宋体" w:hAnsi="宋体" w:cs="宋体" w:eastAsia="宋体" w:hint="default"/>
        </w:rPr>
        <w:t>37,</w:t>
      </w:r>
      <w:r>
        <w:rPr>
          <w:rFonts w:ascii="宋体" w:hAnsi="宋体" w:cs="宋体" w:eastAsia="宋体" w:hint="default"/>
          <w:spacing w:val="-1"/>
        </w:rPr>
        <w:t> </w:t>
      </w:r>
      <w:r>
        <w:rPr>
          <w:rFonts w:ascii="宋体" w:hAnsi="宋体" w:cs="宋体" w:eastAsia="宋体" w:hint="default"/>
        </w:rPr>
        <w:t>650</w:t>
      </w:r>
      <w:r>
        <w:rPr/>
        <w:t>万元。青岛亚星为本公司 控股股东，持有本</w:t>
      </w:r>
      <w:r>
        <w:rPr>
          <w:spacing w:val="-1"/>
        </w:rPr>
        <w:t> </w:t>
      </w:r>
      <w:r>
        <w:rPr/>
        <w:t>公司</w:t>
      </w:r>
      <w:r>
        <w:rPr>
          <w:rFonts w:ascii="宋体" w:hAnsi="宋体" w:cs="宋体" w:eastAsia="宋体" w:hint="default"/>
        </w:rPr>
        <w:t>13.57%</w:t>
      </w:r>
      <w:r>
        <w:rPr/>
        <w:t>的股份，苏州大通智远投资有限公司为公司控股股东青岛亚星</w:t>
      </w:r>
      <w:r>
        <w:rPr>
          <w:rFonts w:ascii="宋体" w:hAnsi="宋体" w:cs="宋体" w:eastAsia="宋体" w:hint="default"/>
        </w:rPr>
        <w:t>100%</w:t>
      </w:r>
      <w:r>
        <w:rPr/>
        <w:t>控股的公司，根据《深圳 </w:t>
      </w:r>
      <w:r>
        <w:rPr>
          <w:spacing w:val="-2"/>
        </w:rPr>
        <w:t>证券交易所股票上市规则》规定，上述担保构成关联担保。本次担保由公司实际控制人姜剑先生以其间接持有的青岛亚星股</w:t>
      </w:r>
      <w:r>
        <w:rPr>
          <w:spacing w:val="-65"/>
        </w:rPr>
        <w:t> </w:t>
      </w:r>
      <w:r>
        <w:rPr>
          <w:spacing w:val="-65"/>
        </w:rPr>
      </w:r>
      <w:r>
        <w:rPr/>
        <w:t>权提供反担保。本次关联担保业经公司</w:t>
      </w:r>
      <w:r>
        <w:rPr>
          <w:spacing w:val="1"/>
        </w:rPr>
        <w:t> </w:t>
      </w:r>
      <w:r>
        <w:rPr>
          <w:rFonts w:ascii="宋体" w:hAnsi="宋体" w:cs="宋体" w:eastAsia="宋体" w:hint="default"/>
        </w:rPr>
        <w:t>2017</w:t>
      </w:r>
      <w:r>
        <w:rPr/>
        <w:t>年</w:t>
      </w:r>
      <w:r>
        <w:rPr>
          <w:rFonts w:ascii="宋体" w:hAnsi="宋体" w:cs="宋体" w:eastAsia="宋体" w:hint="default"/>
        </w:rPr>
        <w:t>7</w:t>
      </w:r>
      <w:r>
        <w:rPr/>
        <w:t>月</w:t>
      </w:r>
      <w:r>
        <w:rPr>
          <w:rFonts w:ascii="宋体" w:hAnsi="宋体" w:cs="宋体" w:eastAsia="宋体" w:hint="default"/>
        </w:rPr>
        <w:t>7</w:t>
      </w:r>
      <w:r>
        <w:rPr/>
        <w:t>日第二次临时股东大会审议通过。 </w:t>
      </w:r>
      <w:r>
        <w:rPr>
          <w:rFonts w:ascii="宋体" w:hAnsi="宋体" w:cs="宋体" w:eastAsia="宋体" w:hint="default"/>
        </w:rPr>
        <w:t>[</w:t>
      </w:r>
      <w:r>
        <w:rPr/>
        <w:t>注</w:t>
      </w:r>
      <w:r>
        <w:rPr>
          <w:rFonts w:ascii="宋体" w:hAnsi="宋体" w:cs="宋体" w:eastAsia="宋体" w:hint="default"/>
        </w:rPr>
        <w:t>3]</w:t>
      </w:r>
      <w:r>
        <w:rPr/>
        <w:t>本公司的控股股东青岛亚星作为劣后级有限合伙人出资</w:t>
      </w:r>
      <w:r>
        <w:rPr>
          <w:rFonts w:ascii="宋体" w:hAnsi="宋体" w:cs="宋体" w:eastAsia="宋体" w:hint="default"/>
        </w:rPr>
        <w:t>20, </w:t>
      </w:r>
      <w:r>
        <w:rPr>
          <w:rFonts w:ascii="宋体" w:hAnsi="宋体" w:cs="宋体" w:eastAsia="宋体" w:hint="default"/>
          <w:spacing w:val="-4"/>
        </w:rPr>
        <w:t>000</w:t>
      </w:r>
      <w:r>
        <w:rPr>
          <w:spacing w:val="-4"/>
        </w:rPr>
        <w:t>万元与华龙证券股份有限公司（以下简称华龙证券）、</w:t>
      </w:r>
      <w:r>
        <w:rPr>
          <w:spacing w:val="-75"/>
        </w:rPr>
        <w:t> </w:t>
      </w:r>
      <w:r>
        <w:rPr>
          <w:spacing w:val="-75"/>
        </w:rPr>
      </w:r>
      <w:r>
        <w:rPr>
          <w:spacing w:val="-5"/>
        </w:rPr>
        <w:t>浙银天虹共同投资设立杭州通锐投资合伙企业（有限合伙）。该投资基金以有限合伙的形式设立，总认缴出资额为人民币</w:t>
      </w:r>
      <w:r>
        <w:rPr>
          <w:rFonts w:ascii="宋体" w:hAnsi="宋体" w:cs="宋体" w:eastAsia="宋体" w:hint="default"/>
          <w:spacing w:val="-5"/>
        </w:rPr>
        <w:t>120,</w:t>
      </w:r>
      <w:r>
        <w:rPr>
          <w:rFonts w:ascii="宋体" w:hAnsi="宋体" w:cs="宋体" w:eastAsia="宋体" w:hint="default"/>
          <w:spacing w:val="-67"/>
        </w:rPr>
        <w:t> </w:t>
      </w:r>
      <w:r>
        <w:rPr>
          <w:rFonts w:ascii="宋体" w:hAnsi="宋体" w:cs="宋体" w:eastAsia="宋体" w:hint="default"/>
          <w:spacing w:val="-67"/>
        </w:rPr>
      </w:r>
      <w:r>
        <w:rPr>
          <w:rFonts w:ascii="宋体" w:hAnsi="宋体" w:cs="宋体" w:eastAsia="宋体" w:hint="default"/>
        </w:rPr>
        <w:t>001</w:t>
      </w:r>
      <w:r>
        <w:rPr/>
        <w:t>万元。根据本公司与华龙证券签订的《远期收购及差额补足协议》约定，本公司对优先级有限合伙人华龙证券在投资期 </w:t>
      </w:r>
      <w:r>
        <w:rPr>
          <w:spacing w:val="-2"/>
        </w:rPr>
        <w:t>间的预期投资收益及实缴出资额负有回购及差额补足的义务。回购及差额补足属于实质意义上的担保行为，公司为华龙证券</w:t>
      </w:r>
      <w:r>
        <w:rPr>
          <w:spacing w:val="-64"/>
        </w:rPr>
        <w:t> </w:t>
      </w:r>
      <w:r>
        <w:rPr>
          <w:spacing w:val="-64"/>
        </w:rPr>
      </w:r>
      <w:r>
        <w:rPr/>
        <w:t>提供担保的金额预计不超过</w:t>
      </w:r>
      <w:r>
        <w:rPr>
          <w:rFonts w:ascii="宋体" w:hAnsi="宋体" w:cs="宋体" w:eastAsia="宋体" w:hint="default"/>
        </w:rPr>
        <w:t>110,100</w:t>
      </w:r>
      <w:r>
        <w:rPr/>
        <w:t>万元。青岛亚星为本公司控股股东，根据《深圳证券交易所股票上市规则》规定，上述</w:t>
      </w:r>
    </w:p>
    <w:p>
      <w:pPr>
        <w:spacing w:after="0" w:line="316" w:lineRule="auto"/>
        <w:jc w:val="left"/>
        <w:sectPr>
          <w:pgSz w:w="11910" w:h="16840"/>
          <w:pgMar w:header="906" w:footer="1021" w:top="1100" w:bottom="1220" w:left="1020" w:right="0"/>
        </w:sectPr>
      </w:pPr>
    </w:p>
    <w:p>
      <w:pPr>
        <w:spacing w:line="240" w:lineRule="auto" w:before="10"/>
        <w:rPr>
          <w:rFonts w:ascii="宋体" w:hAnsi="宋体" w:cs="宋体" w:eastAsia="宋体" w:hint="default"/>
          <w:sz w:val="22"/>
          <w:szCs w:val="22"/>
        </w:rPr>
      </w:pPr>
    </w:p>
    <w:p>
      <w:pPr>
        <w:pStyle w:val="BodyText"/>
        <w:spacing w:line="319" w:lineRule="auto"/>
        <w:ind w:right="1123"/>
        <w:jc w:val="left"/>
      </w:pPr>
      <w:r>
        <w:rPr/>
        <w:t>担保构成关联担</w:t>
      </w:r>
      <w:r>
        <w:rPr>
          <w:spacing w:val="1"/>
        </w:rPr>
        <w:t> </w:t>
      </w:r>
      <w:r>
        <w:rPr/>
        <w:t>保。本次担保由公司实际控制人姜剑先生以其间接持有的青岛亚星股权提供反担保。本次关联担保业经公</w:t>
      </w:r>
      <w:r>
        <w:rPr/>
        <w:t> 司</w:t>
      </w:r>
      <w:r>
        <w:rPr>
          <w:rFonts w:ascii="宋体" w:hAnsi="宋体" w:cs="宋体" w:eastAsia="宋体" w:hint="default"/>
        </w:rPr>
        <w:t>2017</w:t>
      </w:r>
      <w:r>
        <w:rPr/>
        <w:t>年</w:t>
      </w:r>
      <w:r>
        <w:rPr>
          <w:rFonts w:ascii="宋体" w:hAnsi="宋体" w:cs="宋体" w:eastAsia="宋体" w:hint="default"/>
        </w:rPr>
        <w:t>9</w:t>
      </w:r>
      <w:r>
        <w:rPr/>
        <w:t>月</w:t>
      </w:r>
      <w:r>
        <w:rPr>
          <w:rFonts w:ascii="宋体" w:hAnsi="宋体" w:cs="宋体" w:eastAsia="宋体" w:hint="default"/>
        </w:rPr>
        <w:t>11</w:t>
      </w:r>
      <w:r>
        <w:rPr/>
        <w:t>日第四次临时股东大会审议通过。</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37"/>
        <w:ind w:right="986"/>
        <w:jc w:val="left"/>
        <w:rPr>
          <w:b w:val="0"/>
          <w:bCs w:val="0"/>
        </w:rPr>
      </w:pPr>
      <w:bookmarkStart w:name="（5）关联方资金拆借" w:id="487"/>
      <w:bookmarkEnd w:id="487"/>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3"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6）关联方资产转让、债务重组情况" w:id="488"/>
      <w:bookmarkEnd w:id="488"/>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0"/>
        <w:gridCol w:w="2393"/>
        <w:gridCol w:w="2393"/>
        <w:gridCol w:w="2393"/>
      </w:tblGrid>
      <w:tr>
        <w:trPr>
          <w:trHeight w:val="403"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7）关键管理人员报酬" w:id="489"/>
      <w:bookmarkEnd w:id="489"/>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关键管理人员人数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23.00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7"/>
              <w:jc w:val="right"/>
              <w:rPr>
                <w:rFonts w:ascii="Times New Roman" w:hAnsi="Times New Roman" w:cs="Times New Roman" w:eastAsia="Times New Roman" w:hint="default"/>
                <w:sz w:val="18"/>
                <w:szCs w:val="18"/>
              </w:rPr>
            </w:pPr>
            <w:r>
              <w:rPr>
                <w:rFonts w:ascii="Times New Roman"/>
                <w:sz w:val="18"/>
              </w:rPr>
              <w:t>20.00</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在本公司领取报酬人数</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16.00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17.00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报酬总额</w:t>
            </w:r>
            <w:r>
              <w:rPr>
                <w:rFonts w:ascii="Times New Roman" w:hAnsi="Times New Roman" w:cs="Times New Roman" w:eastAsia="Times New Roman" w:hint="default"/>
                <w:sz w:val="18"/>
                <w:szCs w:val="18"/>
              </w:rPr>
              <w:t>(</w:t>
            </w:r>
            <w:r>
              <w:rPr>
                <w:rFonts w:ascii="宋体" w:hAnsi="宋体" w:cs="宋体" w:eastAsia="宋体" w:hint="default"/>
                <w:sz w:val="18"/>
                <w:szCs w:val="18"/>
              </w:rPr>
              <w:t>万元</w:t>
            </w:r>
            <w:r>
              <w:rPr>
                <w:rFonts w:ascii="Times New Roman" w:hAnsi="Times New Roman" w:cs="Times New Roman" w:eastAsia="Times New Roman" w:hint="default"/>
                <w:sz w:val="18"/>
                <w:szCs w:val="18"/>
              </w:rPr>
              <w:t>)</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332.38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426.76</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8）其他关联交易" w:id="490"/>
      <w:bookmarkEnd w:id="490"/>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6、关联方应收应付款项" w:id="491"/>
      <w:bookmarkEnd w:id="491"/>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1）应收项目" w:id="492"/>
      <w:bookmarkEnd w:id="492"/>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03" w:right="219"/>
              <w:jc w:val="left"/>
              <w:rPr>
                <w:rFonts w:ascii="宋体" w:hAnsi="宋体" w:cs="宋体" w:eastAsia="宋体" w:hint="default"/>
                <w:sz w:val="18"/>
                <w:szCs w:val="18"/>
              </w:rPr>
            </w:pPr>
            <w:r>
              <w:rPr>
                <w:rFonts w:ascii="宋体" w:hAnsi="宋体" w:cs="宋体" w:eastAsia="宋体" w:hint="default"/>
                <w:sz w:val="18"/>
                <w:szCs w:val="18"/>
              </w:rPr>
              <w:t>云南华云金鑫生 物科技有限公司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10,096,944.44</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left"/>
              <w:rPr>
                <w:rFonts w:ascii="宋体" w:hAnsi="宋体" w:cs="宋体" w:eastAsia="宋体" w:hint="default"/>
                <w:sz w:val="18"/>
                <w:szCs w:val="18"/>
              </w:rPr>
            </w:pPr>
            <w:r>
              <w:rPr>
                <w:rFonts w:ascii="宋体" w:hAnsi="宋体" w:cs="宋体" w:eastAsia="宋体" w:hint="default"/>
                <w:sz w:val="18"/>
                <w:szCs w:val="18"/>
              </w:rPr>
              <w:t>宾川鼎颐农业科 技有限公司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53,780,000.00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莫茏</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37,736,000.00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9"/>
              <w:jc w:val="left"/>
              <w:rPr>
                <w:rFonts w:ascii="宋体" w:hAnsi="宋体" w:cs="宋体" w:eastAsia="宋体" w:hint="default"/>
                <w:sz w:val="18"/>
                <w:szCs w:val="18"/>
              </w:rPr>
            </w:pPr>
            <w:r>
              <w:rPr>
                <w:rFonts w:ascii="宋体" w:hAnsi="宋体" w:cs="宋体" w:eastAsia="宋体" w:hint="default"/>
                <w:sz w:val="18"/>
                <w:szCs w:val="18"/>
              </w:rPr>
              <w:t>青岛亚星置业有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202,000.00</w:t>
            </w: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19"/>
              <w:jc w:val="left"/>
              <w:rPr>
                <w:rFonts w:ascii="宋体" w:hAnsi="宋体" w:cs="宋体" w:eastAsia="宋体" w:hint="default"/>
                <w:sz w:val="18"/>
                <w:szCs w:val="18"/>
              </w:rPr>
            </w:pPr>
            <w:r>
              <w:rPr>
                <w:rFonts w:ascii="宋体" w:hAnsi="宋体" w:cs="宋体" w:eastAsia="宋体" w:hint="default"/>
                <w:sz w:val="18"/>
                <w:szCs w:val="18"/>
              </w:rPr>
              <w:t>青岛亚星实业有 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9" w:right="0"/>
              <w:jc w:val="left"/>
              <w:rPr>
                <w:rFonts w:ascii="Times New Roman" w:hAnsi="Times New Roman" w:cs="Times New Roman" w:eastAsia="Times New Roman" w:hint="default"/>
                <w:sz w:val="18"/>
                <w:szCs w:val="18"/>
              </w:rPr>
            </w:pPr>
            <w:r>
              <w:rPr>
                <w:rFonts w:ascii="Times New Roman"/>
                <w:sz w:val="18"/>
              </w:rPr>
              <w:t>5,000.00</w:t>
            </w: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应付项目" w:id="493"/>
      <w:bookmarkEnd w:id="493"/>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391"/>
        <w:gridCol w:w="2393"/>
        <w:gridCol w:w="2393"/>
        <w:gridCol w:w="2393"/>
      </w:tblGrid>
      <w:tr>
        <w:trPr>
          <w:trHeight w:val="401"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青岛亚星实业有限公司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388,188.45</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5" w:right="0"/>
              <w:jc w:val="left"/>
              <w:rPr>
                <w:rFonts w:ascii="宋体" w:hAnsi="宋体" w:cs="宋体" w:eastAsia="宋体" w:hint="default"/>
                <w:sz w:val="18"/>
                <w:szCs w:val="18"/>
              </w:rPr>
            </w:pPr>
            <w:r>
              <w:rPr>
                <w:rFonts w:ascii="宋体" w:hAnsi="宋体" w:cs="宋体" w:eastAsia="宋体" w:hint="default"/>
                <w:sz w:val="18"/>
                <w:szCs w:val="18"/>
              </w:rPr>
              <w:t>青岛亚星置业有限公司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92,700.00</w:t>
            </w: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5" w:right="0"/>
              <w:jc w:val="left"/>
              <w:rPr>
                <w:rFonts w:ascii="宋体" w:hAnsi="宋体" w:cs="宋体" w:eastAsia="宋体" w:hint="default"/>
                <w:sz w:val="18"/>
                <w:szCs w:val="18"/>
              </w:rPr>
            </w:pPr>
            <w:r>
              <w:rPr>
                <w:rFonts w:ascii="宋体" w:hAnsi="宋体" w:cs="宋体" w:eastAsia="宋体" w:hint="default"/>
                <w:sz w:val="18"/>
                <w:szCs w:val="18"/>
              </w:rPr>
              <w:t>青岛广顺房地产有限公司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992,197.58</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334" w:right="0"/>
              <w:jc w:val="left"/>
              <w:rPr>
                <w:rFonts w:ascii="Times New Roman" w:hAnsi="Times New Roman" w:cs="Times New Roman" w:eastAsia="Times New Roman" w:hint="default"/>
                <w:sz w:val="18"/>
                <w:szCs w:val="18"/>
              </w:rPr>
            </w:pPr>
            <w:r>
              <w:rPr>
                <w:rFonts w:ascii="Times New Roman"/>
                <w:sz w:val="18"/>
              </w:rPr>
              <w:t>1,060,823.58</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7、关联方承诺" w:id="494"/>
      <w:bookmarkEnd w:id="494"/>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8752" w:firstLine="0"/>
        <w:jc w:val="left"/>
        <w:rPr>
          <w:rFonts w:ascii="宋体" w:hAnsi="宋体" w:cs="宋体" w:eastAsia="宋体" w:hint="default"/>
          <w:sz w:val="21"/>
          <w:szCs w:val="21"/>
        </w:rPr>
      </w:pPr>
      <w:bookmarkStart w:name="8、其他" w:id="495"/>
      <w:bookmarkEnd w:id="495"/>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三、股份支付" w:id="496"/>
      <w:bookmarkEnd w:id="496"/>
      <w:r>
        <w:rPr>
          <w:rFonts w:ascii="宋体" w:hAnsi="宋体" w:cs="宋体" w:eastAsia="宋体" w:hint="default"/>
          <w:b/>
          <w:bCs/>
          <w:w w:val="100"/>
          <w:sz w:val="21"/>
          <w:szCs w:val="21"/>
        </w:rPr>
      </w:r>
      <w:r>
        <w:rPr>
          <w:rFonts w:ascii="宋体" w:hAnsi="宋体" w:cs="宋体" w:eastAsia="宋体" w:hint="default"/>
          <w:b/>
          <w:bCs/>
          <w:sz w:val="24"/>
          <w:szCs w:val="24"/>
        </w:rPr>
        <w:t>十三、股份支付</w:t>
      </w:r>
      <w:r>
        <w:rPr>
          <w:rFonts w:ascii="宋体" w:hAnsi="宋体" w:cs="宋体" w:eastAsia="宋体" w:hint="default"/>
          <w:b/>
          <w:bCs/>
          <w:w w:val="99"/>
          <w:sz w:val="24"/>
          <w:szCs w:val="24"/>
        </w:rPr>
        <w:t> </w:t>
      </w:r>
      <w:bookmarkStart w:name="1、股份支付总体情况" w:id="497"/>
      <w:bookmarkEnd w:id="49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2"/>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以权益结算的股份支付情况" w:id="498"/>
      <w:bookmarkEnd w:id="498"/>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以现金结算的股份支付情况" w:id="499"/>
      <w:bookmarkEnd w:id="499"/>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4、股份支付的修改、终止情况" w:id="500"/>
      <w:bookmarkEnd w:id="500"/>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8345" w:firstLine="0"/>
        <w:jc w:val="left"/>
        <w:rPr>
          <w:rFonts w:ascii="宋体" w:hAnsi="宋体" w:cs="宋体" w:eastAsia="宋体" w:hint="default"/>
          <w:sz w:val="21"/>
          <w:szCs w:val="21"/>
        </w:rPr>
      </w:pPr>
      <w:bookmarkStart w:name="5、其他" w:id="501"/>
      <w:bookmarkEnd w:id="501"/>
      <w:r>
        <w:rPr/>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四、承诺及或有事项" w:id="502"/>
      <w:bookmarkEnd w:id="502"/>
      <w:r>
        <w:rPr>
          <w:rFonts w:ascii="宋体" w:hAnsi="宋体" w:cs="宋体" w:eastAsia="宋体" w:hint="default"/>
          <w:b/>
          <w:bCs/>
          <w:w w:val="100"/>
          <w:sz w:val="21"/>
          <w:szCs w:val="21"/>
        </w:rPr>
      </w:r>
      <w:r>
        <w:rPr>
          <w:rFonts w:ascii="宋体" w:hAnsi="宋体" w:cs="宋体" w:eastAsia="宋体" w:hint="default"/>
          <w:b/>
          <w:bCs/>
          <w:sz w:val="24"/>
          <w:szCs w:val="24"/>
        </w:rPr>
        <w:t>十四、承诺及或有事项</w:t>
      </w:r>
      <w:r>
        <w:rPr>
          <w:rFonts w:ascii="宋体" w:hAnsi="宋体" w:cs="宋体" w:eastAsia="宋体" w:hint="default"/>
          <w:b/>
          <w:bCs/>
          <w:w w:val="99"/>
          <w:sz w:val="24"/>
          <w:szCs w:val="24"/>
        </w:rPr>
        <w:t> </w:t>
      </w:r>
      <w:bookmarkStart w:name="1、重要承诺事项" w:id="503"/>
      <w:bookmarkEnd w:id="503"/>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60" w:lineRule="auto" w:before="102"/>
        <w:ind w:right="6794"/>
        <w:jc w:val="left"/>
      </w:pPr>
      <w:r>
        <w:rPr/>
        <w:t>资产负债表日存在的重要承诺 详见第五节第三“承诺事项履行情况”有关内容。</w:t>
      </w:r>
    </w:p>
    <w:p>
      <w:pPr>
        <w:spacing w:after="0" w:line="36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2、或有事项" w:id="504"/>
      <w:bookmarkEnd w:id="504"/>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资产负债表日存在的重要或有事项" w:id="505"/>
      <w:bookmarkEnd w:id="505"/>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18"/>
        <w:jc w:val="left"/>
      </w:pPr>
      <w:r>
        <w:rPr/>
        <w:t>（</w:t>
      </w:r>
      <w:r>
        <w:rPr>
          <w:rFonts w:ascii="宋体" w:hAnsi="宋体" w:cs="宋体" w:eastAsia="宋体" w:hint="default"/>
        </w:rPr>
        <w:t>1</w:t>
      </w:r>
      <w:r>
        <w:rPr/>
        <w:t>）未决诉讼仲裁形成的或有负债及其财务影响 </w:t>
      </w:r>
      <w:r>
        <w:rPr>
          <w:rFonts w:ascii="宋体" w:hAnsi="宋体" w:cs="宋体" w:eastAsia="宋体" w:hint="default"/>
          <w:spacing w:val="-3"/>
        </w:rPr>
        <w:t>A</w:t>
      </w:r>
      <w:r>
        <w:rPr>
          <w:spacing w:val="-3"/>
        </w:rPr>
        <w:t>、</w:t>
      </w:r>
      <w:r>
        <w:rPr>
          <w:rFonts w:ascii="宋体" w:hAnsi="宋体" w:cs="宋体" w:eastAsia="宋体" w:hint="default"/>
          <w:spacing w:val="-3"/>
        </w:rPr>
        <w:t>2017</w:t>
      </w:r>
      <w:r>
        <w:rPr>
          <w:spacing w:val="-3"/>
        </w:rPr>
        <w:t>年</w:t>
      </w:r>
      <w:r>
        <w:rPr>
          <w:rFonts w:ascii="宋体" w:hAnsi="宋体" w:cs="宋体" w:eastAsia="宋体" w:hint="default"/>
          <w:spacing w:val="-3"/>
        </w:rPr>
        <w:t>7</w:t>
      </w:r>
      <w:r>
        <w:rPr>
          <w:spacing w:val="-3"/>
        </w:rPr>
        <w:t>月山东省金融资产管理股份有限公司与苏州大通智远投资有限公司、青岛亚星实业有限公司就共同设立并购基金</w:t>
      </w:r>
      <w:r>
        <w:rPr>
          <w:rFonts w:ascii="宋体" w:hAnsi="宋体" w:cs="宋体" w:eastAsia="宋体" w:hint="default"/>
          <w:spacing w:val="-3"/>
        </w:rPr>
        <w:t>,</w:t>
      </w:r>
      <w:r>
        <w:rPr>
          <w:rFonts w:ascii="宋体" w:hAnsi="宋体" w:cs="宋体" w:eastAsia="宋体" w:hint="default"/>
        </w:rPr>
        <w:t> </w:t>
      </w:r>
      <w:r>
        <w:rPr>
          <w:spacing w:val="-2"/>
        </w:rPr>
        <w:t>并通过该基金投资南京大通企业孵化器管理有限公司等事宜签署《苏州大通箐鹰投资合伙企业（有限合伙）之合伙协议》。</w:t>
      </w:r>
      <w:r>
        <w:rPr>
          <w:spacing w:val="-71"/>
        </w:rPr>
        <w:t> </w:t>
      </w:r>
      <w:r>
        <w:rPr>
          <w:spacing w:val="-71"/>
        </w:rPr>
      </w:r>
      <w:r>
        <w:rPr>
          <w:spacing w:val="-4"/>
        </w:rPr>
        <w:t>公司与山东省金融资产管理股份有限公司签署《差额补足协议》。</w:t>
      </w:r>
      <w:r>
        <w:rPr>
          <w:rFonts w:ascii="宋体" w:hAnsi="宋体" w:cs="宋体" w:eastAsia="宋体" w:hint="default"/>
          <w:spacing w:val="-4"/>
        </w:rPr>
        <w:t>2019</w:t>
      </w:r>
      <w:r>
        <w:rPr>
          <w:spacing w:val="-4"/>
        </w:rPr>
        <w:t>年</w:t>
      </w:r>
      <w:r>
        <w:rPr>
          <w:rFonts w:ascii="宋体" w:hAnsi="宋体" w:cs="宋体" w:eastAsia="宋体" w:hint="default"/>
          <w:spacing w:val="-4"/>
        </w:rPr>
        <w:t>7</w:t>
      </w:r>
      <w:r>
        <w:rPr>
          <w:spacing w:val="-4"/>
        </w:rPr>
        <w:t>月</w:t>
      </w:r>
      <w:r>
        <w:rPr>
          <w:rFonts w:ascii="宋体" w:hAnsi="宋体" w:cs="宋体" w:eastAsia="宋体" w:hint="default"/>
          <w:spacing w:val="-4"/>
        </w:rPr>
        <w:t>25</w:t>
      </w:r>
      <w:r>
        <w:rPr>
          <w:spacing w:val="-4"/>
        </w:rPr>
        <w:t>日，山东省金融资产管理股份有限公司向山东</w:t>
      </w:r>
      <w:r>
        <w:rPr>
          <w:spacing w:val="-35"/>
        </w:rPr>
        <w:t> </w:t>
      </w:r>
      <w:r>
        <w:rPr>
          <w:spacing w:val="-35"/>
        </w:rPr>
      </w:r>
      <w:r>
        <w:rPr>
          <w:spacing w:val="-2"/>
        </w:rPr>
        <w:t>省青岛市中级人民法院提起诉讼，要求本公司就对确定的被告苏州大通箐鹰投资合伙企业（有限合伙）债务承担补充清偿责</w:t>
      </w:r>
      <w:r>
        <w:rPr>
          <w:spacing w:val="-66"/>
        </w:rPr>
        <w:t> </w:t>
      </w:r>
      <w:r>
        <w:rPr>
          <w:spacing w:val="-66"/>
        </w:rPr>
      </w:r>
      <w:r>
        <w:rPr/>
        <w:t>任。以上诉讼请求金额合计 </w:t>
      </w:r>
      <w:r>
        <w:rPr>
          <w:rFonts w:ascii="宋体" w:hAnsi="宋体" w:cs="宋体" w:eastAsia="宋体" w:hint="default"/>
        </w:rPr>
        <w:t>30,317.77</w:t>
      </w:r>
      <w:r>
        <w:rPr>
          <w:rFonts w:ascii="宋体" w:hAnsi="宋体" w:cs="宋体" w:eastAsia="宋体" w:hint="default"/>
          <w:spacing w:val="-2"/>
        </w:rPr>
        <w:t> </w:t>
      </w:r>
      <w:r>
        <w:rPr/>
        <w:t>万元。山东省金融资产管理股份有限公司通过诉讼保全冻结了公司部分资金账户， 合计金额 </w:t>
      </w:r>
      <w:r>
        <w:rPr>
          <w:rFonts w:ascii="宋体" w:hAnsi="宋体" w:cs="宋体" w:eastAsia="宋体" w:hint="default"/>
        </w:rPr>
        <w:t>32,971</w:t>
      </w:r>
      <w:r>
        <w:rPr/>
        <w:t>万元。截至报告日该案尚未开庭审理。 </w:t>
      </w:r>
      <w:r>
        <w:rPr>
          <w:rFonts w:ascii="宋体" w:hAnsi="宋体" w:cs="宋体" w:eastAsia="宋体" w:hint="default"/>
          <w:spacing w:val="-5"/>
        </w:rPr>
        <w:t>B</w:t>
      </w:r>
      <w:r>
        <w:rPr>
          <w:spacing w:val="-5"/>
        </w:rPr>
        <w:t>、公司</w:t>
      </w:r>
      <w:r>
        <w:rPr>
          <w:rFonts w:ascii="宋体" w:hAnsi="宋体" w:cs="宋体" w:eastAsia="宋体" w:hint="default"/>
          <w:spacing w:val="-5"/>
        </w:rPr>
        <w:t>2019</w:t>
      </w:r>
      <w:r>
        <w:rPr>
          <w:spacing w:val="-5"/>
        </w:rPr>
        <w:t>年</w:t>
      </w:r>
      <w:r>
        <w:rPr>
          <w:rFonts w:ascii="宋体" w:hAnsi="宋体" w:cs="宋体" w:eastAsia="宋体" w:hint="default"/>
          <w:spacing w:val="-5"/>
        </w:rPr>
        <w:t>5</w:t>
      </w:r>
      <w:r>
        <w:rPr>
          <w:spacing w:val="-5"/>
        </w:rPr>
        <w:t>月</w:t>
      </w:r>
      <w:r>
        <w:rPr>
          <w:rFonts w:ascii="宋体" w:hAnsi="宋体" w:cs="宋体" w:eastAsia="宋体" w:hint="default"/>
          <w:spacing w:val="-5"/>
        </w:rPr>
        <w:t>14</w:t>
      </w:r>
      <w:r>
        <w:rPr>
          <w:spacing w:val="-5"/>
        </w:rPr>
        <w:t>号起诉曹林芳、李勇、莫清雅，申请被告向深大通公司连带支付冉十北京业绩承诺补偿金</w:t>
      </w:r>
      <w:r>
        <w:rPr>
          <w:rFonts w:ascii="宋体" w:hAnsi="宋体" w:cs="宋体" w:eastAsia="宋体" w:hint="default"/>
          <w:spacing w:val="-5"/>
        </w:rPr>
        <w:t>2,178.21</w:t>
      </w:r>
      <w:r>
        <w:rPr>
          <w:spacing w:val="-5"/>
        </w:rPr>
        <w:t>万元；</w:t>
      </w:r>
      <w:r>
        <w:rPr>
          <w:spacing w:val="-45"/>
        </w:rPr>
        <w:t> </w:t>
      </w:r>
      <w:r>
        <w:rPr>
          <w:spacing w:val="-45"/>
        </w:rPr>
      </w:r>
      <w:r>
        <w:rPr>
          <w:spacing w:val="-2"/>
        </w:rPr>
        <w:t>申请判令被告向深大通公司连带支付应收账款和资产减值补偿人民币</w:t>
      </w:r>
      <w:r>
        <w:rPr>
          <w:rFonts w:ascii="宋体" w:hAnsi="宋体" w:cs="宋体" w:eastAsia="宋体" w:hint="default"/>
          <w:spacing w:val="-2"/>
        </w:rPr>
        <w:t>18,000</w:t>
      </w:r>
      <w:r>
        <w:rPr>
          <w:spacing w:val="-2"/>
        </w:rPr>
        <w:t>万元；公司向曹建发提起诉讼，申请判令被告曹</w:t>
      </w:r>
      <w:r>
        <w:rPr>
          <w:spacing w:val="-60"/>
        </w:rPr>
        <w:t> </w:t>
      </w:r>
      <w:r>
        <w:rPr>
          <w:spacing w:val="-60"/>
        </w:rPr>
      </w:r>
      <w:r>
        <w:rPr/>
        <w:t>建发对曹林芳在上述诉讼请求中的债务承担连带责任，已采取保全措施，截至报告日该案尚未开庭审理。 </w:t>
      </w:r>
      <w:r>
        <w:rPr>
          <w:rFonts w:ascii="宋体" w:hAnsi="宋体" w:cs="宋体" w:eastAsia="宋体" w:hint="default"/>
          <w:spacing w:val="-2"/>
        </w:rPr>
        <w:t>C</w:t>
      </w:r>
      <w:r>
        <w:rPr>
          <w:spacing w:val="-2"/>
        </w:rPr>
        <w:t>、公司</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14</w:t>
      </w:r>
      <w:r>
        <w:rPr>
          <w:spacing w:val="-2"/>
        </w:rPr>
        <w:t>号起诉夏东明、朱兰英、罗承、修涞贵、蒋纪平、黄艳红、龚莉蓉、杭州淳安嘉源企业管理咨询有限公</w:t>
      </w:r>
      <w:r>
        <w:rPr>
          <w:spacing w:val="-64"/>
        </w:rPr>
        <w:t> </w:t>
      </w:r>
      <w:r>
        <w:rPr>
          <w:spacing w:val="-64"/>
        </w:rPr>
      </w:r>
      <w:r>
        <w:rPr>
          <w:spacing w:val="-2"/>
        </w:rPr>
        <w:t>司，申请判令被告向深大通公司支付视科传媒应收账款承诺补偿金</w:t>
      </w:r>
      <w:r>
        <w:rPr>
          <w:rFonts w:ascii="宋体" w:hAnsi="宋体" w:cs="宋体" w:eastAsia="宋体" w:hint="default"/>
          <w:spacing w:val="-2"/>
        </w:rPr>
        <w:t>20,000</w:t>
      </w:r>
      <w:r>
        <w:rPr>
          <w:spacing w:val="-2"/>
        </w:rPr>
        <w:t>万元；公司起诉天津天和福远投资有限公司申请判</w:t>
      </w:r>
      <w:r>
        <w:rPr>
          <w:spacing w:val="-60"/>
        </w:rPr>
        <w:t> </w:t>
      </w:r>
      <w:r>
        <w:rPr>
          <w:spacing w:val="-60"/>
        </w:rPr>
      </w:r>
      <w:r>
        <w:rPr/>
        <w:t>令被告对夏东明、罗承、宁波华夏嘉源管理咨询有限公司应承担款项承担连带清偿责任。截至报告日该案尚未开庭审理。 </w:t>
      </w:r>
      <w:r>
        <w:rPr>
          <w:rFonts w:ascii="宋体" w:hAnsi="宋体" w:cs="宋体" w:eastAsia="宋体" w:hint="default"/>
          <w:spacing w:val="-2"/>
        </w:rPr>
        <w:t>D</w:t>
      </w:r>
      <w:r>
        <w:rPr>
          <w:spacing w:val="-2"/>
        </w:rPr>
        <w:t>、公司</w:t>
      </w:r>
      <w:r>
        <w:rPr>
          <w:rFonts w:ascii="宋体" w:hAnsi="宋体" w:cs="宋体" w:eastAsia="宋体" w:hint="default"/>
          <w:spacing w:val="-2"/>
        </w:rPr>
        <w:t>2019</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14</w:t>
      </w:r>
      <w:r>
        <w:rPr>
          <w:spacing w:val="-2"/>
        </w:rPr>
        <w:t>号起诉夏东明、朱兰英、罗承、修涞贵、蒋纪平、黄艳红、龚莉蓉、杭州淳安嘉源企业管理咨询有限公</w:t>
      </w:r>
      <w:r>
        <w:rPr>
          <w:spacing w:val="-64"/>
        </w:rPr>
        <w:t> </w:t>
      </w:r>
      <w:r>
        <w:rPr>
          <w:spacing w:val="-64"/>
        </w:rPr>
      </w:r>
      <w:r>
        <w:rPr>
          <w:spacing w:val="-2"/>
        </w:rPr>
        <w:t>司，申请判令被告向深大通公司支付视科传媒业绩承诺补偿金</w:t>
      </w:r>
      <w:r>
        <w:rPr>
          <w:rFonts w:ascii="宋体" w:hAnsi="宋体" w:cs="宋体" w:eastAsia="宋体" w:hint="default"/>
          <w:spacing w:val="-2"/>
        </w:rPr>
        <w:t>19,553</w:t>
      </w:r>
      <w:r>
        <w:rPr>
          <w:spacing w:val="-2"/>
        </w:rPr>
        <w:t>万元；公司起诉天津天和福远投资有限公司，申请判令</w:t>
      </w:r>
      <w:r>
        <w:rPr>
          <w:spacing w:val="-58"/>
        </w:rPr>
        <w:t> </w:t>
      </w:r>
      <w:r>
        <w:rPr>
          <w:spacing w:val="-58"/>
        </w:rPr>
      </w:r>
      <w:r>
        <w:rPr>
          <w:spacing w:val="-2"/>
        </w:rPr>
        <w:t>被告对夏东明、罗承、宁波华夏嘉源管理咨询有限公司应付款项承担连带清偿责任。已采取保全措施，截至报告日该案尚未</w:t>
      </w:r>
      <w:r>
        <w:rPr>
          <w:spacing w:val="-64"/>
        </w:rPr>
        <w:t> </w:t>
      </w:r>
      <w:r>
        <w:rPr>
          <w:spacing w:val="-64"/>
        </w:rPr>
      </w:r>
      <w:r>
        <w:rPr/>
        <w:t>开庭审理。</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2）公司没有需要披露的重要或有事项，也应予以说明" w:id="506"/>
      <w:bookmarkEnd w:id="506"/>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624" w:lineRule="exact" w:before="55"/>
        <w:ind w:left="112" w:right="7694" w:firstLine="0"/>
        <w:jc w:val="left"/>
        <w:rPr>
          <w:rFonts w:ascii="宋体" w:hAnsi="宋体" w:cs="宋体" w:eastAsia="宋体" w:hint="default"/>
          <w:sz w:val="24"/>
          <w:szCs w:val="24"/>
        </w:rPr>
      </w:pPr>
      <w:r>
        <w:rPr>
          <w:rFonts w:ascii="宋体" w:hAnsi="宋体" w:cs="宋体" w:eastAsia="宋体" w:hint="default"/>
          <w:sz w:val="18"/>
          <w:szCs w:val="18"/>
        </w:rPr>
        <w:t>公司不存在需要披露的重要或有事项。 </w:t>
      </w:r>
      <w:bookmarkStart w:name="3、其他" w:id="507"/>
      <w:bookmarkEnd w:id="507"/>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五、资产负债表日后事项" w:id="508"/>
      <w:bookmarkEnd w:id="508"/>
      <w:r>
        <w:rPr>
          <w:rFonts w:ascii="宋体" w:hAnsi="宋体" w:cs="宋体" w:eastAsia="宋体" w:hint="default"/>
          <w:b/>
          <w:bCs/>
          <w:w w:val="100"/>
          <w:sz w:val="21"/>
          <w:szCs w:val="21"/>
        </w:rPr>
      </w:r>
      <w:r>
        <w:rPr>
          <w:rFonts w:ascii="宋体" w:hAnsi="宋体" w:cs="宋体" w:eastAsia="宋体" w:hint="default"/>
          <w:b/>
          <w:bCs/>
          <w:sz w:val="24"/>
          <w:szCs w:val="24"/>
        </w:rPr>
        <w:t>十五、资产负债表日后事项</w:t>
      </w:r>
      <w:r>
        <w:rPr>
          <w:rFonts w:ascii="宋体" w:hAnsi="宋体" w:cs="宋体" w:eastAsia="宋体" w:hint="default"/>
          <w:sz w:val="24"/>
          <w:szCs w:val="24"/>
        </w:rPr>
      </w:r>
    </w:p>
    <w:p>
      <w:pPr>
        <w:spacing w:line="240" w:lineRule="auto" w:before="12"/>
        <w:rPr>
          <w:rFonts w:ascii="宋体" w:hAnsi="宋体" w:cs="宋体" w:eastAsia="宋体" w:hint="default"/>
          <w:b/>
          <w:bCs/>
          <w:sz w:val="17"/>
          <w:szCs w:val="17"/>
        </w:rPr>
      </w:pPr>
    </w:p>
    <w:p>
      <w:pPr>
        <w:pStyle w:val="Heading4"/>
        <w:spacing w:line="240" w:lineRule="auto"/>
        <w:ind w:right="986"/>
        <w:jc w:val="left"/>
        <w:rPr>
          <w:b w:val="0"/>
          <w:bCs w:val="0"/>
        </w:rPr>
      </w:pPr>
      <w:bookmarkStart w:name="1、重要的非调整事项" w:id="509"/>
      <w:bookmarkEnd w:id="509"/>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493"/>
        <w:gridCol w:w="2295"/>
        <w:gridCol w:w="2391"/>
        <w:gridCol w:w="2391"/>
      </w:tblGrid>
      <w:tr>
        <w:trPr>
          <w:trHeight w:val="714" w:hRule="exact"/>
        </w:trPr>
        <w:tc>
          <w:tcPr>
            <w:tcW w:w="24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08"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4"/>
        <w:rPr>
          <w:rFonts w:ascii="宋体" w:hAnsi="宋体" w:cs="宋体" w:eastAsia="宋体" w:hint="default"/>
          <w:sz w:val="19"/>
          <w:szCs w:val="19"/>
        </w:rPr>
      </w:pPr>
    </w:p>
    <w:p>
      <w:pPr>
        <w:pStyle w:val="Heading4"/>
        <w:spacing w:line="240" w:lineRule="auto" w:before="36"/>
        <w:ind w:right="986"/>
        <w:jc w:val="left"/>
        <w:rPr>
          <w:b w:val="0"/>
          <w:bCs w:val="0"/>
        </w:rPr>
      </w:pPr>
      <w:bookmarkStart w:name="2、利润分配情况" w:id="510"/>
      <w:bookmarkEnd w:id="510"/>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3、销售退回" w:id="511"/>
      <w:bookmarkEnd w:id="511"/>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10"/>
        <w:rPr>
          <w:rFonts w:ascii="宋体" w:hAnsi="宋体" w:cs="宋体" w:eastAsia="宋体" w:hint="default"/>
          <w:b/>
          <w:bCs/>
          <w:sz w:val="24"/>
          <w:szCs w:val="24"/>
        </w:rPr>
      </w:pPr>
    </w:p>
    <w:p>
      <w:pPr>
        <w:spacing w:line="487" w:lineRule="auto" w:before="0"/>
        <w:ind w:left="112" w:right="7712" w:firstLine="0"/>
        <w:jc w:val="left"/>
        <w:rPr>
          <w:rFonts w:ascii="宋体" w:hAnsi="宋体" w:cs="宋体" w:eastAsia="宋体" w:hint="default"/>
          <w:sz w:val="21"/>
          <w:szCs w:val="21"/>
        </w:rPr>
      </w:pPr>
      <w:bookmarkStart w:name="4、其他资产负债表日后事项说明" w:id="512"/>
      <w:bookmarkEnd w:id="512"/>
      <w:r>
        <w:rPr/>
      </w:r>
      <w:r>
        <w:rPr>
          <w:rFonts w:ascii="Times New Roman" w:hAnsi="Times New Roman" w:cs="Times New Roman" w:eastAsia="Times New Roman" w:hint="default"/>
          <w:b/>
          <w:bCs/>
          <w:spacing w:val="-1"/>
          <w:sz w:val="21"/>
          <w:szCs w:val="21"/>
        </w:rPr>
        <w:t>4</w:t>
      </w:r>
      <w:r>
        <w:rPr>
          <w:rFonts w:ascii="宋体" w:hAnsi="宋体" w:cs="宋体" w:eastAsia="宋体" w:hint="default"/>
          <w:b/>
          <w:bCs/>
          <w:spacing w:val="-1"/>
          <w:sz w:val="21"/>
          <w:szCs w:val="21"/>
        </w:rPr>
        <w:t>、其他资产负债表日后事项说明</w:t>
      </w:r>
      <w:r>
        <w:rPr>
          <w:rFonts w:ascii="宋体" w:hAnsi="宋体" w:cs="宋体" w:eastAsia="宋体" w:hint="default"/>
          <w:b/>
          <w:bCs/>
          <w:spacing w:val="-91"/>
          <w:sz w:val="21"/>
          <w:szCs w:val="21"/>
        </w:rPr>
        <w:t> </w:t>
      </w:r>
      <w:r>
        <w:rPr>
          <w:rFonts w:ascii="宋体" w:hAnsi="宋体" w:cs="宋体" w:eastAsia="宋体" w:hint="default"/>
          <w:b/>
          <w:bCs/>
          <w:spacing w:val="-91"/>
          <w:sz w:val="21"/>
          <w:szCs w:val="21"/>
        </w:rPr>
      </w:r>
      <w:bookmarkStart w:name="十六、其他重要事项" w:id="513"/>
      <w:bookmarkEnd w:id="513"/>
      <w:r>
        <w:rPr>
          <w:rFonts w:ascii="宋体" w:hAnsi="宋体" w:cs="宋体" w:eastAsia="宋体" w:hint="default"/>
          <w:b/>
          <w:bCs/>
          <w:spacing w:val="-91"/>
          <w:sz w:val="21"/>
          <w:szCs w:val="21"/>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514"/>
      <w:bookmarkEnd w:id="514"/>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sz w:val="21"/>
          <w:szCs w:val="21"/>
        </w:rPr>
      </w:r>
    </w:p>
    <w:p>
      <w:pPr>
        <w:pStyle w:val="Heading4"/>
        <w:spacing w:line="240" w:lineRule="auto" w:before="81"/>
        <w:ind w:right="986"/>
        <w:jc w:val="left"/>
        <w:rPr>
          <w:b w:val="0"/>
          <w:bCs w:val="0"/>
        </w:rPr>
      </w:pPr>
      <w:bookmarkStart w:name="（1）追溯重述法" w:id="515"/>
      <w:bookmarkEnd w:id="515"/>
      <w:r>
        <w:rPr>
          <w:b w:val="0"/>
          <w:bCs w:val="0"/>
        </w:rPr>
      </w:r>
      <w:r>
        <w:rPr/>
        <w:t>（</w:t>
      </w:r>
      <w:r>
        <w:rPr>
          <w:rFonts w:ascii="Times New Roman" w:hAnsi="Times New Roman" w:cs="Times New Roman" w:eastAsia="Times New Roman" w:hint="default"/>
        </w:rPr>
        <w:t>1</w:t>
      </w:r>
      <w:r>
        <w:rPr/>
        <w:t>）追溯重述法</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01"/>
        <w:gridCol w:w="1850"/>
        <w:gridCol w:w="3131"/>
        <w:gridCol w:w="1289"/>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35"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处理程序</w:t>
            </w:r>
          </w:p>
        </w:tc>
        <w:tc>
          <w:tcPr>
            <w:tcW w:w="31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0" w:right="0"/>
              <w:jc w:val="left"/>
              <w:rPr>
                <w:rFonts w:ascii="宋体" w:hAnsi="宋体" w:cs="宋体" w:eastAsia="宋体" w:hint="default"/>
                <w:sz w:val="18"/>
                <w:szCs w:val="18"/>
              </w:rPr>
            </w:pPr>
            <w:r>
              <w:rPr>
                <w:rFonts w:ascii="宋体" w:hAnsi="宋体" w:cs="宋体" w:eastAsia="宋体" w:hint="default"/>
                <w:sz w:val="18"/>
                <w:szCs w:val="18"/>
              </w:rPr>
              <w:t>受影响的各个比较期间报表项目名称</w:t>
            </w:r>
          </w:p>
        </w:tc>
        <w:tc>
          <w:tcPr>
            <w:tcW w:w="12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8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258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年合并资产负债表</w:t>
            </w:r>
            <w:r>
              <w:rPr>
                <w:rFonts w:ascii="Times New Roman" w:hAnsi="Times New Roman" w:cs="Times New Roman" w:eastAsia="Times New Roman" w:hint="default"/>
                <w:sz w:val="18"/>
                <w:szCs w:val="18"/>
              </w:rPr>
              <w:t>-  </w:t>
            </w:r>
            <w:r>
              <w:rPr>
                <w:rFonts w:ascii="宋体" w:hAnsi="宋体" w:cs="宋体" w:eastAsia="宋体" w:hint="default"/>
                <w:sz w:val="18"/>
                <w:szCs w:val="18"/>
              </w:rPr>
              <w:t>无形资产</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p>
          <w:p>
            <w:pPr>
              <w:pStyle w:val="TableParagraph"/>
              <w:spacing w:line="240" w:lineRule="auto" w:before="63"/>
              <w:ind w:left="10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-51,267,187.7</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r>
      <w:tr>
        <w:trPr>
          <w:trHeight w:val="2588"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0"/>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97" w:lineRule="auto"/>
              <w:ind w:left="106"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年合并资产负债表</w:t>
            </w:r>
            <w:r>
              <w:rPr>
                <w:rFonts w:ascii="Times New Roman" w:hAnsi="Times New Roman" w:cs="Times New Roman" w:eastAsia="Times New Roman" w:hint="default"/>
                <w:sz w:val="18"/>
                <w:szCs w:val="18"/>
              </w:rPr>
              <w:t>- </w:t>
            </w:r>
            <w:r>
              <w:rPr>
                <w:rFonts w:ascii="宋体" w:hAnsi="宋体" w:cs="宋体" w:eastAsia="宋体" w:hint="default"/>
                <w:sz w:val="18"/>
                <w:szCs w:val="18"/>
              </w:rPr>
              <w:t>商誉</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期末 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-161,423,713.</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70</w:t>
            </w:r>
          </w:p>
        </w:tc>
      </w:tr>
      <w:tr>
        <w:trPr>
          <w:trHeight w:val="258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300" w:lineRule="auto"/>
              <w:ind w:left="106"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年合并资产负债表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非流动资产 合计</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-212,690,901.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41</w:t>
            </w:r>
          </w:p>
        </w:tc>
      </w:tr>
      <w:tr>
        <w:trPr>
          <w:trHeight w:val="2234"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0"/>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316"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5"/>
                <w:szCs w:val="25"/>
              </w:rPr>
            </w:pPr>
          </w:p>
          <w:p>
            <w:pPr>
              <w:pStyle w:val="TableParagraph"/>
              <w:spacing w:line="240" w:lineRule="auto"/>
              <w:ind w:left="1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年合并资产负债表</w:t>
            </w:r>
            <w:r>
              <w:rPr>
                <w:rFonts w:ascii="Times New Roman" w:hAnsi="Times New Roman" w:cs="Times New Roman" w:eastAsia="Times New Roman" w:hint="default"/>
                <w:sz w:val="18"/>
                <w:szCs w:val="18"/>
              </w:rPr>
              <w:t>-  </w:t>
            </w:r>
            <w:r>
              <w:rPr>
                <w:rFonts w:ascii="宋体" w:hAnsi="宋体" w:cs="宋体" w:eastAsia="宋体" w:hint="default"/>
                <w:sz w:val="18"/>
                <w:szCs w:val="18"/>
              </w:rPr>
              <w:t>资产总计</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p>
          <w:p>
            <w:pPr>
              <w:pStyle w:val="TableParagraph"/>
              <w:spacing w:line="240" w:lineRule="auto" w:before="63"/>
              <w:ind w:left="10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100"/>
              <w:jc w:val="right"/>
              <w:rPr>
                <w:rFonts w:ascii="Times New Roman" w:hAnsi="Times New Roman" w:cs="Times New Roman" w:eastAsia="Times New Roman" w:hint="default"/>
                <w:sz w:val="18"/>
                <w:szCs w:val="18"/>
              </w:rPr>
            </w:pPr>
            <w:r>
              <w:rPr>
                <w:rFonts w:ascii="Times New Roman"/>
                <w:spacing w:val="-1"/>
                <w:sz w:val="18"/>
              </w:rPr>
              <w:t>-212,690,901.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41</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301"/>
        <w:gridCol w:w="1850"/>
        <w:gridCol w:w="3131"/>
        <w:gridCol w:w="1289"/>
      </w:tblGrid>
      <w:tr>
        <w:trPr>
          <w:trHeight w:val="36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
        </w:tc>
        <w:tc>
          <w:tcPr>
            <w:tcW w:w="313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106"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年合并资产负债表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递延所得税 负债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-12,784,603.6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r>
      <w:tr>
        <w:trPr>
          <w:trHeight w:val="2588"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106"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年合并资产负债表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非流动负债 合计</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-12,784,603.6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r>
      <w:tr>
        <w:trPr>
          <w:trHeight w:val="258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年合并资产负债表</w:t>
            </w:r>
            <w:r>
              <w:rPr>
                <w:rFonts w:ascii="Times New Roman" w:hAnsi="Times New Roman" w:cs="Times New Roman" w:eastAsia="Times New Roman" w:hint="default"/>
                <w:sz w:val="18"/>
                <w:szCs w:val="18"/>
              </w:rPr>
              <w:t>-  </w:t>
            </w:r>
            <w:r>
              <w:rPr>
                <w:rFonts w:ascii="宋体" w:hAnsi="宋体" w:cs="宋体" w:eastAsia="宋体" w:hint="default"/>
                <w:sz w:val="18"/>
                <w:szCs w:val="18"/>
              </w:rPr>
              <w:t>负债合计</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p>
          <w:p>
            <w:pPr>
              <w:pStyle w:val="TableParagraph"/>
              <w:spacing w:line="240" w:lineRule="auto" w:before="63"/>
              <w:ind w:left="10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-12,784,603.6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r>
      <w:tr>
        <w:trPr>
          <w:trHeight w:val="2587"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年合并资产负债表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未分配利润</w:t>
            </w:r>
          </w:p>
          <w:p>
            <w:pPr>
              <w:pStyle w:val="TableParagraph"/>
              <w:spacing w:line="240" w:lineRule="auto" w:before="63"/>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-199,906,297.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79</w:t>
            </w:r>
          </w:p>
        </w:tc>
      </w:tr>
      <w:tr>
        <w:trPr>
          <w:trHeight w:val="258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106"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年合并资产负债表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归属于母公 司所有者权益合计</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-199,906,297.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79</w:t>
            </w:r>
          </w:p>
        </w:tc>
      </w:tr>
      <w:tr>
        <w:trPr>
          <w:trHeight w:val="362"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本项差错经公司第十</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年合并资产负债表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归属于母公</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-199,906,297.</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301"/>
        <w:gridCol w:w="1850"/>
        <w:gridCol w:w="3131"/>
        <w:gridCol w:w="1289"/>
      </w:tblGrid>
      <w:tr>
        <w:trPr>
          <w:trHeight w:val="223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15"/>
              <w:jc w:val="both"/>
              <w:rPr>
                <w:rFonts w:ascii="宋体" w:hAnsi="宋体" w:cs="宋体" w:eastAsia="宋体" w:hint="default"/>
                <w:sz w:val="18"/>
                <w:szCs w:val="18"/>
              </w:rPr>
            </w:pPr>
            <w:r>
              <w:rPr>
                <w:rFonts w:ascii="宋体" w:hAnsi="宋体" w:cs="宋体" w:eastAsia="宋体" w:hint="default"/>
                <w:sz w:val="18"/>
                <w:szCs w:val="18"/>
              </w:rPr>
              <w:t>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司所有者权益合计</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79</w:t>
            </w:r>
          </w:p>
        </w:tc>
      </w:tr>
      <w:tr>
        <w:trPr>
          <w:trHeight w:val="258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106"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年合并资产负债表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所有者权益 合计</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-199,906,297.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79</w:t>
            </w:r>
          </w:p>
        </w:tc>
      </w:tr>
      <w:tr>
        <w:trPr>
          <w:trHeight w:val="2587"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106"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年合并资产负债表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负债和所有 者权益总计</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-212,690,901.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41</w:t>
            </w:r>
          </w:p>
        </w:tc>
      </w:tr>
      <w:tr>
        <w:trPr>
          <w:trHeight w:val="258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年合并利润表</w:t>
            </w:r>
            <w:r>
              <w:rPr>
                <w:rFonts w:ascii="Times New Roman" w:hAnsi="Times New Roman" w:cs="Times New Roman" w:eastAsia="Times New Roman" w:hint="default"/>
                <w:sz w:val="18"/>
                <w:szCs w:val="18"/>
              </w:rPr>
              <w:t>-  </w:t>
            </w:r>
            <w:r>
              <w:rPr>
                <w:rFonts w:ascii="宋体" w:hAnsi="宋体" w:cs="宋体" w:eastAsia="宋体" w:hint="default"/>
                <w:sz w:val="18"/>
                <w:szCs w:val="18"/>
              </w:rPr>
              <w:t>资产减值损失</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p>
          <w:p>
            <w:pPr>
              <w:pStyle w:val="TableParagraph"/>
              <w:spacing w:line="240" w:lineRule="auto" w:before="63"/>
              <w:ind w:left="1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212,690,901.4</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1</w:t>
            </w:r>
          </w:p>
        </w:tc>
      </w:tr>
      <w:tr>
        <w:trPr>
          <w:trHeight w:val="2588"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106"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年合并利润表</w:t>
            </w:r>
            <w:r>
              <w:rPr>
                <w:rFonts w:ascii="Times New Roman" w:hAnsi="Times New Roman" w:cs="Times New Roman" w:eastAsia="Times New Roman" w:hint="default"/>
                <w:sz w:val="18"/>
                <w:szCs w:val="18"/>
              </w:rPr>
              <w:t>- </w:t>
            </w:r>
            <w:r>
              <w:rPr>
                <w:rFonts w:ascii="宋体" w:hAnsi="宋体" w:cs="宋体" w:eastAsia="宋体" w:hint="default"/>
                <w:sz w:val="18"/>
                <w:szCs w:val="18"/>
              </w:rPr>
              <w:t>营业利润</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本期 发生额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-212,690,901.</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41</w:t>
            </w:r>
          </w:p>
        </w:tc>
      </w:tr>
      <w:tr>
        <w:trPr>
          <w:trHeight w:val="1298"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09"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97" w:lineRule="auto" w:before="134"/>
              <w:ind w:left="106"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年合并利润表</w:t>
            </w:r>
            <w:r>
              <w:rPr>
                <w:rFonts w:ascii="Times New Roman" w:hAnsi="Times New Roman" w:cs="Times New Roman" w:eastAsia="Times New Roman" w:hint="default"/>
                <w:sz w:val="18"/>
                <w:szCs w:val="18"/>
              </w:rPr>
              <w:t>- </w:t>
            </w:r>
            <w:r>
              <w:rPr>
                <w:rFonts w:ascii="宋体" w:hAnsi="宋体" w:cs="宋体" w:eastAsia="宋体" w:hint="default"/>
                <w:sz w:val="18"/>
                <w:szCs w:val="18"/>
              </w:rPr>
              <w:t>利润总额</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本期 发生额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-212,690,901.</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41</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301"/>
        <w:gridCol w:w="1850"/>
        <w:gridCol w:w="3131"/>
        <w:gridCol w:w="1289"/>
      </w:tblGrid>
      <w:tr>
        <w:trPr>
          <w:trHeight w:val="1299"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26"/>
              <w:jc w:val="both"/>
              <w:rPr>
                <w:rFonts w:ascii="宋体" w:hAnsi="宋体" w:cs="宋体" w:eastAsia="宋体" w:hint="default"/>
                <w:sz w:val="18"/>
                <w:szCs w:val="18"/>
              </w:rPr>
            </w:pPr>
            <w:r>
              <w:rPr>
                <w:rFonts w:ascii="宋体" w:hAnsi="宋体" w:cs="宋体" w:eastAsia="宋体" w:hint="default"/>
                <w:sz w:val="18"/>
                <w:szCs w:val="18"/>
              </w:rPr>
              <w:t>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错进行了更正</w:t>
            </w:r>
          </w:p>
        </w:tc>
        <w:tc>
          <w:tcPr>
            <w:tcW w:w="313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106"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年合并利润表</w:t>
            </w:r>
            <w:r>
              <w:rPr>
                <w:rFonts w:ascii="Times New Roman" w:hAnsi="Times New Roman" w:cs="Times New Roman" w:eastAsia="Times New Roman" w:hint="default"/>
                <w:sz w:val="18"/>
                <w:szCs w:val="18"/>
              </w:rPr>
              <w:t>- </w:t>
            </w:r>
            <w:r>
              <w:rPr>
                <w:rFonts w:ascii="宋体" w:hAnsi="宋体" w:cs="宋体" w:eastAsia="宋体" w:hint="default"/>
                <w:sz w:val="18"/>
                <w:szCs w:val="18"/>
              </w:rPr>
              <w:t>所得税费用</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本 期发生额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-12,784,603.6</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2</w:t>
            </w:r>
          </w:p>
        </w:tc>
      </w:tr>
      <w:tr>
        <w:trPr>
          <w:trHeight w:val="2588"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106"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年合并利润表</w:t>
            </w:r>
            <w:r>
              <w:rPr>
                <w:rFonts w:ascii="Times New Roman" w:hAnsi="Times New Roman" w:cs="Times New Roman" w:eastAsia="Times New Roman" w:hint="default"/>
                <w:sz w:val="18"/>
                <w:szCs w:val="18"/>
              </w:rPr>
              <w:t>- </w:t>
            </w:r>
            <w:r>
              <w:rPr>
                <w:rFonts w:ascii="宋体" w:hAnsi="宋体" w:cs="宋体" w:eastAsia="宋体" w:hint="default"/>
                <w:sz w:val="18"/>
                <w:szCs w:val="18"/>
              </w:rPr>
              <w:t>净利润</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 生额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-199,906,297.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79</w:t>
            </w:r>
          </w:p>
        </w:tc>
      </w:tr>
      <w:tr>
        <w:trPr>
          <w:trHeight w:val="258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106"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年合并利润表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归属于母公司股 东的净利润</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-199,906,297.</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79</w:t>
            </w:r>
          </w:p>
        </w:tc>
      </w:tr>
      <w:tr>
        <w:trPr>
          <w:trHeight w:val="2588"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106"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年母公司资产负债表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长期股权 投资</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-107,484,298.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84</w:t>
            </w:r>
          </w:p>
        </w:tc>
      </w:tr>
      <w:tr>
        <w:trPr>
          <w:trHeight w:val="2234"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97" w:lineRule="auto"/>
              <w:ind w:left="106"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年母公司资产负债表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非流动资 产合计</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-107,484,298.</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84</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301"/>
        <w:gridCol w:w="1850"/>
        <w:gridCol w:w="3131"/>
        <w:gridCol w:w="1289"/>
      </w:tblGrid>
      <w:tr>
        <w:trPr>
          <w:trHeight w:val="363"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3" w:right="0"/>
              <w:jc w:val="left"/>
              <w:rPr>
                <w:rFonts w:ascii="宋体" w:hAnsi="宋体" w:cs="宋体" w:eastAsia="宋体" w:hint="default"/>
                <w:sz w:val="18"/>
                <w:szCs w:val="18"/>
              </w:rPr>
            </w:pPr>
            <w:r>
              <w:rPr>
                <w:rFonts w:ascii="宋体" w:hAnsi="宋体" w:cs="宋体" w:eastAsia="宋体" w:hint="default"/>
                <w:sz w:val="18"/>
                <w:szCs w:val="18"/>
              </w:rPr>
              <w:t>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
        </w:tc>
        <w:tc>
          <w:tcPr>
            <w:tcW w:w="3131" w:type="dxa"/>
            <w:tcBorders>
              <w:top w:val="single" w:sz="4" w:space="0" w:color="000000"/>
              <w:left w:val="single" w:sz="4" w:space="0" w:color="000000"/>
              <w:bottom w:val="single" w:sz="4" w:space="0" w:color="000000"/>
              <w:right w:val="single" w:sz="4" w:space="0" w:color="000000"/>
            </w:tcBorders>
          </w:tcPr>
          <w:p>
            <w:pPr/>
          </w:p>
        </w:tc>
        <w:tc>
          <w:tcPr>
            <w:tcW w:w="1289" w:type="dxa"/>
            <w:tcBorders>
              <w:top w:val="single" w:sz="4" w:space="0" w:color="000000"/>
              <w:left w:val="single" w:sz="4" w:space="0" w:color="000000"/>
              <w:bottom w:val="single" w:sz="4" w:space="0" w:color="000000"/>
              <w:right w:val="single" w:sz="4" w:space="0" w:color="000000"/>
            </w:tcBorders>
          </w:tcPr>
          <w:p>
            <w:pPr/>
          </w:p>
        </w:tc>
      </w:tr>
      <w:tr>
        <w:trPr>
          <w:trHeight w:val="258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年母公司资产负债表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资产总计</w:t>
            </w:r>
          </w:p>
          <w:p>
            <w:pPr>
              <w:pStyle w:val="TableParagraph"/>
              <w:spacing w:line="240" w:lineRule="auto" w:before="63"/>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-107,484,298.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84</w:t>
            </w:r>
          </w:p>
        </w:tc>
      </w:tr>
      <w:tr>
        <w:trPr>
          <w:trHeight w:val="2588"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2039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106"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年母公司资产负债表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未分配利 润</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-107,484,298.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84</w:t>
            </w:r>
          </w:p>
        </w:tc>
      </w:tr>
      <w:tr>
        <w:trPr>
          <w:trHeight w:val="258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106"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年母公司资产负债表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所有者权 益合计</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-107,484,298.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84</w:t>
            </w:r>
          </w:p>
        </w:tc>
      </w:tr>
      <w:tr>
        <w:trPr>
          <w:trHeight w:val="2587"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106" w:right="118"/>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年母公司资产负债表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负债和所 有者权益总计</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期末余额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-107,484,298.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84</w:t>
            </w:r>
          </w:p>
        </w:tc>
      </w:tr>
      <w:tr>
        <w:trPr>
          <w:trHeight w:val="258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年母公司利润表</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资产减值损失</w:t>
            </w:r>
          </w:p>
          <w:p>
            <w:pPr>
              <w:pStyle w:val="TableParagraph"/>
              <w:spacing w:line="240" w:lineRule="auto" w:before="63"/>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107,484,298.8</w:t>
            </w:r>
          </w:p>
          <w:p>
            <w:pPr>
              <w:pStyle w:val="TableParagraph"/>
              <w:spacing w:line="240" w:lineRule="auto" w:before="105"/>
              <w:ind w:right="102"/>
              <w:jc w:val="right"/>
              <w:rPr>
                <w:rFonts w:ascii="Times New Roman" w:hAnsi="Times New Roman" w:cs="Times New Roman" w:eastAsia="Times New Roman" w:hint="default"/>
                <w:sz w:val="18"/>
                <w:szCs w:val="18"/>
              </w:rPr>
            </w:pPr>
            <w:r>
              <w:rPr>
                <w:rFonts w:ascii="Times New Roman"/>
                <w:sz w:val="18"/>
              </w:rPr>
              <w:t>4</w:t>
            </w:r>
          </w:p>
        </w:tc>
      </w:tr>
      <w:tr>
        <w:trPr>
          <w:trHeight w:val="362"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本项差错经公司第十</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年母公司利润表</w:t>
            </w:r>
            <w:r>
              <w:rPr>
                <w:rFonts w:ascii="Times New Roman" w:hAnsi="Times New Roman" w:cs="Times New Roman" w:eastAsia="Times New Roman" w:hint="default"/>
                <w:sz w:val="18"/>
                <w:szCs w:val="18"/>
              </w:rPr>
              <w:t>-  </w:t>
            </w:r>
            <w:r>
              <w:rPr>
                <w:rFonts w:ascii="宋体" w:hAnsi="宋体" w:cs="宋体" w:eastAsia="宋体" w:hint="default"/>
                <w:sz w:val="18"/>
                <w:szCs w:val="18"/>
              </w:rPr>
              <w:t>营业利润</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本</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0" w:right="0"/>
              <w:jc w:val="left"/>
              <w:rPr>
                <w:rFonts w:ascii="Times New Roman" w:hAnsi="Times New Roman" w:cs="Times New Roman" w:eastAsia="Times New Roman" w:hint="default"/>
                <w:sz w:val="18"/>
                <w:szCs w:val="18"/>
              </w:rPr>
            </w:pPr>
            <w:r>
              <w:rPr>
                <w:rFonts w:ascii="Times New Roman"/>
                <w:sz w:val="18"/>
              </w:rPr>
              <w:t>-107,484,298.</w:t>
            </w:r>
          </w:p>
        </w:tc>
      </w:tr>
    </w:tbl>
    <w:p>
      <w:pPr>
        <w:spacing w:after="0" w:line="240" w:lineRule="auto"/>
        <w:jc w:val="lef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
        <w:rPr>
          <w:rFonts w:ascii="Times New Roman" w:hAnsi="Times New Roman" w:cs="Times New Roman" w:eastAsia="Times New Roman" w:hint="default"/>
          <w:sz w:val="29"/>
          <w:szCs w:val="29"/>
        </w:rPr>
      </w:pPr>
    </w:p>
    <w:tbl>
      <w:tblPr>
        <w:tblW w:w="0" w:type="auto"/>
        <w:jc w:val="left"/>
        <w:tblInd w:w="108" w:type="dxa"/>
        <w:tblLayout w:type="fixed"/>
        <w:tblCellMar>
          <w:top w:w="0" w:type="dxa"/>
          <w:left w:w="0" w:type="dxa"/>
          <w:bottom w:w="0" w:type="dxa"/>
          <w:right w:w="0" w:type="dxa"/>
        </w:tblCellMar>
        <w:tblLook w:val="01E0"/>
      </w:tblPr>
      <w:tblGrid>
        <w:gridCol w:w="3301"/>
        <w:gridCol w:w="1850"/>
        <w:gridCol w:w="3131"/>
        <w:gridCol w:w="1289"/>
      </w:tblGrid>
      <w:tr>
        <w:trPr>
          <w:trHeight w:val="223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8"/>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103" w:right="115"/>
              <w:jc w:val="both"/>
              <w:rPr>
                <w:rFonts w:ascii="宋体" w:hAnsi="宋体" w:cs="宋体" w:eastAsia="宋体" w:hint="default"/>
                <w:sz w:val="18"/>
                <w:szCs w:val="18"/>
              </w:rPr>
            </w:pPr>
            <w:r>
              <w:rPr>
                <w:rFonts w:ascii="宋体" w:hAnsi="宋体" w:cs="宋体" w:eastAsia="宋体" w:hint="default"/>
                <w:sz w:val="18"/>
                <w:szCs w:val="18"/>
              </w:rPr>
              <w:t>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106" w:right="0"/>
              <w:jc w:val="left"/>
              <w:rPr>
                <w:rFonts w:ascii="宋体" w:hAnsi="宋体" w:cs="宋体" w:eastAsia="宋体" w:hint="default"/>
                <w:sz w:val="18"/>
                <w:szCs w:val="18"/>
              </w:rPr>
            </w:pPr>
            <w:r>
              <w:rPr>
                <w:rFonts w:ascii="宋体" w:hAnsi="宋体" w:cs="宋体" w:eastAsia="宋体" w:hint="default"/>
                <w:sz w:val="18"/>
                <w:szCs w:val="18"/>
              </w:rPr>
              <w:t>期发生额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98"/>
              <w:jc w:val="right"/>
              <w:rPr>
                <w:rFonts w:ascii="Times New Roman" w:hAnsi="Times New Roman" w:cs="Times New Roman" w:eastAsia="Times New Roman" w:hint="default"/>
                <w:sz w:val="18"/>
                <w:szCs w:val="18"/>
              </w:rPr>
            </w:pPr>
            <w:r>
              <w:rPr>
                <w:rFonts w:ascii="Times New Roman"/>
                <w:sz w:val="18"/>
              </w:rPr>
              <w:t>84</w:t>
            </w:r>
          </w:p>
        </w:tc>
      </w:tr>
      <w:tr>
        <w:trPr>
          <w:trHeight w:val="2585"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9"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106" w:right="146"/>
              <w:jc w:val="left"/>
              <w:rPr>
                <w:rFonts w:ascii="宋体" w:hAnsi="宋体" w:cs="宋体" w:eastAsia="宋体"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年母公司利润表</w:t>
            </w:r>
            <w:r>
              <w:rPr>
                <w:rFonts w:ascii="Times New Roman" w:hAnsi="Times New Roman" w:cs="Times New Roman" w:eastAsia="Times New Roman" w:hint="default"/>
                <w:sz w:val="18"/>
                <w:szCs w:val="18"/>
              </w:rPr>
              <w:t>- </w:t>
            </w:r>
            <w:r>
              <w:rPr>
                <w:rFonts w:ascii="宋体" w:hAnsi="宋体" w:cs="宋体" w:eastAsia="宋体" w:hint="default"/>
                <w:sz w:val="18"/>
                <w:szCs w:val="18"/>
              </w:rPr>
              <w:t>利润总额</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本 期发生额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-107,484,298.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84</w:t>
            </w:r>
          </w:p>
        </w:tc>
      </w:tr>
      <w:tr>
        <w:trPr>
          <w:trHeight w:val="2587" w:hRule="exact"/>
        </w:trPr>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both"/>
              <w:rPr>
                <w:rFonts w:ascii="宋体" w:hAnsi="宋体" w:cs="宋体" w:eastAsia="宋体" w:hint="default"/>
                <w:sz w:val="18"/>
                <w:szCs w:val="18"/>
              </w:rPr>
            </w:pPr>
            <w:r>
              <w:rPr>
                <w:rFonts w:ascii="宋体" w:hAnsi="宋体" w:cs="宋体" w:eastAsia="宋体" w:hint="default"/>
                <w:sz w:val="18"/>
                <w:szCs w:val="18"/>
              </w:rPr>
              <w:t>因消除</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年审计报告中保留意见事</w:t>
            </w:r>
          </w:p>
          <w:p>
            <w:pPr>
              <w:pStyle w:val="TableParagraph"/>
              <w:spacing w:line="314" w:lineRule="auto" w:before="63"/>
              <w:ind w:left="103" w:right="101"/>
              <w:jc w:val="both"/>
              <w:rPr>
                <w:rFonts w:ascii="宋体" w:hAnsi="宋体" w:cs="宋体" w:eastAsia="宋体" w:hint="default"/>
                <w:sz w:val="18"/>
                <w:szCs w:val="18"/>
              </w:rPr>
            </w:pPr>
            <w:r>
              <w:rPr>
                <w:rFonts w:ascii="宋体" w:hAnsi="宋体" w:cs="宋体" w:eastAsia="宋体" w:hint="default"/>
                <w:spacing w:val="-10"/>
                <w:sz w:val="18"/>
                <w:szCs w:val="18"/>
              </w:rPr>
              <w:t>项需要，公司对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年末商誉重新进行 了减值测试，同时对在商誉减值测试过 程中发现的与商誉相关的冉十科技资产 组中可能存在减值迹象的无形资产、母 公司对视科传媒和冉十科技的长期股权 投资也重新进行了减值测试，对重新测 试发现的前期会计差错予以更正。</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316" w:lineRule="auto"/>
              <w:ind w:left="103" w:right="115"/>
              <w:jc w:val="both"/>
              <w:rPr>
                <w:rFonts w:ascii="宋体" w:hAnsi="宋体" w:cs="宋体" w:eastAsia="宋体" w:hint="default"/>
                <w:sz w:val="18"/>
                <w:szCs w:val="18"/>
              </w:rPr>
            </w:pPr>
            <w:r>
              <w:rPr>
                <w:rFonts w:ascii="宋体" w:hAnsi="宋体" w:cs="宋体" w:eastAsia="宋体" w:hint="default"/>
                <w:sz w:val="18"/>
                <w:szCs w:val="18"/>
              </w:rPr>
              <w:t>本项差错经公司第十 届董事会第三次会议 审议通过，本期采用 追溯重述法对该项差 错进行了更正</w:t>
            </w:r>
          </w:p>
        </w:tc>
        <w:tc>
          <w:tcPr>
            <w:tcW w:w="3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106" w:right="147"/>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年母公司利润表</w:t>
            </w: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 生额</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-107,484,298.</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84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6"/>
        <w:ind w:right="986"/>
        <w:jc w:val="left"/>
        <w:rPr>
          <w:b w:val="0"/>
          <w:bCs w:val="0"/>
        </w:rPr>
      </w:pPr>
      <w:bookmarkStart w:name="（2）未来适用法" w:id="516"/>
      <w:bookmarkEnd w:id="516"/>
      <w:r>
        <w:rPr>
          <w:b w:val="0"/>
          <w:bCs w:val="0"/>
        </w:rPr>
      </w:r>
      <w:r>
        <w:rPr/>
        <w:t>（</w:t>
      </w:r>
      <w:r>
        <w:rPr>
          <w:rFonts w:ascii="Times New Roman" w:hAnsi="Times New Roman" w:cs="Times New Roman" w:eastAsia="Times New Roman" w:hint="default"/>
        </w:rPr>
        <w:t>2</w:t>
      </w:r>
      <w:r>
        <w:rPr/>
        <w:t>）未来适用法</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3324"/>
        <w:gridCol w:w="3060"/>
        <w:gridCol w:w="3185"/>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6"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8"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3"/>
        <w:rPr>
          <w:rFonts w:ascii="宋体" w:hAnsi="宋体" w:cs="宋体" w:eastAsia="宋体" w:hint="default"/>
          <w:b/>
          <w:bCs/>
          <w:sz w:val="19"/>
          <w:szCs w:val="19"/>
        </w:rPr>
      </w:pPr>
    </w:p>
    <w:p>
      <w:pPr>
        <w:pStyle w:val="Heading4"/>
        <w:spacing w:line="240" w:lineRule="auto" w:before="36"/>
        <w:ind w:right="986"/>
        <w:jc w:val="left"/>
        <w:rPr>
          <w:b w:val="0"/>
          <w:bCs w:val="0"/>
        </w:rPr>
      </w:pPr>
      <w:bookmarkStart w:name="2、债务重组" w:id="517"/>
      <w:bookmarkEnd w:id="517"/>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3、资产置换" w:id="518"/>
      <w:bookmarkEnd w:id="518"/>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1）非货币性资产交换" w:id="519"/>
      <w:bookmarkEnd w:id="519"/>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2）其他资产置换" w:id="520"/>
      <w:bookmarkEnd w:id="520"/>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4、年金计划" w:id="521"/>
      <w:bookmarkEnd w:id="521"/>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5、终止经营" w:id="522"/>
      <w:bookmarkEnd w:id="522"/>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67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134"/>
              <w:jc w:val="left"/>
              <w:rPr>
                <w:rFonts w:ascii="宋体" w:hAnsi="宋体" w:cs="宋体" w:eastAsia="宋体" w:hint="default"/>
                <w:sz w:val="18"/>
                <w:szCs w:val="18"/>
              </w:rPr>
            </w:pPr>
            <w:r>
              <w:rPr>
                <w:rFonts w:ascii="宋体" w:hAnsi="宋体" w:cs="宋体" w:eastAsia="宋体" w:hint="default"/>
                <w:sz w:val="18"/>
                <w:szCs w:val="18"/>
              </w:rPr>
              <w:t>归属于母公司 所有者的终止</w:t>
            </w:r>
          </w:p>
        </w:tc>
      </w:tr>
    </w:tbl>
    <w:p>
      <w:pPr>
        <w:spacing w:after="0" w:line="316" w:lineRule="auto"/>
        <w:jc w:val="left"/>
        <w:rPr>
          <w:rFonts w:ascii="宋体" w:hAnsi="宋体" w:cs="宋体" w:eastAsia="宋体" w:hint="default"/>
          <w:sz w:val="18"/>
          <w:szCs w:val="18"/>
        </w:rPr>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36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321" w:right="0"/>
              <w:jc w:val="left"/>
              <w:rPr>
                <w:rFonts w:ascii="宋体" w:hAnsi="宋体" w:cs="宋体" w:eastAsia="宋体" w:hint="default"/>
                <w:sz w:val="18"/>
                <w:szCs w:val="18"/>
              </w:rPr>
            </w:pPr>
            <w:r>
              <w:rPr>
                <w:rFonts w:ascii="宋体" w:hAnsi="宋体" w:cs="宋体" w:eastAsia="宋体" w:hint="default"/>
                <w:sz w:val="18"/>
                <w:szCs w:val="18"/>
              </w:rPr>
              <w:t>经营利润</w:t>
            </w:r>
          </w:p>
        </w:tc>
      </w:tr>
    </w:tbl>
    <w:p>
      <w:pPr>
        <w:pStyle w:val="BodyText"/>
        <w:spacing w:line="240" w:lineRule="auto" w:before="49"/>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6、分部信息" w:id="523"/>
      <w:bookmarkEnd w:id="523"/>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报告分部的确定依据与会计政策" w:id="524"/>
      <w:bookmarkEnd w:id="524"/>
      <w:r>
        <w:rPr>
          <w:b w:val="0"/>
          <w:bCs w:val="0"/>
        </w:rPr>
      </w:r>
      <w:r>
        <w:rPr/>
        <w:t>（</w:t>
      </w:r>
      <w:r>
        <w:rPr>
          <w:rFonts w:ascii="Times New Roman" w:hAnsi="Times New Roman" w:cs="Times New Roman" w:eastAsia="Times New Roman" w:hint="default"/>
        </w:rPr>
        <w:t>1</w:t>
      </w:r>
      <w:r>
        <w:rPr/>
        <w:t>）报告分部的确定依据与会计政策</w:t>
      </w:r>
      <w:r>
        <w:rPr>
          <w:b w:val="0"/>
          <w:bCs w:val="0"/>
        </w:rPr>
      </w:r>
    </w:p>
    <w:p>
      <w:pPr>
        <w:spacing w:line="240" w:lineRule="auto" w:before="4"/>
        <w:rPr>
          <w:rFonts w:ascii="宋体" w:hAnsi="宋体" w:cs="宋体" w:eastAsia="宋体" w:hint="default"/>
          <w:b/>
          <w:bCs/>
          <w:sz w:val="26"/>
          <w:szCs w:val="26"/>
        </w:rPr>
      </w:pPr>
    </w:p>
    <w:p>
      <w:pPr>
        <w:pStyle w:val="BodyText"/>
        <w:spacing w:line="316" w:lineRule="auto" w:before="0"/>
        <w:ind w:right="1124"/>
        <w:jc w:val="left"/>
      </w:pPr>
      <w:r>
        <w:rPr/>
        <w:t>根据本公司的内部组织结构、管理要求及内部报告制度，本公司的经营业务为</w:t>
      </w:r>
      <w:r>
        <w:rPr>
          <w:rFonts w:ascii="宋体" w:hAnsi="宋体" w:cs="宋体" w:eastAsia="宋体" w:hint="default"/>
        </w:rPr>
        <w:t>4</w:t>
      </w:r>
      <w:r>
        <w:rPr/>
        <w:t>个经营分部，本公司的管理层定期评价这些 分部的经营成果，以决定向其分配资源及评价其业绩。在经营分部的基础上本公司确定了</w:t>
      </w:r>
      <w:r>
        <w:rPr>
          <w:rFonts w:ascii="宋体" w:hAnsi="宋体" w:cs="宋体" w:eastAsia="宋体" w:hint="default"/>
        </w:rPr>
        <w:t>4</w:t>
      </w:r>
      <w:r>
        <w:rPr/>
        <w:t>个报告分部，分别为广告传媒业 </w:t>
      </w:r>
      <w:r>
        <w:rPr>
          <w:spacing w:val="-2"/>
        </w:rPr>
        <w:t>务、供应链管理业务、民间资本管理和其他。这些报告分部是以业务性质为基础确定的。本公司各个报告分部提供的主要产</w:t>
      </w:r>
      <w:r>
        <w:rPr>
          <w:spacing w:val="-64"/>
        </w:rPr>
        <w:t> </w:t>
      </w:r>
      <w:r>
        <w:rPr>
          <w:spacing w:val="-64"/>
        </w:rPr>
      </w:r>
      <w:r>
        <w:rPr/>
        <w:t>品及劳务分别为媒体广告服务、供应链管理服务。 分部报告信息根据各分部向管理层报告时采用的会计政策及计量标准披露，这些计量基 础与编制财务报表时的会计与计量基础保持一致。 </w:t>
      </w:r>
      <w:r>
        <w:rPr>
          <w:spacing w:val="-2"/>
        </w:rPr>
        <w:t>其他业务分部列示（包括本部和青岛大通资本有限公司等子公司）。分部报告信息根据各分部向管理层报告时采用的会计政</w:t>
      </w:r>
      <w:r>
        <w:rPr>
          <w:spacing w:val="-72"/>
        </w:rPr>
        <w:t> </w:t>
      </w:r>
      <w:r>
        <w:rPr>
          <w:spacing w:val="-72"/>
        </w:rPr>
      </w:r>
      <w:r>
        <w:rPr/>
        <w:t>策及计量标准披露，这些计量基础与编制财务报表时的会计与计量基础保持一致。</w:t>
      </w:r>
    </w:p>
    <w:p>
      <w:pPr>
        <w:spacing w:line="240" w:lineRule="auto" w:before="10"/>
        <w:rPr>
          <w:rFonts w:ascii="宋体" w:hAnsi="宋体" w:cs="宋体" w:eastAsia="宋体" w:hint="default"/>
          <w:sz w:val="22"/>
          <w:szCs w:val="22"/>
        </w:rPr>
      </w:pPr>
    </w:p>
    <w:p>
      <w:pPr>
        <w:pStyle w:val="Heading4"/>
        <w:spacing w:line="240" w:lineRule="auto"/>
        <w:ind w:right="986"/>
        <w:jc w:val="left"/>
        <w:rPr>
          <w:b w:val="0"/>
          <w:bCs w:val="0"/>
        </w:rPr>
      </w:pPr>
      <w:bookmarkStart w:name="（2）报告分部的财务信息" w:id="525"/>
      <w:bookmarkEnd w:id="525"/>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2"/>
        <w:rPr>
          <w:rFonts w:ascii="宋体" w:hAnsi="宋体" w:cs="宋体" w:eastAsia="宋体" w:hint="default"/>
          <w:b/>
          <w:bCs/>
          <w:sz w:val="26"/>
          <w:szCs w:val="26"/>
        </w:rPr>
      </w:pPr>
    </w:p>
    <w:p>
      <w:pPr>
        <w:pStyle w:val="BodyText"/>
        <w:spacing w:line="240" w:lineRule="auto" w:before="0"/>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6"/>
        <w:gridCol w:w="1368"/>
        <w:gridCol w:w="1366"/>
        <w:gridCol w:w="1368"/>
        <w:gridCol w:w="1369"/>
        <w:gridCol w:w="1366"/>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5"/>
              <w:jc w:val="right"/>
              <w:rPr>
                <w:rFonts w:ascii="宋体" w:hAnsi="宋体" w:cs="宋体" w:eastAsia="宋体" w:hint="default"/>
                <w:sz w:val="18"/>
                <w:szCs w:val="18"/>
              </w:rPr>
            </w:pPr>
            <w:r>
              <w:rPr>
                <w:rFonts w:ascii="宋体" w:hAnsi="宋体" w:cs="宋体" w:eastAsia="宋体" w:hint="default"/>
                <w:sz w:val="18"/>
                <w:szCs w:val="18"/>
              </w:rPr>
              <w:t>广告传媒业务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供应链管理</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5"/>
              <w:jc w:val="right"/>
              <w:rPr>
                <w:rFonts w:ascii="宋体" w:hAnsi="宋体" w:cs="宋体" w:eastAsia="宋体" w:hint="default"/>
                <w:sz w:val="18"/>
                <w:szCs w:val="18"/>
              </w:rPr>
            </w:pPr>
            <w:r>
              <w:rPr>
                <w:rFonts w:ascii="宋体" w:hAnsi="宋体" w:cs="宋体" w:eastAsia="宋体" w:hint="default"/>
                <w:sz w:val="18"/>
                <w:szCs w:val="18"/>
              </w:rPr>
              <w:t>民间资本管理</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293,340,795.25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1,433,225,956.</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104,610,162.71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3,669,205.70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1,834,846,120.</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35</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277,064,007.85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1,402,663,411.</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1,179,481.13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3,811,256.20</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1,684,718,156.</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62</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230,528,994.50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261,595,183.79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1,020,657,605.</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3,722,632,896.</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2,318,250,442.</w:t>
            </w:r>
          </w:p>
          <w:p>
            <w:pPr>
              <w:pStyle w:val="TableParagraph"/>
              <w:spacing w:line="240" w:lineRule="auto" w:before="102"/>
              <w:ind w:right="98"/>
              <w:jc w:val="right"/>
              <w:rPr>
                <w:rFonts w:ascii="Times New Roman" w:hAnsi="Times New Roman" w:cs="Times New Roman" w:eastAsia="Times New Roman" w:hint="default"/>
                <w:sz w:val="18"/>
                <w:szCs w:val="18"/>
              </w:rPr>
            </w:pPr>
            <w:r>
              <w:rPr>
                <w:rFonts w:ascii="Times New Roman"/>
                <w:sz w:val="18"/>
              </w:rPr>
              <w:t>43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2,917,164,237.</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96</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37,677,234.98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center"/>
              <w:rPr>
                <w:rFonts w:ascii="Times New Roman" w:hAnsi="Times New Roman" w:cs="Times New Roman" w:eastAsia="Times New Roman" w:hint="default"/>
                <w:sz w:val="18"/>
                <w:szCs w:val="18"/>
              </w:rPr>
            </w:pPr>
            <w:r>
              <w:rPr>
                <w:rFonts w:ascii="Times New Roman"/>
                <w:sz w:val="18"/>
              </w:rPr>
              <w:t>259,530,821.88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455,370,232.83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spacing w:val="-1"/>
                <w:sz w:val="18"/>
              </w:rPr>
              <w:t>853,529,913.95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1,442,876,106.</w:t>
            </w:r>
          </w:p>
          <w:p>
            <w:pPr>
              <w:pStyle w:val="TableParagraph"/>
              <w:spacing w:line="240" w:lineRule="auto" w:before="105"/>
              <w:ind w:right="98"/>
              <w:jc w:val="right"/>
              <w:rPr>
                <w:rFonts w:ascii="Times New Roman" w:hAnsi="Times New Roman" w:cs="Times New Roman" w:eastAsia="Times New Roman" w:hint="default"/>
                <w:sz w:val="18"/>
                <w:szCs w:val="18"/>
              </w:rPr>
            </w:pPr>
            <w:r>
              <w:rPr>
                <w:rFonts w:ascii="Times New Roman"/>
                <w:sz w:val="18"/>
              </w:rPr>
              <w:t>48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163,232,097.16</w:t>
            </w:r>
          </w:p>
        </w:tc>
      </w:tr>
    </w:tbl>
    <w:p>
      <w:pPr>
        <w:spacing w:line="240" w:lineRule="auto" w:before="3"/>
        <w:rPr>
          <w:rFonts w:ascii="宋体" w:hAnsi="宋体" w:cs="宋体" w:eastAsia="宋体" w:hint="default"/>
          <w:sz w:val="19"/>
          <w:szCs w:val="19"/>
        </w:rPr>
      </w:pPr>
    </w:p>
    <w:p>
      <w:pPr>
        <w:pStyle w:val="Heading4"/>
        <w:spacing w:line="240" w:lineRule="auto" w:before="36"/>
        <w:ind w:right="0"/>
        <w:jc w:val="both"/>
        <w:rPr>
          <w:b w:val="0"/>
          <w:bCs w:val="0"/>
        </w:rPr>
      </w:pPr>
      <w:bookmarkStart w:name="（3）公司无报告分部的，或者不能披露各报告分部的资产总额和负债总额的，应说明原因" w:id="526"/>
      <w:bookmarkEnd w:id="526"/>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0"/>
        <w:jc w:val="both"/>
        <w:rPr>
          <w:b w:val="0"/>
          <w:bCs w:val="0"/>
        </w:rPr>
      </w:pPr>
      <w:bookmarkStart w:name="（4）其他说明" w:id="527"/>
      <w:bookmarkEnd w:id="527"/>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both"/>
        <w:rPr>
          <w:b w:val="0"/>
          <w:bCs w:val="0"/>
        </w:rPr>
      </w:pPr>
      <w:bookmarkStart w:name="7、其他对投资者决策有影响的重要交易和事项" w:id="528"/>
      <w:bookmarkEnd w:id="528"/>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2"/>
        <w:rPr>
          <w:rFonts w:ascii="宋体" w:hAnsi="宋体" w:cs="宋体" w:eastAsia="宋体" w:hint="default"/>
          <w:b/>
          <w:bCs/>
          <w:sz w:val="26"/>
          <w:szCs w:val="26"/>
        </w:rPr>
      </w:pPr>
    </w:p>
    <w:p>
      <w:pPr>
        <w:pStyle w:val="BodyText"/>
        <w:spacing w:line="316" w:lineRule="auto" w:before="0"/>
        <w:ind w:right="1130"/>
        <w:jc w:val="both"/>
      </w:pPr>
      <w:r>
        <w:rPr>
          <w:spacing w:val="-7"/>
        </w:rPr>
        <w:t>公司全资子公司青岛大通资本有限公司（以下简称“大通资本”）</w:t>
      </w:r>
      <w:r>
        <w:rPr>
          <w:spacing w:val="-40"/>
        </w:rPr>
        <w:t> </w:t>
      </w:r>
      <w:r>
        <w:rPr>
          <w:spacing w:val="-11"/>
        </w:rPr>
        <w:t>收购宾川鼎颐农业科技有限公司（以下简称“宾川鼎颐”）、</w:t>
      </w:r>
      <w:r>
        <w:rPr>
          <w:spacing w:val="-87"/>
        </w:rPr>
        <w:t> </w:t>
      </w:r>
      <w:r>
        <w:rPr>
          <w:spacing w:val="-87"/>
        </w:rPr>
      </w:r>
      <w:r>
        <w:rPr>
          <w:spacing w:val="-4"/>
        </w:rPr>
        <w:t>莫茏持有的云南诚邦富吉生物科技有限公司（以下简称“诚邦富吉”）</w:t>
      </w:r>
      <w:r>
        <w:rPr/>
        <w:t> </w:t>
      </w:r>
      <w:r>
        <w:rPr>
          <w:rFonts w:ascii="宋体" w:hAnsi="宋体" w:cs="宋体" w:eastAsia="宋体" w:hint="default"/>
          <w:spacing w:val="-2"/>
        </w:rPr>
        <w:t>51%</w:t>
      </w:r>
      <w:r>
        <w:rPr>
          <w:spacing w:val="-2"/>
        </w:rPr>
        <w:t>的股权，经协商，确定收购价款为</w:t>
      </w:r>
      <w:r>
        <w:rPr>
          <w:rFonts w:ascii="宋体" w:hAnsi="宋体" w:cs="宋体" w:eastAsia="宋体" w:hint="default"/>
          <w:spacing w:val="-2"/>
        </w:rPr>
        <w:t>1.428</w:t>
      </w:r>
      <w:r>
        <w:rPr>
          <w:spacing w:val="-2"/>
        </w:rPr>
        <w:t>亿元。各</w:t>
      </w:r>
      <w:r>
        <w:rPr>
          <w:spacing w:val="-89"/>
        </w:rPr>
        <w:t> </w:t>
      </w:r>
      <w:r>
        <w:rPr>
          <w:spacing w:val="-89"/>
        </w:rPr>
      </w:r>
      <w:r>
        <w:rPr>
          <w:spacing w:val="-5"/>
        </w:rPr>
        <w:t>方于</w:t>
      </w:r>
      <w:r>
        <w:rPr>
          <w:rFonts w:ascii="宋体" w:hAnsi="宋体" w:cs="宋体" w:eastAsia="宋体" w:hint="default"/>
          <w:spacing w:val="-5"/>
        </w:rPr>
        <w:t>2019</w:t>
      </w:r>
      <w:r>
        <w:rPr>
          <w:spacing w:val="-5"/>
        </w:rPr>
        <w:t>年</w:t>
      </w:r>
      <w:r>
        <w:rPr>
          <w:rFonts w:ascii="宋体" w:hAnsi="宋体" w:cs="宋体" w:eastAsia="宋体" w:hint="default"/>
          <w:spacing w:val="-5"/>
        </w:rPr>
        <w:t>11</w:t>
      </w:r>
      <w:r>
        <w:rPr>
          <w:spacing w:val="-5"/>
        </w:rPr>
        <w:t>月</w:t>
      </w:r>
      <w:r>
        <w:rPr>
          <w:rFonts w:ascii="宋体" w:hAnsi="宋体" w:cs="宋体" w:eastAsia="宋体" w:hint="default"/>
          <w:spacing w:val="-5"/>
        </w:rPr>
        <w:t>14</w:t>
      </w:r>
      <w:r>
        <w:rPr>
          <w:spacing w:val="-5"/>
        </w:rPr>
        <w:t>日签订《并购协议》，</w:t>
      </w:r>
      <w:r>
        <w:rPr>
          <w:rFonts w:ascii="宋体" w:hAnsi="宋体" w:cs="宋体" w:eastAsia="宋体" w:hint="default"/>
          <w:spacing w:val="-5"/>
        </w:rPr>
        <w:t>11</w:t>
      </w:r>
      <w:r>
        <w:rPr>
          <w:spacing w:val="-5"/>
        </w:rPr>
        <w:t>月</w:t>
      </w:r>
      <w:r>
        <w:rPr>
          <w:rFonts w:ascii="宋体" w:hAnsi="宋体" w:cs="宋体" w:eastAsia="宋体" w:hint="default"/>
          <w:spacing w:val="-5"/>
        </w:rPr>
        <w:t>19</w:t>
      </w:r>
      <w:r>
        <w:rPr>
          <w:spacing w:val="-5"/>
        </w:rPr>
        <w:t>日完成工商变更登记，</w:t>
      </w:r>
      <w:r>
        <w:rPr>
          <w:rFonts w:ascii="宋体" w:hAnsi="宋体" w:cs="宋体" w:eastAsia="宋体" w:hint="default"/>
          <w:spacing w:val="-5"/>
        </w:rPr>
        <w:t>12</w:t>
      </w:r>
      <w:r>
        <w:rPr>
          <w:spacing w:val="-5"/>
        </w:rPr>
        <w:t>月</w:t>
      </w:r>
      <w:r>
        <w:rPr>
          <w:rFonts w:ascii="宋体" w:hAnsi="宋体" w:cs="宋体" w:eastAsia="宋体" w:hint="default"/>
          <w:spacing w:val="-5"/>
        </w:rPr>
        <w:t>17</w:t>
      </w:r>
      <w:r>
        <w:rPr>
          <w:spacing w:val="-5"/>
        </w:rPr>
        <w:t>日完成管理交割（交接备忘录</w:t>
      </w:r>
      <w:r>
        <w:rPr>
          <w:spacing w:val="33"/>
        </w:rPr>
        <w:t> </w:t>
      </w:r>
      <w:r>
        <w:rPr>
          <w:spacing w:val="-13"/>
        </w:rPr>
        <w:t>）。公司将于</w:t>
      </w:r>
      <w:r>
        <w:rPr>
          <w:rFonts w:ascii="宋体" w:hAnsi="宋体" w:cs="宋体" w:eastAsia="宋体" w:hint="default"/>
          <w:spacing w:val="-13"/>
        </w:rPr>
        <w:t>2020</w:t>
      </w:r>
      <w:r>
        <w:rPr>
          <w:rFonts w:ascii="宋体" w:hAnsi="宋体" w:cs="宋体" w:eastAsia="宋体" w:hint="default"/>
          <w:spacing w:val="-83"/>
        </w:rPr>
        <w:t> </w:t>
      </w:r>
      <w:r>
        <w:rPr>
          <w:rFonts w:ascii="宋体" w:hAnsi="宋体" w:cs="宋体" w:eastAsia="宋体" w:hint="default"/>
          <w:spacing w:val="-83"/>
        </w:rPr>
      </w:r>
      <w:r>
        <w:rPr/>
        <w:t>年</w:t>
      </w:r>
      <w:r>
        <w:rPr>
          <w:rFonts w:ascii="宋体" w:hAnsi="宋体" w:cs="宋体" w:eastAsia="宋体" w:hint="default"/>
        </w:rPr>
        <w:t>1</w:t>
      </w:r>
      <w:r>
        <w:rPr/>
        <w:t>月</w:t>
      </w:r>
      <w:r>
        <w:rPr>
          <w:rFonts w:ascii="宋体" w:hAnsi="宋体" w:cs="宋体" w:eastAsia="宋体" w:hint="default"/>
        </w:rPr>
        <w:t>1</w:t>
      </w:r>
      <w:r>
        <w:rPr/>
        <w:t>日起将其纳入合并范围。</w:t>
      </w:r>
    </w:p>
    <w:p>
      <w:pPr>
        <w:spacing w:after="0" w:line="316" w:lineRule="auto"/>
        <w:jc w:val="both"/>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spacing w:line="487" w:lineRule="auto" w:before="36"/>
        <w:ind w:left="112" w:right="6899" w:firstLine="0"/>
        <w:jc w:val="left"/>
        <w:rPr>
          <w:rFonts w:ascii="宋体" w:hAnsi="宋体" w:cs="宋体" w:eastAsia="宋体" w:hint="default"/>
          <w:sz w:val="21"/>
          <w:szCs w:val="21"/>
        </w:rPr>
      </w:pPr>
      <w:bookmarkStart w:name="8、其他" w:id="529"/>
      <w:bookmarkEnd w:id="529"/>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w w:val="100"/>
          <w:sz w:val="21"/>
          <w:szCs w:val="21"/>
        </w:rPr>
        <w:t> </w:t>
      </w:r>
      <w:bookmarkStart w:name="十七、母公司财务报表主要项目注释" w:id="530"/>
      <w:bookmarkEnd w:id="530"/>
      <w:r>
        <w:rPr>
          <w:rFonts w:ascii="宋体" w:hAnsi="宋体" w:cs="宋体" w:eastAsia="宋体" w:hint="default"/>
          <w:b/>
          <w:bCs/>
          <w:w w:val="100"/>
          <w:sz w:val="21"/>
          <w:szCs w:val="21"/>
        </w:rPr>
      </w:r>
      <w:r>
        <w:rPr>
          <w:rFonts w:ascii="宋体" w:hAnsi="宋体" w:cs="宋体" w:eastAsia="宋体" w:hint="default"/>
          <w:b/>
          <w:bCs/>
          <w:sz w:val="24"/>
          <w:szCs w:val="24"/>
        </w:rPr>
        <w:t>十七、母公司财务报表主要项目注释</w:t>
      </w:r>
      <w:r>
        <w:rPr>
          <w:rFonts w:ascii="宋体" w:hAnsi="宋体" w:cs="宋体" w:eastAsia="宋体" w:hint="default"/>
          <w:b/>
          <w:bCs/>
          <w:w w:val="99"/>
          <w:sz w:val="24"/>
          <w:szCs w:val="24"/>
        </w:rPr>
        <w:t> </w:t>
      </w:r>
      <w:bookmarkStart w:name="1、应收账款" w:id="531"/>
      <w:bookmarkEnd w:id="531"/>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、应收账款</w:t>
      </w:r>
      <w:r>
        <w:rPr>
          <w:rFonts w:ascii="宋体" w:hAnsi="宋体" w:cs="宋体" w:eastAsia="宋体" w:hint="default"/>
          <w:sz w:val="21"/>
          <w:szCs w:val="21"/>
        </w:rPr>
      </w:r>
    </w:p>
    <w:p>
      <w:pPr>
        <w:pStyle w:val="Heading4"/>
        <w:spacing w:line="240" w:lineRule="auto" w:before="84"/>
        <w:ind w:right="986"/>
        <w:jc w:val="left"/>
        <w:rPr>
          <w:b w:val="0"/>
          <w:bCs w:val="0"/>
        </w:rPr>
      </w:pPr>
      <w:bookmarkStart w:name="（1）应收账款分类披露" w:id="532"/>
      <w:bookmarkEnd w:id="532"/>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635"/>
        <w:gridCol w:w="763"/>
        <w:gridCol w:w="764"/>
        <w:gridCol w:w="650"/>
        <w:gridCol w:w="1020"/>
        <w:gridCol w:w="644"/>
        <w:gridCol w:w="775"/>
        <w:gridCol w:w="797"/>
        <w:gridCol w:w="607"/>
        <w:gridCol w:w="109"/>
        <w:gridCol w:w="874"/>
        <w:gridCol w:w="931"/>
      </w:tblGrid>
      <w:tr>
        <w:trPr>
          <w:trHeight w:val="396"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8"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8"/>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7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6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139" w:right="132"/>
              <w:jc w:val="left"/>
              <w:rPr>
                <w:rFonts w:ascii="宋体" w:hAnsi="宋体" w:cs="宋体" w:eastAsia="宋体" w:hint="default"/>
                <w:sz w:val="18"/>
                <w:szCs w:val="18"/>
              </w:rPr>
            </w:pPr>
            <w:r>
              <w:rPr>
                <w:rFonts w:ascii="宋体" w:hAnsi="宋体" w:cs="宋体" w:eastAsia="宋体" w:hint="default"/>
                <w:sz w:val="18"/>
                <w:szCs w:val="18"/>
              </w:rPr>
              <w:t>账面 价值</w:t>
            </w:r>
          </w:p>
        </w:tc>
        <w:tc>
          <w:tcPr>
            <w:tcW w:w="157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8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369" w:right="191" w:hanging="180"/>
              <w:jc w:val="left"/>
              <w:rPr>
                <w:rFonts w:ascii="宋体" w:hAnsi="宋体" w:cs="宋体" w:eastAsia="宋体" w:hint="default"/>
                <w:sz w:val="18"/>
                <w:szCs w:val="18"/>
              </w:rPr>
            </w:pPr>
            <w:r>
              <w:rPr>
                <w:rFonts w:ascii="宋体" w:hAnsi="宋体" w:cs="宋体" w:eastAsia="宋体" w:hint="default"/>
                <w:sz w:val="18"/>
                <w:szCs w:val="18"/>
              </w:rPr>
              <w:t>账面价 值</w:t>
            </w:r>
          </w:p>
        </w:tc>
      </w:tr>
      <w:tr>
        <w:trPr>
          <w:trHeight w:val="40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39"/>
              <w:jc w:val="right"/>
              <w:rPr>
                <w:rFonts w:ascii="宋体" w:hAnsi="宋体" w:cs="宋体" w:eastAsia="宋体" w:hint="default"/>
                <w:sz w:val="18"/>
                <w:szCs w:val="18"/>
              </w:rPr>
            </w:pPr>
            <w:r>
              <w:rPr>
                <w:rFonts w:ascii="宋体" w:hAnsi="宋体" w:cs="宋体" w:eastAsia="宋体" w:hint="default"/>
                <w:sz w:val="18"/>
                <w:szCs w:val="18"/>
              </w:rPr>
              <w:t>金额</w:t>
            </w: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644" w:type="dxa"/>
            <w:vMerge/>
            <w:tcBorders>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8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按单项计提坏账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982" w:type="dxa"/>
            <w:gridSpan w:val="2"/>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09" w:type="dxa"/>
            <w:tcBorders>
              <w:top w:val="single" w:sz="4" w:space="0" w:color="000000"/>
              <w:left w:val="single" w:sz="4" w:space="0" w:color="000000"/>
              <w:bottom w:val="single" w:sz="4" w:space="0" w:color="000000"/>
              <w:right w:val="nil" w:sz="6" w:space="0" w:color="auto"/>
            </w:tcBorders>
          </w:tcPr>
          <w:p>
            <w:pPr/>
          </w:p>
        </w:tc>
        <w:tc>
          <w:tcPr>
            <w:tcW w:w="874" w:type="dxa"/>
            <w:tcBorders>
              <w:top w:val="single" w:sz="4" w:space="0" w:color="000000"/>
              <w:left w:val="nil" w:sz="6" w:space="0" w:color="auto"/>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3" w:right="261"/>
              <w:jc w:val="left"/>
              <w:rPr>
                <w:rFonts w:ascii="宋体" w:hAnsi="宋体" w:cs="宋体" w:eastAsia="宋体" w:hint="default"/>
                <w:sz w:val="18"/>
                <w:szCs w:val="18"/>
              </w:rPr>
            </w:pPr>
            <w:r>
              <w:rPr>
                <w:rFonts w:ascii="宋体" w:hAnsi="宋体" w:cs="宋体" w:eastAsia="宋体" w:hint="default"/>
                <w:sz w:val="18"/>
                <w:szCs w:val="18"/>
              </w:rPr>
              <w:t>按组合计提坏账 准备的应收账款</w:t>
            </w:r>
          </w:p>
        </w:tc>
        <w:tc>
          <w:tcPr>
            <w:tcW w:w="763" w:type="dxa"/>
            <w:tcBorders>
              <w:top w:val="single" w:sz="4" w:space="0" w:color="000000"/>
              <w:left w:val="single" w:sz="4" w:space="0" w:color="000000"/>
              <w:bottom w:val="single" w:sz="4" w:space="0" w:color="000000"/>
              <w:right w:val="single" w:sz="4" w:space="0" w:color="000000"/>
            </w:tcBorders>
          </w:tcPr>
          <w:p>
            <w:pPr/>
          </w:p>
        </w:tc>
        <w:tc>
          <w:tcPr>
            <w:tcW w:w="76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c>
          <w:tcPr>
            <w:tcW w:w="1020"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7" w:right="0"/>
              <w:jc w:val="center"/>
              <w:rPr>
                <w:rFonts w:ascii="Times New Roman" w:hAnsi="Times New Roman" w:cs="Times New Roman" w:eastAsia="Times New Roman" w:hint="default"/>
                <w:sz w:val="18"/>
                <w:szCs w:val="18"/>
              </w:rPr>
            </w:pPr>
            <w:r>
              <w:rPr>
                <w:rFonts w:ascii="Times New Roman"/>
                <w:sz w:val="18"/>
              </w:rPr>
              <w:t>0.00</w:t>
            </w: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982" w:type="dxa"/>
            <w:gridSpan w:val="2"/>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0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109" w:type="dxa"/>
            <w:tcBorders>
              <w:top w:val="single" w:sz="4" w:space="0" w:color="000000"/>
              <w:left w:val="single" w:sz="4" w:space="0" w:color="000000"/>
              <w:bottom w:val="single" w:sz="4" w:space="0" w:color="000000"/>
              <w:right w:val="nil" w:sz="6" w:space="0" w:color="auto"/>
            </w:tcBorders>
          </w:tcPr>
          <w:p>
            <w:pPr/>
          </w:p>
        </w:tc>
        <w:tc>
          <w:tcPr>
            <w:tcW w:w="874" w:type="dxa"/>
            <w:tcBorders>
              <w:top w:val="single" w:sz="4" w:space="0" w:color="000000"/>
              <w:left w:val="nil" w:sz="6" w:space="0" w:color="auto"/>
              <w:bottom w:val="single" w:sz="4" w:space="0" w:color="000000"/>
              <w:right w:val="single" w:sz="4" w:space="0" w:color="000000"/>
            </w:tcBorders>
            <w:shd w:val="clear" w:color="auto" w:fill="D2D2D2"/>
          </w:tcPr>
          <w:p>
            <w:pP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8" w:right="0"/>
              <w:jc w:val="left"/>
              <w:rPr>
                <w:rFonts w:ascii="Times New Roman" w:hAnsi="Times New Roman" w:cs="Times New Roman" w:eastAsia="Times New Roman" w:hint="default"/>
                <w:sz w:val="18"/>
                <w:szCs w:val="18"/>
              </w:rPr>
            </w:pPr>
            <w:r>
              <w:rPr>
                <w:rFonts w:ascii="Times New Roman"/>
                <w:sz w:val="18"/>
              </w:rPr>
              <w:t>0.00</w:t>
            </w:r>
          </w:p>
        </w:tc>
        <w:tc>
          <w:tcPr>
            <w:tcW w:w="764"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0.00</w:t>
            </w:r>
          </w:p>
        </w:tc>
        <w:tc>
          <w:tcPr>
            <w:tcW w:w="1020" w:type="dxa"/>
            <w:tcBorders>
              <w:top w:val="single" w:sz="4" w:space="0" w:color="000000"/>
              <w:left w:val="single" w:sz="4" w:space="0" w:color="000000"/>
              <w:bottom w:val="single" w:sz="4" w:space="0" w:color="000000"/>
              <w:right w:val="single" w:sz="4" w:space="0" w:color="000000"/>
            </w:tcBorders>
          </w:tcPr>
          <w:p>
            <w:pPr/>
          </w:p>
        </w:tc>
        <w:tc>
          <w:tcPr>
            <w:tcW w:w="644" w:type="dxa"/>
            <w:tcBorders>
              <w:top w:val="single" w:sz="4" w:space="0" w:color="000000"/>
              <w:left w:val="single" w:sz="4" w:space="0" w:color="000000"/>
              <w:bottom w:val="single" w:sz="4" w:space="0" w:color="000000"/>
              <w:right w:val="single" w:sz="4" w:space="0" w:color="000000"/>
            </w:tcBorders>
          </w:tcPr>
          <w:p>
            <w:pPr/>
          </w:p>
        </w:tc>
        <w:tc>
          <w:tcPr>
            <w:tcW w:w="77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07" w:type="dxa"/>
            <w:tcBorders>
              <w:top w:val="single" w:sz="4" w:space="0" w:color="000000"/>
              <w:left w:val="single" w:sz="4" w:space="0" w:color="000000"/>
              <w:bottom w:val="single" w:sz="4" w:space="0" w:color="000000"/>
              <w:right w:val="single" w:sz="4" w:space="0" w:color="000000"/>
            </w:tcBorders>
          </w:tcPr>
          <w:p>
            <w:pPr/>
          </w:p>
        </w:tc>
        <w:tc>
          <w:tcPr>
            <w:tcW w:w="982" w:type="dxa"/>
            <w:gridSpan w:val="2"/>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986"/>
        <w:jc w:val="left"/>
      </w:pPr>
      <w:r>
        <w:rPr/>
        <w:pict>
          <v:shape style="position:absolute;margin-left:409.390015pt;margin-top:-95.998291pt;width:35.274589pt;height:19.4775pt;mso-position-horizontal-relative:page;mso-position-vertical-relative:paragraph;z-index:-977248" type="#_x0000_t75" stroked="false">
            <v:imagedata r:id="rId19" o:title=""/>
          </v:shape>
        </w:pict>
      </w:r>
      <w:r>
        <w:rPr/>
        <w:pict>
          <v:shape style="position:absolute;margin-left:409.390015pt;margin-top:-40.198288pt;width:35.315337pt;height:19.5pt;mso-position-horizontal-relative:page;mso-position-vertical-relative:paragraph;z-index:-977224" type="#_x0000_t75" stroked="false">
            <v:imagedata r:id="rId20" o:title=""/>
          </v:shape>
        </w:pict>
      </w:r>
      <w:r>
        <w:rPr/>
        <w:t>按单项计提坏账准备：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66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vMerge/>
            <w:tcBorders>
              <w:left w:val="single" w:sz="4" w:space="0" w:color="000000"/>
              <w:bottom w:val="single" w:sz="4" w:space="0" w:color="000000"/>
              <w:right w:val="single" w:sz="4" w:space="0" w:color="000000"/>
            </w:tcBorders>
            <w:shd w:val="clear" w:color="auto" w:fill="D2D2D2"/>
          </w:tcPr>
          <w:p>
            <w:pP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5"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0"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49"/>
        <w:ind w:right="986"/>
        <w:jc w:val="left"/>
      </w:pPr>
      <w:r>
        <w:rPr/>
        <w:t>按组合计提坏账准备：</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6"/>
      </w:tblGrid>
      <w:tr>
        <w:trPr>
          <w:trHeight w:val="403"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8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49"/>
        <w:ind w:right="1754"/>
        <w:jc w:val="left"/>
      </w:pPr>
      <w:r>
        <w:rPr/>
        <w:t>确定该组合依据的说明： 如是按照预期信用损失一般模型计提应收账款坏账准备，请参照其他应收款的披露方式披露坏账准备的相关信息：</w:t>
      </w:r>
    </w:p>
    <w:p>
      <w:pPr>
        <w:pStyle w:val="BodyText"/>
        <w:spacing w:line="360" w:lineRule="auto" w:before="25"/>
        <w:ind w:right="9221"/>
        <w:jc w:val="left"/>
      </w:pPr>
      <w:r>
        <w:rPr/>
        <w:t>□ 适用 √</w:t>
      </w:r>
      <w:r>
        <w:rPr>
          <w:spacing w:val="3"/>
        </w:rPr>
        <w:t> </w:t>
      </w:r>
      <w:r>
        <w:rPr/>
        <w:t>不适用</w:t>
      </w:r>
      <w:r>
        <w:rPr/>
        <w:t> 按账龄披露</w:t>
      </w:r>
    </w:p>
    <w:p>
      <w:pPr>
        <w:pStyle w:val="BodyText"/>
        <w:spacing w:line="240" w:lineRule="auto" w:before="2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8"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本期计提、收回或转回的坏账准备情况" w:id="533"/>
      <w:bookmarkEnd w:id="533"/>
      <w:r>
        <w:rPr>
          <w:b w:val="0"/>
          <w:bCs w:val="0"/>
        </w:rPr>
      </w:r>
      <w:r>
        <w:rPr/>
        <w:t>（</w:t>
      </w:r>
      <w:r>
        <w:rPr>
          <w:rFonts w:ascii="Times New Roman" w:hAnsi="Times New Roman" w:cs="Times New Roman" w:eastAsia="Times New Roman" w:hint="default"/>
        </w:rPr>
        <w:t>2</w:t>
      </w:r>
      <w:r>
        <w:rPr/>
        <w:t>）本期计提、收回或转回的坏账准备情况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right="986"/>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after="0" w:line="240" w:lineRule="auto"/>
        <w:jc w:val="right"/>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1367"/>
        <w:gridCol w:w="1369"/>
        <w:gridCol w:w="1368"/>
        <w:gridCol w:w="1366"/>
        <w:gridCol w:w="1368"/>
        <w:gridCol w:w="1366"/>
        <w:gridCol w:w="1368"/>
      </w:tblGrid>
      <w:tr>
        <w:trPr>
          <w:trHeight w:val="402" w:hRule="exact"/>
        </w:trPr>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7"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tcBorders>
              <w:left w:val="single" w:sz="4" w:space="0" w:color="000000"/>
              <w:bottom w:val="single" w:sz="4" w:space="0" w:color="000000"/>
              <w:right w:val="single" w:sz="4" w:space="0" w:color="000000"/>
            </w:tcBorders>
            <w:shd w:val="clear" w:color="auto" w:fill="D2D2D2"/>
          </w:tcPr>
          <w:p>
            <w:pPr/>
          </w:p>
        </w:tc>
      </w:tr>
    </w:tbl>
    <w:p>
      <w:pPr>
        <w:pStyle w:val="BodyText"/>
        <w:spacing w:line="240" w:lineRule="auto" w:before="49"/>
        <w:ind w:right="986"/>
        <w:jc w:val="left"/>
      </w:pPr>
      <w:r>
        <w:rPr/>
        <w:t>其中本期坏账准备收回或转回金额重要的：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367"/>
        <w:gridCol w:w="3101"/>
        <w:gridCol w:w="3101"/>
      </w:tblGrid>
      <w:tr>
        <w:trPr>
          <w:trHeight w:val="403" w:hRule="exact"/>
        </w:trPr>
        <w:tc>
          <w:tcPr>
            <w:tcW w:w="3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本期实际核销的应收账款情况" w:id="534"/>
      <w:bookmarkEnd w:id="534"/>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982"/>
        <w:gridCol w:w="4587"/>
      </w:tblGrid>
      <w:tr>
        <w:trPr>
          <w:trHeight w:val="403" w:hRule="exact"/>
        </w:trPr>
        <w:tc>
          <w:tcPr>
            <w:tcW w:w="4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986"/>
        <w:jc w:val="left"/>
      </w:pPr>
      <w:r>
        <w:rPr/>
        <w:t>其中重要的应收账款核销情况：</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84"/>
        <w:gridCol w:w="1551"/>
        <w:gridCol w:w="1553"/>
        <w:gridCol w:w="1551"/>
        <w:gridCol w:w="1616"/>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75"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43" w:right="168" w:hanging="269"/>
              <w:jc w:val="left"/>
              <w:rPr>
                <w:rFonts w:ascii="宋体" w:hAnsi="宋体" w:cs="宋体" w:eastAsia="宋体" w:hint="default"/>
                <w:sz w:val="18"/>
                <w:szCs w:val="18"/>
              </w:rPr>
            </w:pPr>
            <w:r>
              <w:rPr>
                <w:rFonts w:ascii="宋体" w:hAnsi="宋体" w:cs="宋体" w:eastAsia="宋体" w:hint="default"/>
                <w:sz w:val="18"/>
                <w:szCs w:val="18"/>
              </w:rPr>
              <w:t>款项是否由关联 交易产生</w:t>
            </w:r>
          </w:p>
        </w:tc>
      </w:tr>
    </w:tbl>
    <w:p>
      <w:pPr>
        <w:pStyle w:val="BodyText"/>
        <w:spacing w:line="240" w:lineRule="auto" w:before="49"/>
        <w:ind w:right="986"/>
        <w:jc w:val="left"/>
      </w:pPr>
      <w:r>
        <w:rPr/>
        <w:t>应收账款核销说明：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4）按欠款方归集的期末余额前五名的应收账款情况" w:id="535"/>
      <w:bookmarkEnd w:id="535"/>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2392"/>
        <w:gridCol w:w="2391"/>
        <w:gridCol w:w="2393"/>
        <w:gridCol w:w="2393"/>
      </w:tblGrid>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4" w:right="108" w:hanging="812"/>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5）因金融资产转移而终止确认的应收账款" w:id="536"/>
      <w:bookmarkEnd w:id="536"/>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6）转移应收账款且继续涉入形成的资产、负债金额" w:id="537"/>
      <w:bookmarkEnd w:id="537"/>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其他应收款" w:id="538"/>
      <w:bookmarkEnd w:id="538"/>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25,340,193.64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14,604,440.17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1,511,936,437.53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543,299,197.32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1,539,426,631.17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557,903,637.49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1）应收利息" w:id="539"/>
      <w:bookmarkEnd w:id="539"/>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应收利息分类" w:id="540"/>
      <w:bookmarkEnd w:id="540"/>
      <w:r>
        <w:rPr>
          <w:b w:val="0"/>
          <w:bCs w:val="0"/>
        </w:rPr>
      </w:r>
      <w:r>
        <w:rPr>
          <w:rFonts w:ascii="Times New Roman" w:hAnsi="Times New Roman" w:cs="Times New Roman" w:eastAsia="Times New Roman" w:hint="default"/>
        </w:rPr>
        <w:t>1</w:t>
      </w:r>
      <w:r>
        <w:rPr/>
        <w:t>）应收利息分类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子公司借款利息</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25,340,193.64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14,604,440.17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25,340,193.64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14,604,440.17</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重要逾期利息" w:id="541"/>
      <w:bookmarkEnd w:id="541"/>
      <w:r>
        <w:rPr>
          <w:b w:val="0"/>
          <w:bCs w:val="0"/>
        </w:rPr>
      </w:r>
      <w:r>
        <w:rPr>
          <w:rFonts w:ascii="Times New Roman" w:hAnsi="Times New Roman" w:cs="Times New Roman" w:eastAsia="Times New Roman" w:hint="default"/>
        </w:rPr>
        <w:t>2</w:t>
      </w:r>
      <w:r>
        <w:rPr/>
        <w:t>）重要逾期利息</w:t>
      </w:r>
      <w:r>
        <w:rPr>
          <w:b w:val="0"/>
          <w:bCs w:val="0"/>
        </w:rPr>
      </w:r>
    </w:p>
    <w:p>
      <w:pPr>
        <w:spacing w:line="240" w:lineRule="auto" w:before="9"/>
        <w:rPr>
          <w:rFonts w:ascii="宋体" w:hAnsi="宋体" w:cs="宋体" w:eastAsia="宋体" w:hint="default"/>
          <w:b/>
          <w:bCs/>
          <w:sz w:val="25"/>
          <w:szCs w:val="25"/>
        </w:rPr>
      </w:pPr>
    </w:p>
    <w:tbl>
      <w:tblPr>
        <w:tblW w:w="0" w:type="auto"/>
        <w:jc w:val="left"/>
        <w:tblInd w:w="10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71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89"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2" w:right="143" w:hanging="540"/>
              <w:jc w:val="left"/>
              <w:rPr>
                <w:rFonts w:ascii="宋体" w:hAnsi="宋体" w:cs="宋体" w:eastAsia="宋体" w:hint="default"/>
                <w:sz w:val="18"/>
                <w:szCs w:val="18"/>
              </w:rPr>
            </w:pPr>
            <w:r>
              <w:rPr>
                <w:rFonts w:ascii="宋体" w:hAnsi="宋体" w:cs="宋体" w:eastAsia="宋体" w:hint="default"/>
                <w:sz w:val="18"/>
                <w:szCs w:val="18"/>
              </w:rPr>
              <w:t>是否发生减值及其判 断依据</w:t>
            </w:r>
          </w:p>
        </w:tc>
      </w:tr>
    </w:tbl>
    <w:p>
      <w:pPr>
        <w:pStyle w:val="BodyText"/>
        <w:spacing w:line="240" w:lineRule="auto" w:before="50"/>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3）坏账准备计提情况" w:id="542"/>
      <w:bookmarkEnd w:id="542"/>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2）应收股利" w:id="543"/>
      <w:bookmarkEnd w:id="543"/>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应收股利分类" w:id="544"/>
      <w:bookmarkEnd w:id="544"/>
      <w:r>
        <w:rPr>
          <w:b w:val="0"/>
          <w:bCs w:val="0"/>
        </w:rPr>
      </w:r>
      <w:r>
        <w:rPr>
          <w:rFonts w:ascii="Times New Roman" w:hAnsi="Times New Roman" w:cs="Times New Roman" w:eastAsia="Times New Roman" w:hint="default"/>
        </w:rPr>
        <w:t>1</w:t>
      </w:r>
      <w:r>
        <w:rPr/>
        <w:t>）应收股利分类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应收子公司股利款</w:t>
            </w:r>
            <w:r>
              <w:rPr>
                <w:rFonts w:ascii="Times New Roman" w:hAnsi="Times New Roman" w:cs="Times New Roman" w:eastAsia="Times New Roman" w:hint="default"/>
                <w:sz w:val="18"/>
                <w:szCs w:val="18"/>
              </w:rPr>
              <w:t>-</w:t>
            </w:r>
            <w:r>
              <w:rPr>
                <w:rFonts w:ascii="宋体" w:hAnsi="宋体" w:cs="宋体" w:eastAsia="宋体" w:hint="default"/>
                <w:sz w:val="18"/>
                <w:szCs w:val="18"/>
              </w:rPr>
              <w:t>冉十科技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2,150,000.00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2,150,000.00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重要的账龄超过1年的应收股利" w:id="545"/>
      <w:bookmarkEnd w:id="545"/>
      <w:r>
        <w:rPr>
          <w:b w:val="0"/>
          <w:bCs w:val="0"/>
        </w:rPr>
      </w:r>
      <w:r>
        <w:rPr>
          <w:rFonts w:ascii="Times New Roman" w:hAnsi="Times New Roman" w:cs="Times New Roman" w:eastAsia="Times New Roman" w:hint="default"/>
        </w:rPr>
        <w:t>2</w:t>
      </w:r>
      <w:r>
        <w:rPr/>
        <w:t>）重要的账龄超过</w:t>
      </w:r>
      <w:r>
        <w:rPr>
          <w:spacing w:val="-52"/>
        </w:rPr>
        <w:t> </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年的应收股利</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914"/>
        <w:gridCol w:w="1373"/>
        <w:gridCol w:w="1200"/>
        <w:gridCol w:w="2093"/>
        <w:gridCol w:w="2991"/>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6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2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10" w:right="0"/>
              <w:jc w:val="left"/>
              <w:rPr>
                <w:rFonts w:ascii="宋体" w:hAnsi="宋体" w:cs="宋体" w:eastAsia="宋体" w:hint="default"/>
                <w:sz w:val="18"/>
                <w:szCs w:val="18"/>
              </w:rPr>
            </w:pPr>
            <w:r>
              <w:rPr>
                <w:rFonts w:ascii="宋体" w:hAnsi="宋体" w:cs="宋体" w:eastAsia="宋体" w:hint="default"/>
                <w:sz w:val="18"/>
                <w:szCs w:val="18"/>
              </w:rPr>
              <w:t>是否发生减值及其判断依据</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坏账准备计提情况" w:id="546"/>
      <w:bookmarkEnd w:id="546"/>
      <w:r>
        <w:rPr>
          <w:b w:val="0"/>
          <w:bCs w:val="0"/>
        </w:rPr>
      </w:r>
      <w:r>
        <w:rPr>
          <w:rFonts w:ascii="Times New Roman" w:hAnsi="Times New Roman" w:cs="Times New Roman" w:eastAsia="Times New Roman" w:hint="default"/>
        </w:rPr>
        <w:t>3</w:t>
      </w:r>
      <w:r>
        <w:rPr/>
        <w:t>）坏账准备计提情况</w:t>
      </w:r>
      <w:r>
        <w:rPr>
          <w:b w:val="0"/>
          <w:bCs w:val="0"/>
        </w:rPr>
      </w:r>
    </w:p>
    <w:p>
      <w:pPr>
        <w:spacing w:line="240" w:lineRule="auto" w:before="4"/>
        <w:rPr>
          <w:rFonts w:ascii="宋体" w:hAnsi="宋体" w:cs="宋体" w:eastAsia="宋体" w:hint="default"/>
          <w:b/>
          <w:bCs/>
          <w:sz w:val="26"/>
          <w:szCs w:val="26"/>
        </w:rPr>
      </w:pPr>
    </w:p>
    <w:p>
      <w:pPr>
        <w:pStyle w:val="BodyText"/>
        <w:spacing w:line="357" w:lineRule="auto" w:before="0"/>
        <w:ind w:right="9221"/>
        <w:jc w:val="left"/>
      </w:pPr>
      <w:r>
        <w:rPr/>
        <w:t>□ 适用 √</w:t>
      </w:r>
      <w:r>
        <w:rPr>
          <w:spacing w:val="3"/>
        </w:rPr>
        <w:t> </w:t>
      </w:r>
      <w:r>
        <w:rPr/>
        <w:t>不适用</w:t>
      </w:r>
      <w:r>
        <w:rPr/>
        <w:t> 其他说明：</w:t>
      </w:r>
    </w:p>
    <w:p>
      <w:pPr>
        <w:spacing w:after="0" w:line="357"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3）其他应收款" w:id="547"/>
      <w:bookmarkEnd w:id="547"/>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1）其他应收款按款项性质分类情况" w:id="548"/>
      <w:bookmarkEnd w:id="548"/>
      <w:r>
        <w:rPr>
          <w:b w:val="0"/>
          <w:bCs w:val="0"/>
        </w:rPr>
      </w:r>
      <w:r>
        <w:rPr>
          <w:rFonts w:ascii="Times New Roman" w:hAnsi="Times New Roman" w:cs="Times New Roman" w:eastAsia="Times New Roman" w:hint="default"/>
        </w:rPr>
        <w:t>1</w:t>
      </w:r>
      <w:r>
        <w:rPr/>
        <w:t>）其他应收款按款项性质分类情况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应收股权转让款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90,160,000.00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1,308,333.80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1,281,753.80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员工备用金及垫付款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1,372,670.42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29,319.43</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其他单位往来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795,639.62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787,239.62</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关联方往来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1,415,395,810.58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532,029,128.82</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被投资单位原股东承诺退回投资款</w:t>
            </w:r>
          </w:p>
        </w:tc>
        <w:tc>
          <w:tcPr>
            <w:tcW w:w="3192"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债权转让款</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4,000,000.00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1,513,032,454.42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544,127,441.67</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坏账准备计提情况" w:id="549"/>
      <w:bookmarkEnd w:id="549"/>
      <w:r>
        <w:rPr>
          <w:b w:val="0"/>
          <w:bCs w:val="0"/>
        </w:rPr>
      </w:r>
      <w:r>
        <w:rPr>
          <w:rFonts w:ascii="Times New Roman" w:hAnsi="Times New Roman" w:cs="Times New Roman" w:eastAsia="Times New Roman" w:hint="default"/>
        </w:rPr>
        <w:t>2</w:t>
      </w:r>
      <w:r>
        <w:rPr/>
        <w:t>）坏账准备计提情况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189"/>
        <w:gridCol w:w="1378"/>
        <w:gridCol w:w="2098"/>
        <w:gridCol w:w="2101"/>
        <w:gridCol w:w="1805"/>
      </w:tblGrid>
      <w:tr>
        <w:trPr>
          <w:trHeight w:val="401" w:hRule="exact"/>
        </w:trPr>
        <w:tc>
          <w:tcPr>
            <w:tcW w:w="21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6" w:hRule="exact"/>
        </w:trPr>
        <w:tc>
          <w:tcPr>
            <w:tcW w:w="2189" w:type="dxa"/>
            <w:vMerge/>
            <w:tcBorders>
              <w:left w:val="single" w:sz="4" w:space="0" w:color="000000"/>
              <w:bottom w:val="single" w:sz="4" w:space="0" w:color="000000"/>
              <w:right w:val="single" w:sz="4" w:space="0" w:color="000000"/>
            </w:tcBorders>
            <w:shd w:val="clear" w:color="auto" w:fill="D2D2D2"/>
          </w:tcPr>
          <w:p>
            <w:pP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35" w:right="96" w:hanging="130"/>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个月预 期信用损失</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3"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未发生信用减值</w:t>
            </w:r>
            <w:r>
              <w:rPr>
                <w:rFonts w:ascii="Times New Roman" w:hAnsi="Times New Roman" w:cs="Times New Roman" w:eastAsia="Times New Roman"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6" w:right="142" w:hanging="120"/>
              <w:jc w:val="left"/>
              <w:rPr>
                <w:rFonts w:ascii="Times New Roman" w:hAnsi="Times New Roman" w:cs="Times New Roman" w:eastAsia="Times New Roman" w:hint="default"/>
                <w:sz w:val="18"/>
                <w:szCs w:val="18"/>
              </w:rPr>
            </w:pPr>
            <w:r>
              <w:rPr>
                <w:rFonts w:ascii="宋体" w:hAnsi="宋体" w:cs="宋体" w:eastAsia="宋体" w:hint="default"/>
                <w:sz w:val="18"/>
                <w:szCs w:val="18"/>
              </w:rPr>
              <w:t>整个存续期预期信用损 失</w:t>
            </w:r>
            <w:r>
              <w:rPr>
                <w:rFonts w:ascii="Times New Roman" w:hAnsi="Times New Roman" w:cs="Times New Roman" w:eastAsia="Times New Roman" w:hint="default"/>
                <w:sz w:val="18"/>
                <w:szCs w:val="18"/>
              </w:rPr>
              <w:t>(</w:t>
            </w:r>
            <w:r>
              <w:rPr>
                <w:rFonts w:ascii="宋体" w:hAnsi="宋体" w:cs="宋体" w:eastAsia="宋体" w:hint="default"/>
                <w:sz w:val="18"/>
                <w:szCs w:val="18"/>
              </w:rPr>
              <w:t>已发生信用减值</w:t>
            </w:r>
            <w:r>
              <w:rPr>
                <w:rFonts w:ascii="Times New Roman" w:hAnsi="Times New Roman" w:cs="Times New Roman" w:eastAsia="Times New Roman" w:hint="default"/>
                <w:sz w:val="18"/>
                <w:szCs w:val="18"/>
              </w:rPr>
              <w:t>)</w:t>
            </w:r>
          </w:p>
        </w:tc>
        <w:tc>
          <w:tcPr>
            <w:tcW w:w="1805"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日余额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828,244.35</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828,244.35</w:t>
            </w:r>
          </w:p>
        </w:tc>
      </w:tr>
      <w:tr>
        <w:trPr>
          <w:trHeight w:val="715" w:hRule="exact"/>
        </w:trPr>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03" w:right="101"/>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日余额在本 期</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c>
          <w:tcPr>
            <w:tcW w:w="21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w:t>
            </w:r>
          </w:p>
        </w:tc>
      </w:tr>
      <w:tr>
        <w:trPr>
          <w:trHeight w:val="401" w:hRule="exact"/>
        </w:trPr>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267,772.54</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267,772.54</w:t>
            </w:r>
          </w:p>
        </w:tc>
      </w:tr>
      <w:tr>
        <w:trPr>
          <w:trHeight w:val="403" w:hRule="exact"/>
        </w:trPr>
        <w:tc>
          <w:tcPr>
            <w:tcW w:w="2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日余额</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1,096,016.89</w:t>
            </w:r>
          </w:p>
        </w:tc>
        <w:tc>
          <w:tcPr>
            <w:tcW w:w="2098" w:type="dxa"/>
            <w:tcBorders>
              <w:top w:val="single" w:sz="4" w:space="0" w:color="000000"/>
              <w:left w:val="single" w:sz="4" w:space="0" w:color="000000"/>
              <w:bottom w:val="single" w:sz="4" w:space="0" w:color="000000"/>
              <w:right w:val="single" w:sz="4" w:space="0" w:color="000000"/>
            </w:tcBorders>
          </w:tcPr>
          <w:p>
            <w:pPr/>
          </w:p>
        </w:tc>
        <w:tc>
          <w:tcPr>
            <w:tcW w:w="2101"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1,096,016.89</w:t>
            </w:r>
          </w:p>
        </w:tc>
      </w:tr>
    </w:tbl>
    <w:p>
      <w:pPr>
        <w:spacing w:after="0" w:line="240" w:lineRule="auto"/>
        <w:jc w:val="right"/>
        <w:rPr>
          <w:rFonts w:ascii="Times New Roman" w:hAnsi="Times New Roman" w:cs="Times New Roman" w:eastAsia="Times New Roman" w:hint="default"/>
          <w:sz w:val="18"/>
          <w:szCs w:val="18"/>
        </w:rPr>
        <w:sectPr>
          <w:pgSz w:w="11910" w:h="16840"/>
          <w:pgMar w:header="906" w:footer="1021" w:top="1100" w:bottom="1220" w:left="1020" w:right="0"/>
        </w:sectPr>
      </w:pPr>
    </w:p>
    <w:p>
      <w:pPr>
        <w:pStyle w:val="BodyText"/>
        <w:spacing w:line="240" w:lineRule="auto" w:before="49"/>
        <w:ind w:right="-20"/>
        <w:jc w:val="left"/>
      </w:pPr>
      <w:r>
        <w:rPr/>
        <w:t>损失准备本期变动金额重大的账面余额变动情况</w:t>
      </w:r>
    </w:p>
    <w:p>
      <w:pPr>
        <w:pStyle w:val="BodyText"/>
        <w:spacing w:line="360" w:lineRule="auto" w:before="115"/>
        <w:ind w:right="2227"/>
        <w:jc w:val="left"/>
      </w:pPr>
      <w:r>
        <w:rPr/>
        <w:t>□ 适用 √</w:t>
      </w:r>
      <w:r>
        <w:rPr>
          <w:spacing w:val="3"/>
        </w:rPr>
        <w:t> </w:t>
      </w:r>
      <w:r>
        <w:rPr/>
        <w:t>不适用</w:t>
      </w:r>
      <w:r>
        <w:rPr/>
        <w:t>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w:t>
      </w:r>
      <w:r>
        <w:rPr>
          <w:spacing w:val="1"/>
        </w:rPr>
        <w:t> </w:t>
      </w:r>
      <w:r>
        <w:rPr/>
        <w:t>元</w:t>
      </w:r>
    </w:p>
    <w:p>
      <w:pPr>
        <w:spacing w:after="0" w:line="240" w:lineRule="auto"/>
        <w:jc w:val="left"/>
        <w:sectPr>
          <w:type w:val="continuous"/>
          <w:pgSz w:w="11910" w:h="16840"/>
          <w:pgMar w:top="1100" w:bottom="1220" w:left="1020" w:right="0"/>
          <w:cols w:num="2" w:equalWidth="0">
            <w:col w:w="3893" w:space="4936"/>
            <w:col w:w="2061"/>
          </w:cols>
        </w:sectPr>
      </w:pP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4784"/>
        <w:gridCol w:w="4787"/>
      </w:tblGrid>
      <w:tr>
        <w:trPr>
          <w:trHeight w:val="399"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6"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1"/>
              <w:jc w:val="right"/>
              <w:rPr>
                <w:rFonts w:ascii="Times New Roman" w:hAnsi="Times New Roman" w:cs="Times New Roman" w:eastAsia="Times New Roman" w:hint="default"/>
                <w:sz w:val="18"/>
                <w:szCs w:val="18"/>
              </w:rPr>
            </w:pPr>
            <w:r>
              <w:rPr>
                <w:rFonts w:ascii="Times New Roman"/>
                <w:spacing w:val="-1"/>
                <w:sz w:val="18"/>
              </w:rPr>
              <w:t>1,034,683,059.80</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646,069,677.61</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388,613,382.19</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397,084,406.94</w:t>
            </w:r>
          </w:p>
        </w:tc>
      </w:tr>
      <w:tr>
        <w:trPr>
          <w:trHeight w:val="401"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80,459,848.06</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805,139.62</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100" w:bottom="1220" w:left="1020" w:right="0"/>
        </w:sectPr>
      </w:pPr>
    </w:p>
    <w:p>
      <w:pPr>
        <w:spacing w:line="240" w:lineRule="auto" w:before="7"/>
        <w:rPr>
          <w:rFonts w:ascii="宋体" w:hAnsi="宋体" w:cs="宋体" w:eastAsia="宋体" w:hint="default"/>
          <w:sz w:val="25"/>
          <w:szCs w:val="25"/>
        </w:rPr>
      </w:pPr>
    </w:p>
    <w:tbl>
      <w:tblPr>
        <w:tblW w:w="0" w:type="auto"/>
        <w:jc w:val="left"/>
        <w:tblInd w:w="109" w:type="dxa"/>
        <w:tblLayout w:type="fixed"/>
        <w:tblCellMar>
          <w:top w:w="0" w:type="dxa"/>
          <w:left w:w="0" w:type="dxa"/>
          <w:bottom w:w="0" w:type="dxa"/>
          <w:right w:w="0" w:type="dxa"/>
        </w:tblCellMar>
        <w:tblLook w:val="01E0"/>
      </w:tblPr>
      <w:tblGrid>
        <w:gridCol w:w="4783"/>
        <w:gridCol w:w="4787"/>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812"/>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17,900.00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812"/>
              <w:jc w:val="righ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0"/>
              <w:jc w:val="right"/>
              <w:rPr>
                <w:rFonts w:ascii="Times New Roman" w:hAnsi="Times New Roman" w:cs="Times New Roman" w:eastAsia="Times New Roman" w:hint="default"/>
                <w:sz w:val="18"/>
                <w:szCs w:val="18"/>
              </w:rPr>
            </w:pPr>
            <w:r>
              <w:rPr>
                <w:rFonts w:ascii="Times New Roman"/>
                <w:spacing w:val="-1"/>
                <w:sz w:val="18"/>
              </w:rPr>
              <w:t>787,239.62</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1,513,032,454.42</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本期计提、收回或转回的坏账准备情况" w:id="550"/>
      <w:bookmarkEnd w:id="550"/>
      <w:r>
        <w:rPr>
          <w:b w:val="0"/>
          <w:bCs w:val="0"/>
        </w:rPr>
      </w:r>
      <w:r>
        <w:rPr>
          <w:rFonts w:ascii="Times New Roman" w:hAnsi="Times New Roman" w:cs="Times New Roman" w:eastAsia="Times New Roman" w:hint="default"/>
        </w:rPr>
        <w:t>3</w:t>
      </w:r>
      <w:r>
        <w:rPr/>
        <w:t>）本期计提、收回或转回的坏账准备情况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6"/>
        <w:jc w:val="left"/>
      </w:pPr>
      <w:r>
        <w:rPr/>
        <w:t>本期计提坏账准备情况：</w:t>
      </w:r>
    </w:p>
    <w:p>
      <w:pPr>
        <w:pStyle w:val="BodyText"/>
        <w:spacing w:line="240" w:lineRule="auto" w:before="117"/>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580"/>
        <w:gridCol w:w="1088"/>
        <w:gridCol w:w="1332"/>
        <w:gridCol w:w="1330"/>
        <w:gridCol w:w="1090"/>
        <w:gridCol w:w="1577"/>
        <w:gridCol w:w="1574"/>
      </w:tblGrid>
      <w:tr>
        <w:trPr>
          <w:trHeight w:val="401" w:hRule="exact"/>
        </w:trPr>
        <w:tc>
          <w:tcPr>
            <w:tcW w:w="15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80" w:type="dxa"/>
            <w:vMerge/>
            <w:tcBorders>
              <w:left w:val="single" w:sz="4" w:space="0" w:color="000000"/>
              <w:bottom w:val="single" w:sz="4" w:space="0" w:color="000000"/>
              <w:right w:val="single" w:sz="4" w:space="0" w:color="000000"/>
            </w:tcBorders>
            <w:shd w:val="clear" w:color="auto" w:fill="D2D2D2"/>
          </w:tcPr>
          <w:p>
            <w:pPr/>
          </w:p>
        </w:tc>
        <w:tc>
          <w:tcPr>
            <w:tcW w:w="1088" w:type="dxa"/>
            <w:vMerge/>
            <w:tcBorders>
              <w:left w:val="single" w:sz="4" w:space="0" w:color="000000"/>
              <w:bottom w:val="single" w:sz="4" w:space="0" w:color="000000"/>
              <w:right w:val="single" w:sz="4" w:space="0" w:color="000000"/>
            </w:tcBorders>
            <w:shd w:val="clear" w:color="auto" w:fill="D2D2D2"/>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5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103" w:right="204"/>
              <w:jc w:val="left"/>
              <w:rPr>
                <w:rFonts w:ascii="宋体" w:hAnsi="宋体" w:cs="宋体" w:eastAsia="宋体" w:hint="default"/>
                <w:sz w:val="18"/>
                <w:szCs w:val="18"/>
              </w:rPr>
            </w:pPr>
            <w:r>
              <w:rPr>
                <w:rFonts w:ascii="宋体" w:hAnsi="宋体" w:cs="宋体" w:eastAsia="宋体" w:hint="default"/>
                <w:sz w:val="18"/>
                <w:szCs w:val="18"/>
              </w:rPr>
              <w:t>其他应收款坏账 准备</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center"/>
              <w:rPr>
                <w:rFonts w:ascii="Times New Roman" w:hAnsi="Times New Roman" w:cs="Times New Roman" w:eastAsia="Times New Roman" w:hint="default"/>
                <w:sz w:val="18"/>
                <w:szCs w:val="18"/>
              </w:rPr>
            </w:pPr>
            <w:r>
              <w:rPr>
                <w:rFonts w:ascii="Times New Roman"/>
                <w:sz w:val="18"/>
              </w:rPr>
              <w:t>828,244.35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267,772.54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1,096,016.89</w:t>
            </w:r>
          </w:p>
        </w:tc>
      </w:tr>
      <w:tr>
        <w:trPr>
          <w:trHeight w:val="403" w:hRule="exact"/>
        </w:trPr>
        <w:tc>
          <w:tcPr>
            <w:tcW w:w="15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center"/>
              <w:rPr>
                <w:rFonts w:ascii="Times New Roman" w:hAnsi="Times New Roman" w:cs="Times New Roman" w:eastAsia="Times New Roman" w:hint="default"/>
                <w:sz w:val="18"/>
                <w:szCs w:val="18"/>
              </w:rPr>
            </w:pPr>
            <w:r>
              <w:rPr>
                <w:rFonts w:ascii="Times New Roman"/>
                <w:sz w:val="18"/>
              </w:rPr>
              <w:t>828,244.35</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267,772.54</w:t>
            </w:r>
          </w:p>
        </w:tc>
        <w:tc>
          <w:tcPr>
            <w:tcW w:w="1330" w:type="dxa"/>
            <w:tcBorders>
              <w:top w:val="single" w:sz="4" w:space="0" w:color="000000"/>
              <w:left w:val="single" w:sz="4" w:space="0" w:color="000000"/>
              <w:bottom w:val="single" w:sz="4" w:space="0" w:color="000000"/>
              <w:right w:val="single" w:sz="4" w:space="0" w:color="000000"/>
            </w:tcBorders>
          </w:tcPr>
          <w:p>
            <w:pPr/>
          </w:p>
        </w:tc>
        <w:tc>
          <w:tcPr>
            <w:tcW w:w="1090" w:type="dxa"/>
            <w:tcBorders>
              <w:top w:val="single" w:sz="4" w:space="0" w:color="000000"/>
              <w:left w:val="single" w:sz="4" w:space="0" w:color="000000"/>
              <w:bottom w:val="single" w:sz="4" w:space="0" w:color="000000"/>
              <w:right w:val="single" w:sz="4" w:space="0" w:color="000000"/>
            </w:tcBorders>
          </w:tcPr>
          <w:p>
            <w:pPr/>
          </w:p>
        </w:tc>
        <w:tc>
          <w:tcPr>
            <w:tcW w:w="1577"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1,096,016.89</w:t>
            </w:r>
          </w:p>
        </w:tc>
      </w:tr>
    </w:tbl>
    <w:p>
      <w:pPr>
        <w:pStyle w:val="BodyText"/>
        <w:spacing w:line="240" w:lineRule="auto" w:before="49"/>
        <w:ind w:right="986"/>
        <w:jc w:val="left"/>
      </w:pPr>
      <w:r>
        <w:rPr/>
        <w:t>其中本期坏账准备转回或收回金额重要的：</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3187"/>
        <w:gridCol w:w="3192"/>
        <w:gridCol w:w="3190"/>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4）本期实际核销的其他应收款情况" w:id="551"/>
      <w:bookmarkEnd w:id="551"/>
      <w:r>
        <w:rPr>
          <w:b w:val="0"/>
          <w:bCs w:val="0"/>
        </w:rPr>
      </w:r>
      <w:r>
        <w:rPr>
          <w:rFonts w:ascii="Times New Roman" w:hAnsi="Times New Roman" w:cs="Times New Roman" w:eastAsia="Times New Roman" w:hint="default"/>
        </w:rPr>
        <w:t>4</w:t>
      </w:r>
      <w:r>
        <w:rPr/>
        <w:t>）本期实际核销的其他应收款情况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4781"/>
        <w:gridCol w:w="4789"/>
      </w:tblGrid>
      <w:tr>
        <w:trPr>
          <w:trHeight w:val="401" w:hRule="exact"/>
        </w:trPr>
        <w:tc>
          <w:tcPr>
            <w:tcW w:w="4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bl>
    <w:p>
      <w:pPr>
        <w:pStyle w:val="BodyText"/>
        <w:spacing w:line="240" w:lineRule="auto" w:before="49"/>
        <w:ind w:right="986"/>
        <w:jc w:val="left"/>
      </w:pPr>
      <w:r>
        <w:rPr/>
        <w:t>其中重要的其他应收款核销情况：</w:t>
      </w:r>
    </w:p>
    <w:p>
      <w:pPr>
        <w:pStyle w:val="BodyText"/>
        <w:spacing w:line="240" w:lineRule="auto" w:before="117"/>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192"/>
        <w:gridCol w:w="1558"/>
        <w:gridCol w:w="1226"/>
        <w:gridCol w:w="1328"/>
        <w:gridCol w:w="1992"/>
        <w:gridCol w:w="2273"/>
      </w:tblGrid>
      <w:tr>
        <w:trPr>
          <w:trHeight w:val="403" w:hRule="exact"/>
        </w:trPr>
        <w:tc>
          <w:tcPr>
            <w:tcW w:w="1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2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9"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7"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9"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1" w:right="0"/>
              <w:jc w:val="left"/>
              <w:rPr>
                <w:rFonts w:ascii="宋体" w:hAnsi="宋体" w:cs="宋体" w:eastAsia="宋体" w:hint="default"/>
                <w:sz w:val="18"/>
                <w:szCs w:val="18"/>
              </w:rPr>
            </w:pPr>
            <w:r>
              <w:rPr>
                <w:rFonts w:ascii="宋体" w:hAnsi="宋体" w:cs="宋体" w:eastAsia="宋体" w:hint="default"/>
                <w:sz w:val="18"/>
                <w:szCs w:val="18"/>
              </w:rPr>
              <w:t>款项是否由关联交易产生</w:t>
            </w:r>
          </w:p>
        </w:tc>
      </w:tr>
    </w:tbl>
    <w:p>
      <w:pPr>
        <w:pStyle w:val="BodyText"/>
        <w:spacing w:line="240" w:lineRule="auto" w:before="49"/>
        <w:ind w:right="986"/>
        <w:jc w:val="left"/>
      </w:pPr>
      <w:r>
        <w:rPr/>
        <w:t>其他应收款核销说明：</w:t>
      </w:r>
    </w:p>
    <w:p>
      <w:pPr>
        <w:spacing w:line="240" w:lineRule="auto" w:before="0"/>
        <w:rPr>
          <w:rFonts w:ascii="宋体" w:hAnsi="宋体" w:cs="宋体" w:eastAsia="宋体" w:hint="default"/>
          <w:sz w:val="18"/>
          <w:szCs w:val="18"/>
        </w:rPr>
      </w:pPr>
    </w:p>
    <w:p>
      <w:pPr>
        <w:pStyle w:val="Heading4"/>
        <w:spacing w:line="240" w:lineRule="auto" w:before="118"/>
        <w:ind w:right="986"/>
        <w:jc w:val="left"/>
        <w:rPr>
          <w:b w:val="0"/>
          <w:bCs w:val="0"/>
        </w:rPr>
      </w:pPr>
      <w:bookmarkStart w:name="5）按欠款方归集的期末余额前五名的其他应收款情况" w:id="552"/>
      <w:bookmarkEnd w:id="552"/>
      <w:r>
        <w:rPr>
          <w:b w:val="0"/>
          <w:bCs w:val="0"/>
        </w:rPr>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212"/>
        <w:gridCol w:w="1123"/>
        <w:gridCol w:w="1620"/>
        <w:gridCol w:w="881"/>
        <w:gridCol w:w="1789"/>
        <w:gridCol w:w="946"/>
      </w:tblGrid>
      <w:tr>
        <w:trPr>
          <w:trHeight w:val="713" w:hRule="exact"/>
        </w:trPr>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6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4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70" w:right="166"/>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7" w:right="107"/>
              <w:jc w:val="left"/>
              <w:rPr>
                <w:rFonts w:ascii="宋体" w:hAnsi="宋体" w:cs="宋体" w:eastAsia="宋体" w:hint="default"/>
                <w:sz w:val="18"/>
                <w:szCs w:val="18"/>
              </w:rPr>
            </w:pPr>
            <w:r>
              <w:rPr>
                <w:rFonts w:ascii="宋体" w:hAnsi="宋体" w:cs="宋体" w:eastAsia="宋体" w:hint="default"/>
                <w:sz w:val="18"/>
                <w:szCs w:val="18"/>
              </w:rPr>
              <w:t>坏账准备 期末余额</w:t>
            </w:r>
          </w:p>
        </w:tc>
      </w:tr>
      <w:tr>
        <w:trPr>
          <w:trHeight w:val="403"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青岛大通资本有限公司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278,576,942.38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个月</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18.41%</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青岛大通佳合资产管理有限公司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353,774,057.62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个月</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23.38%</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深圳大通致远供应链管理有限公司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149,074,717.12</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个月</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9.85%</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青岛大通汇鑫民间资本管理有限公司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444,261,530.00</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个月</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29.36%</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深圳大通昊祥商业保理有限公司</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100,190,804.38</w:t>
            </w:r>
          </w:p>
        </w:tc>
        <w:tc>
          <w:tcPr>
            <w:tcW w:w="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个月</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z w:val="18"/>
              </w:rPr>
              <w:t>6.62%</w:t>
            </w:r>
          </w:p>
        </w:tc>
        <w:tc>
          <w:tcPr>
            <w:tcW w:w="94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1,325,878,051.50</w:t>
            </w:r>
          </w:p>
        </w:tc>
        <w:tc>
          <w:tcPr>
            <w:tcW w:w="8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5"/>
              <w:jc w:val="right"/>
              <w:rPr>
                <w:rFonts w:ascii="Times New Roman" w:hAnsi="Times New Roman" w:cs="Times New Roman" w:eastAsia="Times New Roman" w:hint="default"/>
                <w:sz w:val="18"/>
                <w:szCs w:val="18"/>
              </w:rPr>
            </w:pPr>
            <w:r>
              <w:rPr>
                <w:rFonts w:ascii="Times New Roman"/>
                <w:sz w:val="18"/>
              </w:rPr>
              <w:t>87.63%</w:t>
            </w:r>
          </w:p>
        </w:tc>
        <w:tc>
          <w:tcPr>
            <w:tcW w:w="94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6）涉及政府补助的应收款项" w:id="553"/>
      <w:bookmarkEnd w:id="553"/>
      <w:r>
        <w:rPr>
          <w:b w:val="0"/>
          <w:bCs w:val="0"/>
        </w:rPr>
      </w:r>
      <w:r>
        <w:rPr>
          <w:rFonts w:ascii="Times New Roman" w:hAnsi="Times New Roman" w:cs="Times New Roman" w:eastAsia="Times New Roman" w:hint="default"/>
        </w:rPr>
        <w:t>6</w:t>
      </w:r>
      <w:r>
        <w:rPr/>
        <w:t>）涉及政府补助的应收款项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1602"/>
        <w:gridCol w:w="1774"/>
        <w:gridCol w:w="1622"/>
        <w:gridCol w:w="1517"/>
        <w:gridCol w:w="3053"/>
      </w:tblGrid>
      <w:tr>
        <w:trPr>
          <w:trHeight w:val="403" w:hRule="exact"/>
        </w:trPr>
        <w:tc>
          <w:tcPr>
            <w:tcW w:w="1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6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预计收取的时间、金额及依据</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7）因金融资产转移而终止确认的其他应收款" w:id="554"/>
      <w:bookmarkEnd w:id="554"/>
      <w:r>
        <w:rPr>
          <w:b w:val="0"/>
          <w:bCs w:val="0"/>
        </w:rPr>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8）转移其他应收款且继续涉入形成的资产、负债金额" w:id="555"/>
      <w:bookmarkEnd w:id="555"/>
      <w:r>
        <w:rPr>
          <w:b w:val="0"/>
          <w:bCs w:val="0"/>
        </w:rPr>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其他说明：</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3、长期股权投资" w:id="556"/>
      <w:bookmarkEnd w:id="556"/>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1,613,808,730.</w:t>
            </w:r>
          </w:p>
          <w:p>
            <w:pPr>
              <w:pStyle w:val="TableParagraph"/>
              <w:spacing w:line="240" w:lineRule="auto" w:before="105"/>
              <w:ind w:right="99"/>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738,434,394.46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875,374,335.95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3,339,084,729.</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2,260,434,859.</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1,078,649,870.</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22</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1,613,808,730.</w:t>
            </w:r>
          </w:p>
          <w:p>
            <w:pPr>
              <w:pStyle w:val="TableParagraph"/>
              <w:spacing w:line="240" w:lineRule="auto" w:before="102"/>
              <w:ind w:right="99"/>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 w:right="0"/>
              <w:jc w:val="center"/>
              <w:rPr>
                <w:rFonts w:ascii="Times New Roman" w:hAnsi="Times New Roman" w:cs="Times New Roman" w:eastAsia="Times New Roman" w:hint="default"/>
                <w:sz w:val="18"/>
                <w:szCs w:val="18"/>
              </w:rPr>
            </w:pPr>
            <w:r>
              <w:rPr>
                <w:rFonts w:ascii="Times New Roman"/>
                <w:sz w:val="18"/>
              </w:rPr>
              <w:t>738,434,394.46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 w:right="0"/>
              <w:jc w:val="center"/>
              <w:rPr>
                <w:rFonts w:ascii="Times New Roman" w:hAnsi="Times New Roman" w:cs="Times New Roman" w:eastAsia="Times New Roman" w:hint="default"/>
                <w:sz w:val="18"/>
                <w:szCs w:val="18"/>
              </w:rPr>
            </w:pPr>
            <w:r>
              <w:rPr>
                <w:rFonts w:ascii="Times New Roman"/>
                <w:sz w:val="18"/>
              </w:rPr>
              <w:t>875,374,335.95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3,339,084,729.</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63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2,260,434,859.</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1,078,649,870.</w:t>
            </w:r>
          </w:p>
          <w:p>
            <w:pPr>
              <w:pStyle w:val="TableParagraph"/>
              <w:spacing w:line="240" w:lineRule="auto" w:before="102"/>
              <w:ind w:right="96"/>
              <w:jc w:val="right"/>
              <w:rPr>
                <w:rFonts w:ascii="Times New Roman" w:hAnsi="Times New Roman" w:cs="Times New Roman" w:eastAsia="Times New Roman" w:hint="default"/>
                <w:sz w:val="18"/>
                <w:szCs w:val="18"/>
              </w:rPr>
            </w:pPr>
            <w:r>
              <w:rPr>
                <w:rFonts w:ascii="Times New Roman"/>
                <w:sz w:val="18"/>
              </w:rPr>
              <w:t>22</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1）对子公司投资" w:id="557"/>
      <w:bookmarkEnd w:id="557"/>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412"/>
        <w:gridCol w:w="1289"/>
        <w:gridCol w:w="900"/>
        <w:gridCol w:w="1164"/>
        <w:gridCol w:w="1205"/>
        <w:gridCol w:w="830"/>
        <w:gridCol w:w="1352"/>
        <w:gridCol w:w="1421"/>
      </w:tblGrid>
      <w:tr>
        <w:trPr>
          <w:trHeight w:val="401" w:hRule="exact"/>
        </w:trPr>
        <w:tc>
          <w:tcPr>
            <w:tcW w:w="14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2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00" w:lineRule="auto"/>
              <w:ind w:left="338" w:right="159"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410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3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00" w:lineRule="auto"/>
              <w:ind w:left="371" w:right="187" w:hanging="18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面价值</w:t>
            </w:r>
            <w:r>
              <w:rPr>
                <w:rFonts w:ascii="Times New Roman" w:hAnsi="Times New Roman" w:cs="Times New Roman" w:eastAsia="Times New Roman" w:hint="default"/>
                <w:sz w:val="18"/>
                <w:szCs w:val="18"/>
              </w:rPr>
              <w:t>)</w:t>
            </w:r>
          </w:p>
        </w:tc>
        <w:tc>
          <w:tcPr>
            <w:tcW w:w="142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316" w:lineRule="auto"/>
              <w:ind w:left="525" w:right="163"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715" w:hRule="exact"/>
        </w:trPr>
        <w:tc>
          <w:tcPr>
            <w:tcW w:w="1412" w:type="dxa"/>
            <w:vMerge/>
            <w:tcBorders>
              <w:left w:val="single" w:sz="4" w:space="0" w:color="000000"/>
              <w:bottom w:val="single" w:sz="4" w:space="0" w:color="000000"/>
              <w:right w:val="single" w:sz="4" w:space="0" w:color="000000"/>
            </w:tcBorders>
            <w:shd w:val="clear" w:color="auto" w:fill="D2D2D2"/>
          </w:tcPr>
          <w:p>
            <w:pPr/>
          </w:p>
        </w:tc>
        <w:tc>
          <w:tcPr>
            <w:tcW w:w="1289" w:type="dxa"/>
            <w:vMerge/>
            <w:tcBorders>
              <w:left w:val="single" w:sz="4" w:space="0" w:color="000000"/>
              <w:bottom w:val="single" w:sz="4" w:space="0" w:color="000000"/>
              <w:right w:val="single" w:sz="4" w:space="0" w:color="000000"/>
            </w:tcBorders>
            <w:shd w:val="clear" w:color="auto" w:fill="D2D2D2"/>
          </w:tcPr>
          <w:p>
            <w:pPr/>
          </w:p>
        </w:tc>
        <w:tc>
          <w:tcPr>
            <w:tcW w:w="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55" w:right="173"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18"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9" w:right="144" w:hanging="361"/>
              <w:jc w:val="left"/>
              <w:rPr>
                <w:rFonts w:ascii="宋体" w:hAnsi="宋体" w:cs="宋体" w:eastAsia="宋体" w:hint="default"/>
                <w:sz w:val="18"/>
                <w:szCs w:val="18"/>
              </w:rPr>
            </w:pPr>
            <w:r>
              <w:rPr>
                <w:rFonts w:ascii="宋体" w:hAnsi="宋体" w:cs="宋体" w:eastAsia="宋体" w:hint="default"/>
                <w:sz w:val="18"/>
                <w:szCs w:val="18"/>
              </w:rPr>
              <w:t>计提减值准 备</w:t>
            </w:r>
          </w:p>
        </w:tc>
        <w:tc>
          <w:tcPr>
            <w:tcW w:w="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52" w:type="dxa"/>
            <w:vMerge/>
            <w:tcBorders>
              <w:left w:val="single" w:sz="4" w:space="0" w:color="000000"/>
              <w:bottom w:val="single" w:sz="4" w:space="0" w:color="000000"/>
              <w:right w:val="single" w:sz="4" w:space="0" w:color="000000"/>
            </w:tcBorders>
            <w:shd w:val="clear" w:color="auto" w:fill="D2D2D2"/>
          </w:tcPr>
          <w:p>
            <w:pPr/>
          </w:p>
        </w:tc>
        <w:tc>
          <w:tcPr>
            <w:tcW w:w="1421" w:type="dxa"/>
            <w:vMerge/>
            <w:tcBorders>
              <w:left w:val="single" w:sz="4" w:space="0" w:color="000000"/>
              <w:bottom w:val="single" w:sz="4" w:space="0" w:color="000000"/>
              <w:right w:val="single" w:sz="4" w:space="0" w:color="000000"/>
            </w:tcBorders>
            <w:shd w:val="clear" w:color="auto" w:fill="D2D2D2"/>
          </w:tcPr>
          <w:p>
            <w:pPr/>
          </w:p>
        </w:tc>
      </w:tr>
      <w:tr>
        <w:trPr>
          <w:trHeight w:val="71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103" w:right="336"/>
              <w:jc w:val="left"/>
              <w:rPr>
                <w:rFonts w:ascii="宋体" w:hAnsi="宋体" w:cs="宋体" w:eastAsia="宋体" w:hint="default"/>
                <w:sz w:val="18"/>
                <w:szCs w:val="18"/>
              </w:rPr>
            </w:pPr>
            <w:r>
              <w:rPr>
                <w:rFonts w:ascii="宋体" w:hAnsi="宋体" w:cs="宋体" w:eastAsia="宋体" w:hint="default"/>
                <w:sz w:val="18"/>
                <w:szCs w:val="18"/>
              </w:rPr>
              <w:t>冉十科技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 京</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342,519,332.9</w:t>
            </w:r>
          </w:p>
          <w:p>
            <w:pPr>
              <w:pStyle w:val="TableParagraph"/>
              <w:spacing w:line="240" w:lineRule="auto" w:before="102"/>
              <w:ind w:right="104"/>
              <w:jc w:val="right"/>
              <w:rPr>
                <w:rFonts w:ascii="Times New Roman" w:hAnsi="Times New Roman" w:cs="Times New Roman" w:eastAsia="Times New Roman" w:hint="default"/>
                <w:sz w:val="18"/>
                <w:szCs w:val="18"/>
              </w:rPr>
            </w:pPr>
            <w:r>
              <w:rPr>
                <w:rFonts w:ascii="Times New Roman"/>
                <w:sz w:val="18"/>
              </w:rPr>
              <w:t>5</w:t>
            </w:r>
          </w:p>
        </w:tc>
        <w:tc>
          <w:tcPr>
            <w:tcW w:w="9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342,519,332.95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738,434,394.46</w:t>
            </w:r>
          </w:p>
        </w:tc>
      </w:tr>
      <w:tr>
        <w:trPr>
          <w:trHeight w:val="71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6"/>
              <w:jc w:val="left"/>
              <w:rPr>
                <w:rFonts w:ascii="宋体" w:hAnsi="宋体" w:cs="宋体" w:eastAsia="宋体" w:hint="default"/>
                <w:sz w:val="18"/>
                <w:szCs w:val="18"/>
              </w:rPr>
            </w:pPr>
            <w:r>
              <w:rPr>
                <w:rFonts w:ascii="宋体" w:hAnsi="宋体" w:cs="宋体" w:eastAsia="宋体" w:hint="default"/>
                <w:sz w:val="18"/>
                <w:szCs w:val="18"/>
              </w:rPr>
              <w:t>浙江视科文化 传播有限公司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203,278,535.2</w:t>
            </w:r>
          </w:p>
          <w:p>
            <w:pPr>
              <w:pStyle w:val="TableParagraph"/>
              <w:spacing w:line="240" w:lineRule="auto" w:before="105"/>
              <w:ind w:right="104"/>
              <w:jc w:val="right"/>
              <w:rPr>
                <w:rFonts w:ascii="Times New Roman" w:hAnsi="Times New Roman" w:cs="Times New Roman" w:eastAsia="Times New Roman" w:hint="default"/>
                <w:sz w:val="18"/>
                <w:szCs w:val="18"/>
              </w:rPr>
            </w:pPr>
            <w:r>
              <w:rPr>
                <w:rFonts w:ascii="Times New Roman"/>
                <w:sz w:val="18"/>
              </w:rPr>
              <w:t>7</w:t>
            </w:r>
          </w:p>
        </w:tc>
        <w:tc>
          <w:tcPr>
            <w:tcW w:w="9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203,278,535.</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27</w:t>
            </w:r>
          </w:p>
        </w:tc>
        <w:tc>
          <w:tcPr>
            <w:tcW w:w="1205"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6"/>
              <w:jc w:val="left"/>
              <w:rPr>
                <w:rFonts w:ascii="宋体" w:hAnsi="宋体" w:cs="宋体" w:eastAsia="宋体" w:hint="default"/>
                <w:sz w:val="18"/>
                <w:szCs w:val="18"/>
              </w:rPr>
            </w:pPr>
            <w:r>
              <w:rPr>
                <w:rFonts w:ascii="宋体" w:hAnsi="宋体" w:cs="宋体" w:eastAsia="宋体" w:hint="default"/>
                <w:sz w:val="18"/>
                <w:szCs w:val="18"/>
              </w:rPr>
              <w:t>青岛大通资本 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20,000,000.00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20,000,000.00</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6"/>
              <w:jc w:val="left"/>
              <w:rPr>
                <w:rFonts w:ascii="宋体" w:hAnsi="宋体" w:cs="宋体" w:eastAsia="宋体" w:hint="default"/>
                <w:sz w:val="18"/>
                <w:szCs w:val="18"/>
              </w:rPr>
            </w:pPr>
            <w:r>
              <w:rPr>
                <w:rFonts w:ascii="宋体" w:hAnsi="宋体" w:cs="宋体" w:eastAsia="宋体" w:hint="default"/>
                <w:sz w:val="18"/>
                <w:szCs w:val="18"/>
              </w:rPr>
              <w:t>深圳大通致远 供应链公司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10,000,000.00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10,000,000.00</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6"/>
              <w:jc w:val="both"/>
              <w:rPr>
                <w:rFonts w:ascii="宋体" w:hAnsi="宋体" w:cs="宋体" w:eastAsia="宋体" w:hint="default"/>
                <w:sz w:val="18"/>
                <w:szCs w:val="18"/>
              </w:rPr>
            </w:pPr>
            <w:r>
              <w:rPr>
                <w:rFonts w:ascii="宋体" w:hAnsi="宋体" w:cs="宋体" w:eastAsia="宋体" w:hint="default"/>
                <w:sz w:val="18"/>
                <w:szCs w:val="18"/>
              </w:rPr>
              <w:t>北京大通无限 传媒广告有限 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2,850,000.00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2,850,000.00</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03" w:right="216"/>
              <w:jc w:val="left"/>
              <w:rPr>
                <w:rFonts w:ascii="宋体" w:hAnsi="宋体" w:cs="宋体" w:eastAsia="宋体" w:hint="default"/>
                <w:sz w:val="18"/>
                <w:szCs w:val="18"/>
              </w:rPr>
            </w:pPr>
            <w:r>
              <w:rPr>
                <w:rFonts w:ascii="宋体" w:hAnsi="宋体" w:cs="宋体" w:eastAsia="宋体" w:hint="default"/>
                <w:sz w:val="18"/>
                <w:szCs w:val="18"/>
              </w:rPr>
              <w:t>深圳市炫酷行 科技有限公司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w w:val="95"/>
                <w:sz w:val="18"/>
              </w:rPr>
              <w:t>2,002.00</w:t>
            </w:r>
          </w:p>
        </w:tc>
        <w:tc>
          <w:tcPr>
            <w:tcW w:w="9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2,002.00</w:t>
            </w:r>
          </w:p>
        </w:tc>
        <w:tc>
          <w:tcPr>
            <w:tcW w:w="14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1412"/>
        <w:gridCol w:w="1289"/>
        <w:gridCol w:w="900"/>
        <w:gridCol w:w="1164"/>
        <w:gridCol w:w="1205"/>
        <w:gridCol w:w="830"/>
        <w:gridCol w:w="1352"/>
        <w:gridCol w:w="1421"/>
      </w:tblGrid>
      <w:tr>
        <w:trPr>
          <w:trHeight w:val="1025"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03" w:right="216"/>
              <w:jc w:val="both"/>
              <w:rPr>
                <w:rFonts w:ascii="宋体" w:hAnsi="宋体" w:cs="宋体" w:eastAsia="宋体" w:hint="default"/>
                <w:sz w:val="18"/>
                <w:szCs w:val="18"/>
              </w:rPr>
            </w:pPr>
            <w:r>
              <w:rPr>
                <w:rFonts w:ascii="宋体" w:hAnsi="宋体" w:cs="宋体" w:eastAsia="宋体" w:hint="default"/>
                <w:sz w:val="18"/>
                <w:szCs w:val="18"/>
              </w:rPr>
              <w:t>青岛大通汇鑫 民间资本管理 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500,000,000.0</w:t>
            </w:r>
          </w:p>
          <w:p>
            <w:pPr>
              <w:pStyle w:val="TableParagraph"/>
              <w:spacing w:line="240" w:lineRule="auto" w:before="105"/>
              <w:ind w:right="104"/>
              <w:jc w:val="right"/>
              <w:rPr>
                <w:rFonts w:ascii="Times New Roman" w:hAnsi="Times New Roman" w:cs="Times New Roman" w:eastAsia="Times New Roman" w:hint="default"/>
                <w:sz w:val="18"/>
                <w:szCs w:val="18"/>
              </w:rPr>
            </w:pPr>
            <w:r>
              <w:rPr>
                <w:rFonts w:ascii="Times New Roman"/>
                <w:sz w:val="18"/>
              </w:rPr>
              <w:t>0</w:t>
            </w:r>
          </w:p>
        </w:tc>
        <w:tc>
          <w:tcPr>
            <w:tcW w:w="900"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500,000,000.00</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03" w:right="216"/>
              <w:jc w:val="both"/>
              <w:rPr>
                <w:rFonts w:ascii="宋体" w:hAnsi="宋体" w:cs="宋体" w:eastAsia="宋体" w:hint="default"/>
                <w:sz w:val="18"/>
                <w:szCs w:val="18"/>
              </w:rPr>
            </w:pPr>
            <w:r>
              <w:rPr>
                <w:rFonts w:ascii="宋体" w:hAnsi="宋体" w:cs="宋体" w:eastAsia="宋体" w:hint="default"/>
                <w:sz w:val="18"/>
                <w:szCs w:val="18"/>
              </w:rPr>
              <w:t>北京大通汉达 生物科技有限 公司</w:t>
            </w:r>
          </w:p>
        </w:tc>
        <w:tc>
          <w:tcPr>
            <w:tcW w:w="1289" w:type="dxa"/>
            <w:tcBorders>
              <w:top w:val="single" w:sz="4" w:space="0" w:color="000000"/>
              <w:left w:val="single" w:sz="4" w:space="0" w:color="000000"/>
              <w:bottom w:val="single" w:sz="4" w:space="0" w:color="000000"/>
              <w:right w:val="single" w:sz="4" w:space="0" w:color="000000"/>
            </w:tcBorders>
          </w:tcPr>
          <w:p>
            <w:pP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3,001.00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98"/>
              <w:jc w:val="right"/>
              <w:rPr>
                <w:rFonts w:ascii="Times New Roman" w:hAnsi="Times New Roman" w:cs="Times New Roman" w:eastAsia="Times New Roman" w:hint="default"/>
                <w:sz w:val="18"/>
                <w:szCs w:val="18"/>
              </w:rPr>
            </w:pPr>
            <w:r>
              <w:rPr>
                <w:rFonts w:ascii="Times New Roman"/>
                <w:w w:val="95"/>
                <w:sz w:val="18"/>
              </w:rPr>
              <w:t>3,001.00</w:t>
            </w:r>
          </w:p>
        </w:tc>
        <w:tc>
          <w:tcPr>
            <w:tcW w:w="142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1,078,649,870</w:t>
            </w:r>
          </w:p>
          <w:p>
            <w:pPr>
              <w:pStyle w:val="TableParagraph"/>
              <w:spacing w:line="240" w:lineRule="auto" w:before="105"/>
              <w:ind w:right="100"/>
              <w:jc w:val="right"/>
              <w:rPr>
                <w:rFonts w:ascii="Times New Roman" w:hAnsi="Times New Roman" w:cs="Times New Roman" w:eastAsia="Times New Roman" w:hint="default"/>
                <w:sz w:val="18"/>
                <w:szCs w:val="18"/>
              </w:rPr>
            </w:pPr>
            <w:r>
              <w:rPr>
                <w:rFonts w:ascii="Times New Roman"/>
                <w:sz w:val="18"/>
              </w:rPr>
              <w:t>.22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3,001.00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203,278,535.</w:t>
            </w:r>
          </w:p>
          <w:p>
            <w:pPr>
              <w:pStyle w:val="TableParagraph"/>
              <w:spacing w:line="240" w:lineRule="auto" w:before="105"/>
              <w:ind w:right="96"/>
              <w:jc w:val="right"/>
              <w:rPr>
                <w:rFonts w:ascii="Times New Roman" w:hAnsi="Times New Roman" w:cs="Times New Roman" w:eastAsia="Times New Roman" w:hint="default"/>
                <w:sz w:val="18"/>
                <w:szCs w:val="18"/>
              </w:rPr>
            </w:pPr>
            <w:r>
              <w:rPr>
                <w:rFonts w:ascii="Times New Roman"/>
                <w:sz w:val="18"/>
              </w:rPr>
              <w:t>27</w:t>
            </w:r>
          </w:p>
        </w:tc>
        <w:tc>
          <w:tcPr>
            <w:tcW w:w="1205"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13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18"/>
                <w:szCs w:val="18"/>
              </w:rPr>
            </w:pPr>
            <w:r>
              <w:rPr>
                <w:rFonts w:ascii="Times New Roman"/>
                <w:spacing w:val="-1"/>
                <w:sz w:val="18"/>
              </w:rPr>
              <w:t>875,374,335.95</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2" w:right="0"/>
              <w:jc w:val="left"/>
              <w:rPr>
                <w:rFonts w:ascii="Times New Roman" w:hAnsi="Times New Roman" w:cs="Times New Roman" w:eastAsia="Times New Roman" w:hint="default"/>
                <w:sz w:val="18"/>
                <w:szCs w:val="18"/>
              </w:rPr>
            </w:pPr>
            <w:r>
              <w:rPr>
                <w:rFonts w:ascii="Times New Roman"/>
                <w:sz w:val="18"/>
              </w:rPr>
              <w:t>738,434,394.46</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2）对联营、合营企业投资" w:id="558"/>
      <w:bookmarkEnd w:id="558"/>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796"/>
        <w:gridCol w:w="797"/>
        <w:gridCol w:w="797"/>
        <w:gridCol w:w="797"/>
        <w:gridCol w:w="799"/>
        <w:gridCol w:w="797"/>
        <w:gridCol w:w="800"/>
        <w:gridCol w:w="797"/>
        <w:gridCol w:w="799"/>
        <w:gridCol w:w="797"/>
        <w:gridCol w:w="799"/>
        <w:gridCol w:w="797"/>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314" w:lineRule="auto"/>
              <w:ind w:left="301" w:right="122" w:hanging="180"/>
              <w:jc w:val="left"/>
              <w:rPr>
                <w:rFonts w:ascii="宋体" w:hAnsi="宋体" w:cs="宋体" w:eastAsia="宋体" w:hint="default"/>
                <w:sz w:val="18"/>
                <w:szCs w:val="18"/>
              </w:rPr>
            </w:pPr>
            <w:r>
              <w:rPr>
                <w:rFonts w:ascii="宋体" w:hAnsi="宋体" w:cs="宋体" w:eastAsia="宋体" w:hint="default"/>
                <w:sz w:val="18"/>
                <w:szCs w:val="18"/>
              </w:rPr>
              <w:t>投资单 位</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2" w:lineRule="auto"/>
              <w:ind w:left="122" w:right="122"/>
              <w:jc w:val="center"/>
              <w:rPr>
                <w:rFonts w:ascii="Times New Roman" w:hAnsi="Times New Roman" w:cs="Times New Roman" w:eastAsia="Times New Roman" w:hint="default"/>
                <w:sz w:val="18"/>
                <w:szCs w:val="18"/>
              </w:rPr>
            </w:pPr>
            <w:r>
              <w:rPr>
                <w:rFonts w:ascii="宋体" w:hAnsi="宋体" w:cs="宋体" w:eastAsia="宋体" w:hint="default"/>
                <w:sz w:val="18"/>
                <w:szCs w:val="18"/>
              </w:rPr>
              <w:t>期初余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2" w:lineRule="auto"/>
              <w:ind w:left="127" w:right="120"/>
              <w:jc w:val="center"/>
              <w:rPr>
                <w:rFonts w:ascii="Times New Roman" w:hAnsi="Times New Roman" w:cs="Times New Roman" w:eastAsia="Times New Roman" w:hint="default"/>
                <w:sz w:val="18"/>
                <w:szCs w:val="18"/>
              </w:rPr>
            </w:pPr>
            <w:r>
              <w:rPr>
                <w:rFonts w:ascii="宋体" w:hAnsi="宋体" w:cs="宋体" w:eastAsia="宋体" w:hint="default"/>
                <w:sz w:val="18"/>
                <w:szCs w:val="18"/>
              </w:rPr>
              <w:t>期末余 额</w:t>
            </w:r>
            <w:r>
              <w:rPr>
                <w:rFonts w:ascii="Times New Roman" w:hAnsi="Times New Roman" w:cs="Times New Roman" w:eastAsia="Times New Roman" w:hint="default"/>
                <w:sz w:val="18"/>
                <w:szCs w:val="18"/>
              </w:rPr>
              <w:t>(</w:t>
            </w:r>
            <w:r>
              <w:rPr>
                <w:rFonts w:ascii="宋体" w:hAnsi="宋体" w:cs="宋体" w:eastAsia="宋体" w:hint="default"/>
                <w:sz w:val="18"/>
                <w:szCs w:val="18"/>
              </w:rPr>
              <w:t>账 面价 值</w:t>
            </w:r>
            <w:r>
              <w:rPr>
                <w:rFonts w:ascii="Times New Roman" w:hAnsi="Times New Roman" w:cs="Times New Roman" w:eastAsia="Times New Roman" w:hint="default"/>
                <w:sz w:val="18"/>
                <w:szCs w:val="18"/>
              </w:rPr>
              <w:t>)</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减值准 备期末 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02" w:right="122" w:hanging="180"/>
              <w:jc w:val="left"/>
              <w:rPr>
                <w:rFonts w:ascii="宋体" w:hAnsi="宋体" w:cs="宋体" w:eastAsia="宋体" w:hint="default"/>
                <w:sz w:val="18"/>
                <w:szCs w:val="18"/>
              </w:rPr>
            </w:pPr>
            <w:r>
              <w:rPr>
                <w:rFonts w:ascii="宋体" w:hAnsi="宋体" w:cs="宋体" w:eastAsia="宋体" w:hint="default"/>
                <w:sz w:val="18"/>
                <w:szCs w:val="18"/>
              </w:rPr>
              <w:t>追加投 资</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305" w:right="122" w:hanging="181"/>
              <w:jc w:val="left"/>
              <w:rPr>
                <w:rFonts w:ascii="宋体" w:hAnsi="宋体" w:cs="宋体" w:eastAsia="宋体" w:hint="default"/>
                <w:sz w:val="18"/>
                <w:szCs w:val="18"/>
              </w:rPr>
            </w:pPr>
            <w:r>
              <w:rPr>
                <w:rFonts w:ascii="宋体" w:hAnsi="宋体" w:cs="宋体" w:eastAsia="宋体" w:hint="default"/>
                <w:sz w:val="18"/>
                <w:szCs w:val="18"/>
              </w:rPr>
              <w:t>减少投 资</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7" w:right="120"/>
              <w:jc w:val="both"/>
              <w:rPr>
                <w:rFonts w:ascii="宋体" w:hAnsi="宋体" w:cs="宋体" w:eastAsia="宋体" w:hint="default"/>
                <w:sz w:val="18"/>
                <w:szCs w:val="18"/>
              </w:rPr>
            </w:pPr>
            <w:r>
              <w:rPr>
                <w:rFonts w:ascii="宋体" w:hAnsi="宋体" w:cs="宋体" w:eastAsia="宋体" w:hint="default"/>
                <w:sz w:val="18"/>
                <w:szCs w:val="18"/>
              </w:rPr>
              <w:t>权益法 下确认 的投资 损益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24" w:right="120"/>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27" w:right="120"/>
              <w:jc w:val="left"/>
              <w:rPr>
                <w:rFonts w:ascii="宋体" w:hAnsi="宋体" w:cs="宋体" w:eastAsia="宋体" w:hint="default"/>
                <w:sz w:val="18"/>
                <w:szCs w:val="18"/>
              </w:rPr>
            </w:pPr>
            <w:r>
              <w:rPr>
                <w:rFonts w:ascii="宋体" w:hAnsi="宋体" w:cs="宋体" w:eastAsia="宋体" w:hint="default"/>
                <w:sz w:val="18"/>
                <w:szCs w:val="18"/>
              </w:rPr>
              <w:t>其他权 益变动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24" w:right="120"/>
              <w:jc w:val="both"/>
              <w:rPr>
                <w:rFonts w:ascii="宋体" w:hAnsi="宋体" w:cs="宋体" w:eastAsia="宋体" w:hint="default"/>
                <w:sz w:val="18"/>
                <w:szCs w:val="18"/>
              </w:rPr>
            </w:pPr>
            <w:r>
              <w:rPr>
                <w:rFonts w:ascii="宋体" w:hAnsi="宋体" w:cs="宋体" w:eastAsia="宋体" w:hint="default"/>
                <w:sz w:val="18"/>
                <w:szCs w:val="18"/>
              </w:rPr>
              <w:t>宣告发 放现金 股利或 利润</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127" w:right="120"/>
              <w:jc w:val="left"/>
              <w:rPr>
                <w:rFonts w:ascii="宋体" w:hAnsi="宋体" w:cs="宋体" w:eastAsia="宋体" w:hint="default"/>
                <w:sz w:val="18"/>
                <w:szCs w:val="18"/>
              </w:rPr>
            </w:pPr>
            <w:r>
              <w:rPr>
                <w:rFonts w:ascii="宋体" w:hAnsi="宋体" w:cs="宋体" w:eastAsia="宋体" w:hint="default"/>
                <w:sz w:val="18"/>
                <w:szCs w:val="18"/>
              </w:rPr>
              <w:t>计提减 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3）其他说明" w:id="559"/>
      <w:bookmarkEnd w:id="559"/>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986"/>
        <w:jc w:val="left"/>
        <w:rPr>
          <w:b w:val="0"/>
          <w:bCs w:val="0"/>
        </w:rPr>
      </w:pPr>
      <w:bookmarkStart w:name="4、营业收入和营业成本" w:id="560"/>
      <w:bookmarkEnd w:id="560"/>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1995"/>
        <w:gridCol w:w="1837"/>
        <w:gridCol w:w="1913"/>
        <w:gridCol w:w="1913"/>
        <w:gridCol w:w="1916"/>
      </w:tblGrid>
      <w:tr>
        <w:trPr>
          <w:trHeight w:val="401" w:hRule="exact"/>
        </w:trPr>
        <w:tc>
          <w:tcPr>
            <w:tcW w:w="19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1995" w:type="dxa"/>
            <w:vMerge/>
            <w:tcBorders>
              <w:left w:val="single" w:sz="4" w:space="0" w:color="000000"/>
              <w:bottom w:val="single" w:sz="4" w:space="0" w:color="000000"/>
              <w:right w:val="single" w:sz="4" w:space="0" w:color="000000"/>
            </w:tcBorders>
            <w:shd w:val="clear" w:color="auto" w:fill="D2D2D2"/>
          </w:tcPr>
          <w:p>
            <w:pPr/>
          </w:p>
        </w:tc>
        <w:tc>
          <w:tcPr>
            <w:tcW w:w="18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收入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7"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1,920,304.15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1,890,722.74</w:t>
            </w:r>
          </w:p>
        </w:tc>
      </w:tr>
      <w:tr>
        <w:trPr>
          <w:trHeight w:val="403"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8" w:right="0"/>
              <w:jc w:val="left"/>
              <w:rPr>
                <w:rFonts w:ascii="Times New Roman" w:hAnsi="Times New Roman" w:cs="Times New Roman" w:eastAsia="Times New Roman" w:hint="default"/>
                <w:sz w:val="18"/>
                <w:szCs w:val="18"/>
              </w:rPr>
            </w:pPr>
            <w:r>
              <w:rPr>
                <w:rFonts w:ascii="Times New Roman"/>
                <w:sz w:val="18"/>
              </w:rPr>
              <w:t>4,174,575.36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165,141.40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8" w:right="0"/>
              <w:jc w:val="left"/>
              <w:rPr>
                <w:rFonts w:ascii="Times New Roman" w:hAnsi="Times New Roman" w:cs="Times New Roman" w:eastAsia="Times New Roman" w:hint="default"/>
                <w:sz w:val="18"/>
                <w:szCs w:val="18"/>
              </w:rPr>
            </w:pPr>
            <w:r>
              <w:rPr>
                <w:rFonts w:ascii="Times New Roman"/>
                <w:sz w:val="18"/>
              </w:rPr>
              <w:t>4,174,575.36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165,141.40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1,920,304.15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1,890,722.74</w:t>
            </w:r>
          </w:p>
        </w:tc>
      </w:tr>
    </w:tbl>
    <w:p>
      <w:pPr>
        <w:pStyle w:val="BodyText"/>
        <w:spacing w:line="240" w:lineRule="auto" w:before="49"/>
        <w:ind w:right="986"/>
        <w:jc w:val="left"/>
      </w:pPr>
      <w:r>
        <w:rPr/>
        <w:t>是否已执行新收入准则</w:t>
      </w:r>
    </w:p>
    <w:p>
      <w:pPr>
        <w:pStyle w:val="BodyText"/>
        <w:spacing w:line="357" w:lineRule="auto" w:before="118"/>
        <w:ind w:right="9134"/>
        <w:jc w:val="left"/>
      </w:pPr>
      <w:r>
        <w:rPr/>
        <w:t>□ 是 √</w:t>
      </w:r>
      <w:r>
        <w:rPr>
          <w:spacing w:val="3"/>
        </w:rPr>
        <w:t> </w:t>
      </w:r>
      <w:r>
        <w:rPr/>
        <w:t>否</w:t>
      </w:r>
      <w:r>
        <w:rPr/>
        <w:t> 其他说明：</w:t>
      </w:r>
    </w:p>
    <w:p>
      <w:pPr>
        <w:spacing w:line="240" w:lineRule="auto" w:before="6"/>
        <w:rPr>
          <w:rFonts w:ascii="宋体" w:hAnsi="宋体" w:cs="宋体" w:eastAsia="宋体" w:hint="default"/>
          <w:sz w:val="20"/>
          <w:szCs w:val="20"/>
        </w:rPr>
      </w:pPr>
    </w:p>
    <w:p>
      <w:pPr>
        <w:pStyle w:val="Heading4"/>
        <w:spacing w:line="240" w:lineRule="auto"/>
        <w:ind w:right="986"/>
        <w:jc w:val="left"/>
        <w:rPr>
          <w:b w:val="0"/>
          <w:bCs w:val="0"/>
        </w:rPr>
      </w:pPr>
      <w:bookmarkStart w:name="5、投资收益" w:id="561"/>
      <w:bookmarkEnd w:id="561"/>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21" w:right="0"/>
              <w:jc w:val="left"/>
              <w:rPr>
                <w:rFonts w:ascii="Times New Roman" w:hAnsi="Times New Roman" w:cs="Times New Roman" w:eastAsia="Times New Roman" w:hint="default"/>
                <w:sz w:val="18"/>
                <w:szCs w:val="18"/>
              </w:rPr>
            </w:pPr>
            <w:r>
              <w:rPr>
                <w:rFonts w:ascii="Times New Roman"/>
                <w:sz w:val="18"/>
              </w:rPr>
              <w:t>109,000,000.00</w:t>
            </w:r>
          </w:p>
        </w:tc>
        <w:tc>
          <w:tcPr>
            <w:tcW w:w="318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906" w:footer="1021" w:top="1100" w:bottom="1220" w:left="1020" w:right="0"/>
        </w:sectPr>
      </w:pPr>
    </w:p>
    <w:p>
      <w:pPr>
        <w:spacing w:line="240" w:lineRule="auto" w:before="7"/>
        <w:rPr>
          <w:rFonts w:ascii="宋体" w:hAnsi="宋体" w:cs="宋体" w:eastAsia="宋体" w:hint="default"/>
          <w:sz w:val="25"/>
          <w:szCs w:val="25"/>
        </w:rPr>
      </w:pPr>
    </w:p>
    <w:tbl>
      <w:tblPr>
        <w:tblW w:w="0" w:type="auto"/>
        <w:jc w:val="left"/>
        <w:tblInd w:w="108" w:type="dxa"/>
        <w:tblLayout w:type="fixed"/>
        <w:tblCellMar>
          <w:top w:w="0" w:type="dxa"/>
          <w:left w:w="0" w:type="dxa"/>
          <w:bottom w:w="0" w:type="dxa"/>
          <w:right w:w="0" w:type="dxa"/>
        </w:tblCellMar>
        <w:tblLook w:val="01E0"/>
      </w:tblPr>
      <w:tblGrid>
        <w:gridCol w:w="3325"/>
        <w:gridCol w:w="3060"/>
        <w:gridCol w:w="3185"/>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-19,278,535.27</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456,700.00</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03" w:right="0"/>
              <w:jc w:val="left"/>
              <w:rPr>
                <w:rFonts w:ascii="宋体" w:hAnsi="宋体" w:cs="宋体" w:eastAsia="宋体" w:hint="default"/>
                <w:sz w:val="18"/>
                <w:szCs w:val="18"/>
              </w:rPr>
            </w:pPr>
            <w:r>
              <w:rPr>
                <w:rFonts w:ascii="宋体" w:hAnsi="宋体" w:cs="宋体" w:eastAsia="宋体" w:hint="default"/>
                <w:sz w:val="18"/>
                <w:szCs w:val="18"/>
              </w:rPr>
              <w:t>理财产品投资收益</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370,294.26</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8"/>
              <w:jc w:val="right"/>
              <w:rPr>
                <w:rFonts w:ascii="Times New Roman" w:hAnsi="Times New Roman" w:cs="Times New Roman" w:eastAsia="Times New Roman" w:hint="default"/>
                <w:sz w:val="18"/>
                <w:szCs w:val="18"/>
              </w:rPr>
            </w:pPr>
            <w:r>
              <w:rPr>
                <w:rFonts w:ascii="Times New Roman"/>
                <w:spacing w:val="-1"/>
                <w:sz w:val="18"/>
              </w:rPr>
              <w:t>9,121,898.31</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90,091,758.99</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9,578,598.31</w:t>
            </w:r>
          </w:p>
        </w:tc>
      </w:tr>
    </w:tbl>
    <w:p>
      <w:pPr>
        <w:spacing w:line="240" w:lineRule="auto" w:before="3"/>
        <w:rPr>
          <w:rFonts w:ascii="宋体" w:hAnsi="宋体" w:cs="宋体" w:eastAsia="宋体" w:hint="default"/>
          <w:sz w:val="19"/>
          <w:szCs w:val="19"/>
        </w:rPr>
      </w:pPr>
    </w:p>
    <w:p>
      <w:pPr>
        <w:pStyle w:val="Heading4"/>
        <w:spacing w:line="240" w:lineRule="auto" w:before="36"/>
        <w:ind w:right="986"/>
        <w:jc w:val="left"/>
        <w:rPr>
          <w:b w:val="0"/>
          <w:bCs w:val="0"/>
        </w:rPr>
      </w:pPr>
      <w:bookmarkStart w:name="6、其他" w:id="562"/>
      <w:bookmarkEnd w:id="562"/>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2"/>
          <w:szCs w:val="22"/>
        </w:rPr>
      </w:pPr>
    </w:p>
    <w:p>
      <w:pPr>
        <w:pStyle w:val="Heading2"/>
        <w:spacing w:line="240" w:lineRule="auto"/>
        <w:ind w:right="986"/>
        <w:jc w:val="left"/>
        <w:rPr>
          <w:b w:val="0"/>
          <w:bCs w:val="0"/>
        </w:rPr>
      </w:pPr>
      <w:bookmarkStart w:name="十八、补充资料" w:id="563"/>
      <w:bookmarkEnd w:id="563"/>
      <w:r>
        <w:rPr>
          <w:b w:val="0"/>
          <w:bCs w:val="0"/>
        </w:rPr>
      </w:r>
      <w:r>
        <w:rPr/>
        <w:t>十八、补充资料</w:t>
      </w:r>
      <w:r>
        <w:rPr>
          <w:b w:val="0"/>
          <w:bCs w:val="0"/>
        </w:rPr>
      </w:r>
    </w:p>
    <w:p>
      <w:pPr>
        <w:spacing w:line="240" w:lineRule="auto" w:before="12"/>
        <w:rPr>
          <w:rFonts w:ascii="宋体" w:hAnsi="宋体" w:cs="宋体" w:eastAsia="宋体" w:hint="default"/>
          <w:b/>
          <w:bCs/>
          <w:sz w:val="24"/>
          <w:szCs w:val="24"/>
        </w:rPr>
      </w:pPr>
    </w:p>
    <w:p>
      <w:pPr>
        <w:pStyle w:val="Heading4"/>
        <w:spacing w:line="240" w:lineRule="auto"/>
        <w:ind w:right="986"/>
        <w:jc w:val="left"/>
        <w:rPr>
          <w:b w:val="0"/>
          <w:bCs w:val="0"/>
        </w:rPr>
      </w:pPr>
      <w:bookmarkStart w:name="1、当期非经常性损益明细表" w:id="564"/>
      <w:bookmarkEnd w:id="564"/>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ind w:right="986"/>
        <w:jc w:val="left"/>
      </w:pPr>
      <w:r>
        <w:rPr/>
        <w:t>√ 适用 □</w:t>
      </w:r>
      <w:r>
        <w:rPr>
          <w:spacing w:val="3"/>
        </w:rPr>
        <w:t> </w:t>
      </w:r>
      <w:r>
        <w:rPr/>
        <w:t>不适用</w:t>
      </w:r>
    </w:p>
    <w:p>
      <w:pPr>
        <w:pStyle w:val="BodyText"/>
        <w:spacing w:line="240" w:lineRule="auto" w:before="118"/>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5125"/>
        <w:gridCol w:w="1260"/>
        <w:gridCol w:w="3185"/>
      </w:tblGrid>
      <w:tr>
        <w:trPr>
          <w:trHeight w:val="396" w:hRule="exact"/>
        </w:trPr>
        <w:tc>
          <w:tcPr>
            <w:tcW w:w="5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8" w:hRule="exact"/>
        </w:trPr>
        <w:tc>
          <w:tcPr>
            <w:tcW w:w="5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100"/>
              <w:jc w:val="right"/>
              <w:rPr>
                <w:rFonts w:ascii="Times New Roman" w:hAnsi="Times New Roman" w:cs="Times New Roman" w:eastAsia="Times New Roman" w:hint="default"/>
                <w:sz w:val="18"/>
                <w:szCs w:val="18"/>
              </w:rPr>
            </w:pPr>
            <w:r>
              <w:rPr>
                <w:rFonts w:ascii="Times New Roman"/>
                <w:spacing w:val="-1"/>
                <w:sz w:val="18"/>
              </w:rPr>
              <w:t>69,351.46</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5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3" w:right="150"/>
              <w:jc w:val="left"/>
              <w:rPr>
                <w:rFonts w:ascii="宋体" w:hAnsi="宋体" w:cs="宋体" w:eastAsia="宋体" w:hint="default"/>
                <w:sz w:val="18"/>
                <w:szCs w:val="18"/>
              </w:rPr>
            </w:pPr>
            <w:r>
              <w:rPr>
                <w:rFonts w:ascii="宋体" w:hAnsi="宋体" w:cs="宋体" w:eastAsia="宋体" w:hint="default"/>
                <w:sz w:val="18"/>
                <w:szCs w:val="18"/>
              </w:rPr>
              <w:t>计入当期损益的政府补助（与企业业务密切相关，按照国家统 一标准定额或定量享受的政府补助除外）</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18"/>
                <w:szCs w:val="18"/>
              </w:rPr>
            </w:pPr>
            <w:r>
              <w:rPr>
                <w:rFonts w:ascii="Times New Roman"/>
                <w:spacing w:val="-1"/>
                <w:sz w:val="18"/>
              </w:rPr>
              <w:t>1,584,098.64</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5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49,084,956.62</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主要是子公司视科传媒原股东补偿款</w:t>
            </w:r>
          </w:p>
        </w:tc>
      </w:tr>
      <w:tr>
        <w:trPr>
          <w:trHeight w:val="401" w:hRule="exact"/>
        </w:trPr>
        <w:tc>
          <w:tcPr>
            <w:tcW w:w="5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38,420,437.14</w:t>
            </w:r>
          </w:p>
        </w:tc>
        <w:tc>
          <w:tcPr>
            <w:tcW w:w="3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主要是处置子公司投资收益</w:t>
            </w:r>
          </w:p>
        </w:tc>
      </w:tr>
      <w:tr>
        <w:trPr>
          <w:trHeight w:val="403" w:hRule="exact"/>
        </w:trPr>
        <w:tc>
          <w:tcPr>
            <w:tcW w:w="5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6,384.88</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4,918.80</w:t>
            </w:r>
          </w:p>
        </w:tc>
        <w:tc>
          <w:tcPr>
            <w:tcW w:w="3185"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5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pacing w:val="-1"/>
                <w:sz w:val="18"/>
              </w:rPr>
              <w:t>89,147,540.18</w:t>
            </w:r>
          </w:p>
        </w:tc>
        <w:tc>
          <w:tcPr>
            <w:tcW w:w="3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986"/>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号——非经常性损益》中列举的非经常性损益项目界定为经常性损益的项目，应</w:t>
      </w:r>
      <w:r>
        <w:rPr/>
        <w:t> 说明原因。</w:t>
      </w:r>
    </w:p>
    <w:p>
      <w:pPr>
        <w:pStyle w:val="BodyText"/>
        <w:spacing w:line="240" w:lineRule="auto" w:before="72"/>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40" w:lineRule="auto" w:before="120"/>
        <w:ind w:right="986"/>
        <w:jc w:val="left"/>
        <w:rPr>
          <w:b w:val="0"/>
          <w:bCs w:val="0"/>
        </w:rPr>
      </w:pPr>
      <w:bookmarkStart w:name="2、净资产收益率及每股收益" w:id="565"/>
      <w:bookmarkEnd w:id="565"/>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4412"/>
        <w:gridCol w:w="1332"/>
        <w:gridCol w:w="1913"/>
        <w:gridCol w:w="1913"/>
      </w:tblGrid>
      <w:tr>
        <w:trPr>
          <w:trHeight w:val="401" w:hRule="exact"/>
        </w:trPr>
        <w:tc>
          <w:tcPr>
            <w:tcW w:w="44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133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94"/>
              <w:ind w:left="299" w:right="120" w:hanging="180"/>
              <w:jc w:val="left"/>
              <w:rPr>
                <w:rFonts w:ascii="宋体" w:hAnsi="宋体" w:cs="宋体" w:eastAsia="宋体" w:hint="default"/>
                <w:sz w:val="18"/>
                <w:szCs w:val="18"/>
              </w:rPr>
            </w:pPr>
            <w:r>
              <w:rPr>
                <w:rFonts w:ascii="宋体" w:hAnsi="宋体" w:cs="宋体" w:eastAsia="宋体" w:hint="default"/>
                <w:sz w:val="18"/>
                <w:szCs w:val="18"/>
              </w:rPr>
              <w:t>加权平均净资 产收益率</w:t>
            </w:r>
          </w:p>
        </w:tc>
        <w:tc>
          <w:tcPr>
            <w:tcW w:w="38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403" w:hRule="exact"/>
        </w:trPr>
        <w:tc>
          <w:tcPr>
            <w:tcW w:w="4412" w:type="dxa"/>
            <w:vMerge/>
            <w:tcBorders>
              <w:left w:val="single" w:sz="4" w:space="0" w:color="000000"/>
              <w:bottom w:val="single" w:sz="4" w:space="0" w:color="000000"/>
              <w:right w:val="single" w:sz="4" w:space="0" w:color="000000"/>
            </w:tcBorders>
            <w:shd w:val="clear" w:color="auto" w:fill="D2D2D2"/>
          </w:tcPr>
          <w:p>
            <w:pPr/>
          </w:p>
        </w:tc>
        <w:tc>
          <w:tcPr>
            <w:tcW w:w="1332" w:type="dxa"/>
            <w:vMerge/>
            <w:tcBorders>
              <w:left w:val="single" w:sz="4" w:space="0" w:color="000000"/>
              <w:bottom w:val="single" w:sz="4" w:space="0" w:color="000000"/>
              <w:right w:val="single" w:sz="4" w:space="0" w:color="000000"/>
            </w:tcBorders>
            <w:shd w:val="clear" w:color="auto" w:fill="D2D2D2"/>
          </w:tcPr>
          <w:p>
            <w:pP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1"/>
              <w:jc w:val="right"/>
              <w:rPr>
                <w:rFonts w:ascii="宋体" w:hAnsi="宋体" w:cs="宋体" w:eastAsia="宋体" w:hint="default"/>
                <w:sz w:val="18"/>
                <w:szCs w:val="18"/>
              </w:rPr>
            </w:pPr>
            <w:r>
              <w:rPr>
                <w:rFonts w:ascii="宋体" w:hAnsi="宋体" w:cs="宋体" w:eastAsia="宋体" w:hint="default"/>
                <w:spacing w:val="-6"/>
                <w:sz w:val="18"/>
                <w:szCs w:val="18"/>
              </w:rPr>
              <w:t>基本每股收益（元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pacing w:val="-6"/>
                <w:sz w:val="18"/>
                <w:szCs w:val="18"/>
              </w:rPr>
              <w:t>稀释每股收益（元</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股）</w:t>
            </w:r>
          </w:p>
        </w:tc>
      </w:tr>
      <w:tr>
        <w:trPr>
          <w:trHeight w:val="401" w:hRule="exact"/>
        </w:trPr>
        <w:tc>
          <w:tcPr>
            <w:tcW w:w="4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4.54%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0.2341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0.2341</w:t>
            </w:r>
          </w:p>
        </w:tc>
      </w:tr>
      <w:tr>
        <w:trPr>
          <w:trHeight w:val="403" w:hRule="exact"/>
        </w:trPr>
        <w:tc>
          <w:tcPr>
            <w:tcW w:w="4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3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z w:val="18"/>
              </w:rPr>
              <w:t>1.23%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0.0635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0.0635</w:t>
            </w:r>
          </w:p>
        </w:tc>
      </w:tr>
    </w:tbl>
    <w:p>
      <w:pPr>
        <w:spacing w:line="240" w:lineRule="auto" w:before="3"/>
        <w:rPr>
          <w:rFonts w:ascii="宋体" w:hAnsi="宋体" w:cs="宋体" w:eastAsia="宋体" w:hint="default"/>
          <w:b/>
          <w:bCs/>
          <w:sz w:val="19"/>
          <w:szCs w:val="19"/>
        </w:rPr>
      </w:pPr>
    </w:p>
    <w:p>
      <w:pPr>
        <w:pStyle w:val="Heading4"/>
        <w:spacing w:line="240" w:lineRule="auto" w:before="36"/>
        <w:ind w:right="986"/>
        <w:jc w:val="left"/>
        <w:rPr>
          <w:b w:val="0"/>
          <w:bCs w:val="0"/>
        </w:rPr>
      </w:pPr>
      <w:bookmarkStart w:name="3、境内外会计准则下会计数据差异" w:id="566"/>
      <w:bookmarkEnd w:id="566"/>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7"/>
        <w:rPr>
          <w:rFonts w:ascii="宋体" w:hAnsi="宋体" w:cs="宋体" w:eastAsia="宋体" w:hint="default"/>
          <w:b/>
          <w:bCs/>
          <w:sz w:val="24"/>
          <w:szCs w:val="24"/>
        </w:rPr>
      </w:pPr>
    </w:p>
    <w:p>
      <w:pPr>
        <w:pStyle w:val="Heading4"/>
        <w:spacing w:line="240" w:lineRule="auto"/>
        <w:ind w:right="986"/>
        <w:jc w:val="left"/>
        <w:rPr>
          <w:b w:val="0"/>
          <w:bCs w:val="0"/>
        </w:rPr>
      </w:pPr>
      <w:bookmarkStart w:name="（1）同时按照国际会计准则与按中国会计准则披露的财务报告中净利润和净资产差异情况" w:id="567"/>
      <w:bookmarkEnd w:id="567"/>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after="0" w:line="240" w:lineRule="auto"/>
        <w:jc w:val="left"/>
        <w:sectPr>
          <w:pgSz w:w="11910" w:h="16840"/>
          <w:pgMar w:header="906" w:footer="1021" w:top="1100" w:bottom="1220" w:left="1020" w:right="0"/>
        </w:sectPr>
      </w:pPr>
    </w:p>
    <w:p>
      <w:pPr>
        <w:spacing w:line="240" w:lineRule="auto" w:before="11"/>
        <w:rPr>
          <w:rFonts w:ascii="宋体" w:hAnsi="宋体" w:cs="宋体" w:eastAsia="宋体" w:hint="default"/>
          <w:sz w:val="21"/>
          <w:szCs w:val="21"/>
        </w:rPr>
      </w:pPr>
    </w:p>
    <w:p>
      <w:pPr>
        <w:pStyle w:val="Heading4"/>
        <w:spacing w:line="240" w:lineRule="auto" w:before="36"/>
        <w:ind w:right="986"/>
        <w:jc w:val="left"/>
        <w:rPr>
          <w:b w:val="0"/>
          <w:bCs w:val="0"/>
        </w:rPr>
      </w:pPr>
      <w:bookmarkStart w:name="（2）同时按照境外会计准则与按中国会计准则披露的财务报告中净利润和净资产差异情况" w:id="568"/>
      <w:bookmarkEnd w:id="568"/>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before="0"/>
        <w:ind w:right="986"/>
        <w:jc w:val="left"/>
      </w:pPr>
      <w:r>
        <w:rPr/>
        <w:t>□ 适用 √</w:t>
      </w:r>
      <w:r>
        <w:rPr>
          <w:spacing w:val="3"/>
        </w:rPr>
        <w:t> </w:t>
      </w:r>
      <w:r>
        <w:rPr/>
        <w:t>不适用</w:t>
      </w:r>
    </w:p>
    <w:p>
      <w:pPr>
        <w:spacing w:line="240" w:lineRule="auto" w:before="0"/>
        <w:rPr>
          <w:rFonts w:ascii="宋体" w:hAnsi="宋体" w:cs="宋体" w:eastAsia="宋体" w:hint="default"/>
          <w:sz w:val="18"/>
          <w:szCs w:val="18"/>
        </w:rPr>
      </w:pPr>
    </w:p>
    <w:p>
      <w:pPr>
        <w:pStyle w:val="Heading4"/>
        <w:spacing w:line="259" w:lineRule="auto" w:before="118"/>
        <w:ind w:right="986"/>
        <w:jc w:val="left"/>
        <w:rPr>
          <w:b w:val="0"/>
          <w:bCs w:val="0"/>
        </w:rPr>
      </w:pPr>
      <w:bookmarkStart w:name="（3）境内外会计准则下会计数据差异原因说明，对已经境外审计机构审计的数据进行差异" w:id="569"/>
      <w:bookmarkEnd w:id="569"/>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65"/>
        </w:rPr>
        <w:t> </w:t>
      </w:r>
      <w:r>
        <w:rPr>
          <w:spacing w:val="-65"/>
        </w:rPr>
      </w:r>
      <w:r>
        <w:rPr/>
        <w:t>明该境外机构的名称</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986"/>
        <w:jc w:val="left"/>
        <w:rPr>
          <w:b w:val="0"/>
          <w:bCs w:val="0"/>
        </w:rPr>
      </w:pPr>
      <w:bookmarkStart w:name="4、其他" w:id="570"/>
      <w:bookmarkEnd w:id="570"/>
      <w:r>
        <w:rPr>
          <w:b w:val="0"/>
          <w:bCs w:val="0"/>
        </w:rPr>
      </w:r>
      <w:r>
        <w:rPr>
          <w:rFonts w:ascii="Times New Roman" w:hAnsi="Times New Roman" w:cs="Times New Roman" w:eastAsia="Times New Roman" w:hint="default"/>
        </w:rPr>
        <w:t>4</w:t>
      </w:r>
      <w:r>
        <w:rPr/>
        <w:t>、其他</w:t>
      </w:r>
      <w:r>
        <w:rPr>
          <w:b w:val="0"/>
          <w:bCs w:val="0"/>
        </w:rPr>
      </w:r>
    </w:p>
    <w:p>
      <w:pPr>
        <w:spacing w:after="0" w:line="240" w:lineRule="auto"/>
        <w:jc w:val="left"/>
        <w:sectPr>
          <w:pgSz w:w="11910" w:h="16840"/>
          <w:pgMar w:header="906" w:footer="1021" w:top="1100" w:bottom="1220" w:left="102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17"/>
          <w:szCs w:val="17"/>
        </w:rPr>
      </w:pPr>
    </w:p>
    <w:p>
      <w:pPr>
        <w:pStyle w:val="Heading1"/>
        <w:spacing w:line="240" w:lineRule="auto"/>
        <w:ind w:left="3245" w:right="986"/>
        <w:jc w:val="left"/>
        <w:rPr>
          <w:b w:val="0"/>
          <w:bCs w:val="0"/>
        </w:rPr>
      </w:pPr>
      <w:bookmarkStart w:name="第十三节 备查文件目录" w:id="571"/>
      <w:bookmarkEnd w:id="571"/>
      <w:r>
        <w:rPr>
          <w:b w:val="0"/>
          <w:bCs w:val="0"/>
        </w:rPr>
      </w:r>
      <w:bookmarkStart w:name="_bookmark12" w:id="572"/>
      <w:bookmarkEnd w:id="572"/>
      <w:r>
        <w:rPr>
          <w:b w:val="0"/>
          <w:bCs w:val="0"/>
        </w:rPr>
      </w:r>
      <w:r>
        <w:rPr/>
        <w:t>第十三节</w:t>
      </w:r>
      <w:r>
        <w:rPr>
          <w:spacing w:val="-6"/>
        </w:rPr>
        <w:t> </w:t>
      </w:r>
      <w:r>
        <w:rPr/>
        <w:t>备查文件目录</w:t>
      </w:r>
      <w:r>
        <w:rPr>
          <w:b w:val="0"/>
          <w:bCs w:val="0"/>
        </w:rPr>
      </w:r>
    </w:p>
    <w:p>
      <w:pPr>
        <w:spacing w:line="240" w:lineRule="auto" w:before="6"/>
        <w:rPr>
          <w:rFonts w:ascii="宋体" w:hAnsi="宋体" w:cs="宋体" w:eastAsia="宋体" w:hint="default"/>
          <w:b/>
          <w:bCs/>
          <w:sz w:val="42"/>
          <w:szCs w:val="42"/>
        </w:rPr>
      </w:pPr>
    </w:p>
    <w:p>
      <w:pPr>
        <w:pStyle w:val="BodyText"/>
        <w:spacing w:line="316" w:lineRule="auto" w:before="0"/>
        <w:ind w:right="3734"/>
        <w:jc w:val="left"/>
      </w:pPr>
      <w:r>
        <w:rPr/>
        <w:t>一、载有法定代表人、主管会计工作负责人、会计机构负责人签名并盖章的会计报表； 二、载有会计师事务所盖章、注册会计师签名并盖章的审计报告原件； 三、报告期内在中国证监会指定报纸上公开披露过的所有公司文件的正本及公告的原稿。</w:t>
      </w:r>
    </w:p>
    <w:sectPr>
      <w:pgSz w:w="11910" w:h="16840"/>
      <w:pgMar w:header="906" w:footer="1021" w:top="1100" w:bottom="1220" w:left="10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77392" type="#_x0000_t75" stroked="false">
          <v:imagedata r:id="rId1" o:title=""/>
        </v:shape>
      </w:pict>
    </w:r>
    <w:r>
      <w:rPr/>
      <w:pict>
        <v:shape style="position:absolute;margin-left:55.639999pt;margin-top:793.453918pt;width:6.5pt;height:11pt;mso-position-horizontal-relative:page;mso-position-vertical-relative:page;z-index:-977368"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77344" type="#_x0000_t75" stroked="false">
          <v:imagedata r:id="rId1" o:title=""/>
        </v:shape>
      </w:pict>
    </w:r>
    <w:r>
      <w:rPr/>
      <w:pict>
        <v:shape style="position:absolute;margin-left:54.639999pt;margin-top:779.893921pt;width:13.15pt;height:11pt;mso-position-horizontal-relative:page;mso-position-vertical-relative:page;z-index:-977320"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77272" type="#_x0000_t75" stroked="false">
          <v:imagedata r:id="rId1" o:title=""/>
        </v:shape>
      </w:pict>
    </w:r>
    <w:r>
      <w:rPr/>
      <w:pict>
        <v:shape style="position:absolute;margin-left:54.639999pt;margin-top:779.893921pt;width:13.15pt;height:11pt;mso-position-horizontal-relative:page;mso-position-vertical-relative:page;z-index:-977248"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w:t>
                </w:r>
                <w:r>
                  <w:rPr/>
                  <w:fldChar w:fldCharType="end"/>
                </w:r>
                <w:r>
                  <w:rPr>
                    <w:rFonts w:ascii="Times New Roman"/>
                    <w:spacing w:val="1"/>
                  </w:rPr>
                </w:r>
                <w:r>
                  <w:rPr>
                    <w:rFonts w:ascii="Times New Roman"/>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77224" type="#_x0000_t75" stroked="false">
          <v:imagedata r:id="rId1" o:title=""/>
        </v:shape>
      </w:pict>
    </w:r>
    <w:r>
      <w:rPr/>
      <w:pict>
        <v:shape style="position:absolute;margin-left:55.639999pt;margin-top:779.893921pt;width:15.7pt;height:11pt;mso-position-horizontal-relative:page;mso-position-vertical-relative:page;z-index:-977200" type="#_x0000_t202" filled="false" stroked="false">
          <v:textbox inset="0,0,0,0">
            <w:txbxContent>
              <w:p>
                <w:pPr>
                  <w:pStyle w:val="BodyText"/>
                  <w:spacing w:line="204" w:lineRule="exact" w:before="0"/>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77176" type="#_x0000_t75" stroked="false">
          <v:imagedata r:id="rId1" o:title=""/>
        </v:shape>
      </w:pict>
    </w:r>
    <w:r>
      <w:rPr/>
      <w:pict>
        <v:shape style="position:absolute;margin-left:54.639999pt;margin-top:779.893921pt;width:17.7pt;height:11pt;mso-position-horizontal-relative:page;mso-position-vertical-relative:page;z-index:-977152"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77128" type="#_x0000_t75" stroked="false">
          <v:imagedata r:id="rId1" o:title=""/>
        </v:shape>
      </w:pict>
    </w:r>
    <w:r>
      <w:rPr/>
      <w:pict>
        <v:shape style="position:absolute;margin-left:54.639999pt;margin-top:779.893921pt;width:17.3pt;height:11pt;mso-position-horizontal-relative:page;mso-position-vertical-relative:page;z-index:-977104"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77080" type="#_x0000_t75" stroked="false">
          <v:imagedata r:id="rId1" o:title=""/>
        </v:shape>
      </w:pict>
    </w:r>
    <w:r>
      <w:rPr/>
      <w:pict>
        <v:shape style="position:absolute;margin-left:54.639999pt;margin-top:779.893921pt;width:17.7pt;height:11pt;mso-position-horizontal-relative:page;mso-position-vertical-relative:page;z-index:-977056" type="#_x0000_t202" filled="false" stroked="false">
          <v:textbox inset="0,0,0,0">
            <w:txbxContent>
              <w:p>
                <w:pPr>
                  <w:pStyle w:val="BodyText"/>
                  <w:spacing w:line="204" w:lineRule="exact" w:before="0"/>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5.639999pt;margin-top:38.185608pt;width:195.7pt;height:11.5pt;mso-position-horizontal-relative:page;mso-position-vertical-relative:page;z-index:-977416" type="#_x0000_t202" filled="false" stroked="false">
          <v:textbox inset="0,0,0,0">
            <w:txbxContent>
              <w:p>
                <w:pPr>
                  <w:pStyle w:val="BodyText"/>
                  <w:spacing w:line="214" w:lineRule="exact" w:before="0"/>
                  <w:ind w:left="20" w:right="0"/>
                  <w:jc w:val="left"/>
                </w:pPr>
                <w:r>
                  <w:rPr/>
                  <w:t>深圳大通实业股份有限公司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5.639999pt;margin-top:44.785606pt;width:195.7pt;height:11.5pt;mso-position-horizontal-relative:page;mso-position-vertical-relative:page;z-index:-977296" type="#_x0000_t202" filled="false" stroked="false">
          <v:textbox inset="0,0,0,0">
            <w:txbxContent>
              <w:p>
                <w:pPr>
                  <w:pStyle w:val="BodyText"/>
                  <w:spacing w:line="214" w:lineRule="exact" w:before="0"/>
                  <w:ind w:left="20" w:right="0"/>
                  <w:jc w:val="left"/>
                </w:pPr>
                <w:r>
                  <w:rPr/>
                  <w:t>深圳大通实业股份有限公司</w:t>
                </w:r>
                <w:r>
                  <w:rPr>
                    <w:spacing w:val="-44"/>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12"/>
    </w:pPr>
    <w:rPr>
      <w:rFonts w:ascii="宋体" w:hAnsi="宋体" w:eastAsia="宋体"/>
      <w:sz w:val="28"/>
      <w:szCs w:val="28"/>
    </w:rPr>
  </w:style>
  <w:style w:styleId="BodyText" w:type="paragraph">
    <w:name w:val="Body Text"/>
    <w:basedOn w:val="Normal"/>
    <w:uiPriority w:val="1"/>
    <w:qFormat/>
    <w:pPr>
      <w:spacing w:before="44"/>
      <w:ind w:left="112"/>
    </w:pPr>
    <w:rPr>
      <w:rFonts w:ascii="宋体" w:hAnsi="宋体" w:eastAsia="宋体"/>
      <w:sz w:val="18"/>
      <w:szCs w:val="18"/>
    </w:rPr>
  </w:style>
  <w:style w:styleId="Heading1" w:type="paragraph">
    <w:name w:val="Heading 1"/>
    <w:basedOn w:val="Normal"/>
    <w:uiPriority w:val="1"/>
    <w:qFormat/>
    <w:pPr>
      <w:ind w:left="2744"/>
      <w:outlineLvl w:val="1"/>
    </w:pPr>
    <w:rPr>
      <w:rFonts w:ascii="宋体" w:hAnsi="宋体" w:eastAsia="宋体"/>
      <w:b/>
      <w:bCs/>
      <w:sz w:val="32"/>
      <w:szCs w:val="32"/>
    </w:rPr>
  </w:style>
  <w:style w:styleId="Heading2" w:type="paragraph">
    <w:name w:val="Heading 2"/>
    <w:basedOn w:val="Normal"/>
    <w:uiPriority w:val="1"/>
    <w:qFormat/>
    <w:pPr>
      <w:ind w:left="112"/>
      <w:outlineLvl w:val="2"/>
    </w:pPr>
    <w:rPr>
      <w:rFonts w:ascii="宋体" w:hAnsi="宋体" w:eastAsia="宋体"/>
      <w:b/>
      <w:bCs/>
      <w:sz w:val="24"/>
      <w:szCs w:val="24"/>
    </w:rPr>
  </w:style>
  <w:style w:styleId="Heading3" w:type="paragraph">
    <w:name w:val="Heading 3"/>
    <w:basedOn w:val="Normal"/>
    <w:uiPriority w:val="1"/>
    <w:qFormat/>
    <w:pPr>
      <w:ind w:left="112"/>
      <w:outlineLvl w:val="3"/>
    </w:pPr>
    <w:rPr>
      <w:rFonts w:ascii="宋体" w:hAnsi="宋体" w:eastAsia="宋体"/>
      <w:sz w:val="24"/>
      <w:szCs w:val="24"/>
    </w:rPr>
  </w:style>
  <w:style w:styleId="Heading4" w:type="paragraph">
    <w:name w:val="Heading 4"/>
    <w:basedOn w:val="Normal"/>
    <w:uiPriority w:val="1"/>
    <w:qFormat/>
    <w:pPr>
      <w:ind w:left="112"/>
      <w:outlineLvl w:val="4"/>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eader" Target="header2.xml"/><Relationship Id="rId10" Type="http://schemas.openxmlformats.org/officeDocument/2006/relationships/hyperlink" Target="http://www.chinadatong.com/" TargetMode="External"/><Relationship Id="rId11" Type="http://schemas.openxmlformats.org/officeDocument/2006/relationships/hyperlink" Target="mailto:datongstock@163.com" TargetMode="External"/><Relationship Id="rId12" Type="http://schemas.openxmlformats.org/officeDocument/2006/relationships/hyperlink" Target="http://www.cninfo.com.cn/" TargetMode="External"/><Relationship Id="rId13" Type="http://schemas.openxmlformats.org/officeDocument/2006/relationships/footer" Target="footer3.xml"/><Relationship Id="rId14" Type="http://schemas.openxmlformats.org/officeDocument/2006/relationships/image" Target="media/image3.jpeg"/><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image" Target="media/image4.png"/><Relationship Id="rId20"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Tan</dc:creator>
  <dcterms:created xsi:type="dcterms:W3CDTF">2020-05-19T06:03:06Z</dcterms:created>
  <dcterms:modified xsi:type="dcterms:W3CDTF">2020-05-19T06:03:06Z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2020-04-22T00:00:00Z</vt:filetime>
  </property>
  <property fmtid="{D5CDD505-2E9C-101B-9397-08002B2CF9AE}" pid="3" name="Creator">
    <vt:lpwstr>Microsoft® Office Word 2007</vt:lpwstr>
  </property>
  <property fmtid="{D5CDD505-2E9C-101B-9397-08002B2CF9AE}" pid="4" name="LastSaved">
    <vt:filetime>2020-05-18T00:00:00Z</vt:filetime>
  </property>
</Properties>
</file>