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3"/>
          <w:szCs w:val="23"/>
        </w:rPr>
      </w:pPr>
    </w:p>
    <w:p>
      <w:pPr>
        <w:spacing w:line="580" w:lineRule="exact" w:before="0"/>
        <w:ind w:left="879" w:right="421" w:firstLine="0"/>
        <w:jc w:val="center"/>
        <w:rPr>
          <w:rFonts w:ascii="宋体" w:hAnsi="宋体" w:cs="宋体" w:eastAsia="宋体" w:hint="default"/>
          <w:sz w:val="48"/>
          <w:szCs w:val="48"/>
        </w:rPr>
      </w:pPr>
      <w:r>
        <w:rPr>
          <w:rFonts w:ascii="宋体" w:hAnsi="宋体" w:cs="宋体" w:eastAsia="宋体" w:hint="default"/>
          <w:sz w:val="48"/>
          <w:szCs w:val="48"/>
        </w:rPr>
        <w:t>深圳市鸿基（集团）股份有限公司</w:t>
      </w:r>
    </w:p>
    <w:p>
      <w:pPr>
        <w:spacing w:line="240" w:lineRule="auto" w:before="10"/>
        <w:rPr>
          <w:rFonts w:ascii="宋体" w:hAnsi="宋体" w:cs="宋体" w:eastAsia="宋体" w:hint="default"/>
          <w:sz w:val="41"/>
          <w:szCs w:val="41"/>
        </w:rPr>
      </w:pPr>
    </w:p>
    <w:p>
      <w:pPr>
        <w:spacing w:before="0"/>
        <w:ind w:left="879" w:right="420" w:firstLine="0"/>
        <w:jc w:val="center"/>
        <w:rPr>
          <w:rFonts w:ascii="宋体" w:hAnsi="宋体" w:cs="宋体" w:eastAsia="宋体" w:hint="default"/>
          <w:sz w:val="48"/>
          <w:szCs w:val="48"/>
        </w:rPr>
      </w:pPr>
      <w:r>
        <w:rPr>
          <w:rFonts w:ascii="Times New Roman" w:hAnsi="Times New Roman" w:cs="Times New Roman" w:eastAsia="Times New Roman" w:hint="default"/>
          <w:b/>
          <w:bCs/>
          <w:sz w:val="48"/>
          <w:szCs w:val="48"/>
        </w:rPr>
        <w:t>2009</w:t>
      </w:r>
      <w:r>
        <w:rPr>
          <w:rFonts w:ascii="Times New Roman" w:hAnsi="Times New Roman" w:cs="Times New Roman" w:eastAsia="Times New Roman" w:hint="default"/>
          <w:b/>
          <w:bCs/>
          <w:spacing w:val="5"/>
          <w:sz w:val="48"/>
          <w:szCs w:val="48"/>
        </w:rPr>
        <w:t> </w:t>
      </w:r>
      <w:r>
        <w:rPr>
          <w:rFonts w:ascii="宋体" w:hAnsi="宋体" w:cs="宋体" w:eastAsia="宋体" w:hint="default"/>
          <w:sz w:val="48"/>
          <w:szCs w:val="48"/>
        </w:rPr>
        <w:t>年年度报告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spacing w:line="1755" w:lineRule="exact"/>
        <w:ind w:left="3472" w:right="0" w:firstLine="0"/>
        <w:rPr>
          <w:rFonts w:ascii="宋体" w:hAnsi="宋体" w:cs="宋体" w:eastAsia="宋体" w:hint="default"/>
          <w:sz w:val="20"/>
          <w:szCs w:val="20"/>
        </w:rPr>
      </w:pPr>
      <w:r>
        <w:rPr>
          <w:rFonts w:ascii="宋体" w:hAnsi="宋体" w:cs="宋体" w:eastAsia="宋体" w:hint="default"/>
          <w:position w:val="-34"/>
          <w:sz w:val="20"/>
          <w:szCs w:val="20"/>
        </w:rPr>
        <w:drawing>
          <wp:inline distT="0" distB="0" distL="0" distR="0">
            <wp:extent cx="1306385" cy="111480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06385" cy="1114805"/>
                    </a:xfrm>
                    <a:prstGeom prst="rect">
                      <a:avLst/>
                    </a:prstGeom>
                  </pic:spPr>
                </pic:pic>
              </a:graphicData>
            </a:graphic>
          </wp:inline>
        </w:drawing>
      </w:r>
      <w:r>
        <w:rPr>
          <w:rFonts w:ascii="宋体" w:hAnsi="宋体" w:cs="宋体" w:eastAsia="宋体" w:hint="default"/>
          <w:position w:val="-34"/>
          <w:sz w:val="20"/>
          <w:szCs w:val="20"/>
        </w:rPr>
      </w:r>
    </w:p>
    <w:p>
      <w:pPr>
        <w:spacing w:after="0" w:line="1755" w:lineRule="exact"/>
        <w:rPr>
          <w:rFonts w:ascii="宋体" w:hAnsi="宋体" w:cs="宋体" w:eastAsia="宋体" w:hint="default"/>
          <w:sz w:val="20"/>
          <w:szCs w:val="20"/>
        </w:rPr>
        <w:sectPr>
          <w:type w:val="continuous"/>
          <w:pgSz w:w="11900" w:h="16840"/>
          <w:pgMar w:top="1600" w:bottom="280" w:left="1680" w:right="16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1"/>
          <w:szCs w:val="11"/>
        </w:rPr>
      </w:pPr>
    </w:p>
    <w:tbl>
      <w:tblPr>
        <w:tblW w:w="0" w:type="auto"/>
        <w:jc w:val="left"/>
        <w:tblInd w:w="715" w:type="dxa"/>
        <w:tblLayout w:type="fixed"/>
        <w:tblCellMar>
          <w:top w:w="0" w:type="dxa"/>
          <w:left w:w="0" w:type="dxa"/>
          <w:bottom w:w="0" w:type="dxa"/>
          <w:right w:w="0" w:type="dxa"/>
        </w:tblCellMar>
        <w:tblLook w:val="01E0"/>
      </w:tblPr>
      <w:tblGrid>
        <w:gridCol w:w="1168"/>
        <w:gridCol w:w="5033"/>
        <w:gridCol w:w="604"/>
      </w:tblGrid>
      <w:tr>
        <w:trPr>
          <w:trHeight w:val="1921" w:hRule="exact"/>
        </w:trPr>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45" w:right="0"/>
              <w:jc w:val="left"/>
              <w:rPr>
                <w:rFonts w:ascii="黑体" w:hAnsi="黑体" w:cs="黑体" w:eastAsia="黑体" w:hint="default"/>
                <w:sz w:val="28"/>
                <w:szCs w:val="28"/>
              </w:rPr>
            </w:pPr>
            <w:r>
              <w:rPr>
                <w:rFonts w:ascii="黑体" w:hAnsi="黑体" w:cs="黑体" w:eastAsia="黑体" w:hint="default"/>
                <w:sz w:val="28"/>
                <w:szCs w:val="28"/>
              </w:rPr>
              <w:t>第一节</w:t>
            </w:r>
          </w:p>
        </w:tc>
        <w:tc>
          <w:tcPr>
            <w:tcW w:w="5033" w:type="dxa"/>
            <w:tcBorders>
              <w:top w:val="nil" w:sz="6" w:space="0" w:color="auto"/>
              <w:left w:val="nil" w:sz="6" w:space="0" w:color="auto"/>
              <w:bottom w:val="nil" w:sz="6" w:space="0" w:color="auto"/>
              <w:right w:val="nil" w:sz="6" w:space="0" w:color="auto"/>
            </w:tcBorders>
          </w:tcPr>
          <w:p>
            <w:pPr>
              <w:pStyle w:val="TableParagraph"/>
              <w:tabs>
                <w:tab w:pos="1158" w:val="left" w:leader="none"/>
              </w:tabs>
              <w:spacing w:line="580" w:lineRule="exact"/>
              <w:ind w:left="198" w:right="0"/>
              <w:jc w:val="center"/>
              <w:rPr>
                <w:rFonts w:ascii="宋体" w:hAnsi="宋体" w:cs="宋体" w:eastAsia="宋体" w:hint="default"/>
                <w:sz w:val="48"/>
                <w:szCs w:val="48"/>
              </w:rPr>
            </w:pPr>
            <w:r>
              <w:rPr>
                <w:rFonts w:ascii="宋体" w:hAnsi="宋体" w:cs="宋体" w:eastAsia="宋体" w:hint="default"/>
                <w:sz w:val="48"/>
                <w:szCs w:val="48"/>
              </w:rPr>
              <w:t>目</w:t>
              <w:tab/>
              <w:t>录</w:t>
            </w:r>
          </w:p>
          <w:p>
            <w:pPr>
              <w:pStyle w:val="TableParagraph"/>
              <w:spacing w:line="240" w:lineRule="auto" w:before="6"/>
              <w:ind w:right="0"/>
              <w:jc w:val="left"/>
              <w:rPr>
                <w:rFonts w:ascii="Times New Roman" w:hAnsi="Times New Roman" w:cs="Times New Roman" w:eastAsia="Times New Roman" w:hint="default"/>
                <w:sz w:val="61"/>
                <w:szCs w:val="61"/>
              </w:rPr>
            </w:pPr>
          </w:p>
          <w:p>
            <w:pPr>
              <w:pStyle w:val="TableParagraph"/>
              <w:spacing w:line="240" w:lineRule="auto"/>
              <w:ind w:left="3" w:right="0"/>
              <w:jc w:val="left"/>
              <w:rPr>
                <w:rFonts w:ascii="黑体" w:hAnsi="黑体" w:cs="黑体" w:eastAsia="黑体" w:hint="default"/>
                <w:sz w:val="28"/>
                <w:szCs w:val="28"/>
              </w:rPr>
            </w:pPr>
            <w:r>
              <w:rPr>
                <w:rFonts w:ascii="黑体" w:hAnsi="黑体" w:cs="黑体" w:eastAsia="黑体" w:hint="default"/>
                <w:sz w:val="28"/>
                <w:szCs w:val="28"/>
              </w:rPr>
              <w:t>重要提示</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before="7"/>
              <w:ind w:right="0"/>
              <w:jc w:val="left"/>
              <w:rPr>
                <w:rFonts w:ascii="Times New Roman" w:hAnsi="Times New Roman" w:cs="Times New Roman" w:eastAsia="Times New Roman" w:hint="default"/>
                <w:sz w:val="33"/>
                <w:szCs w:val="33"/>
              </w:rPr>
            </w:pPr>
          </w:p>
          <w:p>
            <w:pPr>
              <w:pStyle w:val="TableParagraph"/>
              <w:spacing w:line="240" w:lineRule="auto"/>
              <w:ind w:left="287" w:right="0"/>
              <w:jc w:val="left"/>
              <w:rPr>
                <w:rFonts w:ascii="Times New Roman" w:hAnsi="Times New Roman" w:cs="Times New Roman" w:eastAsia="Times New Roman" w:hint="default"/>
                <w:sz w:val="28"/>
                <w:szCs w:val="28"/>
              </w:rPr>
            </w:pPr>
            <w:r>
              <w:rPr>
                <w:rFonts w:ascii="Times New Roman"/>
                <w:w w:val="99"/>
                <w:sz w:val="28"/>
              </w:rPr>
              <w:t>3</w:t>
            </w:r>
            <w:r>
              <w:rPr>
                <w:rFonts w:ascii="Times New Roman"/>
                <w:sz w:val="28"/>
              </w:rPr>
            </w:r>
          </w:p>
        </w:tc>
      </w:tr>
      <w:tr>
        <w:trPr>
          <w:trHeight w:val="800" w:hRule="exact"/>
        </w:trPr>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45" w:right="0"/>
              <w:jc w:val="left"/>
              <w:rPr>
                <w:rFonts w:ascii="黑体" w:hAnsi="黑体" w:cs="黑体" w:eastAsia="黑体" w:hint="default"/>
                <w:sz w:val="28"/>
                <w:szCs w:val="28"/>
              </w:rPr>
            </w:pPr>
            <w:r>
              <w:rPr>
                <w:rFonts w:ascii="黑体" w:hAnsi="黑体" w:cs="黑体" w:eastAsia="黑体" w:hint="default"/>
                <w:sz w:val="28"/>
                <w:szCs w:val="28"/>
              </w:rPr>
              <w:t>第二节</w:t>
            </w:r>
          </w:p>
        </w:tc>
        <w:tc>
          <w:tcPr>
            <w:tcW w:w="5033"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3" w:right="0"/>
              <w:jc w:val="left"/>
              <w:rPr>
                <w:rFonts w:ascii="黑体" w:hAnsi="黑体" w:cs="黑体" w:eastAsia="黑体" w:hint="default"/>
                <w:sz w:val="28"/>
                <w:szCs w:val="28"/>
              </w:rPr>
            </w:pPr>
            <w:r>
              <w:rPr>
                <w:rFonts w:ascii="黑体" w:hAnsi="黑体" w:cs="黑体" w:eastAsia="黑体" w:hint="default"/>
                <w:sz w:val="28"/>
                <w:szCs w:val="28"/>
              </w:rPr>
              <w:t>公司基本情况简介</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231"/>
              <w:ind w:left="287" w:right="0"/>
              <w:jc w:val="left"/>
              <w:rPr>
                <w:rFonts w:ascii="Times New Roman" w:hAnsi="Times New Roman" w:cs="Times New Roman" w:eastAsia="Times New Roman" w:hint="default"/>
                <w:sz w:val="28"/>
                <w:szCs w:val="28"/>
              </w:rPr>
            </w:pPr>
            <w:r>
              <w:rPr>
                <w:rFonts w:ascii="Times New Roman"/>
                <w:w w:val="99"/>
                <w:sz w:val="28"/>
              </w:rPr>
              <w:t>3</w:t>
            </w:r>
            <w:r>
              <w:rPr>
                <w:rFonts w:ascii="Times New Roman"/>
                <w:sz w:val="28"/>
              </w:rPr>
            </w:r>
          </w:p>
        </w:tc>
      </w:tr>
      <w:tr>
        <w:trPr>
          <w:trHeight w:val="800" w:hRule="exact"/>
        </w:trPr>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45" w:right="0"/>
              <w:jc w:val="left"/>
              <w:rPr>
                <w:rFonts w:ascii="黑体" w:hAnsi="黑体" w:cs="黑体" w:eastAsia="黑体" w:hint="default"/>
                <w:sz w:val="28"/>
                <w:szCs w:val="28"/>
              </w:rPr>
            </w:pPr>
            <w:r>
              <w:rPr>
                <w:rFonts w:ascii="黑体" w:hAnsi="黑体" w:cs="黑体" w:eastAsia="黑体" w:hint="default"/>
                <w:sz w:val="28"/>
                <w:szCs w:val="28"/>
              </w:rPr>
              <w:t>第三节</w:t>
            </w:r>
          </w:p>
        </w:tc>
        <w:tc>
          <w:tcPr>
            <w:tcW w:w="5033"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3" w:right="0"/>
              <w:jc w:val="left"/>
              <w:rPr>
                <w:rFonts w:ascii="黑体" w:hAnsi="黑体" w:cs="黑体" w:eastAsia="黑体" w:hint="default"/>
                <w:sz w:val="28"/>
                <w:szCs w:val="28"/>
              </w:rPr>
            </w:pPr>
            <w:r>
              <w:rPr>
                <w:rFonts w:ascii="黑体" w:hAnsi="黑体" w:cs="黑体" w:eastAsia="黑体" w:hint="default"/>
                <w:sz w:val="28"/>
                <w:szCs w:val="28"/>
              </w:rPr>
              <w:t>会计数据和业务数据摘要</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231"/>
              <w:ind w:left="287" w:right="0"/>
              <w:jc w:val="left"/>
              <w:rPr>
                <w:rFonts w:ascii="Times New Roman" w:hAnsi="Times New Roman" w:cs="Times New Roman" w:eastAsia="Times New Roman" w:hint="default"/>
                <w:sz w:val="28"/>
                <w:szCs w:val="28"/>
              </w:rPr>
            </w:pPr>
            <w:r>
              <w:rPr>
                <w:rFonts w:ascii="Times New Roman"/>
                <w:w w:val="99"/>
                <w:sz w:val="28"/>
              </w:rPr>
              <w:t>4</w:t>
            </w:r>
            <w:r>
              <w:rPr>
                <w:rFonts w:ascii="Times New Roman"/>
                <w:sz w:val="28"/>
              </w:rPr>
            </w:r>
          </w:p>
        </w:tc>
      </w:tr>
      <w:tr>
        <w:trPr>
          <w:trHeight w:val="800" w:hRule="exact"/>
        </w:trPr>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45" w:right="0"/>
              <w:jc w:val="left"/>
              <w:rPr>
                <w:rFonts w:ascii="黑体" w:hAnsi="黑体" w:cs="黑体" w:eastAsia="黑体" w:hint="default"/>
                <w:sz w:val="28"/>
                <w:szCs w:val="28"/>
              </w:rPr>
            </w:pPr>
            <w:r>
              <w:rPr>
                <w:rFonts w:ascii="黑体" w:hAnsi="黑体" w:cs="黑体" w:eastAsia="黑体" w:hint="default"/>
                <w:sz w:val="28"/>
                <w:szCs w:val="28"/>
              </w:rPr>
              <w:t>第四节</w:t>
            </w:r>
          </w:p>
        </w:tc>
        <w:tc>
          <w:tcPr>
            <w:tcW w:w="5033"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3" w:right="0"/>
              <w:jc w:val="left"/>
              <w:rPr>
                <w:rFonts w:ascii="黑体" w:hAnsi="黑体" w:cs="黑体" w:eastAsia="黑体" w:hint="default"/>
                <w:sz w:val="28"/>
                <w:szCs w:val="28"/>
              </w:rPr>
            </w:pPr>
            <w:r>
              <w:rPr>
                <w:rFonts w:ascii="黑体" w:hAnsi="黑体" w:cs="黑体" w:eastAsia="黑体" w:hint="default"/>
                <w:sz w:val="28"/>
                <w:szCs w:val="28"/>
              </w:rPr>
              <w:t>股本变动和股东情况</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231"/>
              <w:ind w:left="287" w:right="0"/>
              <w:jc w:val="left"/>
              <w:rPr>
                <w:rFonts w:ascii="Times New Roman" w:hAnsi="Times New Roman" w:cs="Times New Roman" w:eastAsia="Times New Roman" w:hint="default"/>
                <w:sz w:val="28"/>
                <w:szCs w:val="28"/>
              </w:rPr>
            </w:pPr>
            <w:r>
              <w:rPr>
                <w:rFonts w:ascii="Times New Roman"/>
                <w:w w:val="99"/>
                <w:sz w:val="28"/>
              </w:rPr>
              <w:t>6</w:t>
            </w:r>
            <w:r>
              <w:rPr>
                <w:rFonts w:ascii="Times New Roman"/>
                <w:sz w:val="28"/>
              </w:rPr>
            </w:r>
          </w:p>
        </w:tc>
      </w:tr>
      <w:tr>
        <w:trPr>
          <w:trHeight w:val="800" w:hRule="exact"/>
        </w:trPr>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45" w:right="0"/>
              <w:jc w:val="left"/>
              <w:rPr>
                <w:rFonts w:ascii="黑体" w:hAnsi="黑体" w:cs="黑体" w:eastAsia="黑体" w:hint="default"/>
                <w:sz w:val="28"/>
                <w:szCs w:val="28"/>
              </w:rPr>
            </w:pPr>
            <w:r>
              <w:rPr>
                <w:rFonts w:ascii="黑体" w:hAnsi="黑体" w:cs="黑体" w:eastAsia="黑体" w:hint="default"/>
                <w:sz w:val="28"/>
                <w:szCs w:val="28"/>
              </w:rPr>
              <w:t>第五节</w:t>
            </w:r>
          </w:p>
        </w:tc>
        <w:tc>
          <w:tcPr>
            <w:tcW w:w="5033"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3" w:right="0"/>
              <w:jc w:val="left"/>
              <w:rPr>
                <w:rFonts w:ascii="黑体" w:hAnsi="黑体" w:cs="黑体" w:eastAsia="黑体" w:hint="default"/>
                <w:sz w:val="28"/>
                <w:szCs w:val="28"/>
              </w:rPr>
            </w:pPr>
            <w:r>
              <w:rPr>
                <w:rFonts w:ascii="黑体" w:hAnsi="黑体" w:cs="黑体" w:eastAsia="黑体" w:hint="default"/>
                <w:sz w:val="28"/>
                <w:szCs w:val="28"/>
              </w:rPr>
              <w:t>董事、监事、高级管理人员和员工情况</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231"/>
              <w:ind w:left="287" w:right="0"/>
              <w:jc w:val="left"/>
              <w:rPr>
                <w:rFonts w:ascii="Times New Roman" w:hAnsi="Times New Roman" w:cs="Times New Roman" w:eastAsia="Times New Roman" w:hint="default"/>
                <w:sz w:val="28"/>
                <w:szCs w:val="28"/>
              </w:rPr>
            </w:pPr>
            <w:r>
              <w:rPr>
                <w:rFonts w:ascii="Times New Roman"/>
                <w:sz w:val="28"/>
              </w:rPr>
              <w:t>10</w:t>
            </w:r>
          </w:p>
        </w:tc>
      </w:tr>
      <w:tr>
        <w:trPr>
          <w:trHeight w:val="800" w:hRule="exact"/>
        </w:trPr>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45" w:right="0"/>
              <w:jc w:val="left"/>
              <w:rPr>
                <w:rFonts w:ascii="黑体" w:hAnsi="黑体" w:cs="黑体" w:eastAsia="黑体" w:hint="default"/>
                <w:sz w:val="28"/>
                <w:szCs w:val="28"/>
              </w:rPr>
            </w:pPr>
            <w:r>
              <w:rPr>
                <w:rFonts w:ascii="黑体" w:hAnsi="黑体" w:cs="黑体" w:eastAsia="黑体" w:hint="default"/>
                <w:sz w:val="28"/>
                <w:szCs w:val="28"/>
              </w:rPr>
              <w:t>第六节</w:t>
            </w:r>
          </w:p>
        </w:tc>
        <w:tc>
          <w:tcPr>
            <w:tcW w:w="5033"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3" w:right="0"/>
              <w:jc w:val="left"/>
              <w:rPr>
                <w:rFonts w:ascii="黑体" w:hAnsi="黑体" w:cs="黑体" w:eastAsia="黑体" w:hint="default"/>
                <w:sz w:val="28"/>
                <w:szCs w:val="28"/>
              </w:rPr>
            </w:pPr>
            <w:r>
              <w:rPr>
                <w:rFonts w:ascii="黑体" w:hAnsi="黑体" w:cs="黑体" w:eastAsia="黑体" w:hint="default"/>
                <w:sz w:val="28"/>
                <w:szCs w:val="28"/>
              </w:rPr>
              <w:t>公司治理结构</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231"/>
              <w:ind w:left="287" w:right="0"/>
              <w:jc w:val="left"/>
              <w:rPr>
                <w:rFonts w:ascii="Times New Roman" w:hAnsi="Times New Roman" w:cs="Times New Roman" w:eastAsia="Times New Roman" w:hint="default"/>
                <w:sz w:val="28"/>
                <w:szCs w:val="28"/>
              </w:rPr>
            </w:pPr>
            <w:r>
              <w:rPr>
                <w:rFonts w:ascii="Times New Roman"/>
                <w:sz w:val="28"/>
              </w:rPr>
              <w:t>17</w:t>
            </w:r>
          </w:p>
        </w:tc>
      </w:tr>
      <w:tr>
        <w:trPr>
          <w:trHeight w:val="800" w:hRule="exact"/>
        </w:trPr>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45" w:right="0"/>
              <w:jc w:val="left"/>
              <w:rPr>
                <w:rFonts w:ascii="黑体" w:hAnsi="黑体" w:cs="黑体" w:eastAsia="黑体" w:hint="default"/>
                <w:sz w:val="28"/>
                <w:szCs w:val="28"/>
              </w:rPr>
            </w:pPr>
            <w:r>
              <w:rPr>
                <w:rFonts w:ascii="黑体" w:hAnsi="黑体" w:cs="黑体" w:eastAsia="黑体" w:hint="default"/>
                <w:sz w:val="28"/>
                <w:szCs w:val="28"/>
              </w:rPr>
              <w:t>第七节</w:t>
            </w:r>
          </w:p>
        </w:tc>
        <w:tc>
          <w:tcPr>
            <w:tcW w:w="5033"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3" w:right="0"/>
              <w:jc w:val="left"/>
              <w:rPr>
                <w:rFonts w:ascii="黑体" w:hAnsi="黑体" w:cs="黑体" w:eastAsia="黑体" w:hint="default"/>
                <w:sz w:val="28"/>
                <w:szCs w:val="28"/>
              </w:rPr>
            </w:pPr>
            <w:r>
              <w:rPr>
                <w:rFonts w:ascii="黑体" w:hAnsi="黑体" w:cs="黑体" w:eastAsia="黑体" w:hint="default"/>
                <w:sz w:val="28"/>
                <w:szCs w:val="28"/>
              </w:rPr>
              <w:t>股东大会情况简介</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231"/>
              <w:ind w:left="287" w:right="0"/>
              <w:jc w:val="left"/>
              <w:rPr>
                <w:rFonts w:ascii="Times New Roman" w:hAnsi="Times New Roman" w:cs="Times New Roman" w:eastAsia="Times New Roman" w:hint="default"/>
                <w:sz w:val="28"/>
                <w:szCs w:val="28"/>
              </w:rPr>
            </w:pPr>
            <w:r>
              <w:rPr>
                <w:rFonts w:ascii="Times New Roman"/>
                <w:sz w:val="28"/>
              </w:rPr>
              <w:t>26</w:t>
            </w:r>
          </w:p>
        </w:tc>
      </w:tr>
      <w:tr>
        <w:trPr>
          <w:trHeight w:val="800" w:hRule="exact"/>
        </w:trPr>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45" w:right="0"/>
              <w:jc w:val="left"/>
              <w:rPr>
                <w:rFonts w:ascii="黑体" w:hAnsi="黑体" w:cs="黑体" w:eastAsia="黑体" w:hint="default"/>
                <w:sz w:val="28"/>
                <w:szCs w:val="28"/>
              </w:rPr>
            </w:pPr>
            <w:r>
              <w:rPr>
                <w:rFonts w:ascii="黑体" w:hAnsi="黑体" w:cs="黑体" w:eastAsia="黑体" w:hint="default"/>
                <w:sz w:val="28"/>
                <w:szCs w:val="28"/>
              </w:rPr>
              <w:t>第八节</w:t>
            </w:r>
          </w:p>
        </w:tc>
        <w:tc>
          <w:tcPr>
            <w:tcW w:w="5033"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3" w:right="0"/>
              <w:jc w:val="left"/>
              <w:rPr>
                <w:rFonts w:ascii="黑体" w:hAnsi="黑体" w:cs="黑体" w:eastAsia="黑体" w:hint="default"/>
                <w:sz w:val="28"/>
                <w:szCs w:val="28"/>
              </w:rPr>
            </w:pPr>
            <w:r>
              <w:rPr>
                <w:rFonts w:ascii="黑体" w:hAnsi="黑体" w:cs="黑体" w:eastAsia="黑体" w:hint="default"/>
                <w:sz w:val="28"/>
                <w:szCs w:val="28"/>
              </w:rPr>
              <w:t>董事局报告</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231"/>
              <w:ind w:left="287" w:right="0"/>
              <w:jc w:val="left"/>
              <w:rPr>
                <w:rFonts w:ascii="Times New Roman" w:hAnsi="Times New Roman" w:cs="Times New Roman" w:eastAsia="Times New Roman" w:hint="default"/>
                <w:sz w:val="28"/>
                <w:szCs w:val="28"/>
              </w:rPr>
            </w:pPr>
            <w:r>
              <w:rPr>
                <w:rFonts w:ascii="Times New Roman"/>
                <w:sz w:val="28"/>
              </w:rPr>
              <w:t>27</w:t>
            </w:r>
          </w:p>
        </w:tc>
      </w:tr>
      <w:tr>
        <w:trPr>
          <w:trHeight w:val="800" w:hRule="exact"/>
        </w:trPr>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45" w:right="0"/>
              <w:jc w:val="left"/>
              <w:rPr>
                <w:rFonts w:ascii="黑体" w:hAnsi="黑体" w:cs="黑体" w:eastAsia="黑体" w:hint="default"/>
                <w:sz w:val="28"/>
                <w:szCs w:val="28"/>
              </w:rPr>
            </w:pPr>
            <w:r>
              <w:rPr>
                <w:rFonts w:ascii="黑体" w:hAnsi="黑体" w:cs="黑体" w:eastAsia="黑体" w:hint="default"/>
                <w:sz w:val="28"/>
                <w:szCs w:val="28"/>
              </w:rPr>
              <w:t>第九节</w:t>
            </w:r>
          </w:p>
        </w:tc>
        <w:tc>
          <w:tcPr>
            <w:tcW w:w="5033"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3" w:right="0"/>
              <w:jc w:val="left"/>
              <w:rPr>
                <w:rFonts w:ascii="黑体" w:hAnsi="黑体" w:cs="黑体" w:eastAsia="黑体" w:hint="default"/>
                <w:sz w:val="28"/>
                <w:szCs w:val="28"/>
              </w:rPr>
            </w:pPr>
            <w:r>
              <w:rPr>
                <w:rFonts w:ascii="黑体" w:hAnsi="黑体" w:cs="黑体" w:eastAsia="黑体" w:hint="default"/>
                <w:sz w:val="28"/>
                <w:szCs w:val="28"/>
              </w:rPr>
              <w:t>监事会报告</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231"/>
              <w:ind w:left="287" w:right="0"/>
              <w:jc w:val="left"/>
              <w:rPr>
                <w:rFonts w:ascii="Times New Roman" w:hAnsi="Times New Roman" w:cs="Times New Roman" w:eastAsia="Times New Roman" w:hint="default"/>
                <w:sz w:val="28"/>
                <w:szCs w:val="28"/>
              </w:rPr>
            </w:pPr>
            <w:r>
              <w:rPr>
                <w:rFonts w:ascii="Times New Roman"/>
                <w:sz w:val="28"/>
              </w:rPr>
              <w:t>39</w:t>
            </w:r>
          </w:p>
        </w:tc>
      </w:tr>
      <w:tr>
        <w:trPr>
          <w:trHeight w:val="800" w:hRule="exact"/>
        </w:trPr>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45" w:right="0"/>
              <w:jc w:val="left"/>
              <w:rPr>
                <w:rFonts w:ascii="黑体" w:hAnsi="黑体" w:cs="黑体" w:eastAsia="黑体" w:hint="default"/>
                <w:sz w:val="28"/>
                <w:szCs w:val="28"/>
              </w:rPr>
            </w:pPr>
            <w:r>
              <w:rPr>
                <w:rFonts w:ascii="黑体" w:hAnsi="黑体" w:cs="黑体" w:eastAsia="黑体" w:hint="default"/>
                <w:sz w:val="28"/>
                <w:szCs w:val="28"/>
              </w:rPr>
              <w:t>第十节</w:t>
            </w:r>
          </w:p>
        </w:tc>
        <w:tc>
          <w:tcPr>
            <w:tcW w:w="5033"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3" w:right="0"/>
              <w:jc w:val="left"/>
              <w:rPr>
                <w:rFonts w:ascii="黑体" w:hAnsi="黑体" w:cs="黑体" w:eastAsia="黑体" w:hint="default"/>
                <w:sz w:val="28"/>
                <w:szCs w:val="28"/>
              </w:rPr>
            </w:pPr>
            <w:r>
              <w:rPr>
                <w:rFonts w:ascii="黑体" w:hAnsi="黑体" w:cs="黑体" w:eastAsia="黑体" w:hint="default"/>
                <w:sz w:val="28"/>
                <w:szCs w:val="28"/>
              </w:rPr>
              <w:t>重要事项</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231"/>
              <w:ind w:left="287" w:right="0"/>
              <w:jc w:val="left"/>
              <w:rPr>
                <w:rFonts w:ascii="Times New Roman" w:hAnsi="Times New Roman" w:cs="Times New Roman" w:eastAsia="Times New Roman" w:hint="default"/>
                <w:sz w:val="28"/>
                <w:szCs w:val="28"/>
              </w:rPr>
            </w:pPr>
            <w:r>
              <w:rPr>
                <w:rFonts w:ascii="Times New Roman"/>
                <w:sz w:val="28"/>
              </w:rPr>
              <w:t>40</w:t>
            </w:r>
          </w:p>
        </w:tc>
      </w:tr>
      <w:tr>
        <w:trPr>
          <w:trHeight w:val="800" w:hRule="exact"/>
        </w:trPr>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45" w:right="0"/>
              <w:jc w:val="left"/>
              <w:rPr>
                <w:rFonts w:ascii="黑体" w:hAnsi="黑体" w:cs="黑体" w:eastAsia="黑体" w:hint="default"/>
                <w:sz w:val="28"/>
                <w:szCs w:val="28"/>
              </w:rPr>
            </w:pPr>
            <w:r>
              <w:rPr>
                <w:rFonts w:ascii="黑体" w:hAnsi="黑体" w:cs="黑体" w:eastAsia="黑体" w:hint="default"/>
                <w:sz w:val="28"/>
                <w:szCs w:val="28"/>
              </w:rPr>
              <w:t>第十一节</w:t>
            </w:r>
          </w:p>
        </w:tc>
        <w:tc>
          <w:tcPr>
            <w:tcW w:w="5033"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283" w:right="0"/>
              <w:jc w:val="left"/>
              <w:rPr>
                <w:rFonts w:ascii="黑体" w:hAnsi="黑体" w:cs="黑体" w:eastAsia="黑体" w:hint="default"/>
                <w:sz w:val="28"/>
                <w:szCs w:val="28"/>
              </w:rPr>
            </w:pPr>
            <w:r>
              <w:rPr>
                <w:rFonts w:ascii="黑体" w:hAnsi="黑体" w:cs="黑体" w:eastAsia="黑体" w:hint="default"/>
                <w:sz w:val="28"/>
                <w:szCs w:val="28"/>
              </w:rPr>
              <w:t>财务报告</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231"/>
              <w:ind w:left="287" w:right="0"/>
              <w:jc w:val="left"/>
              <w:rPr>
                <w:rFonts w:ascii="Times New Roman" w:hAnsi="Times New Roman" w:cs="Times New Roman" w:eastAsia="Times New Roman" w:hint="default"/>
                <w:sz w:val="28"/>
                <w:szCs w:val="28"/>
              </w:rPr>
            </w:pPr>
            <w:r>
              <w:rPr>
                <w:rFonts w:ascii="Times New Roman"/>
                <w:sz w:val="28"/>
              </w:rPr>
              <w:t>49</w:t>
            </w:r>
          </w:p>
        </w:tc>
      </w:tr>
      <w:tr>
        <w:trPr>
          <w:trHeight w:val="647" w:hRule="exact"/>
        </w:trPr>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35" w:right="0"/>
              <w:jc w:val="left"/>
              <w:rPr>
                <w:rFonts w:ascii="黑体" w:hAnsi="黑体" w:cs="黑体" w:eastAsia="黑体" w:hint="default"/>
                <w:sz w:val="28"/>
                <w:szCs w:val="28"/>
              </w:rPr>
            </w:pPr>
            <w:r>
              <w:rPr>
                <w:rFonts w:ascii="黑体" w:hAnsi="黑体" w:cs="黑体" w:eastAsia="黑体" w:hint="default"/>
                <w:sz w:val="28"/>
                <w:szCs w:val="28"/>
              </w:rPr>
              <w:t>第十二节</w:t>
            </w:r>
          </w:p>
        </w:tc>
        <w:tc>
          <w:tcPr>
            <w:tcW w:w="5033"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266" w:right="0"/>
              <w:jc w:val="left"/>
              <w:rPr>
                <w:rFonts w:ascii="黑体" w:hAnsi="黑体" w:cs="黑体" w:eastAsia="黑体" w:hint="default"/>
                <w:sz w:val="28"/>
                <w:szCs w:val="28"/>
              </w:rPr>
            </w:pPr>
            <w:r>
              <w:rPr>
                <w:rFonts w:ascii="黑体" w:hAnsi="黑体" w:cs="黑体" w:eastAsia="黑体" w:hint="default"/>
                <w:sz w:val="28"/>
                <w:szCs w:val="28"/>
              </w:rPr>
              <w:t>备查文件目录</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231"/>
              <w:ind w:left="270" w:right="0"/>
              <w:jc w:val="left"/>
              <w:rPr>
                <w:rFonts w:ascii="Times New Roman" w:hAnsi="Times New Roman" w:cs="Times New Roman" w:eastAsia="Times New Roman" w:hint="default"/>
                <w:sz w:val="28"/>
                <w:szCs w:val="28"/>
              </w:rPr>
            </w:pPr>
            <w:r>
              <w:rPr>
                <w:rFonts w:ascii="Times New Roman"/>
                <w:sz w:val="28"/>
              </w:rPr>
              <w:t>49</w:t>
            </w:r>
          </w:p>
        </w:tc>
      </w:tr>
    </w:tbl>
    <w:p>
      <w:pPr>
        <w:spacing w:after="0" w:line="240" w:lineRule="auto"/>
        <w:jc w:val="left"/>
        <w:rPr>
          <w:rFonts w:ascii="Times New Roman" w:hAnsi="Times New Roman" w:cs="Times New Roman" w:eastAsia="Times New Roman" w:hint="default"/>
          <w:sz w:val="28"/>
          <w:szCs w:val="28"/>
        </w:rPr>
        <w:sectPr>
          <w:footerReference w:type="default" r:id="rId6"/>
          <w:pgSz w:w="11900" w:h="16840"/>
          <w:pgMar w:footer="939" w:header="0" w:top="1600" w:bottom="1120" w:left="1680" w:right="1680"/>
          <w:pgNumType w:start="2"/>
        </w:sectPr>
      </w:pPr>
    </w:p>
    <w:p>
      <w:pPr>
        <w:pStyle w:val="Heading2"/>
        <w:tabs>
          <w:tab w:pos="1119" w:val="left" w:leader="none"/>
        </w:tabs>
        <w:spacing w:line="361" w:lineRule="exact"/>
        <w:ind w:right="21"/>
        <w:jc w:val="center"/>
      </w:pPr>
      <w:r>
        <w:rPr>
          <w:w w:val="95"/>
        </w:rPr>
        <w:t>第一节</w:t>
        <w:tab/>
      </w:r>
      <w:r>
        <w:rPr/>
        <w:t>重要提示</w:t>
      </w:r>
    </w:p>
    <w:p>
      <w:pPr>
        <w:spacing w:line="240" w:lineRule="auto" w:before="0"/>
        <w:rPr>
          <w:rFonts w:ascii="黑体" w:hAnsi="黑体" w:cs="黑体" w:eastAsia="黑体" w:hint="default"/>
          <w:sz w:val="28"/>
          <w:szCs w:val="28"/>
        </w:rPr>
      </w:pPr>
    </w:p>
    <w:p>
      <w:pPr>
        <w:spacing w:line="240" w:lineRule="auto" w:before="12"/>
        <w:rPr>
          <w:rFonts w:ascii="黑体" w:hAnsi="黑体" w:cs="黑体" w:eastAsia="黑体" w:hint="default"/>
          <w:sz w:val="38"/>
          <w:szCs w:val="38"/>
        </w:rPr>
      </w:pPr>
    </w:p>
    <w:p>
      <w:pPr>
        <w:pStyle w:val="BodyText"/>
        <w:spacing w:line="272" w:lineRule="exact"/>
        <w:ind w:right="0" w:firstLine="420"/>
        <w:jc w:val="left"/>
      </w:pPr>
      <w:r>
        <w:rPr/>
        <w:t>本公司董事局、监事会及董事、监事、高级管理人员保证本报告所载资料不存在任何虚假 </w:t>
      </w:r>
      <w:r>
        <w:rPr>
          <w:spacing w:val="-3"/>
        </w:rPr>
        <w:t>记载、误导性陈述或者重大遗漏，并对其内容的真实性、准确性和完整性承担个别及连带责任。</w:t>
      </w:r>
    </w:p>
    <w:p>
      <w:pPr>
        <w:pStyle w:val="BodyText"/>
        <w:spacing w:line="272" w:lineRule="exact"/>
        <w:ind w:left="610" w:right="200"/>
        <w:jc w:val="left"/>
      </w:pPr>
      <w:r>
        <w:rPr/>
        <w:t>全体董事出席会议。 深圳市鹏城会计师事务所有限公司出具了标准无保留意见的审计报告。 公司董事局主席陈泰泉、财务总监兼财务经理钟民声明：保证本年度报告中财务报告的真</w:t>
      </w:r>
    </w:p>
    <w:p>
      <w:pPr>
        <w:pStyle w:val="BodyText"/>
        <w:spacing w:line="248" w:lineRule="exact"/>
        <w:ind w:right="0"/>
        <w:jc w:val="left"/>
      </w:pPr>
      <w:r>
        <w:rPr/>
        <w:t>实、完整。</w:t>
      </w:r>
    </w:p>
    <w:p>
      <w:pPr>
        <w:spacing w:line="240" w:lineRule="auto" w:before="12"/>
        <w:rPr>
          <w:rFonts w:ascii="宋体" w:hAnsi="宋体" w:cs="宋体" w:eastAsia="宋体" w:hint="default"/>
          <w:sz w:val="24"/>
          <w:szCs w:val="24"/>
        </w:rPr>
      </w:pPr>
    </w:p>
    <w:p>
      <w:pPr>
        <w:pStyle w:val="Heading2"/>
        <w:tabs>
          <w:tab w:pos="1119" w:val="left" w:leader="none"/>
        </w:tabs>
        <w:spacing w:line="240" w:lineRule="auto"/>
        <w:ind w:right="20"/>
        <w:jc w:val="center"/>
      </w:pPr>
      <w:r>
        <w:rPr>
          <w:w w:val="95"/>
        </w:rPr>
        <w:t>第二节</w:t>
        <w:tab/>
      </w:r>
      <w:r>
        <w:rPr/>
        <w:t>公司基本情况简介</w:t>
      </w:r>
    </w:p>
    <w:p>
      <w:pPr>
        <w:spacing w:line="240" w:lineRule="auto" w:before="0"/>
        <w:rPr>
          <w:rFonts w:ascii="黑体" w:hAnsi="黑体" w:cs="黑体" w:eastAsia="黑体" w:hint="default"/>
          <w:sz w:val="28"/>
          <w:szCs w:val="28"/>
        </w:rPr>
      </w:pPr>
    </w:p>
    <w:p>
      <w:pPr>
        <w:spacing w:line="240" w:lineRule="auto" w:before="9"/>
        <w:rPr>
          <w:rFonts w:ascii="黑体" w:hAnsi="黑体" w:cs="黑体" w:eastAsia="黑体" w:hint="default"/>
          <w:sz w:val="41"/>
          <w:szCs w:val="41"/>
        </w:rPr>
      </w:pPr>
    </w:p>
    <w:p>
      <w:pPr>
        <w:pStyle w:val="BodyText"/>
        <w:spacing w:line="297" w:lineRule="auto"/>
        <w:ind w:left="1031" w:right="0" w:hanging="420"/>
        <w:jc w:val="left"/>
        <w:rPr>
          <w:rFonts w:ascii="Times New Roman" w:hAnsi="Times New Roman" w:cs="Times New Roman" w:eastAsia="Times New Roman" w:hint="default"/>
        </w:rPr>
      </w:pPr>
      <w:r>
        <w:rPr/>
        <w:t>一、公司法定中文名称：深圳市鸿基（集团）股份有限公司 公司法定英文名称：</w:t>
      </w:r>
      <w:r>
        <w:rPr>
          <w:rFonts w:ascii="Times New Roman" w:hAnsi="Times New Roman" w:cs="Times New Roman" w:eastAsia="Times New Roman" w:hint="default"/>
        </w:rPr>
        <w:t>SHENZHEN HONGKAI(GROUP)</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4"/>
        </w:rPr>
        <w:t>CO.,LTD.</w:t>
      </w:r>
      <w:r>
        <w:rPr>
          <w:rFonts w:ascii="Times New Roman" w:hAnsi="Times New Roman" w:cs="Times New Roman" w:eastAsia="Times New Roman" w:hint="default"/>
        </w:rPr>
      </w:r>
    </w:p>
    <w:p>
      <w:pPr>
        <w:pStyle w:val="BodyText"/>
        <w:spacing w:line="297" w:lineRule="auto"/>
        <w:ind w:left="610" w:right="5660"/>
        <w:jc w:val="left"/>
      </w:pPr>
      <w:r>
        <w:rPr/>
        <w:t>二、公司法定代表人：陈泰泉 三、公司董事局秘书</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沈蜀江</w:t>
      </w:r>
    </w:p>
    <w:p>
      <w:pPr>
        <w:pStyle w:val="BodyText"/>
        <w:tabs>
          <w:tab w:pos="2665" w:val="left" w:leader="none"/>
        </w:tabs>
        <w:spacing w:line="284" w:lineRule="exact"/>
        <w:ind w:left="1030" w:right="0"/>
        <w:jc w:val="left"/>
      </w:pPr>
      <w:r>
        <w:rPr/>
        <w:t>证券事务代表</w:t>
      </w:r>
      <w:r>
        <w:rPr>
          <w:rFonts w:ascii="Times New Roman" w:hAnsi="Times New Roman" w:cs="Times New Roman" w:eastAsia="Times New Roman" w:hint="default"/>
        </w:rPr>
        <w:t>:</w:t>
        <w:tab/>
      </w:r>
      <w:r>
        <w:rPr/>
        <w:t>刘 莹</w:t>
      </w:r>
    </w:p>
    <w:p>
      <w:pPr>
        <w:pStyle w:val="BodyText"/>
        <w:tabs>
          <w:tab w:pos="3469" w:val="left" w:leader="none"/>
          <w:tab w:pos="5639" w:val="left" w:leader="none"/>
        </w:tabs>
        <w:spacing w:line="240" w:lineRule="auto" w:before="49"/>
        <w:ind w:left="1030" w:right="0"/>
        <w:jc w:val="left"/>
        <w:rPr>
          <w:rFonts w:ascii="Times New Roman" w:hAnsi="Times New Roman" w:cs="Times New Roman" w:eastAsia="Times New Roman" w:hint="default"/>
        </w:rPr>
      </w:pPr>
      <w:r>
        <w:rPr>
          <w:spacing w:val="-1"/>
        </w:rPr>
        <w:t>联系电话</w:t>
      </w:r>
      <w:r>
        <w:rPr>
          <w:rFonts w:ascii="Times New Roman" w:hAnsi="Times New Roman" w:cs="Times New Roman" w:eastAsia="Times New Roman" w:hint="default"/>
          <w:spacing w:val="-1"/>
        </w:rPr>
        <w:t>:0755-82367726</w:t>
        <w:tab/>
      </w:r>
      <w:r>
        <w:rPr>
          <w:spacing w:val="-1"/>
        </w:rPr>
        <w:t>传真：</w:t>
      </w:r>
      <w:r>
        <w:rPr>
          <w:rFonts w:ascii="Times New Roman" w:hAnsi="Times New Roman" w:cs="Times New Roman" w:eastAsia="Times New Roman" w:hint="default"/>
          <w:spacing w:val="-1"/>
        </w:rPr>
        <w:t>0755-82367753</w:t>
        <w:tab/>
      </w:r>
      <w:r>
        <w:rPr>
          <w:spacing w:val="-1"/>
        </w:rPr>
        <w:t>电子信箱：</w:t>
      </w:r>
      <w:r>
        <w:rPr>
          <w:spacing w:val="7"/>
        </w:rPr>
        <w:t> </w:t>
      </w:r>
      <w:hyperlink r:id="rId7">
        <w:r>
          <w:rPr>
            <w:rFonts w:ascii="Times New Roman" w:hAnsi="Times New Roman" w:cs="Times New Roman" w:eastAsia="Times New Roman" w:hint="default"/>
            <w:spacing w:val="-1"/>
          </w:rPr>
          <w:t>szhkdb@yahoo.com.cn</w:t>
        </w:r>
        <w:r>
          <w:rPr>
            <w:rFonts w:ascii="Times New Roman" w:hAnsi="Times New Roman" w:cs="Times New Roman" w:eastAsia="Times New Roman" w:hint="default"/>
          </w:rPr>
        </w:r>
      </w:hyperlink>
    </w:p>
    <w:p>
      <w:pPr>
        <w:pStyle w:val="BodyText"/>
        <w:spacing w:line="240" w:lineRule="auto" w:before="50"/>
        <w:ind w:left="1032" w:right="0"/>
        <w:jc w:val="left"/>
      </w:pPr>
      <w:r>
        <w:rPr/>
        <w:t>联系地址</w:t>
      </w:r>
      <w:r>
        <w:rPr>
          <w:rFonts w:ascii="Times New Roman" w:hAnsi="Times New Roman" w:cs="Times New Roman" w:eastAsia="Times New Roman" w:hint="default"/>
        </w:rPr>
        <w:t>:</w:t>
      </w:r>
      <w:r>
        <w:rPr/>
        <w:t>深圳市罗湖区东门中路</w:t>
      </w:r>
      <w:r>
        <w:rPr>
          <w:spacing w:val="-54"/>
        </w:rPr>
        <w:t> </w:t>
      </w:r>
      <w:r>
        <w:rPr>
          <w:rFonts w:ascii="Times New Roman" w:hAnsi="Times New Roman" w:cs="Times New Roman" w:eastAsia="Times New Roman" w:hint="default"/>
          <w:spacing w:val="-3"/>
        </w:rPr>
        <w:t>1011</w:t>
      </w:r>
      <w:r>
        <w:rPr>
          <w:rFonts w:ascii="Times New Roman" w:hAnsi="Times New Roman" w:cs="Times New Roman" w:eastAsia="Times New Roman" w:hint="default"/>
          <w:spacing w:val="-1"/>
        </w:rPr>
        <w:t> </w:t>
      </w:r>
      <w:r>
        <w:rPr/>
        <w:t>号鸿基大厦</w:t>
      </w:r>
      <w:r>
        <w:rPr>
          <w:spacing w:val="-54"/>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楼</w:t>
      </w:r>
    </w:p>
    <w:p>
      <w:pPr>
        <w:pStyle w:val="BodyText"/>
        <w:spacing w:line="240" w:lineRule="auto" w:before="49"/>
        <w:ind w:left="610" w:right="0"/>
        <w:jc w:val="left"/>
      </w:pPr>
      <w:r>
        <w:rPr/>
        <w:t>四、公司注册地址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深圳市罗湖区东门中路</w:t>
      </w:r>
      <w:r>
        <w:rPr>
          <w:spacing w:val="-54"/>
        </w:rPr>
        <w:t> </w:t>
      </w:r>
      <w:r>
        <w:rPr>
          <w:rFonts w:ascii="Times New Roman" w:hAnsi="Times New Roman" w:cs="Times New Roman" w:eastAsia="Times New Roman" w:hint="default"/>
          <w:spacing w:val="-3"/>
        </w:rPr>
        <w:t>1011</w:t>
      </w:r>
      <w:r>
        <w:rPr>
          <w:rFonts w:ascii="Times New Roman" w:hAnsi="Times New Roman" w:cs="Times New Roman" w:eastAsia="Times New Roman" w:hint="default"/>
          <w:spacing w:val="-2"/>
        </w:rPr>
        <w:t> </w:t>
      </w:r>
      <w:r>
        <w:rPr/>
        <w:t>号鸿基大厦</w:t>
      </w:r>
      <w:r>
        <w:rPr>
          <w:spacing w:val="-54"/>
        </w:rPr>
        <w:t> </w:t>
      </w:r>
      <w:r>
        <w:rPr>
          <w:rFonts w:ascii="Times New Roman" w:hAnsi="Times New Roman" w:cs="Times New Roman" w:eastAsia="Times New Roman" w:hint="default"/>
        </w:rPr>
        <w:t>25—27</w:t>
      </w:r>
      <w:r>
        <w:rPr>
          <w:rFonts w:ascii="Times New Roman" w:hAnsi="Times New Roman" w:cs="Times New Roman" w:eastAsia="Times New Roman" w:hint="default"/>
          <w:spacing w:val="-1"/>
        </w:rPr>
        <w:t> </w:t>
      </w:r>
      <w:r>
        <w:rPr/>
        <w:t>楼</w:t>
      </w:r>
    </w:p>
    <w:p>
      <w:pPr>
        <w:pStyle w:val="BodyText"/>
        <w:spacing w:line="280" w:lineRule="auto" w:before="49"/>
        <w:ind w:left="1031" w:right="1945"/>
        <w:jc w:val="left"/>
        <w:rPr>
          <w:rFonts w:ascii="Times New Roman" w:hAnsi="Times New Roman" w:cs="Times New Roman" w:eastAsia="Times New Roman" w:hint="default"/>
        </w:rPr>
      </w:pPr>
      <w:r>
        <w:rPr/>
        <w:t>公司办公地址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深圳市罗湖区东门中路</w:t>
      </w:r>
      <w:r>
        <w:rPr>
          <w:spacing w:val="-54"/>
        </w:rPr>
        <w:t> </w:t>
      </w:r>
      <w:r>
        <w:rPr>
          <w:rFonts w:ascii="Times New Roman" w:hAnsi="Times New Roman" w:cs="Times New Roman" w:eastAsia="Times New Roman" w:hint="default"/>
          <w:spacing w:val="-3"/>
        </w:rPr>
        <w:t>1011</w:t>
      </w:r>
      <w:r>
        <w:rPr>
          <w:rFonts w:ascii="Times New Roman" w:hAnsi="Times New Roman" w:cs="Times New Roman" w:eastAsia="Times New Roman" w:hint="default"/>
          <w:spacing w:val="-1"/>
        </w:rPr>
        <w:t> </w:t>
      </w:r>
      <w:r>
        <w:rPr/>
        <w:t>号鸿基大厦</w:t>
      </w:r>
      <w:r>
        <w:rPr>
          <w:spacing w:val="-54"/>
        </w:rPr>
        <w:t> </w:t>
      </w:r>
      <w:r>
        <w:rPr>
          <w:rFonts w:ascii="Times New Roman" w:hAnsi="Times New Roman" w:cs="Times New Roman" w:eastAsia="Times New Roman" w:hint="default"/>
        </w:rPr>
        <w:t>25—27</w:t>
      </w:r>
      <w:r>
        <w:rPr>
          <w:rFonts w:ascii="Times New Roman" w:hAnsi="Times New Roman" w:cs="Times New Roman" w:eastAsia="Times New Roman" w:hint="default"/>
          <w:spacing w:val="-1"/>
        </w:rPr>
        <w:t> </w:t>
      </w:r>
      <w:r>
        <w:rPr/>
        <w:t>楼 公司邮政编码</w:t>
      </w:r>
      <w:r>
        <w:rPr>
          <w:rFonts w:ascii="Times New Roman" w:hAnsi="Times New Roman" w:cs="Times New Roman" w:eastAsia="Times New Roman" w:hint="default"/>
        </w:rPr>
        <w:t>:518001</w:t>
      </w:r>
    </w:p>
    <w:p>
      <w:pPr>
        <w:pStyle w:val="BodyText"/>
        <w:spacing w:line="280" w:lineRule="auto" w:before="9"/>
        <w:ind w:left="1031" w:right="1945"/>
        <w:jc w:val="left"/>
        <w:rPr>
          <w:rFonts w:ascii="Times New Roman" w:hAnsi="Times New Roman" w:cs="Times New Roman" w:eastAsia="Times New Roman" w:hint="default"/>
        </w:rPr>
      </w:pPr>
      <w:r>
        <w:rPr>
          <w:spacing w:val="-2"/>
        </w:rPr>
        <w:t>公司互联网网址：</w:t>
      </w:r>
      <w:hyperlink r:id="rId8">
        <w:r>
          <w:rPr>
            <w:rFonts w:ascii="Times New Roman" w:hAnsi="Times New Roman" w:cs="Times New Roman" w:eastAsia="Times New Roman" w:hint="default"/>
            <w:spacing w:val="-2"/>
          </w:rPr>
          <w:t>www.hongkai.com.cn</w:t>
        </w:r>
      </w:hyperlink>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t>公司邮箱：</w:t>
      </w:r>
      <w:hyperlink r:id="rId7">
        <w:r>
          <w:rPr>
            <w:rFonts w:ascii="Times New Roman" w:hAnsi="Times New Roman" w:cs="Times New Roman" w:eastAsia="Times New Roman" w:hint="default"/>
          </w:rPr>
          <w:t>szhkdb@yahoo.com.cn</w:t>
        </w:r>
      </w:hyperlink>
    </w:p>
    <w:p>
      <w:pPr>
        <w:pStyle w:val="BodyText"/>
        <w:spacing w:line="288" w:lineRule="auto" w:before="10"/>
        <w:ind w:left="1031" w:right="0" w:hanging="422"/>
        <w:jc w:val="left"/>
      </w:pPr>
      <w:r>
        <w:rPr>
          <w:spacing w:val="-12"/>
        </w:rPr>
        <w:t>五、公司选定的信息披露报刊：《中国证券报》、《证券时报》</w:t>
      </w:r>
      <w:r>
        <w:rPr>
          <w:spacing w:val="-87"/>
        </w:rPr>
        <w:t> </w:t>
      </w:r>
      <w:r>
        <w:rPr>
          <w:spacing w:val="-87"/>
        </w:rPr>
      </w:r>
      <w:r>
        <w:rPr>
          <w:spacing w:val="-1"/>
        </w:rPr>
        <w:t>登载公司年度报告的中国证监会指定网站的网址：</w:t>
      </w:r>
      <w:hyperlink r:id="rId9">
        <w:r>
          <w:rPr>
            <w:rFonts w:ascii="Times New Roman" w:hAnsi="Times New Roman" w:cs="Times New Roman" w:eastAsia="Times New Roman" w:hint="default"/>
            <w:spacing w:val="-1"/>
          </w:rPr>
          <w:t>http://www.cninfo.com.cn</w:t>
        </w:r>
      </w:hyperlink>
      <w:r>
        <w:rPr>
          <w:rFonts w:ascii="Times New Roman" w:hAnsi="Times New Roman" w:cs="Times New Roman" w:eastAsia="Times New Roman" w:hint="default"/>
        </w:rPr>
        <w:t> </w:t>
      </w:r>
      <w:r>
        <w:rPr/>
        <w:t>公司年度报告备置地点</w:t>
      </w:r>
      <w:r>
        <w:rPr>
          <w:rFonts w:ascii="Times New Roman" w:hAnsi="Times New Roman" w:cs="Times New Roman" w:eastAsia="Times New Roman" w:hint="default"/>
        </w:rPr>
        <w:t>:</w:t>
      </w:r>
      <w:r>
        <w:rPr/>
        <w:t>公司董事局办公室</w:t>
      </w:r>
    </w:p>
    <w:p>
      <w:pPr>
        <w:pStyle w:val="BodyText"/>
        <w:spacing w:line="297" w:lineRule="auto" w:before="3"/>
        <w:ind w:left="1031" w:right="4401" w:hanging="422"/>
        <w:jc w:val="left"/>
      </w:pPr>
      <w:r>
        <w:rPr/>
        <w:t>六、公司股票上市交易所：深圳证券交易所 股票简称：深鸿基</w:t>
      </w:r>
    </w:p>
    <w:p>
      <w:pPr>
        <w:pStyle w:val="BodyText"/>
        <w:spacing w:line="280" w:lineRule="auto" w:before="14"/>
        <w:ind w:left="610" w:right="6300" w:firstLine="421"/>
        <w:jc w:val="left"/>
      </w:pPr>
      <w:r>
        <w:rPr>
          <w:spacing w:val="-1"/>
        </w:rPr>
        <w:t>股票代码：</w:t>
      </w:r>
      <w:r>
        <w:rPr>
          <w:rFonts w:ascii="Times New Roman" w:hAnsi="Times New Roman" w:cs="Times New Roman" w:eastAsia="Times New Roman" w:hint="default"/>
          <w:spacing w:val="-1"/>
        </w:rPr>
        <w:t>000040 </w:t>
      </w:r>
      <w:r>
        <w:rPr/>
        <w:t>七、其他有关资料</w:t>
      </w:r>
    </w:p>
    <w:p>
      <w:pPr>
        <w:pStyle w:val="BodyText"/>
        <w:spacing w:line="240" w:lineRule="auto" w:before="29"/>
        <w:ind w:left="1030" w:right="0"/>
        <w:jc w:val="left"/>
      </w:pPr>
      <w:r>
        <w:rPr>
          <w:rFonts w:ascii="Times New Roman" w:hAnsi="Times New Roman" w:cs="Times New Roman" w:eastAsia="Times New Roman" w:hint="default"/>
        </w:rPr>
        <w:t>1</w:t>
      </w:r>
      <w:r>
        <w:rPr/>
        <w:t>，公司变更注册日期：</w:t>
      </w:r>
      <w:r>
        <w:rPr>
          <w:spacing w:val="-2"/>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w:t>
      </w:r>
    </w:p>
    <w:p>
      <w:pPr>
        <w:pStyle w:val="BodyText"/>
        <w:spacing w:line="240" w:lineRule="auto" w:before="49"/>
        <w:ind w:left="0" w:right="158"/>
        <w:jc w:val="center"/>
      </w:pPr>
      <w:r>
        <w:rPr/>
        <w:t>变更后注册地点：</w:t>
      </w:r>
      <w:r>
        <w:rPr>
          <w:spacing w:val="-2"/>
        </w:rPr>
        <w:t> </w:t>
      </w:r>
      <w:r>
        <w:rPr/>
        <w:t>深圳市罗湖区东门中路</w:t>
      </w:r>
      <w:r>
        <w:rPr>
          <w:spacing w:val="-54"/>
        </w:rPr>
        <w:t> </w:t>
      </w:r>
      <w:r>
        <w:rPr>
          <w:rFonts w:ascii="Times New Roman" w:hAnsi="Times New Roman" w:cs="Times New Roman" w:eastAsia="Times New Roman" w:hint="default"/>
          <w:spacing w:val="-3"/>
        </w:rPr>
        <w:t>1011</w:t>
      </w:r>
      <w:r>
        <w:rPr>
          <w:rFonts w:ascii="Times New Roman" w:hAnsi="Times New Roman" w:cs="Times New Roman" w:eastAsia="Times New Roman" w:hint="default"/>
          <w:spacing w:val="-1"/>
        </w:rPr>
        <w:t> </w:t>
      </w:r>
      <w:r>
        <w:rPr/>
        <w:t>号鸿基大厦</w:t>
      </w:r>
      <w:r>
        <w:rPr>
          <w:spacing w:val="-54"/>
        </w:rPr>
        <w:t> </w:t>
      </w:r>
      <w:r>
        <w:rPr>
          <w:rFonts w:ascii="Times New Roman" w:hAnsi="Times New Roman" w:cs="Times New Roman" w:eastAsia="Times New Roman" w:hint="default"/>
        </w:rPr>
        <w:t>25-27</w:t>
      </w:r>
      <w:r>
        <w:rPr>
          <w:rFonts w:ascii="Times New Roman" w:hAnsi="Times New Roman" w:cs="Times New Roman" w:eastAsia="Times New Roman" w:hint="default"/>
          <w:spacing w:val="-2"/>
        </w:rPr>
        <w:t> </w:t>
      </w:r>
      <w:r>
        <w:rPr/>
        <w:t>楼</w:t>
      </w:r>
    </w:p>
    <w:p>
      <w:pPr>
        <w:pStyle w:val="BodyText"/>
        <w:tabs>
          <w:tab w:pos="3923" w:val="left" w:leader="none"/>
        </w:tabs>
        <w:spacing w:line="240" w:lineRule="auto" w:before="65"/>
        <w:ind w:left="1030" w:right="0"/>
        <w:jc w:val="left"/>
        <w:rPr>
          <w:rFonts w:ascii="Times New Roman" w:hAnsi="Times New Roman" w:cs="Times New Roman" w:eastAsia="Times New Roman" w:hint="default"/>
        </w:rPr>
      </w:pPr>
      <w:r>
        <w:rPr>
          <w:rFonts w:ascii="Times New Roman" w:hAnsi="Times New Roman" w:cs="Times New Roman" w:eastAsia="Times New Roman" w:hint="default"/>
          <w:spacing w:val="-1"/>
        </w:rPr>
        <w:t>2</w:t>
      </w:r>
      <w:r>
        <w:rPr>
          <w:spacing w:val="-1"/>
        </w:rPr>
        <w:t>．公司法人营业执照注册号</w:t>
      </w:r>
      <w:r>
        <w:rPr>
          <w:rFonts w:ascii="Times New Roman" w:hAnsi="Times New Roman" w:cs="Times New Roman" w:eastAsia="Times New Roman" w:hint="default"/>
          <w:spacing w:val="-1"/>
        </w:rPr>
        <w:t>:</w:t>
        <w:tab/>
        <w:t>4403011002854</w:t>
      </w:r>
    </w:p>
    <w:p>
      <w:pPr>
        <w:pStyle w:val="BodyText"/>
        <w:tabs>
          <w:tab w:pos="2875" w:val="left" w:leader="none"/>
        </w:tabs>
        <w:spacing w:line="240" w:lineRule="auto" w:before="69"/>
        <w:ind w:left="1030" w:right="0"/>
        <w:jc w:val="left"/>
        <w:rPr>
          <w:rFonts w:ascii="Times New Roman" w:hAnsi="Times New Roman" w:cs="Times New Roman" w:eastAsia="Times New Roman" w:hint="default"/>
        </w:rPr>
      </w:pPr>
      <w:r>
        <w:rPr>
          <w:rFonts w:ascii="Times New Roman" w:hAnsi="Times New Roman" w:cs="Times New Roman" w:eastAsia="Times New Roman" w:hint="default"/>
          <w:spacing w:val="-1"/>
        </w:rPr>
        <w:t>3</w:t>
      </w:r>
      <w:r>
        <w:rPr>
          <w:spacing w:val="-1"/>
        </w:rPr>
        <w:t>．税务登记号码</w:t>
      </w:r>
      <w:r>
        <w:rPr>
          <w:rFonts w:ascii="Times New Roman" w:hAnsi="Times New Roman" w:cs="Times New Roman" w:eastAsia="Times New Roman" w:hint="default"/>
          <w:spacing w:val="-1"/>
        </w:rPr>
        <w:t>:</w:t>
        <w:tab/>
      </w:r>
      <w:r>
        <w:rPr>
          <w:spacing w:val="-1"/>
        </w:rPr>
        <w:t>国税深字</w:t>
      </w:r>
      <w:r>
        <w:rPr>
          <w:spacing w:val="-48"/>
        </w:rPr>
        <w:t> </w:t>
      </w:r>
      <w:r>
        <w:rPr>
          <w:rFonts w:ascii="Times New Roman" w:hAnsi="Times New Roman" w:cs="Times New Roman" w:eastAsia="Times New Roman" w:hint="default"/>
          <w:spacing w:val="-1"/>
        </w:rPr>
        <w:t>440301192174418</w:t>
      </w:r>
      <w:r>
        <w:rPr>
          <w:rFonts w:ascii="Times New Roman" w:hAnsi="Times New Roman" w:cs="Times New Roman" w:eastAsia="Times New Roman" w:hint="default"/>
          <w:spacing w:val="5"/>
        </w:rPr>
        <w:t> </w:t>
      </w:r>
      <w:r>
        <w:rPr>
          <w:spacing w:val="-1"/>
        </w:rPr>
        <w:t>号</w:t>
      </w:r>
      <w:r>
        <w:rPr>
          <w:rFonts w:ascii="Times New Roman" w:hAnsi="Times New Roman" w:cs="Times New Roman" w:eastAsia="Times New Roman" w:hint="default"/>
          <w:spacing w:val="-1"/>
        </w:rPr>
        <w:t>(04002535)</w:t>
      </w:r>
    </w:p>
    <w:p>
      <w:pPr>
        <w:pStyle w:val="BodyText"/>
        <w:spacing w:line="240" w:lineRule="auto" w:before="69"/>
        <w:ind w:left="2920" w:right="0"/>
        <w:jc w:val="left"/>
      </w:pPr>
      <w:r>
        <w:rPr/>
        <w:t>地税登字 </w:t>
      </w:r>
      <w:r>
        <w:rPr>
          <w:rFonts w:ascii="Times New Roman" w:hAnsi="Times New Roman" w:cs="Times New Roman" w:eastAsia="Times New Roman" w:hint="default"/>
        </w:rPr>
        <w:t>440303192174418</w:t>
      </w:r>
      <w:r>
        <w:rPr>
          <w:rFonts w:ascii="Times New Roman" w:hAnsi="Times New Roman" w:cs="Times New Roman" w:eastAsia="Times New Roman" w:hint="default"/>
          <w:spacing w:val="-10"/>
        </w:rPr>
        <w:t> </w:t>
      </w:r>
      <w:r>
        <w:rPr/>
        <w:t>号</w:t>
      </w:r>
    </w:p>
    <w:p>
      <w:pPr>
        <w:pStyle w:val="BodyText"/>
        <w:tabs>
          <w:tab w:pos="4345" w:val="left" w:leader="none"/>
        </w:tabs>
        <w:spacing w:line="297" w:lineRule="auto" w:before="69"/>
        <w:ind w:left="2816" w:right="211" w:hanging="1786"/>
        <w:jc w:val="left"/>
      </w:pPr>
      <w:r>
        <w:rPr>
          <w:rFonts w:ascii="Times New Roman" w:hAnsi="Times New Roman" w:cs="Times New Roman" w:eastAsia="Times New Roman" w:hint="default"/>
          <w:spacing w:val="-1"/>
        </w:rPr>
        <w:t>4</w:t>
      </w:r>
      <w:r>
        <w:rPr>
          <w:spacing w:val="-1"/>
        </w:rPr>
        <w:t>．公司聘请的会计师事务所名称</w:t>
      </w:r>
      <w:r>
        <w:rPr>
          <w:rFonts w:ascii="Times New Roman" w:hAnsi="Times New Roman" w:cs="Times New Roman" w:eastAsia="Times New Roman" w:hint="default"/>
          <w:spacing w:val="-1"/>
        </w:rPr>
        <w:t>:</w:t>
        <w:tab/>
      </w:r>
      <w:r>
        <w:rPr>
          <w:spacing w:val="-1"/>
        </w:rPr>
        <w:t>深圳市鹏城会计师事务所有限公司</w:t>
      </w:r>
      <w:r>
        <w:rPr>
          <w:spacing w:val="-92"/>
        </w:rPr>
        <w:t> </w:t>
      </w:r>
      <w:r>
        <w:rPr>
          <w:spacing w:val="-92"/>
        </w:rPr>
      </w:r>
      <w:r>
        <w:rPr>
          <w:spacing w:val="-3"/>
        </w:rPr>
        <w:t>办公地址：中国深圳市福田区滨河大道</w:t>
      </w:r>
      <w:r>
        <w:rPr>
          <w:spacing w:val="-52"/>
        </w:rPr>
        <w:t> </w:t>
      </w:r>
      <w:r>
        <w:rPr>
          <w:rFonts w:ascii="Times New Roman" w:hAnsi="Times New Roman" w:cs="Times New Roman" w:eastAsia="Times New Roman" w:hint="default"/>
        </w:rPr>
        <w:t>5022 </w:t>
      </w:r>
      <w:r>
        <w:rPr/>
        <w:t>号联合广场</w:t>
      </w:r>
      <w:r>
        <w:rPr>
          <w:spacing w:val="-52"/>
        </w:rPr>
        <w:t> </w:t>
      </w:r>
      <w:r>
        <w:rPr>
          <w:rFonts w:ascii="Times New Roman" w:hAnsi="Times New Roman" w:cs="Times New Roman" w:eastAsia="Times New Roman" w:hint="default"/>
        </w:rPr>
        <w:t>A </w:t>
      </w:r>
      <w:r>
        <w:rPr/>
        <w:t>座</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楼</w:t>
      </w:r>
    </w:p>
    <w:p>
      <w:pPr>
        <w:spacing w:after="0" w:line="297" w:lineRule="auto"/>
        <w:jc w:val="left"/>
        <w:sectPr>
          <w:pgSz w:w="11900" w:h="16840"/>
          <w:pgMar w:header="0" w:footer="939" w:top="1400" w:bottom="1180" w:left="1680" w:right="1200"/>
        </w:sectPr>
      </w:pPr>
    </w:p>
    <w:p>
      <w:pPr>
        <w:pStyle w:val="Heading2"/>
        <w:tabs>
          <w:tab w:pos="3610" w:val="left" w:leader="none"/>
        </w:tabs>
        <w:spacing w:line="240" w:lineRule="auto" w:before="1"/>
        <w:ind w:left="2490" w:right="0"/>
        <w:jc w:val="left"/>
      </w:pPr>
      <w:r>
        <w:rPr>
          <w:w w:val="95"/>
        </w:rPr>
        <w:t>第三节</w:t>
        <w:tab/>
      </w:r>
      <w:r>
        <w:rPr/>
        <w:t>会计数据和业务数据摘要</w:t>
      </w:r>
    </w:p>
    <w:p>
      <w:pPr>
        <w:spacing w:line="240" w:lineRule="auto" w:before="4"/>
        <w:rPr>
          <w:rFonts w:ascii="黑体" w:hAnsi="黑体" w:cs="黑体" w:eastAsia="黑体" w:hint="default"/>
          <w:sz w:val="19"/>
          <w:szCs w:val="19"/>
        </w:rPr>
      </w:pPr>
    </w:p>
    <w:p>
      <w:pPr>
        <w:pStyle w:val="Heading3"/>
        <w:spacing w:line="240" w:lineRule="auto"/>
        <w:ind w:left="390" w:right="0"/>
        <w:jc w:val="left"/>
      </w:pPr>
      <w:r>
        <w:rPr/>
        <w:t>一、本年度主要会计数据（单位：人民币元）</w:t>
      </w: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0"/>
          <w:szCs w:val="20"/>
        </w:rPr>
      </w:pPr>
    </w:p>
    <w:tbl>
      <w:tblPr>
        <w:tblW w:w="0" w:type="auto"/>
        <w:jc w:val="left"/>
        <w:tblInd w:w="565" w:type="dxa"/>
        <w:tblLayout w:type="fixed"/>
        <w:tblCellMar>
          <w:top w:w="0" w:type="dxa"/>
          <w:left w:w="0" w:type="dxa"/>
          <w:bottom w:w="0" w:type="dxa"/>
          <w:right w:w="0" w:type="dxa"/>
        </w:tblCellMar>
        <w:tblLook w:val="01E0"/>
      </w:tblPr>
      <w:tblGrid>
        <w:gridCol w:w="5400"/>
        <w:gridCol w:w="1620"/>
      </w:tblGrid>
      <w:tr>
        <w:trPr>
          <w:trHeight w:val="40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spacing w:val="-1"/>
                <w:sz w:val="21"/>
              </w:rPr>
              <w:t>66,957,709.30</w:t>
            </w:r>
          </w:p>
        </w:tc>
      </w:tr>
      <w:tr>
        <w:trPr>
          <w:trHeight w:val="371"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spacing w:val="-1"/>
                <w:sz w:val="21"/>
              </w:rPr>
              <w:t>66,846,313.95</w:t>
            </w:r>
          </w:p>
        </w:tc>
      </w:tr>
      <w:tr>
        <w:trPr>
          <w:trHeight w:val="37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spacing w:val="-1"/>
                <w:sz w:val="21"/>
              </w:rPr>
              <w:t>50,220,688.32</w:t>
            </w:r>
          </w:p>
        </w:tc>
      </w:tr>
      <w:tr>
        <w:trPr>
          <w:trHeight w:val="37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归属于上市公司股东（母公司所有者）的净利润</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spacing w:val="-1"/>
                <w:sz w:val="21"/>
              </w:rPr>
              <w:t>64,356,382.89</w:t>
            </w:r>
          </w:p>
        </w:tc>
      </w:tr>
      <w:tr>
        <w:trPr>
          <w:trHeight w:val="371"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扣除非经常性损益后的净利润</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pacing w:val="-1"/>
                <w:sz w:val="21"/>
              </w:rPr>
              <w:t>-93,921,487.47</w:t>
            </w:r>
            <w:r>
              <w:rPr>
                <w:rFonts w:ascii="Times New Roman"/>
                <w:sz w:val="21"/>
              </w:rPr>
            </w:r>
          </w:p>
        </w:tc>
      </w:tr>
      <w:tr>
        <w:trPr>
          <w:trHeight w:val="44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pacing w:val="-1"/>
                <w:sz w:val="21"/>
              </w:rPr>
              <w:t>-79,785,792.90</w:t>
            </w:r>
            <w:r>
              <w:rPr>
                <w:rFonts w:ascii="Times New Roman"/>
                <w:sz w:val="21"/>
              </w:rPr>
            </w:r>
          </w:p>
        </w:tc>
      </w:tr>
      <w:tr>
        <w:trPr>
          <w:trHeight w:val="371"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218,928,290.21</w:t>
            </w:r>
          </w:p>
        </w:tc>
      </w:tr>
    </w:tbl>
    <w:p>
      <w:pPr>
        <w:spacing w:line="240" w:lineRule="auto" w:before="0"/>
        <w:rPr>
          <w:rFonts w:ascii="黑体" w:hAnsi="黑体" w:cs="黑体" w:eastAsia="黑体" w:hint="default"/>
          <w:sz w:val="9"/>
          <w:szCs w:val="9"/>
        </w:rPr>
      </w:pPr>
    </w:p>
    <w:tbl>
      <w:tblPr>
        <w:tblW w:w="0" w:type="auto"/>
        <w:jc w:val="left"/>
        <w:tblInd w:w="778" w:type="dxa"/>
        <w:tblLayout w:type="fixed"/>
        <w:tblCellMar>
          <w:top w:w="0" w:type="dxa"/>
          <w:left w:w="0" w:type="dxa"/>
          <w:bottom w:w="0" w:type="dxa"/>
          <w:right w:w="0" w:type="dxa"/>
        </w:tblCellMar>
        <w:tblLook w:val="01E0"/>
      </w:tblPr>
      <w:tblGrid>
        <w:gridCol w:w="4679"/>
        <w:gridCol w:w="3690"/>
      </w:tblGrid>
      <w:tr>
        <w:trPr>
          <w:trHeight w:val="847" w:hRule="exact"/>
        </w:trPr>
        <w:tc>
          <w:tcPr>
            <w:tcW w:w="467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6"/>
              <w:jc w:val="center"/>
              <w:rPr>
                <w:rFonts w:ascii="Times New Roman" w:hAnsi="Times New Roman" w:cs="Times New Roman" w:eastAsia="Times New Roman" w:hint="default"/>
                <w:sz w:val="21"/>
                <w:szCs w:val="21"/>
              </w:rPr>
            </w:pPr>
            <w:r>
              <w:rPr>
                <w:rFonts w:ascii="宋体" w:hAnsi="宋体" w:cs="宋体" w:eastAsia="宋体" w:hint="default"/>
                <w:sz w:val="20"/>
                <w:szCs w:val="20"/>
              </w:rPr>
              <w:t>注：</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年度非经常性损益金额为</w:t>
            </w:r>
            <w:r>
              <w:rPr>
                <w:rFonts w:ascii="宋体" w:hAnsi="宋体" w:cs="宋体" w:eastAsia="宋体" w:hint="default"/>
                <w:spacing w:val="-20"/>
                <w:sz w:val="21"/>
                <w:szCs w:val="21"/>
              </w:rPr>
              <w:t> </w:t>
            </w:r>
            <w:r>
              <w:rPr>
                <w:rFonts w:ascii="Times New Roman" w:hAnsi="Times New Roman" w:cs="Times New Roman" w:eastAsia="Times New Roman" w:hint="default"/>
                <w:sz w:val="21"/>
                <w:szCs w:val="21"/>
              </w:rPr>
              <w:t>144,142,175.79</w:t>
            </w:r>
          </w:p>
          <w:p>
            <w:pPr>
              <w:pStyle w:val="TableParagraph"/>
              <w:tabs>
                <w:tab w:pos="631" w:val="left" w:leader="none"/>
              </w:tabs>
              <w:spacing w:line="240" w:lineRule="auto" w:before="170"/>
              <w:ind w:right="2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69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53" w:right="0"/>
              <w:jc w:val="left"/>
              <w:rPr>
                <w:rFonts w:ascii="黑体" w:hAnsi="黑体" w:cs="黑体" w:eastAsia="黑体" w:hint="default"/>
                <w:sz w:val="21"/>
                <w:szCs w:val="21"/>
              </w:rPr>
            </w:pPr>
            <w:r>
              <w:rPr>
                <w:rFonts w:ascii="宋体" w:hAnsi="宋体" w:cs="宋体" w:eastAsia="宋体" w:hint="default"/>
                <w:spacing w:val="-2"/>
                <w:sz w:val="21"/>
                <w:szCs w:val="21"/>
              </w:rPr>
              <w:t>元，具体项目如下</w:t>
            </w:r>
            <w:r>
              <w:rPr>
                <w:rFonts w:ascii="Times New Roman" w:hAnsi="Times New Roman" w:cs="Times New Roman" w:eastAsia="Times New Roman" w:hint="default"/>
                <w:spacing w:val="-2"/>
                <w:sz w:val="21"/>
                <w:szCs w:val="21"/>
              </w:rPr>
              <w:t>:</w:t>
            </w:r>
            <w:r>
              <w:rPr>
                <w:rFonts w:ascii="黑体" w:hAnsi="黑体" w:cs="黑体" w:eastAsia="黑体" w:hint="default"/>
                <w:spacing w:val="-2"/>
                <w:sz w:val="21"/>
                <w:szCs w:val="21"/>
              </w:rPr>
              <w:t>（单位：人民币元）</w:t>
            </w:r>
          </w:p>
          <w:p>
            <w:pPr>
              <w:pStyle w:val="TableParagraph"/>
              <w:spacing w:line="240" w:lineRule="auto" w:before="170"/>
              <w:ind w:left="9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w:t>
            </w:r>
          </w:p>
        </w:tc>
      </w:tr>
      <w:tr>
        <w:trPr>
          <w:trHeight w:val="585" w:hRule="exact"/>
        </w:trPr>
        <w:tc>
          <w:tcPr>
            <w:tcW w:w="4679"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left="246"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69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right="1647"/>
              <w:jc w:val="right"/>
              <w:rPr>
                <w:rFonts w:ascii="Times New Roman" w:hAnsi="Times New Roman" w:cs="Times New Roman" w:eastAsia="Times New Roman" w:hint="default"/>
                <w:sz w:val="21"/>
                <w:szCs w:val="21"/>
              </w:rPr>
            </w:pPr>
            <w:r>
              <w:rPr>
                <w:rFonts w:ascii="Times New Roman"/>
                <w:spacing w:val="-1"/>
                <w:sz w:val="21"/>
              </w:rPr>
              <w:t>42,540,477.08</w:t>
            </w:r>
          </w:p>
        </w:tc>
      </w:tr>
      <w:tr>
        <w:trPr>
          <w:trHeight w:val="620" w:hRule="exact"/>
        </w:trPr>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46"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369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647"/>
              <w:jc w:val="right"/>
              <w:rPr>
                <w:rFonts w:ascii="Times New Roman" w:hAnsi="Times New Roman" w:cs="Times New Roman" w:eastAsia="Times New Roman" w:hint="default"/>
                <w:sz w:val="21"/>
                <w:szCs w:val="21"/>
              </w:rPr>
            </w:pPr>
            <w:r>
              <w:rPr>
                <w:rFonts w:ascii="Times New Roman"/>
                <w:spacing w:val="-1"/>
                <w:sz w:val="21"/>
              </w:rPr>
              <w:t>13,674,971.07</w:t>
            </w:r>
          </w:p>
        </w:tc>
      </w:tr>
      <w:tr>
        <w:trPr>
          <w:trHeight w:val="614" w:hRule="exact"/>
        </w:trPr>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4"/>
                <w:szCs w:val="14"/>
              </w:rPr>
            </w:pPr>
          </w:p>
          <w:p>
            <w:pPr>
              <w:pStyle w:val="TableParagraph"/>
              <w:spacing w:line="240" w:lineRule="auto"/>
              <w:ind w:left="246" w:right="0"/>
              <w:jc w:val="left"/>
              <w:rPr>
                <w:rFonts w:ascii="宋体" w:hAnsi="宋体" w:cs="宋体" w:eastAsia="宋体" w:hint="default"/>
                <w:sz w:val="21"/>
                <w:szCs w:val="21"/>
              </w:rPr>
            </w:pPr>
            <w:r>
              <w:rPr>
                <w:rFonts w:ascii="宋体" w:hAnsi="宋体" w:cs="宋体" w:eastAsia="宋体" w:hint="default"/>
                <w:spacing w:val="3"/>
                <w:sz w:val="21"/>
                <w:szCs w:val="21"/>
              </w:rPr>
              <w:t>除同公司正常经营业务相关的有效套期保值业</w:t>
            </w:r>
            <w:r>
              <w:rPr>
                <w:rFonts w:ascii="宋体" w:hAnsi="宋体" w:cs="宋体" w:eastAsia="宋体" w:hint="default"/>
                <w:sz w:val="21"/>
                <w:szCs w:val="21"/>
              </w:rPr>
            </w:r>
          </w:p>
        </w:tc>
        <w:tc>
          <w:tcPr>
            <w:tcW w:w="3690" w:type="dxa"/>
            <w:tcBorders>
              <w:top w:val="nil" w:sz="6" w:space="0" w:color="auto"/>
              <w:left w:val="nil" w:sz="6" w:space="0" w:color="auto"/>
              <w:bottom w:val="nil" w:sz="6" w:space="0" w:color="auto"/>
              <w:right w:val="nil" w:sz="6" w:space="0" w:color="auto"/>
            </w:tcBorders>
          </w:tcPr>
          <w:p>
            <w:pPr/>
          </w:p>
        </w:tc>
      </w:tr>
      <w:tr>
        <w:trPr>
          <w:trHeight w:val="500" w:hRule="exact"/>
        </w:trPr>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46" w:right="0"/>
              <w:jc w:val="left"/>
              <w:rPr>
                <w:rFonts w:ascii="宋体" w:hAnsi="宋体" w:cs="宋体" w:eastAsia="宋体" w:hint="default"/>
                <w:sz w:val="21"/>
                <w:szCs w:val="21"/>
              </w:rPr>
            </w:pPr>
            <w:r>
              <w:rPr>
                <w:rFonts w:ascii="宋体" w:hAnsi="宋体" w:cs="宋体" w:eastAsia="宋体" w:hint="default"/>
                <w:spacing w:val="3"/>
                <w:sz w:val="21"/>
                <w:szCs w:val="21"/>
              </w:rPr>
              <w:t>务外，持有交易性金融资产、交易性金融负债</w:t>
            </w:r>
            <w:r>
              <w:rPr>
                <w:rFonts w:ascii="宋体" w:hAnsi="宋体" w:cs="宋体" w:eastAsia="宋体" w:hint="default"/>
                <w:sz w:val="21"/>
                <w:szCs w:val="21"/>
              </w:rPr>
            </w:r>
          </w:p>
        </w:tc>
        <w:tc>
          <w:tcPr>
            <w:tcW w:w="3690" w:type="dxa"/>
            <w:tcBorders>
              <w:top w:val="nil" w:sz="6" w:space="0" w:color="auto"/>
              <w:left w:val="nil" w:sz="6" w:space="0" w:color="auto"/>
              <w:bottom w:val="nil" w:sz="6" w:space="0" w:color="auto"/>
              <w:right w:val="nil" w:sz="6" w:space="0" w:color="auto"/>
            </w:tcBorders>
          </w:tcPr>
          <w:p>
            <w:pPr/>
          </w:p>
        </w:tc>
      </w:tr>
      <w:tr>
        <w:trPr>
          <w:trHeight w:val="500" w:hRule="exact"/>
        </w:trPr>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46" w:right="0"/>
              <w:jc w:val="left"/>
              <w:rPr>
                <w:rFonts w:ascii="宋体" w:hAnsi="宋体" w:cs="宋体" w:eastAsia="宋体" w:hint="default"/>
                <w:sz w:val="21"/>
                <w:szCs w:val="21"/>
              </w:rPr>
            </w:pPr>
            <w:r>
              <w:rPr>
                <w:rFonts w:ascii="宋体" w:hAnsi="宋体" w:cs="宋体" w:eastAsia="宋体" w:hint="default"/>
                <w:spacing w:val="3"/>
                <w:sz w:val="21"/>
                <w:szCs w:val="21"/>
              </w:rPr>
              <w:t>产生的公允价值变动损益，以及处置交易性金</w:t>
            </w:r>
            <w:r>
              <w:rPr>
                <w:rFonts w:ascii="宋体" w:hAnsi="宋体" w:cs="宋体" w:eastAsia="宋体" w:hint="default"/>
                <w:sz w:val="21"/>
                <w:szCs w:val="21"/>
              </w:rPr>
            </w:r>
          </w:p>
        </w:tc>
        <w:tc>
          <w:tcPr>
            <w:tcW w:w="36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647"/>
              <w:jc w:val="right"/>
              <w:rPr>
                <w:rFonts w:ascii="Times New Roman" w:hAnsi="Times New Roman" w:cs="Times New Roman" w:eastAsia="Times New Roman" w:hint="default"/>
                <w:sz w:val="21"/>
                <w:szCs w:val="21"/>
              </w:rPr>
            </w:pPr>
            <w:r>
              <w:rPr>
                <w:rFonts w:ascii="Times New Roman"/>
                <w:spacing w:val="-1"/>
                <w:sz w:val="21"/>
              </w:rPr>
              <w:t>25,233,786.41</w:t>
            </w:r>
          </w:p>
        </w:tc>
      </w:tr>
      <w:tr>
        <w:trPr>
          <w:trHeight w:val="500" w:hRule="exact"/>
        </w:trPr>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46" w:right="0"/>
              <w:jc w:val="left"/>
              <w:rPr>
                <w:rFonts w:ascii="宋体" w:hAnsi="宋体" w:cs="宋体" w:eastAsia="宋体" w:hint="default"/>
                <w:sz w:val="21"/>
                <w:szCs w:val="21"/>
              </w:rPr>
            </w:pPr>
            <w:r>
              <w:rPr>
                <w:rFonts w:ascii="宋体" w:hAnsi="宋体" w:cs="宋体" w:eastAsia="宋体" w:hint="default"/>
                <w:spacing w:val="3"/>
                <w:sz w:val="21"/>
                <w:szCs w:val="21"/>
              </w:rPr>
              <w:t>融资产、交易性金融负债和可供出售金融资产</w:t>
            </w:r>
            <w:r>
              <w:rPr>
                <w:rFonts w:ascii="宋体" w:hAnsi="宋体" w:cs="宋体" w:eastAsia="宋体" w:hint="default"/>
                <w:sz w:val="21"/>
                <w:szCs w:val="21"/>
              </w:rPr>
            </w:r>
          </w:p>
        </w:tc>
        <w:tc>
          <w:tcPr>
            <w:tcW w:w="3690" w:type="dxa"/>
            <w:tcBorders>
              <w:top w:val="nil" w:sz="6" w:space="0" w:color="auto"/>
              <w:left w:val="nil" w:sz="6" w:space="0" w:color="auto"/>
              <w:bottom w:val="nil" w:sz="6" w:space="0" w:color="auto"/>
              <w:right w:val="nil" w:sz="6" w:space="0" w:color="auto"/>
            </w:tcBorders>
          </w:tcPr>
          <w:p>
            <w:pPr/>
          </w:p>
        </w:tc>
      </w:tr>
      <w:tr>
        <w:trPr>
          <w:trHeight w:val="500" w:hRule="exact"/>
        </w:trPr>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46" w:right="0"/>
              <w:jc w:val="left"/>
              <w:rPr>
                <w:rFonts w:ascii="宋体" w:hAnsi="宋体" w:cs="宋体" w:eastAsia="宋体" w:hint="default"/>
                <w:sz w:val="21"/>
                <w:szCs w:val="21"/>
              </w:rPr>
            </w:pPr>
            <w:r>
              <w:rPr>
                <w:rFonts w:ascii="宋体" w:hAnsi="宋体" w:cs="宋体" w:eastAsia="宋体" w:hint="default"/>
                <w:sz w:val="21"/>
                <w:szCs w:val="21"/>
              </w:rPr>
              <w:t>取得的投资收益</w:t>
            </w:r>
          </w:p>
        </w:tc>
        <w:tc>
          <w:tcPr>
            <w:tcW w:w="3690" w:type="dxa"/>
            <w:tcBorders>
              <w:top w:val="nil" w:sz="6" w:space="0" w:color="auto"/>
              <w:left w:val="nil" w:sz="6" w:space="0" w:color="auto"/>
              <w:bottom w:val="nil" w:sz="6" w:space="0" w:color="auto"/>
              <w:right w:val="nil" w:sz="6" w:space="0" w:color="auto"/>
            </w:tcBorders>
          </w:tcPr>
          <w:p>
            <w:pPr/>
          </w:p>
        </w:tc>
      </w:tr>
      <w:tr>
        <w:trPr>
          <w:trHeight w:val="506" w:hRule="exact"/>
        </w:trPr>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46"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369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48"/>
              <w:jc w:val="right"/>
              <w:rPr>
                <w:rFonts w:ascii="Times New Roman" w:hAnsi="Times New Roman" w:cs="Times New Roman" w:eastAsia="Times New Roman" w:hint="default"/>
                <w:sz w:val="21"/>
                <w:szCs w:val="21"/>
              </w:rPr>
            </w:pPr>
            <w:r>
              <w:rPr>
                <w:rFonts w:ascii="Times New Roman"/>
                <w:spacing w:val="-1"/>
                <w:sz w:val="21"/>
              </w:rPr>
              <w:t>108,744,662.00</w:t>
            </w:r>
          </w:p>
        </w:tc>
      </w:tr>
      <w:tr>
        <w:trPr>
          <w:trHeight w:val="424" w:hRule="exact"/>
        </w:trPr>
        <w:tc>
          <w:tcPr>
            <w:tcW w:w="4679"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246"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3690"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1649"/>
              <w:jc w:val="right"/>
              <w:rPr>
                <w:rFonts w:ascii="Times New Roman" w:hAnsi="Times New Roman" w:cs="Times New Roman" w:eastAsia="Times New Roman" w:hint="default"/>
                <w:sz w:val="21"/>
                <w:szCs w:val="21"/>
              </w:rPr>
            </w:pPr>
            <w:r>
              <w:rPr>
                <w:rFonts w:ascii="Times New Roman"/>
                <w:spacing w:val="-1"/>
                <w:sz w:val="21"/>
              </w:rPr>
              <w:t>-13,222,428.05</w:t>
            </w:r>
            <w:r>
              <w:rPr>
                <w:rFonts w:ascii="Times New Roman"/>
                <w:sz w:val="21"/>
              </w:rPr>
            </w:r>
          </w:p>
        </w:tc>
      </w:tr>
      <w:tr>
        <w:trPr>
          <w:trHeight w:val="585" w:hRule="exact"/>
        </w:trPr>
        <w:tc>
          <w:tcPr>
            <w:tcW w:w="4679"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left="246" w:right="0"/>
              <w:jc w:val="left"/>
              <w:rPr>
                <w:rFonts w:ascii="宋体" w:hAnsi="宋体" w:cs="宋体" w:eastAsia="宋体" w:hint="default"/>
                <w:sz w:val="21"/>
                <w:szCs w:val="21"/>
              </w:rPr>
            </w:pPr>
            <w:r>
              <w:rPr>
                <w:rFonts w:ascii="宋体" w:hAnsi="宋体" w:cs="宋体" w:eastAsia="宋体" w:hint="default"/>
                <w:sz w:val="21"/>
                <w:szCs w:val="21"/>
              </w:rPr>
              <w:t>所得税影响额（减项）</w:t>
            </w:r>
          </w:p>
        </w:tc>
        <w:tc>
          <w:tcPr>
            <w:tcW w:w="369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right="1647"/>
              <w:jc w:val="right"/>
              <w:rPr>
                <w:rFonts w:ascii="Times New Roman" w:hAnsi="Times New Roman" w:cs="Times New Roman" w:eastAsia="Times New Roman" w:hint="default"/>
                <w:sz w:val="21"/>
                <w:szCs w:val="21"/>
              </w:rPr>
            </w:pPr>
            <w:r>
              <w:rPr>
                <w:rFonts w:ascii="Times New Roman"/>
                <w:spacing w:val="-1"/>
                <w:sz w:val="21"/>
              </w:rPr>
              <w:t>33,451,390.43</w:t>
            </w:r>
          </w:p>
        </w:tc>
      </w:tr>
      <w:tr>
        <w:trPr>
          <w:trHeight w:val="426" w:hRule="exact"/>
        </w:trPr>
        <w:tc>
          <w:tcPr>
            <w:tcW w:w="4679"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246"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r>
              <w:rPr>
                <w:rFonts w:ascii="宋体" w:hAnsi="宋体" w:cs="宋体" w:eastAsia="宋体" w:hint="default"/>
                <w:spacing w:val="-105"/>
                <w:sz w:val="21"/>
                <w:szCs w:val="21"/>
              </w:rPr>
              <w:t>）</w:t>
            </w:r>
            <w:r>
              <w:rPr>
                <w:rFonts w:ascii="宋体" w:hAnsi="宋体" w:cs="宋体" w:eastAsia="宋体" w:hint="default"/>
                <w:sz w:val="21"/>
                <w:szCs w:val="21"/>
              </w:rPr>
              <w:t>（减</w:t>
            </w:r>
            <w:r>
              <w:rPr>
                <w:rFonts w:ascii="宋体" w:hAnsi="宋体" w:cs="宋体" w:eastAsia="宋体" w:hint="default"/>
                <w:spacing w:val="-2"/>
                <w:sz w:val="21"/>
                <w:szCs w:val="21"/>
              </w:rPr>
              <w:t>项</w:t>
            </w:r>
            <w:r>
              <w:rPr>
                <w:rFonts w:ascii="宋体" w:hAnsi="宋体" w:cs="宋体" w:eastAsia="宋体" w:hint="default"/>
                <w:sz w:val="21"/>
                <w:szCs w:val="21"/>
              </w:rPr>
              <w:t>）</w:t>
            </w:r>
          </w:p>
        </w:tc>
        <w:tc>
          <w:tcPr>
            <w:tcW w:w="3690"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1647"/>
              <w:jc w:val="right"/>
              <w:rPr>
                <w:rFonts w:ascii="Times New Roman" w:hAnsi="Times New Roman" w:cs="Times New Roman" w:eastAsia="Times New Roman" w:hint="default"/>
                <w:sz w:val="21"/>
                <w:szCs w:val="21"/>
              </w:rPr>
            </w:pPr>
            <w:r>
              <w:rPr>
                <w:rFonts w:ascii="Times New Roman"/>
                <w:spacing w:val="-1"/>
                <w:sz w:val="21"/>
              </w:rPr>
              <w:t>-622,097.71</w:t>
            </w:r>
          </w:p>
        </w:tc>
      </w:tr>
      <w:tr>
        <w:trPr>
          <w:trHeight w:val="510" w:hRule="exact"/>
        </w:trPr>
        <w:tc>
          <w:tcPr>
            <w:tcW w:w="4679" w:type="dxa"/>
            <w:tcBorders>
              <w:top w:val="single" w:sz="4" w:space="0" w:color="000000"/>
              <w:left w:val="nil" w:sz="6" w:space="0" w:color="auto"/>
              <w:bottom w:val="single" w:sz="4" w:space="0" w:color="000000"/>
              <w:right w:val="nil" w:sz="6" w:space="0" w:color="auto"/>
            </w:tcBorders>
          </w:tcPr>
          <w:p>
            <w:pPr>
              <w:pStyle w:val="TableParagraph"/>
              <w:tabs>
                <w:tab w:pos="631" w:val="left" w:leader="none"/>
              </w:tabs>
              <w:spacing w:line="240" w:lineRule="auto" w:before="154"/>
              <w:ind w:right="2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690"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right="1648"/>
              <w:jc w:val="right"/>
              <w:rPr>
                <w:rFonts w:ascii="Times New Roman" w:hAnsi="Times New Roman" w:cs="Times New Roman" w:eastAsia="Times New Roman" w:hint="default"/>
                <w:sz w:val="21"/>
                <w:szCs w:val="21"/>
              </w:rPr>
            </w:pPr>
            <w:r>
              <w:rPr>
                <w:rFonts w:ascii="Times New Roman"/>
                <w:spacing w:val="-1"/>
                <w:sz w:val="21"/>
              </w:rPr>
              <w:t>144,142,175.79</w:t>
            </w:r>
          </w:p>
        </w:tc>
      </w:tr>
    </w:tbl>
    <w:p>
      <w:pPr>
        <w:spacing w:line="240" w:lineRule="auto" w:before="0"/>
        <w:rPr>
          <w:rFonts w:ascii="黑体" w:hAnsi="黑体" w:cs="黑体" w:eastAsia="黑体" w:hint="default"/>
          <w:sz w:val="6"/>
          <w:szCs w:val="6"/>
        </w:rPr>
      </w:pPr>
    </w:p>
    <w:p>
      <w:pPr>
        <w:tabs>
          <w:tab w:pos="7110" w:val="left" w:leader="none"/>
        </w:tabs>
        <w:spacing w:before="26"/>
        <w:ind w:left="390" w:right="0" w:firstLine="0"/>
        <w:jc w:val="left"/>
        <w:rPr>
          <w:rFonts w:ascii="黑体" w:hAnsi="黑体" w:cs="黑体" w:eastAsia="黑体" w:hint="default"/>
          <w:sz w:val="21"/>
          <w:szCs w:val="21"/>
        </w:rPr>
      </w:pPr>
      <w:r>
        <w:rPr>
          <w:rFonts w:ascii="黑体" w:hAnsi="黑体" w:cs="黑体" w:eastAsia="黑体" w:hint="default"/>
          <w:sz w:val="24"/>
          <w:szCs w:val="24"/>
        </w:rPr>
        <w:t>二、截止报告期末公司前三年的主要会计数据和财务指标</w:t>
        <w:tab/>
      </w:r>
      <w:r>
        <w:rPr>
          <w:rFonts w:ascii="黑体" w:hAnsi="黑体" w:cs="黑体" w:eastAsia="黑体" w:hint="default"/>
          <w:sz w:val="21"/>
          <w:szCs w:val="21"/>
        </w:rPr>
        <w:t>（单位：人民币元）</w:t>
      </w:r>
    </w:p>
    <w:p>
      <w:pPr>
        <w:spacing w:line="240" w:lineRule="auto" w:before="11"/>
        <w:rPr>
          <w:rFonts w:ascii="黑体" w:hAnsi="黑体" w:cs="黑体" w:eastAsia="黑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039"/>
        <w:gridCol w:w="1666"/>
        <w:gridCol w:w="1714"/>
        <w:gridCol w:w="1445"/>
        <w:gridCol w:w="2323"/>
      </w:tblGrid>
      <w:tr>
        <w:trPr>
          <w:trHeight w:val="183" w:hRule="exact"/>
        </w:trPr>
        <w:tc>
          <w:tcPr>
            <w:tcW w:w="2039" w:type="dxa"/>
            <w:tcBorders>
              <w:top w:val="single" w:sz="4" w:space="0" w:color="000000"/>
              <w:left w:val="single" w:sz="4" w:space="0" w:color="000000"/>
              <w:bottom w:val="nil" w:sz="6" w:space="0" w:color="auto"/>
              <w:right w:val="single" w:sz="4" w:space="0" w:color="000000"/>
            </w:tcBorders>
            <w:shd w:val="clear" w:color="auto" w:fill="DCDCDC"/>
          </w:tcPr>
          <w:p>
            <w:pPr/>
          </w:p>
        </w:tc>
        <w:tc>
          <w:tcPr>
            <w:tcW w:w="1666" w:type="dxa"/>
            <w:tcBorders>
              <w:top w:val="single" w:sz="4" w:space="0" w:color="000000"/>
              <w:left w:val="single" w:sz="4" w:space="0" w:color="000000"/>
              <w:bottom w:val="nil" w:sz="6" w:space="0" w:color="auto"/>
              <w:right w:val="single" w:sz="4" w:space="0" w:color="000000"/>
            </w:tcBorders>
            <w:shd w:val="clear" w:color="auto" w:fill="DCDCDC"/>
          </w:tcPr>
          <w:p>
            <w:pPr/>
          </w:p>
        </w:tc>
        <w:tc>
          <w:tcPr>
            <w:tcW w:w="1714"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5" w:type="dxa"/>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before="26"/>
              <w:ind w:left="506" w:right="191" w:hanging="315"/>
              <w:jc w:val="left"/>
              <w:rPr>
                <w:rFonts w:ascii="宋体" w:hAnsi="宋体" w:cs="宋体" w:eastAsia="宋体" w:hint="default"/>
                <w:sz w:val="21"/>
                <w:szCs w:val="21"/>
              </w:rPr>
            </w:pPr>
            <w:r>
              <w:rPr>
                <w:rFonts w:ascii="宋体" w:hAnsi="宋体" w:cs="宋体" w:eastAsia="宋体" w:hint="default"/>
                <w:sz w:val="21"/>
                <w:szCs w:val="21"/>
              </w:rPr>
              <w:t>本年比上年 增减</w:t>
            </w:r>
          </w:p>
        </w:tc>
        <w:tc>
          <w:tcPr>
            <w:tcW w:w="2323"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58" w:hRule="exact"/>
        </w:trPr>
        <w:tc>
          <w:tcPr>
            <w:tcW w:w="2039" w:type="dxa"/>
            <w:tcBorders>
              <w:top w:val="nil" w:sz="6" w:space="0" w:color="auto"/>
              <w:left w:val="single" w:sz="4" w:space="0" w:color="000000"/>
              <w:bottom w:val="nil" w:sz="6" w:space="0" w:color="auto"/>
              <w:right w:val="single" w:sz="4" w:space="0" w:color="000000"/>
            </w:tcBorders>
            <w:shd w:val="clear" w:color="auto" w:fill="DCDCDC"/>
          </w:tcPr>
          <w:p>
            <w:pPr/>
          </w:p>
        </w:tc>
        <w:tc>
          <w:tcPr>
            <w:tcW w:w="166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4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1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5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45" w:type="dxa"/>
            <w:vMerge/>
            <w:tcBorders>
              <w:left w:val="single" w:sz="4" w:space="0" w:color="000000"/>
              <w:right w:val="single" w:sz="4" w:space="0" w:color="000000"/>
            </w:tcBorders>
            <w:shd w:val="clear" w:color="auto" w:fill="DCDCDC"/>
          </w:tcPr>
          <w:p>
            <w:pPr/>
          </w:p>
        </w:tc>
        <w:tc>
          <w:tcPr>
            <w:tcW w:w="232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183" w:hRule="exact"/>
        </w:trPr>
        <w:tc>
          <w:tcPr>
            <w:tcW w:w="2039" w:type="dxa"/>
            <w:tcBorders>
              <w:top w:val="nil" w:sz="6" w:space="0" w:color="auto"/>
              <w:left w:val="single" w:sz="4" w:space="0" w:color="000000"/>
              <w:bottom w:val="single" w:sz="4" w:space="0" w:color="000000"/>
              <w:right w:val="single" w:sz="4" w:space="0" w:color="000000"/>
            </w:tcBorders>
            <w:shd w:val="clear" w:color="auto" w:fill="DCDCDC"/>
          </w:tcPr>
          <w:p>
            <w:pPr/>
          </w:p>
        </w:tc>
        <w:tc>
          <w:tcPr>
            <w:tcW w:w="1666" w:type="dxa"/>
            <w:tcBorders>
              <w:top w:val="nil" w:sz="6" w:space="0" w:color="auto"/>
              <w:left w:val="single" w:sz="4" w:space="0" w:color="000000"/>
              <w:bottom w:val="single" w:sz="4" w:space="0" w:color="000000"/>
              <w:right w:val="single" w:sz="4" w:space="0" w:color="000000"/>
            </w:tcBorders>
            <w:shd w:val="clear" w:color="auto" w:fill="DCDCDC"/>
          </w:tcPr>
          <w:p>
            <w:pPr/>
          </w:p>
        </w:tc>
        <w:tc>
          <w:tcPr>
            <w:tcW w:w="1714"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5" w:type="dxa"/>
            <w:vMerge/>
            <w:tcBorders>
              <w:left w:val="single" w:sz="4" w:space="0" w:color="000000"/>
              <w:bottom w:val="single" w:sz="4" w:space="0" w:color="000000"/>
              <w:right w:val="single" w:sz="4" w:space="0" w:color="000000"/>
            </w:tcBorders>
            <w:shd w:val="clear" w:color="auto" w:fill="DCDCDC"/>
          </w:tcPr>
          <w:p>
            <w:pPr/>
          </w:p>
        </w:tc>
        <w:tc>
          <w:tcPr>
            <w:tcW w:w="2323"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02" w:hRule="exact"/>
        </w:trPr>
        <w:tc>
          <w:tcPr>
            <w:tcW w:w="2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11" w:right="0"/>
              <w:jc w:val="center"/>
              <w:rPr>
                <w:rFonts w:ascii="宋体" w:hAnsi="宋体" w:cs="宋体" w:eastAsia="宋体" w:hint="default"/>
                <w:sz w:val="21"/>
                <w:szCs w:val="21"/>
              </w:rPr>
            </w:pPr>
            <w:r>
              <w:rPr>
                <w:rFonts w:ascii="宋体" w:hAnsi="宋体" w:cs="宋体" w:eastAsia="宋体" w:hint="default"/>
                <w:sz w:val="21"/>
                <w:szCs w:val="21"/>
              </w:rPr>
              <w:t>营业总收入</w:t>
            </w:r>
          </w:p>
        </w:tc>
        <w:tc>
          <w:tcPr>
            <w:tcW w:w="166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696,718,259.58</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318,848,335.03</w:t>
            </w:r>
          </w:p>
        </w:tc>
        <w:tc>
          <w:tcPr>
            <w:tcW w:w="1445" w:type="dxa"/>
            <w:tcBorders>
              <w:top w:val="single" w:sz="14" w:space="0" w:color="DCDCDC"/>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2"/>
                <w:sz w:val="21"/>
              </w:rPr>
              <w:t>118.51%</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533,090,599.10</w:t>
            </w:r>
          </w:p>
        </w:tc>
      </w:tr>
      <w:tr>
        <w:trPr>
          <w:trHeight w:val="317" w:hRule="exact"/>
        </w:trPr>
        <w:tc>
          <w:tcPr>
            <w:tcW w:w="2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exact"/>
              <w:ind w:left="12"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66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1"/>
                <w:szCs w:val="21"/>
              </w:rPr>
            </w:pPr>
            <w:r>
              <w:rPr>
                <w:rFonts w:ascii="Times New Roman"/>
                <w:spacing w:val="-1"/>
                <w:sz w:val="21"/>
              </w:rPr>
              <w:t>66,846,313.95</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1"/>
                <w:szCs w:val="21"/>
              </w:rPr>
            </w:pPr>
            <w:r>
              <w:rPr>
                <w:rFonts w:ascii="Times New Roman"/>
                <w:spacing w:val="-1"/>
                <w:sz w:val="21"/>
              </w:rPr>
              <w:t>-155,853,245.86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1"/>
                <w:szCs w:val="21"/>
              </w:rPr>
            </w:pPr>
            <w:r>
              <w:rPr>
                <w:rFonts w:ascii="Times New Roman"/>
                <w:spacing w:val="-1"/>
                <w:sz w:val="21"/>
              </w:rPr>
              <w:t>142.90%</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21"/>
                <w:szCs w:val="21"/>
              </w:rPr>
            </w:pPr>
            <w:r>
              <w:rPr>
                <w:rFonts w:ascii="Times New Roman"/>
                <w:spacing w:val="-1"/>
                <w:sz w:val="21"/>
              </w:rPr>
              <w:t>81,585,097.29</w:t>
            </w:r>
          </w:p>
        </w:tc>
      </w:tr>
      <w:tr>
        <w:trPr>
          <w:trHeight w:val="608" w:hRule="exact"/>
        </w:trPr>
        <w:tc>
          <w:tcPr>
            <w:tcW w:w="2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8"/>
              <w:ind w:left="601" w:right="62" w:hanging="526"/>
              <w:jc w:val="left"/>
              <w:rPr>
                <w:rFonts w:ascii="宋体" w:hAnsi="宋体" w:cs="宋体" w:eastAsia="宋体" w:hint="default"/>
                <w:sz w:val="21"/>
                <w:szCs w:val="21"/>
              </w:rPr>
            </w:pPr>
            <w:r>
              <w:rPr>
                <w:rFonts w:ascii="宋体" w:hAnsi="宋体" w:cs="宋体" w:eastAsia="宋体" w:hint="default"/>
                <w:sz w:val="21"/>
                <w:szCs w:val="21"/>
              </w:rPr>
              <w:t>归属于上市公司股东 的净利润</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21"/>
              <w:jc w:val="right"/>
              <w:rPr>
                <w:rFonts w:ascii="Times New Roman" w:hAnsi="Times New Roman" w:cs="Times New Roman" w:eastAsia="Times New Roman" w:hint="default"/>
                <w:sz w:val="21"/>
                <w:szCs w:val="21"/>
              </w:rPr>
            </w:pPr>
            <w:r>
              <w:rPr>
                <w:rFonts w:ascii="Times New Roman"/>
                <w:spacing w:val="-1"/>
                <w:sz w:val="21"/>
              </w:rPr>
              <w:t>64,356,382.89</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22"/>
              <w:jc w:val="right"/>
              <w:rPr>
                <w:rFonts w:ascii="Times New Roman" w:hAnsi="Times New Roman" w:cs="Times New Roman" w:eastAsia="Times New Roman" w:hint="default"/>
                <w:sz w:val="21"/>
                <w:szCs w:val="21"/>
              </w:rPr>
            </w:pPr>
            <w:r>
              <w:rPr>
                <w:rFonts w:ascii="Times New Roman"/>
                <w:spacing w:val="-1"/>
                <w:sz w:val="21"/>
              </w:rPr>
              <w:t>-114,627,831.55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21"/>
              <w:jc w:val="right"/>
              <w:rPr>
                <w:rFonts w:ascii="Times New Roman" w:hAnsi="Times New Roman" w:cs="Times New Roman" w:eastAsia="Times New Roman" w:hint="default"/>
                <w:sz w:val="21"/>
                <w:szCs w:val="21"/>
              </w:rPr>
            </w:pPr>
            <w:r>
              <w:rPr>
                <w:rFonts w:ascii="Times New Roman"/>
                <w:spacing w:val="-1"/>
                <w:sz w:val="21"/>
              </w:rPr>
              <w:t>156.14%</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20"/>
              <w:jc w:val="right"/>
              <w:rPr>
                <w:rFonts w:ascii="Times New Roman" w:hAnsi="Times New Roman" w:cs="Times New Roman" w:eastAsia="Times New Roman" w:hint="default"/>
                <w:sz w:val="21"/>
                <w:szCs w:val="21"/>
              </w:rPr>
            </w:pPr>
            <w:r>
              <w:rPr>
                <w:rFonts w:ascii="Times New Roman"/>
                <w:spacing w:val="-1"/>
                <w:sz w:val="21"/>
              </w:rPr>
              <w:t>76,935,549.83</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939" w:top="1400" w:bottom="1180" w:left="1480" w:right="1000"/>
        </w:sectPr>
      </w:pPr>
    </w:p>
    <w:p>
      <w:pPr>
        <w:spacing w:line="240" w:lineRule="auto" w:before="1"/>
        <w:rPr>
          <w:rFonts w:ascii="黑体" w:hAnsi="黑体" w:cs="黑体" w:eastAsia="黑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2039"/>
        <w:gridCol w:w="1666"/>
        <w:gridCol w:w="1714"/>
        <w:gridCol w:w="1445"/>
        <w:gridCol w:w="2323"/>
      </w:tblGrid>
      <w:tr>
        <w:trPr>
          <w:trHeight w:val="930" w:hRule="exact"/>
        </w:trPr>
        <w:tc>
          <w:tcPr>
            <w:tcW w:w="2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44"/>
              <w:ind w:left="75" w:right="62"/>
              <w:jc w:val="center"/>
              <w:rPr>
                <w:rFonts w:ascii="宋体" w:hAnsi="宋体" w:cs="宋体" w:eastAsia="宋体" w:hint="default"/>
                <w:sz w:val="21"/>
                <w:szCs w:val="21"/>
              </w:rPr>
            </w:pPr>
            <w:r>
              <w:rPr>
                <w:rFonts w:ascii="宋体" w:hAnsi="宋体" w:cs="宋体" w:eastAsia="宋体" w:hint="default"/>
                <w:sz w:val="21"/>
                <w:szCs w:val="21"/>
              </w:rPr>
              <w:t>归属于上市公司股东 的扣除非经常性损益 的净利润</w:t>
            </w:r>
          </w:p>
        </w:tc>
        <w:tc>
          <w:tcPr>
            <w:tcW w:w="166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25"/>
                <w:szCs w:val="2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-79,785,792.90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25"/>
                <w:szCs w:val="2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-151,012,419.37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25"/>
                <w:szCs w:val="25"/>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47.17%</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25"/>
                <w:szCs w:val="25"/>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-65,230,450.79</w:t>
            </w:r>
          </w:p>
        </w:tc>
      </w:tr>
      <w:tr>
        <w:trPr>
          <w:trHeight w:val="608" w:hRule="exact"/>
        </w:trPr>
        <w:tc>
          <w:tcPr>
            <w:tcW w:w="2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8"/>
              <w:ind w:left="601" w:right="62" w:hanging="526"/>
              <w:jc w:val="left"/>
              <w:rPr>
                <w:rFonts w:ascii="宋体" w:hAnsi="宋体" w:cs="宋体" w:eastAsia="宋体" w:hint="default"/>
                <w:sz w:val="21"/>
                <w:szCs w:val="21"/>
              </w:rPr>
            </w:pPr>
            <w:r>
              <w:rPr>
                <w:rFonts w:ascii="宋体" w:hAnsi="宋体" w:cs="宋体" w:eastAsia="宋体" w:hint="default"/>
                <w:sz w:val="21"/>
                <w:szCs w:val="21"/>
              </w:rPr>
              <w:t>经营活动产生的现金 流量净额</w:t>
            </w:r>
          </w:p>
        </w:tc>
        <w:tc>
          <w:tcPr>
            <w:tcW w:w="166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7"/>
              <w:ind w:right="22"/>
              <w:jc w:val="right"/>
              <w:rPr>
                <w:rFonts w:ascii="Times New Roman" w:hAnsi="Times New Roman" w:cs="Times New Roman" w:eastAsia="Times New Roman" w:hint="default"/>
                <w:sz w:val="21"/>
                <w:szCs w:val="21"/>
              </w:rPr>
            </w:pPr>
            <w:r>
              <w:rPr>
                <w:rFonts w:ascii="Times New Roman"/>
                <w:spacing w:val="-1"/>
                <w:sz w:val="21"/>
              </w:rPr>
              <w:t>218,928,290.21</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21"/>
              <w:jc w:val="right"/>
              <w:rPr>
                <w:rFonts w:ascii="Times New Roman" w:hAnsi="Times New Roman" w:cs="Times New Roman" w:eastAsia="Times New Roman" w:hint="default"/>
                <w:sz w:val="21"/>
                <w:szCs w:val="21"/>
              </w:rPr>
            </w:pPr>
            <w:r>
              <w:rPr>
                <w:rFonts w:ascii="Times New Roman"/>
                <w:spacing w:val="-1"/>
                <w:sz w:val="21"/>
              </w:rPr>
              <w:t>-241,183,908.48</w:t>
            </w:r>
          </w:p>
        </w:tc>
        <w:tc>
          <w:tcPr>
            <w:tcW w:w="1445" w:type="dxa"/>
            <w:tcBorders>
              <w:top w:val="single" w:sz="4" w:space="0" w:color="000000"/>
              <w:left w:val="single" w:sz="4" w:space="0" w:color="000000"/>
              <w:bottom w:val="single" w:sz="17" w:space="0" w:color="DCDCDC"/>
              <w:right w:val="single" w:sz="4" w:space="0" w:color="000000"/>
            </w:tcBorders>
          </w:tcPr>
          <w:p>
            <w:pPr>
              <w:pStyle w:val="TableParagraph"/>
              <w:spacing w:line="240" w:lineRule="auto" w:before="177"/>
              <w:ind w:right="21"/>
              <w:jc w:val="right"/>
              <w:rPr>
                <w:rFonts w:ascii="Times New Roman" w:hAnsi="Times New Roman" w:cs="Times New Roman" w:eastAsia="Times New Roman" w:hint="default"/>
                <w:sz w:val="21"/>
                <w:szCs w:val="21"/>
              </w:rPr>
            </w:pPr>
            <w:r>
              <w:rPr>
                <w:rFonts w:ascii="Times New Roman"/>
                <w:spacing w:val="-1"/>
                <w:sz w:val="21"/>
              </w:rPr>
              <w:t>190.77%</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19"/>
              <w:jc w:val="right"/>
              <w:rPr>
                <w:rFonts w:ascii="Times New Roman" w:hAnsi="Times New Roman" w:cs="Times New Roman" w:eastAsia="Times New Roman" w:hint="default"/>
                <w:sz w:val="21"/>
                <w:szCs w:val="21"/>
              </w:rPr>
            </w:pPr>
            <w:r>
              <w:rPr>
                <w:rFonts w:ascii="Times New Roman"/>
                <w:spacing w:val="-1"/>
                <w:sz w:val="21"/>
              </w:rPr>
              <w:t>61,587,370.21</w:t>
            </w:r>
          </w:p>
        </w:tc>
      </w:tr>
      <w:tr>
        <w:trPr>
          <w:trHeight w:val="183" w:hRule="exact"/>
        </w:trPr>
        <w:tc>
          <w:tcPr>
            <w:tcW w:w="2039" w:type="dxa"/>
            <w:tcBorders>
              <w:top w:val="single" w:sz="4" w:space="0" w:color="000000"/>
              <w:left w:val="single" w:sz="4" w:space="0" w:color="000000"/>
              <w:bottom w:val="nil" w:sz="6" w:space="0" w:color="auto"/>
              <w:right w:val="single" w:sz="4" w:space="0" w:color="000000"/>
            </w:tcBorders>
            <w:shd w:val="clear" w:color="auto" w:fill="DCDCDC"/>
          </w:tcPr>
          <w:p>
            <w:pPr/>
          </w:p>
        </w:tc>
        <w:tc>
          <w:tcPr>
            <w:tcW w:w="1666" w:type="dxa"/>
            <w:tcBorders>
              <w:top w:val="single" w:sz="4" w:space="0" w:color="000000"/>
              <w:left w:val="single" w:sz="4" w:space="0" w:color="000000"/>
              <w:bottom w:val="nil" w:sz="6" w:space="0" w:color="auto"/>
              <w:right w:val="single" w:sz="4" w:space="0" w:color="000000"/>
            </w:tcBorders>
            <w:shd w:val="clear" w:color="auto" w:fill="DCDCDC"/>
          </w:tcPr>
          <w:p>
            <w:pPr/>
          </w:p>
        </w:tc>
        <w:tc>
          <w:tcPr>
            <w:tcW w:w="1714"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5" w:type="dxa"/>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before="26"/>
              <w:ind w:left="401" w:right="86" w:hanging="316"/>
              <w:jc w:val="left"/>
              <w:rPr>
                <w:rFonts w:ascii="宋体" w:hAnsi="宋体" w:cs="宋体" w:eastAsia="宋体" w:hint="default"/>
                <w:sz w:val="21"/>
                <w:szCs w:val="21"/>
              </w:rPr>
            </w:pPr>
            <w:r>
              <w:rPr>
                <w:rFonts w:ascii="宋体" w:hAnsi="宋体" w:cs="宋体" w:eastAsia="宋体" w:hint="default"/>
                <w:sz w:val="21"/>
                <w:szCs w:val="21"/>
              </w:rPr>
              <w:t>本年末比上年 末增减</w:t>
            </w:r>
          </w:p>
        </w:tc>
        <w:tc>
          <w:tcPr>
            <w:tcW w:w="2323"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57" w:hRule="exact"/>
        </w:trPr>
        <w:tc>
          <w:tcPr>
            <w:tcW w:w="2039" w:type="dxa"/>
            <w:tcBorders>
              <w:top w:val="nil" w:sz="6" w:space="0" w:color="auto"/>
              <w:left w:val="single" w:sz="4" w:space="0" w:color="000000"/>
              <w:bottom w:val="nil" w:sz="6" w:space="0" w:color="auto"/>
              <w:right w:val="single" w:sz="4" w:space="0" w:color="000000"/>
            </w:tcBorders>
            <w:shd w:val="clear" w:color="auto" w:fill="DCDCDC"/>
          </w:tcPr>
          <w:p>
            <w:pPr/>
          </w:p>
        </w:tc>
        <w:tc>
          <w:tcPr>
            <w:tcW w:w="166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38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1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4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445" w:type="dxa"/>
            <w:vMerge/>
            <w:tcBorders>
              <w:left w:val="single" w:sz="4" w:space="0" w:color="000000"/>
              <w:right w:val="single" w:sz="4" w:space="0" w:color="000000"/>
            </w:tcBorders>
            <w:shd w:val="clear" w:color="auto" w:fill="DCDCDC"/>
          </w:tcPr>
          <w:p>
            <w:pPr/>
          </w:p>
        </w:tc>
        <w:tc>
          <w:tcPr>
            <w:tcW w:w="232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70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83" w:hRule="exact"/>
        </w:trPr>
        <w:tc>
          <w:tcPr>
            <w:tcW w:w="2039" w:type="dxa"/>
            <w:tcBorders>
              <w:top w:val="nil" w:sz="6" w:space="0" w:color="auto"/>
              <w:left w:val="single" w:sz="4" w:space="0" w:color="000000"/>
              <w:bottom w:val="single" w:sz="4" w:space="0" w:color="000000"/>
              <w:right w:val="single" w:sz="4" w:space="0" w:color="000000"/>
            </w:tcBorders>
            <w:shd w:val="clear" w:color="auto" w:fill="DCDCDC"/>
          </w:tcPr>
          <w:p>
            <w:pPr/>
          </w:p>
        </w:tc>
        <w:tc>
          <w:tcPr>
            <w:tcW w:w="1666" w:type="dxa"/>
            <w:tcBorders>
              <w:top w:val="nil" w:sz="6" w:space="0" w:color="auto"/>
              <w:left w:val="single" w:sz="4" w:space="0" w:color="000000"/>
              <w:bottom w:val="single" w:sz="4" w:space="0" w:color="000000"/>
              <w:right w:val="single" w:sz="4" w:space="0" w:color="000000"/>
            </w:tcBorders>
            <w:shd w:val="clear" w:color="auto" w:fill="DCDCDC"/>
          </w:tcPr>
          <w:p>
            <w:pPr/>
          </w:p>
        </w:tc>
        <w:tc>
          <w:tcPr>
            <w:tcW w:w="1714"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5" w:type="dxa"/>
            <w:vMerge/>
            <w:tcBorders>
              <w:left w:val="single" w:sz="4" w:space="0" w:color="000000"/>
              <w:bottom w:val="single" w:sz="4" w:space="0" w:color="000000"/>
              <w:right w:val="single" w:sz="4" w:space="0" w:color="000000"/>
            </w:tcBorders>
            <w:shd w:val="clear" w:color="auto" w:fill="DCDCDC"/>
          </w:tcPr>
          <w:p>
            <w:pPr/>
          </w:p>
        </w:tc>
        <w:tc>
          <w:tcPr>
            <w:tcW w:w="2323"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01" w:hRule="exact"/>
        </w:trPr>
        <w:tc>
          <w:tcPr>
            <w:tcW w:w="2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11"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66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2,831,794,510.76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2,358,091,017.85</w:t>
            </w:r>
          </w:p>
        </w:tc>
        <w:tc>
          <w:tcPr>
            <w:tcW w:w="1445" w:type="dxa"/>
            <w:tcBorders>
              <w:top w:val="single" w:sz="14" w:space="0" w:color="DCDCDC"/>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20.09%</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2,227,238,786.66</w:t>
            </w:r>
          </w:p>
        </w:tc>
      </w:tr>
      <w:tr>
        <w:trPr>
          <w:trHeight w:val="608" w:hRule="exact"/>
        </w:trPr>
        <w:tc>
          <w:tcPr>
            <w:tcW w:w="2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8"/>
              <w:ind w:left="391" w:right="62" w:hanging="316"/>
              <w:jc w:val="left"/>
              <w:rPr>
                <w:rFonts w:ascii="宋体" w:hAnsi="宋体" w:cs="宋体" w:eastAsia="宋体" w:hint="default"/>
                <w:sz w:val="21"/>
                <w:szCs w:val="21"/>
              </w:rPr>
            </w:pPr>
            <w:r>
              <w:rPr>
                <w:rFonts w:ascii="宋体" w:hAnsi="宋体" w:cs="宋体" w:eastAsia="宋体" w:hint="default"/>
                <w:sz w:val="21"/>
                <w:szCs w:val="21"/>
              </w:rPr>
              <w:t>归属于上市公司股东 的所有者权益</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22"/>
              <w:jc w:val="right"/>
              <w:rPr>
                <w:rFonts w:ascii="Times New Roman" w:hAnsi="Times New Roman" w:cs="Times New Roman" w:eastAsia="Times New Roman" w:hint="default"/>
                <w:sz w:val="21"/>
                <w:szCs w:val="21"/>
              </w:rPr>
            </w:pPr>
            <w:r>
              <w:rPr>
                <w:rFonts w:ascii="Times New Roman"/>
                <w:spacing w:val="-1"/>
                <w:sz w:val="21"/>
              </w:rPr>
              <w:t>901,947,325.95</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22"/>
              <w:jc w:val="right"/>
              <w:rPr>
                <w:rFonts w:ascii="Times New Roman" w:hAnsi="Times New Roman" w:cs="Times New Roman" w:eastAsia="Times New Roman" w:hint="default"/>
                <w:sz w:val="21"/>
                <w:szCs w:val="21"/>
              </w:rPr>
            </w:pPr>
            <w:r>
              <w:rPr>
                <w:rFonts w:ascii="Times New Roman"/>
                <w:spacing w:val="-1"/>
                <w:sz w:val="21"/>
              </w:rPr>
              <w:t>824,451,088.38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22"/>
              <w:jc w:val="right"/>
              <w:rPr>
                <w:rFonts w:ascii="Times New Roman" w:hAnsi="Times New Roman" w:cs="Times New Roman" w:eastAsia="Times New Roman" w:hint="default"/>
                <w:sz w:val="21"/>
                <w:szCs w:val="21"/>
              </w:rPr>
            </w:pPr>
            <w:r>
              <w:rPr>
                <w:rFonts w:ascii="Times New Roman"/>
                <w:spacing w:val="-1"/>
                <w:sz w:val="21"/>
              </w:rPr>
              <w:t>9.40%</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21"/>
              <w:jc w:val="right"/>
              <w:rPr>
                <w:rFonts w:ascii="Times New Roman" w:hAnsi="Times New Roman" w:cs="Times New Roman" w:eastAsia="Times New Roman" w:hint="default"/>
                <w:sz w:val="21"/>
                <w:szCs w:val="21"/>
              </w:rPr>
            </w:pPr>
            <w:r>
              <w:rPr>
                <w:rFonts w:ascii="Times New Roman"/>
                <w:spacing w:val="-1"/>
                <w:sz w:val="21"/>
              </w:rPr>
              <w:t>996,359,021.90</w:t>
            </w:r>
          </w:p>
        </w:tc>
      </w:tr>
      <w:tr>
        <w:trPr>
          <w:trHeight w:val="318" w:hRule="exact"/>
        </w:trPr>
        <w:tc>
          <w:tcPr>
            <w:tcW w:w="2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exact"/>
              <w:ind w:left="12"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1"/>
                <w:szCs w:val="21"/>
              </w:rPr>
            </w:pPr>
            <w:r>
              <w:rPr>
                <w:rFonts w:ascii="Times New Roman"/>
                <w:spacing w:val="-1"/>
                <w:sz w:val="21"/>
              </w:rPr>
              <w:t>469,593,364.00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1"/>
                <w:szCs w:val="21"/>
              </w:rPr>
            </w:pPr>
            <w:r>
              <w:rPr>
                <w:rFonts w:ascii="Times New Roman"/>
                <w:spacing w:val="-1"/>
                <w:sz w:val="21"/>
              </w:rPr>
              <w:t>469,593,364.00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3"/>
              <w:jc w:val="right"/>
              <w:rPr>
                <w:rFonts w:ascii="宋体" w:hAnsi="宋体" w:cs="宋体" w:eastAsia="宋体" w:hint="default"/>
                <w:sz w:val="21"/>
                <w:szCs w:val="21"/>
              </w:rPr>
            </w:pPr>
            <w:r>
              <w:rPr>
                <w:rFonts w:ascii="宋体" w:hAnsi="宋体" w:cs="宋体" w:eastAsia="宋体" w:hint="default"/>
                <w:sz w:val="21"/>
                <w:szCs w:val="21"/>
              </w:rPr>
              <w:t>———</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1"/>
                <w:szCs w:val="21"/>
              </w:rPr>
            </w:pPr>
            <w:r>
              <w:rPr>
                <w:rFonts w:ascii="Times New Roman"/>
                <w:spacing w:val="-1"/>
                <w:sz w:val="21"/>
              </w:rPr>
              <w:t>469,593,364.00</w:t>
            </w:r>
          </w:p>
        </w:tc>
      </w:tr>
    </w:tbl>
    <w:p>
      <w:pPr>
        <w:spacing w:line="240" w:lineRule="auto" w:before="7"/>
        <w:rPr>
          <w:rFonts w:ascii="黑体" w:hAnsi="黑体" w:cs="黑体" w:eastAsia="黑体" w:hint="default"/>
          <w:sz w:val="17"/>
          <w:szCs w:val="17"/>
        </w:rPr>
      </w:pPr>
    </w:p>
    <w:tbl>
      <w:tblPr>
        <w:tblW w:w="0" w:type="auto"/>
        <w:jc w:val="left"/>
        <w:tblInd w:w="287" w:type="dxa"/>
        <w:tblLayout w:type="fixed"/>
        <w:tblCellMar>
          <w:top w:w="0" w:type="dxa"/>
          <w:left w:w="0" w:type="dxa"/>
          <w:bottom w:w="0" w:type="dxa"/>
          <w:right w:w="0" w:type="dxa"/>
        </w:tblCellMar>
        <w:tblLook w:val="01E0"/>
      </w:tblPr>
      <w:tblGrid>
        <w:gridCol w:w="2944"/>
        <w:gridCol w:w="1141"/>
        <w:gridCol w:w="1129"/>
        <w:gridCol w:w="2532"/>
        <w:gridCol w:w="1080"/>
      </w:tblGrid>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1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2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2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5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14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0.14</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-0.240</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158.33%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0.16</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14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0.14</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-0.240</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158.33%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0.16</w:t>
            </w: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w:t>
            </w:r>
          </w:p>
          <w:p>
            <w:pPr>
              <w:pStyle w:val="TableParagraph"/>
              <w:spacing w:line="289" w:lineRule="exact"/>
              <w:ind w:left="11" w:right="0"/>
              <w:jc w:val="left"/>
              <w:rPr>
                <w:rFonts w:ascii="宋体" w:hAnsi="宋体" w:cs="宋体" w:eastAsia="宋体" w:hint="default"/>
                <w:sz w:val="21"/>
                <w:szCs w:val="21"/>
              </w:rPr>
            </w:pPr>
            <w:r>
              <w:rPr>
                <w:rFonts w:ascii="宋体" w:hAnsi="宋体" w:cs="宋体" w:eastAsia="宋体" w:hint="default"/>
                <w:sz w:val="21"/>
                <w:szCs w:val="21"/>
              </w:rPr>
              <w:t>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14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-0.20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-0.32</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37.50%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-0.14</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4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7.51%</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-12.21%</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3"/>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19.72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7.39%</w:t>
            </w: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w:t>
            </w:r>
          </w:p>
          <w:p>
            <w:pPr>
              <w:pStyle w:val="TableParagraph"/>
              <w:spacing w:line="289" w:lineRule="exact"/>
              <w:ind w:left="11"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4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-9.31%</w:t>
            </w:r>
            <w:r>
              <w:rPr>
                <w:rFonts w:ascii="Times New Roman"/>
                <w:sz w:val="21"/>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-16.08%</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6.77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-6.27%</w:t>
            </w: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w:t>
            </w:r>
          </w:p>
          <w:p>
            <w:pPr>
              <w:pStyle w:val="TableParagraph"/>
              <w:spacing w:line="289" w:lineRule="exact"/>
              <w:ind w:left="11" w:right="0"/>
              <w:jc w:val="left"/>
              <w:rPr>
                <w:rFonts w:ascii="宋体" w:hAnsi="宋体" w:cs="宋体" w:eastAsia="宋体" w:hint="default"/>
                <w:sz w:val="21"/>
                <w:szCs w:val="21"/>
              </w:rPr>
            </w:pPr>
            <w:r>
              <w:rPr>
                <w:rFonts w:ascii="宋体" w:hAnsi="宋体" w:cs="宋体" w:eastAsia="宋体" w:hint="default"/>
                <w:sz w:val="21"/>
                <w:szCs w:val="21"/>
              </w:rPr>
              <w:t>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14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0.466</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-0.514</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190.66%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0.131</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1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1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5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21"/>
              <w:jc w:val="right"/>
              <w:rPr>
                <w:rFonts w:ascii="宋体" w:hAnsi="宋体" w:cs="宋体" w:eastAsia="宋体" w:hint="default"/>
                <w:sz w:val="21"/>
                <w:szCs w:val="21"/>
              </w:rPr>
            </w:pPr>
            <w:r>
              <w:rPr>
                <w:rFonts w:ascii="宋体" w:hAnsi="宋体" w:cs="宋体" w:eastAsia="宋体" w:hint="default"/>
                <w:sz w:val="21"/>
                <w:szCs w:val="21"/>
              </w:rPr>
              <w:t>本年末比上年末增减（％）</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556" w:hRule="exact"/>
        </w:trPr>
        <w:tc>
          <w:tcPr>
            <w:tcW w:w="29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w:t>
            </w:r>
          </w:p>
          <w:p>
            <w:pPr>
              <w:pStyle w:val="TableParagraph"/>
              <w:spacing w:line="289" w:lineRule="exact"/>
              <w:ind w:left="11" w:right="0"/>
              <w:jc w:val="left"/>
              <w:rPr>
                <w:rFonts w:ascii="宋体" w:hAnsi="宋体" w:cs="宋体" w:eastAsia="宋体" w:hint="default"/>
                <w:sz w:val="21"/>
                <w:szCs w:val="21"/>
              </w:rPr>
            </w:pPr>
            <w:r>
              <w:rPr>
                <w:rFonts w:ascii="宋体" w:hAnsi="宋体" w:cs="宋体" w:eastAsia="宋体" w:hint="default"/>
                <w:sz w:val="21"/>
                <w:szCs w:val="21"/>
              </w:rPr>
              <w:t>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14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1.921</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1.756</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9.40%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2.122</w:t>
            </w:r>
          </w:p>
        </w:tc>
      </w:tr>
    </w:tbl>
    <w:p>
      <w:pPr>
        <w:spacing w:line="240" w:lineRule="auto" w:before="1"/>
        <w:rPr>
          <w:rFonts w:ascii="黑体" w:hAnsi="黑体" w:cs="黑体" w:eastAsia="黑体" w:hint="default"/>
          <w:sz w:val="13"/>
          <w:szCs w:val="13"/>
        </w:rPr>
      </w:pPr>
    </w:p>
    <w:p>
      <w:pPr>
        <w:pStyle w:val="BodyText"/>
        <w:spacing w:line="240" w:lineRule="auto" w:before="35"/>
        <w:ind w:left="390" w:right="0"/>
        <w:jc w:val="left"/>
      </w:pPr>
      <w:r>
        <w:rPr/>
        <w:t>公司报告期内净资产收益率和每股收益有关指标：</w:t>
      </w:r>
    </w:p>
    <w:p>
      <w:pPr>
        <w:spacing w:line="240" w:lineRule="auto" w:before="7"/>
        <w:rPr>
          <w:rFonts w:ascii="宋体" w:hAnsi="宋体" w:cs="宋体" w:eastAsia="宋体" w:hint="default"/>
          <w:sz w:val="2"/>
          <w:szCs w:val="2"/>
        </w:rPr>
      </w:pPr>
    </w:p>
    <w:tbl>
      <w:tblPr>
        <w:tblW w:w="0" w:type="auto"/>
        <w:jc w:val="left"/>
        <w:tblInd w:w="263" w:type="dxa"/>
        <w:tblLayout w:type="fixed"/>
        <w:tblCellMar>
          <w:top w:w="0" w:type="dxa"/>
          <w:left w:w="0" w:type="dxa"/>
          <w:bottom w:w="0" w:type="dxa"/>
          <w:right w:w="0" w:type="dxa"/>
        </w:tblCellMar>
        <w:tblLook w:val="01E0"/>
      </w:tblPr>
      <w:tblGrid>
        <w:gridCol w:w="2816"/>
        <w:gridCol w:w="2446"/>
        <w:gridCol w:w="1782"/>
        <w:gridCol w:w="1804"/>
      </w:tblGrid>
      <w:tr>
        <w:trPr>
          <w:trHeight w:val="510" w:hRule="exact"/>
        </w:trPr>
        <w:tc>
          <w:tcPr>
            <w:tcW w:w="281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890"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44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58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510" w:hRule="exact"/>
        </w:trPr>
        <w:tc>
          <w:tcPr>
            <w:tcW w:w="2816" w:type="dxa"/>
            <w:vMerge/>
            <w:tcBorders>
              <w:left w:val="nil" w:sz="6" w:space="0" w:color="auto"/>
              <w:bottom w:val="single" w:sz="4" w:space="0" w:color="000000"/>
              <w:right w:val="single" w:sz="4" w:space="0" w:color="000000"/>
            </w:tcBorders>
          </w:tcPr>
          <w:p>
            <w:pPr/>
          </w:p>
        </w:tc>
        <w:tc>
          <w:tcPr>
            <w:tcW w:w="2446" w:type="dxa"/>
            <w:vMerge/>
            <w:tcBorders>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1010"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500" w:lineRule="exact" w:before="38"/>
              <w:ind w:left="122" w:right="95"/>
              <w:jc w:val="left"/>
              <w:rPr>
                <w:rFonts w:ascii="宋体" w:hAnsi="宋体" w:cs="宋体" w:eastAsia="宋体" w:hint="default"/>
                <w:sz w:val="21"/>
                <w:szCs w:val="21"/>
              </w:rPr>
            </w:pPr>
            <w:r>
              <w:rPr>
                <w:rFonts w:ascii="宋体" w:hAnsi="宋体" w:cs="宋体" w:eastAsia="宋体" w:hint="default"/>
                <w:spacing w:val="6"/>
                <w:sz w:val="21"/>
                <w:szCs w:val="21"/>
              </w:rPr>
              <w:t>归属于公司普通股股东的净 </w:t>
            </w:r>
            <w:r>
              <w:rPr>
                <w:rFonts w:ascii="宋体" w:hAnsi="宋体" w:cs="宋体" w:eastAsia="宋体" w:hint="default"/>
                <w:sz w:val="21"/>
                <w:szCs w:val="21"/>
              </w:rPr>
              <w:t>利润</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7.51%</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0.14</w:t>
            </w: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0.14</w:t>
            </w:r>
          </w:p>
        </w:tc>
      </w:tr>
      <w:tr>
        <w:trPr>
          <w:trHeight w:val="794"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72" w:lineRule="exact"/>
              <w:ind w:left="122" w:right="167"/>
              <w:jc w:val="left"/>
              <w:rPr>
                <w:rFonts w:ascii="宋体" w:hAnsi="宋体" w:cs="宋体" w:eastAsia="宋体" w:hint="default"/>
                <w:sz w:val="21"/>
                <w:szCs w:val="21"/>
              </w:rPr>
            </w:pPr>
            <w:r>
              <w:rPr>
                <w:rFonts w:ascii="宋体" w:hAnsi="宋体" w:cs="宋体" w:eastAsia="宋体" w:hint="default"/>
                <w:sz w:val="21"/>
                <w:szCs w:val="21"/>
              </w:rPr>
              <w:t>扣除非经常性损益后归属于 公司普通股股东的净利润</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-9.31%</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-0.17</w:t>
            </w: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-0.17</w:t>
            </w:r>
          </w:p>
        </w:tc>
      </w:tr>
    </w:tbl>
    <w:p>
      <w:pPr>
        <w:spacing w:after="0" w:line="240" w:lineRule="auto"/>
        <w:jc w:val="center"/>
        <w:rPr>
          <w:rFonts w:ascii="Times New Roman" w:hAnsi="Times New Roman" w:cs="Times New Roman" w:eastAsia="Times New Roman" w:hint="default"/>
          <w:sz w:val="21"/>
          <w:szCs w:val="21"/>
        </w:rPr>
        <w:sectPr>
          <w:pgSz w:w="11900" w:h="16840"/>
          <w:pgMar w:header="0" w:footer="939" w:top="1360" w:bottom="1180" w:left="1480" w:right="1000"/>
        </w:sectPr>
      </w:pPr>
    </w:p>
    <w:p>
      <w:pPr>
        <w:spacing w:line="240" w:lineRule="auto" w:before="10"/>
        <w:rPr>
          <w:rFonts w:ascii="宋体" w:hAnsi="宋体" w:cs="宋体" w:eastAsia="宋体" w:hint="default"/>
          <w:sz w:val="16"/>
          <w:szCs w:val="16"/>
        </w:rPr>
      </w:pPr>
    </w:p>
    <w:p>
      <w:pPr>
        <w:pStyle w:val="Heading2"/>
        <w:tabs>
          <w:tab w:pos="4756" w:val="left" w:leader="none"/>
        </w:tabs>
        <w:spacing w:line="240" w:lineRule="auto" w:before="13"/>
        <w:ind w:left="3632" w:right="0"/>
        <w:jc w:val="left"/>
        <w:rPr>
          <w:rFonts w:ascii="宋体" w:hAnsi="宋体" w:cs="宋体" w:eastAsia="宋体" w:hint="default"/>
        </w:rPr>
      </w:pPr>
      <w:r>
        <w:rPr>
          <w:rFonts w:ascii="宋体" w:hAnsi="宋体" w:cs="宋体" w:eastAsia="宋体" w:hint="default"/>
        </w:rPr>
        <w:t>第四节</w:t>
        <w:tab/>
        <w:t>股本变动及股东情况</w:t>
      </w:r>
    </w:p>
    <w:p>
      <w:pPr>
        <w:spacing w:line="240" w:lineRule="auto" w:before="7"/>
        <w:rPr>
          <w:rFonts w:ascii="宋体" w:hAnsi="宋体" w:cs="宋体" w:eastAsia="宋体" w:hint="default"/>
          <w:sz w:val="21"/>
          <w:szCs w:val="21"/>
        </w:rPr>
      </w:pPr>
    </w:p>
    <w:p>
      <w:pPr>
        <w:pStyle w:val="Heading3"/>
        <w:spacing w:line="240" w:lineRule="auto" w:before="26"/>
        <w:ind w:left="1150" w:right="0"/>
        <w:jc w:val="left"/>
      </w:pPr>
      <w:r>
        <w:rPr/>
        <w:t>一、股份变动情况表：</w:t>
      </w:r>
    </w:p>
    <w:p>
      <w:pPr>
        <w:spacing w:line="240" w:lineRule="auto" w:before="2"/>
        <w:rPr>
          <w:rFonts w:ascii="黑体" w:hAnsi="黑体" w:cs="黑体" w:eastAsia="黑体" w:hint="default"/>
          <w:sz w:val="20"/>
          <w:szCs w:val="20"/>
        </w:rPr>
      </w:pPr>
    </w:p>
    <w:p>
      <w:pPr>
        <w:pStyle w:val="BodyText"/>
        <w:spacing w:line="240" w:lineRule="auto"/>
        <w:ind w:left="1150" w:right="0"/>
        <w:jc w:val="left"/>
        <w:rPr>
          <w:rFonts w:ascii="黑体" w:hAnsi="黑体" w:cs="黑体" w:eastAsia="黑体" w:hint="default"/>
        </w:rPr>
      </w:pPr>
      <w:r>
        <w:rPr>
          <w:rFonts w:ascii="黑体" w:hAnsi="黑体" w:cs="黑体" w:eastAsia="黑体" w:hint="default"/>
        </w:rPr>
        <w:t>（一）报告期内，公司因部分限售流通股上市流通而导致股份结构变动如下：</w:t>
      </w:r>
    </w:p>
    <w:p>
      <w:pPr>
        <w:spacing w:line="240" w:lineRule="auto" w:before="8"/>
        <w:rPr>
          <w:rFonts w:ascii="黑体" w:hAnsi="黑体" w:cs="黑体" w:eastAsia="黑体" w:hint="default"/>
          <w:sz w:val="11"/>
          <w:szCs w:val="11"/>
        </w:rPr>
      </w:pPr>
    </w:p>
    <w:p>
      <w:pPr>
        <w:pStyle w:val="BodyText"/>
        <w:spacing w:line="240" w:lineRule="auto" w:before="35"/>
        <w:ind w:left="0" w:right="1151"/>
        <w:jc w:val="right"/>
        <w:rPr>
          <w:rFonts w:ascii="黑体" w:hAnsi="黑体" w:cs="黑体" w:eastAsia="黑体" w:hint="default"/>
        </w:rPr>
      </w:pPr>
      <w:r>
        <w:rPr>
          <w:rFonts w:ascii="黑体" w:hAnsi="黑体" w:cs="黑体" w:eastAsia="黑体" w:hint="default"/>
        </w:rPr>
        <w:t>单位：股</w:t>
      </w:r>
    </w:p>
    <w:p>
      <w:pPr>
        <w:spacing w:line="240" w:lineRule="auto" w:before="6"/>
        <w:rPr>
          <w:rFonts w:ascii="黑体" w:hAnsi="黑体" w:cs="黑体" w:eastAsia="黑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1727"/>
        <w:gridCol w:w="1451"/>
        <w:gridCol w:w="971"/>
        <w:gridCol w:w="508"/>
        <w:gridCol w:w="413"/>
        <w:gridCol w:w="720"/>
        <w:gridCol w:w="1260"/>
        <w:gridCol w:w="1286"/>
        <w:gridCol w:w="1414"/>
        <w:gridCol w:w="937"/>
      </w:tblGrid>
      <w:tr>
        <w:trPr>
          <w:trHeight w:val="282" w:hRule="exact"/>
        </w:trPr>
        <w:tc>
          <w:tcPr>
            <w:tcW w:w="1727" w:type="dxa"/>
            <w:tcBorders>
              <w:top w:val="single" w:sz="4" w:space="0" w:color="000000"/>
              <w:left w:val="single" w:sz="4" w:space="0" w:color="000000"/>
              <w:bottom w:val="nil" w:sz="6" w:space="0" w:color="auto"/>
              <w:right w:val="single" w:sz="4" w:space="0" w:color="000000"/>
            </w:tcBorders>
            <w:shd w:val="clear" w:color="auto" w:fill="DCDCDC"/>
          </w:tcPr>
          <w:p>
            <w:pPr/>
          </w:p>
        </w:tc>
        <w:tc>
          <w:tcPr>
            <w:tcW w:w="242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86"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187"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048"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35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46"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40" w:hRule="exact"/>
        </w:trPr>
        <w:tc>
          <w:tcPr>
            <w:tcW w:w="1727" w:type="dxa"/>
            <w:vMerge w:val="restart"/>
            <w:tcBorders>
              <w:top w:val="nil" w:sz="6" w:space="0" w:color="auto"/>
              <w:left w:val="single" w:sz="4" w:space="0" w:color="000000"/>
              <w:right w:val="single" w:sz="4" w:space="0" w:color="000000"/>
            </w:tcBorders>
            <w:shd w:val="clear" w:color="auto" w:fill="DCDCDC"/>
          </w:tcPr>
          <w:p>
            <w:pPr/>
          </w:p>
        </w:tc>
        <w:tc>
          <w:tcPr>
            <w:tcW w:w="1451" w:type="dxa"/>
            <w:tcBorders>
              <w:top w:val="single" w:sz="4" w:space="0" w:color="000000"/>
              <w:left w:val="single" w:sz="4" w:space="0" w:color="000000"/>
              <w:bottom w:val="nil" w:sz="6" w:space="0" w:color="auto"/>
              <w:right w:val="single" w:sz="4" w:space="0" w:color="000000"/>
            </w:tcBorders>
            <w:shd w:val="clear" w:color="auto" w:fill="DCDCDC"/>
          </w:tcPr>
          <w:p>
            <w:pPr/>
          </w:p>
        </w:tc>
        <w:tc>
          <w:tcPr>
            <w:tcW w:w="971" w:type="dxa"/>
            <w:tcBorders>
              <w:top w:val="single" w:sz="4" w:space="0" w:color="000000"/>
              <w:left w:val="single" w:sz="4" w:space="0" w:color="000000"/>
              <w:bottom w:val="nil" w:sz="6" w:space="0" w:color="auto"/>
              <w:right w:val="single" w:sz="4" w:space="0" w:color="000000"/>
            </w:tcBorders>
            <w:shd w:val="clear" w:color="auto" w:fill="DCDCDC"/>
          </w:tcPr>
          <w:p>
            <w:pPr/>
          </w:p>
        </w:tc>
        <w:tc>
          <w:tcPr>
            <w:tcW w:w="508"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38"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38"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413"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95" w:right="0"/>
              <w:jc w:val="left"/>
              <w:rPr>
                <w:rFonts w:ascii="宋体" w:hAnsi="宋体" w:cs="宋体" w:eastAsia="宋体" w:hint="default"/>
                <w:sz w:val="21"/>
                <w:szCs w:val="21"/>
              </w:rPr>
            </w:pPr>
            <w:r>
              <w:rPr>
                <w:rFonts w:ascii="宋体" w:hAnsi="宋体" w:cs="宋体" w:eastAsia="宋体" w:hint="default"/>
                <w:sz w:val="21"/>
                <w:szCs w:val="21"/>
              </w:rPr>
              <w:t>送</w:t>
            </w:r>
          </w:p>
          <w:p>
            <w:pPr>
              <w:pStyle w:val="TableParagraph"/>
              <w:spacing w:line="274" w:lineRule="exact"/>
              <w:ind w:left="95" w:right="0"/>
              <w:jc w:val="left"/>
              <w:rPr>
                <w:rFonts w:ascii="宋体" w:hAnsi="宋体" w:cs="宋体" w:eastAsia="宋体" w:hint="default"/>
                <w:sz w:val="21"/>
                <w:szCs w:val="21"/>
              </w:rPr>
            </w:pPr>
            <w:r>
              <w:rPr>
                <w:rFonts w:ascii="宋体" w:hAnsi="宋体" w:cs="宋体" w:eastAsia="宋体" w:hint="default"/>
                <w:sz w:val="21"/>
                <w:szCs w:val="21"/>
              </w:rPr>
              <w:t>股</w:t>
            </w:r>
          </w:p>
        </w:tc>
        <w:tc>
          <w:tcPr>
            <w:tcW w:w="720"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86" w:type="dxa"/>
            <w:tcBorders>
              <w:top w:val="single" w:sz="4" w:space="0" w:color="000000"/>
              <w:left w:val="single" w:sz="4" w:space="0" w:color="000000"/>
              <w:bottom w:val="nil" w:sz="6" w:space="0" w:color="auto"/>
              <w:right w:val="single" w:sz="4" w:space="0" w:color="000000"/>
            </w:tcBorders>
            <w:shd w:val="clear" w:color="auto" w:fill="DCDCDC"/>
          </w:tcPr>
          <w:p>
            <w:pPr/>
          </w:p>
        </w:tc>
        <w:tc>
          <w:tcPr>
            <w:tcW w:w="1414" w:type="dxa"/>
            <w:tcBorders>
              <w:top w:val="single" w:sz="4" w:space="0" w:color="000000"/>
              <w:left w:val="single" w:sz="4" w:space="0" w:color="000000"/>
              <w:bottom w:val="nil" w:sz="6" w:space="0" w:color="auto"/>
              <w:right w:val="single" w:sz="4" w:space="0" w:color="000000"/>
            </w:tcBorders>
            <w:shd w:val="clear" w:color="auto" w:fill="DCDCDC"/>
          </w:tcPr>
          <w:p>
            <w:pPr/>
          </w:p>
        </w:tc>
        <w:tc>
          <w:tcPr>
            <w:tcW w:w="937"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2" w:hRule="exact"/>
        </w:trPr>
        <w:tc>
          <w:tcPr>
            <w:tcW w:w="1727" w:type="dxa"/>
            <w:vMerge/>
            <w:tcBorders>
              <w:left w:val="single" w:sz="4" w:space="0" w:color="000000"/>
              <w:bottom w:val="nil" w:sz="6" w:space="0" w:color="auto"/>
              <w:right w:val="single" w:sz="4" w:space="0" w:color="000000"/>
            </w:tcBorders>
            <w:shd w:val="clear" w:color="auto" w:fill="DCDCDC"/>
          </w:tcPr>
          <w:p>
            <w:pPr/>
          </w:p>
        </w:tc>
        <w:tc>
          <w:tcPr>
            <w:tcW w:w="145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8"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97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7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508" w:type="dxa"/>
            <w:vMerge/>
            <w:tcBorders>
              <w:left w:val="single" w:sz="4" w:space="0" w:color="000000"/>
              <w:right w:val="single" w:sz="4" w:space="0" w:color="000000"/>
            </w:tcBorders>
            <w:shd w:val="clear" w:color="auto" w:fill="DCDCDC"/>
          </w:tcPr>
          <w:p>
            <w:pPr/>
          </w:p>
        </w:tc>
        <w:tc>
          <w:tcPr>
            <w:tcW w:w="413" w:type="dxa"/>
            <w:vMerge/>
            <w:tcBorders>
              <w:left w:val="single" w:sz="4" w:space="0" w:color="000000"/>
              <w:right w:val="single" w:sz="4" w:space="0" w:color="000000"/>
            </w:tcBorders>
            <w:shd w:val="clear" w:color="auto" w:fill="DCDCDC"/>
          </w:tcPr>
          <w:p>
            <w:pPr/>
          </w:p>
        </w:tc>
        <w:tc>
          <w:tcPr>
            <w:tcW w:w="720" w:type="dxa"/>
            <w:vMerge/>
            <w:tcBorders>
              <w:left w:val="single" w:sz="4" w:space="0" w:color="000000"/>
              <w:right w:val="single" w:sz="4" w:space="0" w:color="000000"/>
            </w:tcBorders>
            <w:shd w:val="clear" w:color="auto" w:fill="DCDCDC"/>
          </w:tcPr>
          <w:p>
            <w:pPr/>
          </w:p>
        </w:tc>
        <w:tc>
          <w:tcPr>
            <w:tcW w:w="126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41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8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414"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93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53"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60" w:hRule="exact"/>
        </w:trPr>
        <w:tc>
          <w:tcPr>
            <w:tcW w:w="1727" w:type="dxa"/>
            <w:vMerge w:val="restart"/>
            <w:tcBorders>
              <w:top w:val="nil" w:sz="6" w:space="0" w:color="auto"/>
              <w:left w:val="single" w:sz="4" w:space="0" w:color="000000"/>
              <w:right w:val="single" w:sz="4" w:space="0" w:color="000000"/>
            </w:tcBorders>
            <w:shd w:val="clear" w:color="auto" w:fill="DCDCDC"/>
          </w:tcPr>
          <w:p>
            <w:pPr/>
          </w:p>
        </w:tc>
        <w:tc>
          <w:tcPr>
            <w:tcW w:w="1451" w:type="dxa"/>
            <w:vMerge/>
            <w:tcBorders>
              <w:left w:val="single" w:sz="4" w:space="0" w:color="000000"/>
              <w:bottom w:val="nil" w:sz="6" w:space="0" w:color="auto"/>
              <w:right w:val="single" w:sz="4" w:space="0" w:color="000000"/>
            </w:tcBorders>
            <w:shd w:val="clear" w:color="auto" w:fill="DCDCDC"/>
          </w:tcPr>
          <w:p>
            <w:pPr/>
          </w:p>
        </w:tc>
        <w:tc>
          <w:tcPr>
            <w:tcW w:w="971" w:type="dxa"/>
            <w:vMerge/>
            <w:tcBorders>
              <w:left w:val="single" w:sz="4" w:space="0" w:color="000000"/>
              <w:bottom w:val="nil" w:sz="6" w:space="0" w:color="auto"/>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c>
          <w:tcPr>
            <w:tcW w:w="413" w:type="dxa"/>
            <w:vMerge/>
            <w:tcBorders>
              <w:left w:val="single" w:sz="4" w:space="0" w:color="000000"/>
              <w:right w:val="single" w:sz="4" w:space="0" w:color="000000"/>
            </w:tcBorders>
            <w:shd w:val="clear" w:color="auto" w:fill="DCDCDC"/>
          </w:tcPr>
          <w:p>
            <w:pPr/>
          </w:p>
        </w:tc>
        <w:tc>
          <w:tcPr>
            <w:tcW w:w="720" w:type="dxa"/>
            <w:vMerge/>
            <w:tcBorders>
              <w:left w:val="single" w:sz="4" w:space="0" w:color="000000"/>
              <w:right w:val="single" w:sz="4" w:space="0" w:color="000000"/>
            </w:tcBorders>
            <w:shd w:val="clear" w:color="auto" w:fill="DCDCDC"/>
          </w:tcPr>
          <w:p>
            <w:pPr/>
          </w:p>
        </w:tc>
        <w:tc>
          <w:tcPr>
            <w:tcW w:w="1260" w:type="dxa"/>
            <w:vMerge/>
            <w:tcBorders>
              <w:left w:val="single" w:sz="4" w:space="0" w:color="000000"/>
              <w:bottom w:val="nil" w:sz="6" w:space="0" w:color="auto"/>
              <w:right w:val="single" w:sz="4" w:space="0" w:color="000000"/>
            </w:tcBorders>
            <w:shd w:val="clear" w:color="auto" w:fill="DCDCDC"/>
          </w:tcPr>
          <w:p>
            <w:pPr/>
          </w:p>
        </w:tc>
        <w:tc>
          <w:tcPr>
            <w:tcW w:w="1286" w:type="dxa"/>
            <w:vMerge/>
            <w:tcBorders>
              <w:left w:val="single" w:sz="4" w:space="0" w:color="000000"/>
              <w:bottom w:val="nil" w:sz="6" w:space="0" w:color="auto"/>
              <w:right w:val="single" w:sz="4" w:space="0" w:color="000000"/>
            </w:tcBorders>
            <w:shd w:val="clear" w:color="auto" w:fill="DCDCDC"/>
          </w:tcPr>
          <w:p>
            <w:pPr/>
          </w:p>
        </w:tc>
        <w:tc>
          <w:tcPr>
            <w:tcW w:w="1414" w:type="dxa"/>
            <w:vMerge/>
            <w:tcBorders>
              <w:left w:val="single" w:sz="4" w:space="0" w:color="000000"/>
              <w:bottom w:val="nil" w:sz="6" w:space="0" w:color="auto"/>
              <w:right w:val="single" w:sz="4" w:space="0" w:color="000000"/>
            </w:tcBorders>
            <w:shd w:val="clear" w:color="auto" w:fill="DCDCDC"/>
          </w:tcPr>
          <w:p>
            <w:pPr/>
          </w:p>
        </w:tc>
        <w:tc>
          <w:tcPr>
            <w:tcW w:w="937" w:type="dxa"/>
            <w:vMerge/>
            <w:tcBorders>
              <w:left w:val="single" w:sz="4" w:space="0" w:color="000000"/>
              <w:bottom w:val="nil" w:sz="6" w:space="0" w:color="auto"/>
              <w:right w:val="single" w:sz="4" w:space="0" w:color="000000"/>
            </w:tcBorders>
            <w:shd w:val="clear" w:color="auto" w:fill="DCDCDC"/>
          </w:tcPr>
          <w:p>
            <w:pPr/>
          </w:p>
        </w:tc>
      </w:tr>
      <w:tr>
        <w:trPr>
          <w:trHeight w:val="142" w:hRule="exact"/>
        </w:trPr>
        <w:tc>
          <w:tcPr>
            <w:tcW w:w="1727" w:type="dxa"/>
            <w:vMerge/>
            <w:tcBorders>
              <w:left w:val="single" w:sz="4" w:space="0" w:color="000000"/>
              <w:bottom w:val="single" w:sz="4" w:space="0" w:color="000000"/>
              <w:right w:val="single" w:sz="4" w:space="0" w:color="000000"/>
            </w:tcBorders>
            <w:shd w:val="clear" w:color="auto" w:fill="DCDCDC"/>
          </w:tcPr>
          <w:p>
            <w:pPr/>
          </w:p>
        </w:tc>
        <w:tc>
          <w:tcPr>
            <w:tcW w:w="1451" w:type="dxa"/>
            <w:tcBorders>
              <w:top w:val="nil" w:sz="6" w:space="0" w:color="auto"/>
              <w:left w:val="single" w:sz="4" w:space="0" w:color="000000"/>
              <w:bottom w:val="single" w:sz="4" w:space="0" w:color="000000"/>
              <w:right w:val="single" w:sz="4" w:space="0" w:color="000000"/>
            </w:tcBorders>
            <w:shd w:val="clear" w:color="auto" w:fill="DCDCDC"/>
          </w:tcPr>
          <w:p>
            <w:pPr/>
          </w:p>
        </w:tc>
        <w:tc>
          <w:tcPr>
            <w:tcW w:w="971" w:type="dxa"/>
            <w:tcBorders>
              <w:top w:val="nil" w:sz="6" w:space="0" w:color="auto"/>
              <w:left w:val="single" w:sz="4" w:space="0" w:color="000000"/>
              <w:bottom w:val="single" w:sz="4" w:space="0" w:color="000000"/>
              <w:right w:val="single" w:sz="4" w:space="0" w:color="000000"/>
            </w:tcBorders>
            <w:shd w:val="clear" w:color="auto" w:fill="DCDCDC"/>
          </w:tcPr>
          <w:p>
            <w:pPr/>
          </w:p>
        </w:tc>
        <w:tc>
          <w:tcPr>
            <w:tcW w:w="508" w:type="dxa"/>
            <w:vMerge/>
            <w:tcBorders>
              <w:left w:val="single" w:sz="4" w:space="0" w:color="000000"/>
              <w:bottom w:val="single" w:sz="4" w:space="0" w:color="000000"/>
              <w:right w:val="single" w:sz="4" w:space="0" w:color="000000"/>
            </w:tcBorders>
            <w:shd w:val="clear" w:color="auto" w:fill="DCDCDC"/>
          </w:tcPr>
          <w:p>
            <w:pPr/>
          </w:p>
        </w:tc>
        <w:tc>
          <w:tcPr>
            <w:tcW w:w="413" w:type="dxa"/>
            <w:vMerge/>
            <w:tcBorders>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86" w:type="dxa"/>
            <w:tcBorders>
              <w:top w:val="nil" w:sz="6" w:space="0" w:color="auto"/>
              <w:left w:val="single" w:sz="4" w:space="0" w:color="000000"/>
              <w:bottom w:val="single" w:sz="4" w:space="0" w:color="000000"/>
              <w:right w:val="single" w:sz="4" w:space="0" w:color="000000"/>
            </w:tcBorders>
            <w:shd w:val="clear" w:color="auto" w:fill="DCDCDC"/>
          </w:tcPr>
          <w:p>
            <w:pPr/>
          </w:p>
        </w:tc>
        <w:tc>
          <w:tcPr>
            <w:tcW w:w="1414" w:type="dxa"/>
            <w:tcBorders>
              <w:top w:val="nil" w:sz="6" w:space="0" w:color="auto"/>
              <w:left w:val="single" w:sz="4" w:space="0" w:color="000000"/>
              <w:bottom w:val="single" w:sz="4" w:space="0" w:color="000000"/>
              <w:right w:val="single" w:sz="4" w:space="0" w:color="000000"/>
            </w:tcBorders>
            <w:shd w:val="clear" w:color="auto" w:fill="DCDCDC"/>
          </w:tcPr>
          <w:p>
            <w:pPr/>
          </w:p>
        </w:tc>
        <w:tc>
          <w:tcPr>
            <w:tcW w:w="937"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554" w:hRule="exact"/>
        </w:trPr>
        <w:tc>
          <w:tcPr>
            <w:tcW w:w="17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2" w:right="0"/>
              <w:jc w:val="left"/>
              <w:rPr>
                <w:rFonts w:ascii="宋体" w:hAnsi="宋体" w:cs="宋体" w:eastAsia="宋体" w:hint="default"/>
                <w:sz w:val="21"/>
                <w:szCs w:val="21"/>
              </w:rPr>
            </w:pPr>
            <w:r>
              <w:rPr>
                <w:rFonts w:ascii="宋体" w:hAnsi="宋体" w:cs="宋体" w:eastAsia="宋体" w:hint="default"/>
                <w:sz w:val="21"/>
                <w:szCs w:val="21"/>
              </w:rPr>
              <w:t>一、有限售条件股</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份</w:t>
            </w:r>
          </w:p>
        </w:tc>
        <w:tc>
          <w:tcPr>
            <w:tcW w:w="145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49,941,409</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10.64%</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0</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53,673,396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53,673,396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103,614,805</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8"/>
              <w:jc w:val="right"/>
              <w:rPr>
                <w:rFonts w:ascii="Times New Roman" w:hAnsi="Times New Roman" w:cs="Times New Roman" w:eastAsia="Times New Roman" w:hint="default"/>
                <w:sz w:val="21"/>
                <w:szCs w:val="21"/>
              </w:rPr>
            </w:pPr>
            <w:r>
              <w:rPr>
                <w:rFonts w:ascii="Times New Roman"/>
                <w:spacing w:val="-1"/>
                <w:sz w:val="21"/>
              </w:rPr>
              <w:t>22.06%</w:t>
            </w:r>
          </w:p>
        </w:tc>
      </w:tr>
      <w:tr>
        <w:trPr>
          <w:trHeight w:val="283" w:hRule="exact"/>
        </w:trPr>
        <w:tc>
          <w:tcPr>
            <w:tcW w:w="17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45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0.00%</w:t>
            </w:r>
          </w:p>
        </w:tc>
      </w:tr>
      <w:tr>
        <w:trPr>
          <w:trHeight w:val="282" w:hRule="exact"/>
        </w:trPr>
        <w:tc>
          <w:tcPr>
            <w:tcW w:w="17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45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2,145,000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0.46%</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2,145,000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0.46%</w:t>
            </w:r>
          </w:p>
        </w:tc>
      </w:tr>
      <w:tr>
        <w:trPr>
          <w:trHeight w:val="106" w:hRule="exact"/>
        </w:trPr>
        <w:tc>
          <w:tcPr>
            <w:tcW w:w="1727"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1" w:type="dxa"/>
            <w:vMerge w:val="restart"/>
            <w:tcBorders>
              <w:top w:val="single" w:sz="4" w:space="0" w:color="000000"/>
              <w:left w:val="single" w:sz="13" w:space="0" w:color="DCDCDC"/>
              <w:right w:val="single" w:sz="4" w:space="0" w:color="000000"/>
            </w:tcBorders>
          </w:tcPr>
          <w:p>
            <w:pPr>
              <w:pStyle w:val="TableParagraph"/>
              <w:spacing w:line="240" w:lineRule="auto" w:before="114"/>
              <w:ind w:left="460" w:right="0"/>
              <w:jc w:val="left"/>
              <w:rPr>
                <w:rFonts w:ascii="Times New Roman" w:hAnsi="Times New Roman" w:cs="Times New Roman" w:eastAsia="Times New Roman" w:hint="default"/>
                <w:sz w:val="21"/>
                <w:szCs w:val="21"/>
              </w:rPr>
            </w:pPr>
            <w:r>
              <w:rPr>
                <w:rFonts w:ascii="Times New Roman"/>
                <w:sz w:val="21"/>
              </w:rPr>
              <w:t>47,147,424</w:t>
            </w:r>
          </w:p>
        </w:tc>
        <w:tc>
          <w:tcPr>
            <w:tcW w:w="971" w:type="dxa"/>
            <w:vMerge w:val="restart"/>
            <w:tcBorders>
              <w:top w:val="single" w:sz="4" w:space="0" w:color="000000"/>
              <w:left w:val="single" w:sz="4" w:space="0" w:color="000000"/>
              <w:right w:val="single" w:sz="4" w:space="0" w:color="000000"/>
            </w:tcBorders>
          </w:tcPr>
          <w:p>
            <w:pPr>
              <w:pStyle w:val="TableParagraph"/>
              <w:spacing w:line="240" w:lineRule="auto" w:before="114"/>
              <w:ind w:left="290" w:right="0"/>
              <w:jc w:val="left"/>
              <w:rPr>
                <w:rFonts w:ascii="Times New Roman" w:hAnsi="Times New Roman" w:cs="Times New Roman" w:eastAsia="Times New Roman" w:hint="default"/>
                <w:sz w:val="21"/>
                <w:szCs w:val="21"/>
              </w:rPr>
            </w:pPr>
            <w:r>
              <w:rPr>
                <w:rFonts w:ascii="Times New Roman"/>
                <w:sz w:val="21"/>
              </w:rPr>
              <w:t>10.04%</w:t>
            </w:r>
          </w:p>
        </w:tc>
        <w:tc>
          <w:tcPr>
            <w:tcW w:w="508" w:type="dxa"/>
            <w:vMerge w:val="restart"/>
            <w:tcBorders>
              <w:top w:val="single" w:sz="4" w:space="0" w:color="000000"/>
              <w:left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21"/>
                <w:szCs w:val="21"/>
              </w:rPr>
            </w:pPr>
            <w:r>
              <w:rPr>
                <w:rFonts w:ascii="Times New Roman"/>
                <w:sz w:val="21"/>
              </w:rPr>
              <w:t>0</w:t>
            </w:r>
          </w:p>
        </w:tc>
        <w:tc>
          <w:tcPr>
            <w:tcW w:w="413" w:type="dxa"/>
            <w:vMerge w:val="restart"/>
            <w:tcBorders>
              <w:top w:val="single" w:sz="4" w:space="0" w:color="000000"/>
              <w:left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21"/>
                <w:szCs w:val="21"/>
              </w:rPr>
            </w:pPr>
            <w:r>
              <w:rPr>
                <w:rFonts w:ascii="Times New Roman"/>
                <w:sz w:val="21"/>
              </w:rPr>
              <w:t>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21"/>
                <w:szCs w:val="21"/>
              </w:rPr>
            </w:pPr>
            <w:r>
              <w:rPr>
                <w:rFonts w:ascii="Times New Roman"/>
                <w:sz w:val="21"/>
              </w:rPr>
              <w:t>0</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114"/>
              <w:ind w:left="280" w:right="0"/>
              <w:jc w:val="left"/>
              <w:rPr>
                <w:rFonts w:ascii="Times New Roman" w:hAnsi="Times New Roman" w:cs="Times New Roman" w:eastAsia="Times New Roman" w:hint="default"/>
                <w:sz w:val="21"/>
                <w:szCs w:val="21"/>
              </w:rPr>
            </w:pPr>
            <w:r>
              <w:rPr>
                <w:rFonts w:ascii="Times New Roman"/>
                <w:sz w:val="21"/>
              </w:rPr>
              <w:t>53,867,555</w:t>
            </w:r>
          </w:p>
        </w:tc>
        <w:tc>
          <w:tcPr>
            <w:tcW w:w="1286" w:type="dxa"/>
            <w:vMerge w:val="restart"/>
            <w:tcBorders>
              <w:top w:val="single" w:sz="4" w:space="0" w:color="000000"/>
              <w:left w:val="single" w:sz="4" w:space="0" w:color="000000"/>
              <w:right w:val="single" w:sz="4" w:space="0" w:color="000000"/>
            </w:tcBorders>
          </w:tcPr>
          <w:p>
            <w:pPr>
              <w:pStyle w:val="TableParagraph"/>
              <w:spacing w:line="225" w:lineRule="exact"/>
              <w:ind w:left="308" w:right="0"/>
              <w:jc w:val="left"/>
              <w:rPr>
                <w:rFonts w:ascii="Times New Roman" w:hAnsi="Times New Roman" w:cs="Times New Roman" w:eastAsia="Times New Roman" w:hint="default"/>
                <w:sz w:val="21"/>
                <w:szCs w:val="21"/>
              </w:rPr>
            </w:pPr>
            <w:r>
              <w:rPr>
                <w:rFonts w:ascii="Times New Roman"/>
                <w:sz w:val="21"/>
              </w:rPr>
              <w:t>53,867,555</w:t>
            </w:r>
          </w:p>
          <w:p>
            <w:pPr>
              <w:pStyle w:val="TableParagraph"/>
              <w:spacing w:line="235" w:lineRule="exact"/>
              <w:ind w:left="298"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b/>
                <w:bCs/>
                <w:sz w:val="18"/>
                <w:szCs w:val="18"/>
              </w:rPr>
              <w:t>1</w:t>
            </w:r>
            <w:r>
              <w:rPr>
                <w:rFonts w:ascii="宋体" w:hAnsi="宋体" w:cs="宋体" w:eastAsia="宋体" w:hint="default"/>
                <w:sz w:val="18"/>
                <w:szCs w:val="18"/>
              </w:rPr>
              <w:t>）</w:t>
            </w:r>
          </w:p>
        </w:tc>
        <w:tc>
          <w:tcPr>
            <w:tcW w:w="1414" w:type="dxa"/>
            <w:vMerge w:val="restart"/>
            <w:tcBorders>
              <w:top w:val="single" w:sz="4" w:space="0" w:color="000000"/>
              <w:left w:val="single" w:sz="4" w:space="0" w:color="000000"/>
              <w:right w:val="single" w:sz="4" w:space="0" w:color="000000"/>
            </w:tcBorders>
          </w:tcPr>
          <w:p>
            <w:pPr>
              <w:pStyle w:val="TableParagraph"/>
              <w:spacing w:line="240" w:lineRule="auto" w:before="114"/>
              <w:ind w:left="225" w:right="0"/>
              <w:jc w:val="left"/>
              <w:rPr>
                <w:rFonts w:ascii="Times New Roman" w:hAnsi="Times New Roman" w:cs="Times New Roman" w:eastAsia="Times New Roman" w:hint="default"/>
                <w:sz w:val="21"/>
                <w:szCs w:val="21"/>
              </w:rPr>
            </w:pPr>
            <w:r>
              <w:rPr>
                <w:rFonts w:ascii="Times New Roman"/>
                <w:sz w:val="21"/>
              </w:rPr>
              <w:t>101,014,979</w:t>
            </w: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114"/>
              <w:ind w:left="257" w:right="0"/>
              <w:jc w:val="left"/>
              <w:rPr>
                <w:rFonts w:ascii="Times New Roman" w:hAnsi="Times New Roman" w:cs="Times New Roman" w:eastAsia="Times New Roman" w:hint="default"/>
                <w:sz w:val="21"/>
                <w:szCs w:val="21"/>
              </w:rPr>
            </w:pPr>
            <w:r>
              <w:rPr>
                <w:rFonts w:ascii="Times New Roman"/>
                <w:sz w:val="21"/>
              </w:rPr>
              <w:t>21.51%</w:t>
            </w:r>
          </w:p>
        </w:tc>
      </w:tr>
      <w:tr>
        <w:trPr>
          <w:trHeight w:val="379" w:hRule="exact"/>
        </w:trPr>
        <w:tc>
          <w:tcPr>
            <w:tcW w:w="172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55"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451" w:type="dxa"/>
            <w:vMerge/>
            <w:tcBorders>
              <w:left w:val="single" w:sz="13" w:space="0" w:color="DCDCDC"/>
              <w:bottom w:val="single" w:sz="4" w:space="0" w:color="000000"/>
              <w:right w:val="single" w:sz="4" w:space="0" w:color="000000"/>
            </w:tcBorders>
          </w:tcPr>
          <w:p>
            <w:pPr/>
          </w:p>
        </w:tc>
        <w:tc>
          <w:tcPr>
            <w:tcW w:w="971" w:type="dxa"/>
            <w:vMerge/>
            <w:tcBorders>
              <w:left w:val="single" w:sz="4" w:space="0" w:color="000000"/>
              <w:bottom w:val="single" w:sz="4" w:space="0" w:color="000000"/>
              <w:right w:val="single" w:sz="4" w:space="0" w:color="000000"/>
            </w:tcBorders>
          </w:tcPr>
          <w:p>
            <w:pPr/>
          </w:p>
        </w:tc>
        <w:tc>
          <w:tcPr>
            <w:tcW w:w="508" w:type="dxa"/>
            <w:vMerge/>
            <w:tcBorders>
              <w:left w:val="single" w:sz="4" w:space="0" w:color="000000"/>
              <w:bottom w:val="single" w:sz="4" w:space="0" w:color="000000"/>
              <w:right w:val="single" w:sz="4" w:space="0" w:color="000000"/>
            </w:tcBorders>
          </w:tcPr>
          <w:p>
            <w:pPr/>
          </w:p>
        </w:tc>
        <w:tc>
          <w:tcPr>
            <w:tcW w:w="413"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c>
          <w:tcPr>
            <w:tcW w:w="1414"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r>
      <w:tr>
        <w:trPr>
          <w:trHeight w:val="554" w:hRule="exact"/>
        </w:trPr>
        <w:tc>
          <w:tcPr>
            <w:tcW w:w="17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92"/>
                <w:sz w:val="21"/>
                <w:szCs w:val="21"/>
              </w:rPr>
              <w:t>：</w:t>
            </w:r>
            <w:r>
              <w:rPr>
                <w:rFonts w:ascii="宋体" w:hAnsi="宋体" w:cs="宋体" w:eastAsia="宋体" w:hint="default"/>
                <w:sz w:val="21"/>
                <w:szCs w:val="21"/>
              </w:rPr>
              <w:t>境内非国有</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法人持股</w:t>
            </w:r>
          </w:p>
        </w:tc>
        <w:tc>
          <w:tcPr>
            <w:tcW w:w="145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47,147,424</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10.04%</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0</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53,867,555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53,867,555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101,014,979</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8"/>
              <w:jc w:val="right"/>
              <w:rPr>
                <w:rFonts w:ascii="Times New Roman" w:hAnsi="Times New Roman" w:cs="Times New Roman" w:eastAsia="Times New Roman" w:hint="default"/>
                <w:sz w:val="21"/>
                <w:szCs w:val="21"/>
              </w:rPr>
            </w:pPr>
            <w:r>
              <w:rPr>
                <w:rFonts w:ascii="Times New Roman"/>
                <w:spacing w:val="-1"/>
                <w:sz w:val="21"/>
              </w:rPr>
              <w:t>21.51%</w:t>
            </w:r>
          </w:p>
        </w:tc>
      </w:tr>
      <w:tr>
        <w:trPr>
          <w:trHeight w:val="283" w:hRule="exact"/>
        </w:trPr>
        <w:tc>
          <w:tcPr>
            <w:tcW w:w="17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29"/>
              <w:jc w:val="right"/>
              <w:rPr>
                <w:rFonts w:ascii="宋体" w:hAnsi="宋体" w:cs="宋体" w:eastAsia="宋体" w:hint="default"/>
                <w:sz w:val="21"/>
                <w:szCs w:val="21"/>
              </w:rPr>
            </w:pPr>
            <w:r>
              <w:rPr>
                <w:rFonts w:ascii="宋体" w:hAnsi="宋体" w:cs="宋体" w:eastAsia="宋体" w:hint="default"/>
                <w:spacing w:val="-1"/>
                <w:sz w:val="21"/>
                <w:szCs w:val="21"/>
              </w:rPr>
              <w:t>境内自然人持股</w:t>
            </w:r>
          </w:p>
        </w:tc>
        <w:tc>
          <w:tcPr>
            <w:tcW w:w="145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0.00%</w:t>
            </w:r>
          </w:p>
        </w:tc>
      </w:tr>
      <w:tr>
        <w:trPr>
          <w:trHeight w:val="282" w:hRule="exact"/>
        </w:trPr>
        <w:tc>
          <w:tcPr>
            <w:tcW w:w="17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45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0.00%</w:t>
            </w:r>
          </w:p>
        </w:tc>
      </w:tr>
      <w:tr>
        <w:trPr>
          <w:trHeight w:val="554" w:hRule="exact"/>
        </w:trPr>
        <w:tc>
          <w:tcPr>
            <w:tcW w:w="17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2" w:right="0"/>
              <w:jc w:val="left"/>
              <w:rPr>
                <w:rFonts w:ascii="宋体" w:hAnsi="宋体" w:cs="宋体" w:eastAsia="宋体" w:hint="default"/>
                <w:sz w:val="21"/>
                <w:szCs w:val="21"/>
              </w:rPr>
            </w:pPr>
            <w:r>
              <w:rPr>
                <w:rFonts w:ascii="宋体" w:hAnsi="宋体" w:cs="宋体" w:eastAsia="宋体" w:hint="default"/>
                <w:sz w:val="21"/>
                <w:szCs w:val="21"/>
              </w:rPr>
              <w:t>其中：境外法人持</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45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0</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0.00%</w:t>
            </w:r>
          </w:p>
        </w:tc>
      </w:tr>
      <w:tr>
        <w:trPr>
          <w:trHeight w:val="282" w:hRule="exact"/>
        </w:trPr>
        <w:tc>
          <w:tcPr>
            <w:tcW w:w="17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29"/>
              <w:jc w:val="right"/>
              <w:rPr>
                <w:rFonts w:ascii="宋体" w:hAnsi="宋体" w:cs="宋体" w:eastAsia="宋体" w:hint="default"/>
                <w:sz w:val="21"/>
                <w:szCs w:val="21"/>
              </w:rPr>
            </w:pPr>
            <w:r>
              <w:rPr>
                <w:rFonts w:ascii="宋体" w:hAnsi="宋体" w:cs="宋体" w:eastAsia="宋体" w:hint="default"/>
                <w:spacing w:val="-1"/>
                <w:sz w:val="21"/>
                <w:szCs w:val="21"/>
              </w:rPr>
              <w:t>境外自然人持股</w:t>
            </w:r>
          </w:p>
        </w:tc>
        <w:tc>
          <w:tcPr>
            <w:tcW w:w="145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0.00%</w:t>
            </w:r>
          </w:p>
        </w:tc>
      </w:tr>
      <w:tr>
        <w:trPr>
          <w:trHeight w:val="283" w:hRule="exact"/>
        </w:trPr>
        <w:tc>
          <w:tcPr>
            <w:tcW w:w="17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45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648,985</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0.14%</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-194,159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-194,159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8"/>
              <w:jc w:val="right"/>
              <w:rPr>
                <w:rFonts w:ascii="宋体" w:hAnsi="宋体" w:cs="宋体" w:eastAsia="宋体" w:hint="default"/>
                <w:sz w:val="18"/>
                <w:szCs w:val="18"/>
              </w:rPr>
            </w:pPr>
            <w:r>
              <w:rPr>
                <w:rFonts w:ascii="Times New Roman" w:hAnsi="Times New Roman" w:cs="Times New Roman" w:eastAsia="Times New Roman" w:hint="default"/>
                <w:sz w:val="21"/>
                <w:szCs w:val="21"/>
              </w:rPr>
              <w:t>454,826</w:t>
            </w:r>
            <w:r>
              <w:rPr>
                <w:rFonts w:ascii="宋体" w:hAnsi="宋体" w:cs="宋体" w:eastAsia="宋体" w:hint="default"/>
                <w:sz w:val="18"/>
                <w:szCs w:val="18"/>
              </w:rPr>
              <w:t>（注</w:t>
            </w:r>
            <w:r>
              <w:rPr>
                <w:rFonts w:ascii="宋体" w:hAnsi="宋体" w:cs="宋体" w:eastAsia="宋体" w:hint="default"/>
                <w:spacing w:val="-58"/>
                <w:sz w:val="18"/>
                <w:szCs w:val="18"/>
              </w:rPr>
              <w:t> </w:t>
            </w:r>
            <w:r>
              <w:rPr>
                <w:rFonts w:ascii="Arial" w:hAnsi="Arial" w:cs="Arial" w:eastAsia="Arial" w:hint="default"/>
                <w:sz w:val="18"/>
                <w:szCs w:val="18"/>
              </w:rPr>
              <w:t>2</w:t>
            </w:r>
            <w:r>
              <w:rPr>
                <w:rFonts w:ascii="宋体" w:hAnsi="宋体" w:cs="宋体" w:eastAsia="宋体" w:hint="default"/>
                <w:sz w:val="18"/>
                <w:szCs w:val="18"/>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0.10%</w:t>
            </w:r>
          </w:p>
        </w:tc>
      </w:tr>
      <w:tr>
        <w:trPr>
          <w:trHeight w:val="554" w:hRule="exact"/>
        </w:trPr>
        <w:tc>
          <w:tcPr>
            <w:tcW w:w="17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2" w:right="0"/>
              <w:jc w:val="left"/>
              <w:rPr>
                <w:rFonts w:ascii="宋体" w:hAnsi="宋体" w:cs="宋体" w:eastAsia="宋体" w:hint="default"/>
                <w:sz w:val="21"/>
                <w:szCs w:val="21"/>
              </w:rPr>
            </w:pPr>
            <w:r>
              <w:rPr>
                <w:rFonts w:ascii="宋体" w:hAnsi="宋体" w:cs="宋体" w:eastAsia="宋体" w:hint="default"/>
                <w:sz w:val="21"/>
                <w:szCs w:val="21"/>
              </w:rPr>
              <w:t>二、无限售条件股</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份</w:t>
            </w:r>
          </w:p>
        </w:tc>
        <w:tc>
          <w:tcPr>
            <w:tcW w:w="145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419,651,955</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89.36%</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0</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-53,673,396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-53,673,396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365,978,559</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8"/>
              <w:jc w:val="right"/>
              <w:rPr>
                <w:rFonts w:ascii="Times New Roman" w:hAnsi="Times New Roman" w:cs="Times New Roman" w:eastAsia="Times New Roman" w:hint="default"/>
                <w:sz w:val="21"/>
                <w:szCs w:val="21"/>
              </w:rPr>
            </w:pPr>
            <w:r>
              <w:rPr>
                <w:rFonts w:ascii="Times New Roman"/>
                <w:spacing w:val="-1"/>
                <w:sz w:val="21"/>
              </w:rPr>
              <w:t>77.94%</w:t>
            </w:r>
          </w:p>
        </w:tc>
      </w:tr>
      <w:tr>
        <w:trPr>
          <w:trHeight w:val="282" w:hRule="exact"/>
        </w:trPr>
        <w:tc>
          <w:tcPr>
            <w:tcW w:w="17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45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419,651,955</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89.36%</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-53,673,396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-53,673,396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365,978,559</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77.94%</w:t>
            </w:r>
          </w:p>
        </w:tc>
      </w:tr>
      <w:tr>
        <w:trPr>
          <w:trHeight w:val="554" w:hRule="exact"/>
        </w:trPr>
        <w:tc>
          <w:tcPr>
            <w:tcW w:w="17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92"/>
                <w:sz w:val="21"/>
                <w:szCs w:val="21"/>
              </w:rPr>
              <w:t>、</w:t>
            </w:r>
            <w:r>
              <w:rPr>
                <w:rFonts w:ascii="宋体" w:hAnsi="宋体" w:cs="宋体" w:eastAsia="宋体" w:hint="default"/>
                <w:sz w:val="21"/>
                <w:szCs w:val="21"/>
              </w:rPr>
              <w:t>境内上市的外资</w:t>
            </w:r>
          </w:p>
          <w:p>
            <w:pPr>
              <w:pStyle w:val="TableParagraph"/>
              <w:spacing w:line="266" w:lineRule="exact"/>
              <w:ind w:left="12"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45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0</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0.00%</w:t>
            </w:r>
          </w:p>
        </w:tc>
      </w:tr>
      <w:tr>
        <w:trPr>
          <w:trHeight w:val="556" w:hRule="exact"/>
        </w:trPr>
        <w:tc>
          <w:tcPr>
            <w:tcW w:w="17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92"/>
                <w:sz w:val="21"/>
                <w:szCs w:val="21"/>
              </w:rPr>
              <w:t>、</w:t>
            </w:r>
            <w:r>
              <w:rPr>
                <w:rFonts w:ascii="宋体" w:hAnsi="宋体" w:cs="宋体" w:eastAsia="宋体" w:hint="default"/>
                <w:sz w:val="21"/>
                <w:szCs w:val="21"/>
              </w:rPr>
              <w:t>境外上市的外资</w:t>
            </w:r>
          </w:p>
          <w:p>
            <w:pPr>
              <w:pStyle w:val="TableParagraph"/>
              <w:spacing w:line="266" w:lineRule="exact"/>
              <w:ind w:left="12"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45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0</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0.00%</w:t>
            </w:r>
          </w:p>
        </w:tc>
      </w:tr>
      <w:tr>
        <w:trPr>
          <w:trHeight w:val="282" w:hRule="exact"/>
        </w:trPr>
        <w:tc>
          <w:tcPr>
            <w:tcW w:w="17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5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0.00%</w:t>
            </w:r>
          </w:p>
        </w:tc>
      </w:tr>
      <w:tr>
        <w:trPr>
          <w:trHeight w:val="283" w:hRule="exact"/>
        </w:trPr>
        <w:tc>
          <w:tcPr>
            <w:tcW w:w="17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45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469,593,364</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100.00%</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469,593,364</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100.00%</w:t>
            </w:r>
          </w:p>
        </w:tc>
      </w:tr>
    </w:tbl>
    <w:p>
      <w:pPr>
        <w:spacing w:before="29"/>
        <w:ind w:left="1150" w:right="0" w:firstLine="0"/>
        <w:jc w:val="left"/>
        <w:rPr>
          <w:rFonts w:ascii="宋体" w:hAnsi="宋体" w:cs="宋体" w:eastAsia="宋体" w:hint="default"/>
          <w:sz w:val="18"/>
          <w:szCs w:val="18"/>
        </w:rPr>
      </w:pPr>
      <w:r>
        <w:rPr>
          <w:rFonts w:ascii="宋体" w:hAnsi="宋体" w:cs="宋体" w:eastAsia="宋体" w:hint="default"/>
          <w:sz w:val="18"/>
          <w:szCs w:val="18"/>
        </w:rPr>
        <w:t>注 </w:t>
      </w:r>
      <w:r>
        <w:rPr>
          <w:rFonts w:ascii="Times New Roman" w:hAnsi="Times New Roman" w:cs="Times New Roman" w:eastAsia="Times New Roman" w:hint="default"/>
          <w:b/>
          <w:bCs/>
          <w:sz w:val="18"/>
          <w:szCs w:val="18"/>
        </w:rPr>
        <w:t>1</w:t>
      </w:r>
      <w:r>
        <w:rPr>
          <w:rFonts w:ascii="宋体" w:hAnsi="宋体" w:cs="宋体" w:eastAsia="宋体" w:hint="default"/>
          <w:sz w:val="18"/>
          <w:szCs w:val="18"/>
        </w:rPr>
        <w:t>：公司第一大股东中国宝安集团控股有限公司承诺：自 </w:t>
      </w:r>
      <w:r>
        <w:rPr>
          <w:rFonts w:ascii="Times New Roman" w:hAnsi="Times New Roman" w:cs="Times New Roman" w:eastAsia="Times New Roman" w:hint="default"/>
          <w:b/>
          <w:bCs/>
          <w:sz w:val="18"/>
          <w:szCs w:val="18"/>
        </w:rPr>
        <w:t>2009 </w:t>
      </w:r>
      <w:r>
        <w:rPr>
          <w:rFonts w:ascii="宋体" w:hAnsi="宋体" w:cs="宋体" w:eastAsia="宋体" w:hint="default"/>
          <w:sz w:val="18"/>
          <w:szCs w:val="18"/>
        </w:rPr>
        <w:t>年 </w:t>
      </w:r>
      <w:r>
        <w:rPr>
          <w:rFonts w:ascii="Times New Roman" w:hAnsi="Times New Roman" w:cs="Times New Roman" w:eastAsia="Times New Roman" w:hint="default"/>
          <w:b/>
          <w:bCs/>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11"/>
          <w:sz w:val="18"/>
          <w:szCs w:val="18"/>
        </w:rPr>
        <w:t> </w:t>
      </w:r>
      <w:r>
        <w:rPr>
          <w:rFonts w:ascii="宋体" w:hAnsi="宋体" w:cs="宋体" w:eastAsia="宋体" w:hint="default"/>
          <w:sz w:val="18"/>
          <w:szCs w:val="18"/>
        </w:rPr>
        <w:t>日起，其持有的本公司股份中的</w:t>
      </w:r>
    </w:p>
    <w:p>
      <w:pPr>
        <w:spacing w:line="297" w:lineRule="auto" w:before="51"/>
        <w:ind w:left="1693" w:right="1146" w:firstLine="0"/>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70,000,000 </w:t>
      </w:r>
      <w:r>
        <w:rPr>
          <w:rFonts w:ascii="宋体" w:hAnsi="宋体" w:cs="宋体" w:eastAsia="宋体" w:hint="default"/>
          <w:sz w:val="18"/>
          <w:szCs w:val="18"/>
        </w:rPr>
        <w:t>股在未来十二个月内不会进入二级市场交易，前述 </w:t>
      </w:r>
      <w:r>
        <w:rPr>
          <w:rFonts w:ascii="Times New Roman" w:hAnsi="Times New Roman" w:cs="Times New Roman" w:eastAsia="Times New Roman" w:hint="default"/>
          <w:b/>
          <w:bCs/>
          <w:sz w:val="18"/>
          <w:szCs w:val="18"/>
        </w:rPr>
        <w:t>70,000,000 </w:t>
      </w:r>
      <w:r>
        <w:rPr>
          <w:rFonts w:ascii="宋体" w:hAnsi="宋体" w:cs="宋体" w:eastAsia="宋体" w:hint="default"/>
          <w:sz w:val="18"/>
          <w:szCs w:val="18"/>
        </w:rPr>
        <w:t>股股份已于 </w:t>
      </w:r>
      <w:r>
        <w:rPr>
          <w:rFonts w:ascii="Times New Roman" w:hAnsi="Times New Roman" w:cs="Times New Roman" w:eastAsia="Times New Roman" w:hint="default"/>
          <w:b/>
          <w:bCs/>
          <w:sz w:val="18"/>
          <w:szCs w:val="18"/>
        </w:rPr>
        <w:t>2009 </w:t>
      </w:r>
      <w:r>
        <w:rPr>
          <w:rFonts w:ascii="宋体" w:hAnsi="宋体" w:cs="宋体" w:eastAsia="宋体" w:hint="default"/>
          <w:sz w:val="18"/>
          <w:szCs w:val="18"/>
        </w:rPr>
        <w:t>年 </w:t>
      </w:r>
      <w:r>
        <w:rPr>
          <w:rFonts w:ascii="Times New Roman" w:hAnsi="Times New Roman" w:cs="Times New Roman" w:eastAsia="Times New Roman" w:hint="default"/>
          <w:b/>
          <w:bCs/>
          <w:sz w:val="18"/>
          <w:szCs w:val="18"/>
        </w:rPr>
        <w:t>9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b/>
          <w:bCs/>
          <w:sz w:val="18"/>
          <w:szCs w:val="18"/>
        </w:rPr>
        <w:t>22 </w:t>
      </w:r>
      <w:r>
        <w:rPr>
          <w:rFonts w:ascii="宋体" w:hAnsi="宋体" w:cs="宋体" w:eastAsia="宋体" w:hint="default"/>
          <w:spacing w:val="3"/>
          <w:sz w:val="18"/>
          <w:szCs w:val="18"/>
        </w:rPr>
        <w:t>日于中国证券登记结算公司办理完毕相关手续，股份性质由无限售条件流通股股变更为限售条件流通 </w:t>
      </w:r>
      <w:r>
        <w:rPr>
          <w:rFonts w:ascii="宋体" w:hAnsi="宋体" w:cs="宋体" w:eastAsia="宋体" w:hint="default"/>
          <w:sz w:val="18"/>
          <w:szCs w:val="18"/>
        </w:rPr>
        <w:t>股。公司股东深圳市正中投资发展有限公司、上海汇兴实业有限公司持有的 </w:t>
      </w:r>
      <w:r>
        <w:rPr>
          <w:rFonts w:ascii="Times New Roman" w:hAnsi="Times New Roman" w:cs="Times New Roman" w:eastAsia="Times New Roman" w:hint="default"/>
          <w:b/>
          <w:bCs/>
          <w:sz w:val="18"/>
          <w:szCs w:val="18"/>
        </w:rPr>
        <w:t>16,132,445  </w:t>
      </w:r>
      <w:r>
        <w:rPr>
          <w:rFonts w:ascii="Times New Roman" w:hAnsi="Times New Roman" w:cs="Times New Roman" w:eastAsia="Times New Roman" w:hint="default"/>
          <w:b/>
          <w:bCs/>
          <w:spacing w:val="8"/>
          <w:sz w:val="18"/>
          <w:szCs w:val="18"/>
        </w:rPr>
        <w:t> </w:t>
      </w:r>
      <w:r>
        <w:rPr>
          <w:rFonts w:ascii="宋体" w:hAnsi="宋体" w:cs="宋体" w:eastAsia="宋体" w:hint="default"/>
          <w:sz w:val="18"/>
          <w:szCs w:val="18"/>
        </w:rPr>
        <w:t>股限售股份自</w:t>
      </w:r>
    </w:p>
    <w:p>
      <w:pPr>
        <w:spacing w:line="288" w:lineRule="auto" w:before="3"/>
        <w:ind w:left="1150" w:right="0" w:firstLine="54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b/>
          <w:bCs/>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b/>
          <w:bCs/>
          <w:sz w:val="18"/>
          <w:szCs w:val="18"/>
        </w:rPr>
        <w:t>9</w:t>
      </w:r>
      <w:r>
        <w:rPr>
          <w:rFonts w:ascii="Times New Roman" w:hAnsi="Times New Roman" w:cs="Times New Roman" w:eastAsia="Times New Roman" w:hint="default"/>
          <w:b/>
          <w:bCs/>
          <w:spacing w:val="-1"/>
          <w:sz w:val="18"/>
          <w:szCs w:val="18"/>
        </w:rPr>
        <w:t> </w:t>
      </w:r>
      <w:r>
        <w:rPr>
          <w:rFonts w:ascii="宋体" w:hAnsi="宋体" w:cs="宋体" w:eastAsia="宋体" w:hint="default"/>
          <w:sz w:val="18"/>
          <w:szCs w:val="18"/>
        </w:rPr>
        <w:t>日起解除限售。 注</w:t>
      </w:r>
      <w:r>
        <w:rPr>
          <w:rFonts w:ascii="Times New Roman" w:hAnsi="Times New Roman" w:cs="Times New Roman" w:eastAsia="Times New Roman" w:hint="default"/>
          <w:b/>
          <w:bCs/>
          <w:sz w:val="18"/>
          <w:szCs w:val="18"/>
        </w:rPr>
        <w:t>2</w:t>
      </w:r>
      <w:r>
        <w:rPr>
          <w:rFonts w:ascii="宋体" w:hAnsi="宋体" w:cs="宋体" w:eastAsia="宋体" w:hint="default"/>
          <w:sz w:val="18"/>
          <w:szCs w:val="18"/>
        </w:rPr>
        <w:t>：报告期初高管持股总数的</w:t>
      </w:r>
      <w:r>
        <w:rPr>
          <w:rFonts w:ascii="Times New Roman" w:hAnsi="Times New Roman" w:cs="Times New Roman" w:eastAsia="Times New Roman" w:hint="default"/>
          <w:b/>
          <w:bCs/>
          <w:sz w:val="18"/>
          <w:szCs w:val="18"/>
        </w:rPr>
        <w:t>75</w:t>
      </w:r>
      <w:r>
        <w:rPr>
          <w:rFonts w:ascii="宋体" w:hAnsi="宋体" w:cs="宋体" w:eastAsia="宋体" w:hint="default"/>
          <w:sz w:val="18"/>
          <w:szCs w:val="18"/>
        </w:rPr>
        <w:t>％即</w:t>
      </w:r>
      <w:r>
        <w:rPr>
          <w:rFonts w:ascii="Times New Roman" w:hAnsi="Times New Roman" w:cs="Times New Roman" w:eastAsia="Times New Roman" w:hint="default"/>
          <w:b/>
          <w:bCs/>
          <w:sz w:val="18"/>
          <w:szCs w:val="18"/>
        </w:rPr>
        <w:t>648,985</w:t>
      </w:r>
      <w:r>
        <w:rPr>
          <w:rFonts w:ascii="宋体" w:hAnsi="宋体" w:cs="宋体" w:eastAsia="宋体" w:hint="default"/>
          <w:sz w:val="18"/>
          <w:szCs w:val="18"/>
        </w:rPr>
        <w:t>股由中国证券登记结算有限责任公司深圳分公司锁定。因高管颜</w:t>
      </w:r>
    </w:p>
    <w:p>
      <w:pPr>
        <w:spacing w:line="288" w:lineRule="auto" w:before="11"/>
        <w:ind w:left="1603" w:right="1151" w:firstLine="0"/>
        <w:jc w:val="both"/>
        <w:rPr>
          <w:rFonts w:ascii="宋体" w:hAnsi="宋体" w:cs="宋体" w:eastAsia="宋体" w:hint="default"/>
          <w:sz w:val="18"/>
          <w:szCs w:val="18"/>
        </w:rPr>
      </w:pPr>
      <w:r>
        <w:rPr>
          <w:rFonts w:ascii="宋体" w:hAnsi="宋体" w:cs="宋体" w:eastAsia="宋体" w:hint="default"/>
          <w:sz w:val="18"/>
          <w:szCs w:val="18"/>
        </w:rPr>
        <w:t>金辉上年度出售了无限售条件流通股后共持有</w:t>
      </w:r>
      <w:r>
        <w:rPr>
          <w:rFonts w:ascii="Times New Roman" w:hAnsi="Times New Roman" w:cs="Times New Roman" w:eastAsia="Times New Roman" w:hint="default"/>
          <w:b/>
          <w:bCs/>
          <w:sz w:val="18"/>
          <w:szCs w:val="18"/>
        </w:rPr>
        <w:t>135,061</w:t>
      </w:r>
      <w:r>
        <w:rPr>
          <w:rFonts w:ascii="宋体" w:hAnsi="宋体" w:cs="宋体" w:eastAsia="宋体" w:hint="default"/>
          <w:sz w:val="18"/>
          <w:szCs w:val="18"/>
        </w:rPr>
        <w:t>股公司股票，本年初其中</w:t>
      </w:r>
      <w:r>
        <w:rPr>
          <w:rFonts w:ascii="Times New Roman" w:hAnsi="Times New Roman" w:cs="Times New Roman" w:eastAsia="Times New Roman" w:hint="default"/>
          <w:b/>
          <w:bCs/>
          <w:sz w:val="18"/>
          <w:szCs w:val="18"/>
        </w:rPr>
        <w:t>25%</w:t>
      </w:r>
      <w:r>
        <w:rPr>
          <w:rFonts w:ascii="宋体" w:hAnsi="宋体" w:cs="宋体" w:eastAsia="宋体" w:hint="default"/>
          <w:sz w:val="18"/>
          <w:szCs w:val="18"/>
        </w:rPr>
        <w:t>即</w:t>
      </w:r>
      <w:r>
        <w:rPr>
          <w:rFonts w:ascii="Times New Roman" w:hAnsi="Times New Roman" w:cs="Times New Roman" w:eastAsia="Times New Roman" w:hint="default"/>
          <w:b/>
          <w:bCs/>
          <w:sz w:val="18"/>
          <w:szCs w:val="18"/>
        </w:rPr>
        <w:t>33,765</w:t>
      </w:r>
      <w:r>
        <w:rPr>
          <w:rFonts w:ascii="宋体" w:hAnsi="宋体" w:cs="宋体" w:eastAsia="宋体" w:hint="default"/>
          <w:sz w:val="18"/>
          <w:szCs w:val="18"/>
        </w:rPr>
        <w:t>变为无限售</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条件流通股；报告期内，高管罗伟光于</w:t>
      </w:r>
      <w:r>
        <w:rPr>
          <w:rFonts w:ascii="Times New Roman" w:hAnsi="Times New Roman" w:cs="Times New Roman" w:eastAsia="Times New Roman" w:hint="default"/>
          <w:b/>
          <w:bCs/>
          <w:spacing w:val="-3"/>
          <w:sz w:val="18"/>
          <w:szCs w:val="18"/>
        </w:rPr>
        <w:t>2009</w:t>
      </w:r>
      <w:r>
        <w:rPr>
          <w:rFonts w:ascii="宋体" w:hAnsi="宋体" w:cs="宋体" w:eastAsia="宋体" w:hint="default"/>
          <w:spacing w:val="-3"/>
          <w:sz w:val="18"/>
          <w:szCs w:val="18"/>
        </w:rPr>
        <w:t>年</w:t>
      </w:r>
      <w:r>
        <w:rPr>
          <w:rFonts w:ascii="Times New Roman" w:hAnsi="Times New Roman" w:cs="Times New Roman" w:eastAsia="Times New Roman" w:hint="default"/>
          <w:b/>
          <w:bCs/>
          <w:spacing w:val="-3"/>
          <w:sz w:val="18"/>
          <w:szCs w:val="18"/>
        </w:rPr>
        <w:t>3</w:t>
      </w:r>
      <w:r>
        <w:rPr>
          <w:rFonts w:ascii="宋体" w:hAnsi="宋体" w:cs="宋体" w:eastAsia="宋体" w:hint="default"/>
          <w:spacing w:val="-3"/>
          <w:sz w:val="18"/>
          <w:szCs w:val="18"/>
        </w:rPr>
        <w:t>月</w:t>
      </w:r>
      <w:r>
        <w:rPr>
          <w:rFonts w:ascii="Times New Roman" w:hAnsi="Times New Roman" w:cs="Times New Roman" w:eastAsia="Times New Roman" w:hint="default"/>
          <w:b/>
          <w:bCs/>
          <w:spacing w:val="-3"/>
          <w:sz w:val="18"/>
          <w:szCs w:val="18"/>
        </w:rPr>
        <w:t>16</w:t>
      </w:r>
      <w:r>
        <w:rPr>
          <w:rFonts w:ascii="宋体" w:hAnsi="宋体" w:cs="宋体" w:eastAsia="宋体" w:hint="default"/>
          <w:spacing w:val="-3"/>
          <w:sz w:val="18"/>
          <w:szCs w:val="18"/>
        </w:rPr>
        <w:t>日买入</w:t>
      </w:r>
      <w:r>
        <w:rPr>
          <w:rFonts w:ascii="Times New Roman" w:hAnsi="Times New Roman" w:cs="Times New Roman" w:eastAsia="Times New Roman" w:hint="default"/>
          <w:b/>
          <w:bCs/>
          <w:spacing w:val="-3"/>
          <w:sz w:val="18"/>
          <w:szCs w:val="18"/>
        </w:rPr>
        <w:t>20,000</w:t>
      </w:r>
      <w:r>
        <w:rPr>
          <w:rFonts w:ascii="宋体" w:hAnsi="宋体" w:cs="宋体" w:eastAsia="宋体" w:hint="default"/>
          <w:spacing w:val="-3"/>
          <w:sz w:val="18"/>
          <w:szCs w:val="18"/>
        </w:rPr>
        <w:t>股公司股票，其买入数量的</w:t>
      </w:r>
      <w:r>
        <w:rPr>
          <w:rFonts w:ascii="Times New Roman" w:hAnsi="Times New Roman" w:cs="Times New Roman" w:eastAsia="Times New Roman" w:hint="default"/>
          <w:b/>
          <w:bCs/>
          <w:spacing w:val="-3"/>
          <w:sz w:val="18"/>
          <w:szCs w:val="18"/>
        </w:rPr>
        <w:t>75%</w:t>
      </w:r>
      <w:r>
        <w:rPr>
          <w:rFonts w:ascii="宋体" w:hAnsi="宋体" w:cs="宋体" w:eastAsia="宋体" w:hint="default"/>
          <w:spacing w:val="-3"/>
          <w:sz w:val="18"/>
          <w:szCs w:val="18"/>
        </w:rPr>
        <w:t>即</w:t>
      </w:r>
      <w:r>
        <w:rPr>
          <w:rFonts w:ascii="Times New Roman" w:hAnsi="Times New Roman" w:cs="Times New Roman" w:eastAsia="Times New Roman" w:hint="default"/>
          <w:b/>
          <w:bCs/>
          <w:spacing w:val="-3"/>
          <w:sz w:val="18"/>
          <w:szCs w:val="18"/>
        </w:rPr>
        <w:t>15,000</w:t>
      </w:r>
      <w:r>
        <w:rPr>
          <w:rFonts w:ascii="Times New Roman" w:hAnsi="Times New Roman" w:cs="Times New Roman" w:eastAsia="Times New Roman" w:hint="default"/>
          <w:b/>
          <w:bCs/>
          <w:spacing w:val="-2"/>
          <w:sz w:val="18"/>
          <w:szCs w:val="18"/>
        </w:rPr>
        <w:t> </w:t>
      </w:r>
      <w:r>
        <w:rPr>
          <w:rFonts w:ascii="宋体" w:hAnsi="宋体" w:cs="宋体" w:eastAsia="宋体" w:hint="default"/>
          <w:sz w:val="18"/>
          <w:szCs w:val="18"/>
        </w:rPr>
        <w:t>股已锁定；原总裁邱瑞亨离任，其拥有的高管锁定股</w:t>
      </w:r>
      <w:r>
        <w:rPr>
          <w:rFonts w:ascii="Times New Roman" w:hAnsi="Times New Roman" w:cs="Times New Roman" w:eastAsia="Times New Roman" w:hint="default"/>
          <w:b/>
          <w:bCs/>
          <w:sz w:val="18"/>
          <w:szCs w:val="18"/>
        </w:rPr>
        <w:t>175,394</w:t>
      </w:r>
      <w:r>
        <w:rPr>
          <w:rFonts w:ascii="宋体" w:hAnsi="宋体" w:cs="宋体" w:eastAsia="宋体" w:hint="default"/>
          <w:sz w:val="18"/>
          <w:szCs w:val="18"/>
        </w:rPr>
        <w:t>解除限售。</w:t>
      </w:r>
    </w:p>
    <w:p>
      <w:pPr>
        <w:spacing w:after="0" w:line="288" w:lineRule="auto"/>
        <w:jc w:val="both"/>
        <w:rPr>
          <w:rFonts w:ascii="宋体" w:hAnsi="宋体" w:cs="宋体" w:eastAsia="宋体" w:hint="default"/>
          <w:sz w:val="18"/>
          <w:szCs w:val="18"/>
        </w:rPr>
        <w:sectPr>
          <w:pgSz w:w="11900" w:h="16840"/>
          <w:pgMar w:header="0" w:footer="939" w:top="1600" w:bottom="1180" w:left="720" w:right="260"/>
        </w:sectPr>
      </w:pPr>
    </w:p>
    <w:p>
      <w:pPr>
        <w:pStyle w:val="BodyText"/>
        <w:spacing w:line="240" w:lineRule="auto" w:before="22"/>
        <w:ind w:left="990" w:right="0"/>
        <w:jc w:val="left"/>
        <w:rPr>
          <w:rFonts w:ascii="黑体" w:hAnsi="黑体" w:cs="黑体" w:eastAsia="黑体" w:hint="default"/>
        </w:rPr>
      </w:pPr>
      <w:r>
        <w:rPr>
          <w:rFonts w:ascii="黑体" w:hAnsi="黑体" w:cs="黑体" w:eastAsia="黑体" w:hint="default"/>
        </w:rPr>
        <w:t>（二）报告期内有限售条件股份变动情况表</w:t>
      </w:r>
    </w:p>
    <w:p>
      <w:pPr>
        <w:pStyle w:val="BodyText"/>
        <w:spacing w:line="240" w:lineRule="auto" w:before="7"/>
        <w:ind w:left="0" w:right="1420"/>
        <w:jc w:val="right"/>
        <w:rPr>
          <w:rFonts w:ascii="黑体" w:hAnsi="黑体" w:cs="黑体" w:eastAsia="黑体" w:hint="default"/>
        </w:rPr>
      </w:pPr>
      <w:r>
        <w:rPr>
          <w:rFonts w:ascii="黑体" w:hAnsi="黑体" w:cs="黑体" w:eastAsia="黑体" w:hint="default"/>
          <w:spacing w:val="-1"/>
        </w:rPr>
        <w:t>单位：股</w:t>
      </w:r>
    </w:p>
    <w:p>
      <w:pPr>
        <w:spacing w:line="240" w:lineRule="auto" w:before="7"/>
        <w:rPr>
          <w:rFonts w:ascii="黑体" w:hAnsi="黑体" w:cs="黑体" w:eastAsia="黑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52"/>
        <w:gridCol w:w="1451"/>
        <w:gridCol w:w="1404"/>
        <w:gridCol w:w="1404"/>
        <w:gridCol w:w="1404"/>
        <w:gridCol w:w="1404"/>
        <w:gridCol w:w="1658"/>
      </w:tblGrid>
      <w:tr>
        <w:trPr>
          <w:trHeight w:val="554" w:hRule="exact"/>
        </w:trPr>
        <w:tc>
          <w:tcPr>
            <w:tcW w:w="16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4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91" w:right="0"/>
              <w:jc w:val="left"/>
              <w:rPr>
                <w:rFonts w:ascii="宋体" w:hAnsi="宋体" w:cs="宋体" w:eastAsia="宋体" w:hint="default"/>
                <w:sz w:val="21"/>
                <w:szCs w:val="21"/>
              </w:rPr>
            </w:pPr>
            <w:r>
              <w:rPr>
                <w:rFonts w:ascii="宋体" w:hAnsi="宋体" w:cs="宋体" w:eastAsia="宋体" w:hint="default"/>
                <w:sz w:val="21"/>
                <w:szCs w:val="21"/>
              </w:rPr>
              <w:t>年初限售股数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76" w:right="0"/>
              <w:jc w:val="left"/>
              <w:rPr>
                <w:rFonts w:ascii="宋体" w:hAnsi="宋体" w:cs="宋体" w:eastAsia="宋体" w:hint="default"/>
                <w:sz w:val="21"/>
                <w:szCs w:val="21"/>
              </w:rPr>
            </w:pPr>
            <w:r>
              <w:rPr>
                <w:rFonts w:ascii="宋体" w:hAnsi="宋体" w:cs="宋体" w:eastAsia="宋体" w:hint="default"/>
                <w:sz w:val="21"/>
                <w:szCs w:val="21"/>
              </w:rPr>
              <w:t>本年解除</w:t>
            </w:r>
          </w:p>
          <w:p>
            <w:pPr>
              <w:pStyle w:val="TableParagraph"/>
              <w:spacing w:line="274" w:lineRule="exact"/>
              <w:ind w:left="276"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75"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4" w:lineRule="exact"/>
              <w:ind w:left="275"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66"/>
              <w:jc w:val="right"/>
              <w:rPr>
                <w:rFonts w:ascii="宋体" w:hAnsi="宋体" w:cs="宋体" w:eastAsia="宋体" w:hint="default"/>
                <w:sz w:val="21"/>
                <w:szCs w:val="21"/>
              </w:rPr>
            </w:pPr>
            <w:r>
              <w:rPr>
                <w:rFonts w:ascii="宋体" w:hAnsi="宋体" w:cs="宋体" w:eastAsia="宋体" w:hint="default"/>
                <w:sz w:val="21"/>
                <w:szCs w:val="21"/>
              </w:rPr>
              <w:t>年末限售股数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6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611"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22" w:right="148"/>
              <w:jc w:val="left"/>
              <w:rPr>
                <w:rFonts w:ascii="宋体" w:hAnsi="宋体" w:cs="宋体" w:eastAsia="宋体" w:hint="default"/>
                <w:sz w:val="21"/>
                <w:szCs w:val="21"/>
              </w:rPr>
            </w:pPr>
            <w:r>
              <w:rPr>
                <w:rFonts w:ascii="宋体" w:hAnsi="宋体" w:cs="宋体" w:eastAsia="宋体" w:hint="default"/>
                <w:sz w:val="21"/>
                <w:szCs w:val="21"/>
              </w:rPr>
              <w:t>中国宝安集团控 股有限公司</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21"/>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22"/>
              <w:jc w:val="right"/>
              <w:rPr>
                <w:rFonts w:ascii="Times New Roman" w:hAnsi="Times New Roman" w:cs="Times New Roman" w:eastAsia="Times New Roman" w:hint="default"/>
                <w:sz w:val="21"/>
                <w:szCs w:val="21"/>
              </w:rPr>
            </w:pPr>
            <w:r>
              <w:rPr>
                <w:rFonts w:ascii="Times New Roman"/>
                <w:spacing w:val="-1"/>
                <w:sz w:val="21"/>
              </w:rPr>
              <w:t>70,000,000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22"/>
              <w:jc w:val="right"/>
              <w:rPr>
                <w:rFonts w:ascii="Times New Roman" w:hAnsi="Times New Roman" w:cs="Times New Roman" w:eastAsia="Times New Roman" w:hint="default"/>
                <w:sz w:val="21"/>
                <w:szCs w:val="21"/>
              </w:rPr>
            </w:pPr>
            <w:r>
              <w:rPr>
                <w:rFonts w:ascii="Times New Roman"/>
                <w:spacing w:val="-1"/>
                <w:sz w:val="21"/>
              </w:rPr>
              <w:t>70,000,000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21"/>
                <w:szCs w:val="21"/>
              </w:rPr>
            </w:pPr>
            <w:r>
              <w:rPr>
                <w:rFonts w:ascii="宋体" w:hAnsi="宋体" w:cs="宋体" w:eastAsia="宋体" w:hint="default"/>
                <w:sz w:val="21"/>
                <w:szCs w:val="21"/>
              </w:rPr>
              <w:t>股权质押</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w:t>
            </w:r>
          </w:p>
        </w:tc>
      </w:tr>
      <w:tr>
        <w:trPr>
          <w:trHeight w:val="725"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7"/>
              <w:ind w:left="22" w:right="148"/>
              <w:jc w:val="left"/>
              <w:rPr>
                <w:rFonts w:ascii="宋体" w:hAnsi="宋体" w:cs="宋体" w:eastAsia="宋体" w:hint="default"/>
                <w:sz w:val="21"/>
                <w:szCs w:val="21"/>
              </w:rPr>
            </w:pPr>
            <w:r>
              <w:rPr>
                <w:rFonts w:ascii="宋体" w:hAnsi="宋体" w:cs="宋体" w:eastAsia="宋体" w:hint="default"/>
                <w:sz w:val="21"/>
                <w:szCs w:val="21"/>
              </w:rPr>
              <w:t>深圳市东鸿信投 资发展有限公司</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15,514,424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65" w:right="0"/>
              <w:jc w:val="left"/>
              <w:rPr>
                <w:rFonts w:ascii="宋体" w:hAnsi="宋体" w:cs="宋体" w:eastAsia="宋体" w:hint="default"/>
                <w:sz w:val="18"/>
                <w:szCs w:val="18"/>
              </w:rPr>
            </w:pPr>
            <w:r>
              <w:rPr>
                <w:rFonts w:ascii="Times New Roman" w:hAnsi="Times New Roman" w:cs="Times New Roman" w:eastAsia="Times New Roman" w:hint="default"/>
                <w:sz w:val="21"/>
                <w:szCs w:val="21"/>
              </w:rPr>
              <w:t>12,640,555</w:t>
            </w:r>
            <w:r>
              <w:rPr>
                <w:rFonts w:ascii="宋体" w:hAnsi="宋体" w:cs="宋体" w:eastAsia="宋体" w:hint="default"/>
                <w:sz w:val="18"/>
                <w:szCs w:val="18"/>
              </w:rPr>
              <w:t>（股</w:t>
            </w:r>
          </w:p>
          <w:p>
            <w:pPr>
              <w:pStyle w:val="TableParagraph"/>
              <w:spacing w:line="223" w:lineRule="exact"/>
              <w:ind w:left="110" w:right="0"/>
              <w:jc w:val="left"/>
              <w:rPr>
                <w:rFonts w:ascii="宋体" w:hAnsi="宋体" w:cs="宋体" w:eastAsia="宋体" w:hint="default"/>
                <w:sz w:val="18"/>
                <w:szCs w:val="18"/>
              </w:rPr>
            </w:pPr>
            <w:r>
              <w:rPr>
                <w:rFonts w:ascii="宋体" w:hAnsi="宋体" w:cs="宋体" w:eastAsia="宋体" w:hint="default"/>
                <w:sz w:val="18"/>
                <w:szCs w:val="18"/>
              </w:rPr>
              <w:t>改代垫对价获得</w:t>
            </w:r>
          </w:p>
          <w:p>
            <w:pPr>
              <w:pStyle w:val="TableParagraph"/>
              <w:spacing w:line="235" w:lineRule="exact"/>
              <w:ind w:left="830" w:right="0"/>
              <w:jc w:val="left"/>
              <w:rPr>
                <w:rFonts w:ascii="宋体" w:hAnsi="宋体" w:cs="宋体" w:eastAsia="宋体" w:hint="default"/>
                <w:sz w:val="18"/>
                <w:szCs w:val="18"/>
              </w:rPr>
            </w:pPr>
            <w:r>
              <w:rPr>
                <w:rFonts w:ascii="宋体" w:hAnsi="宋体" w:cs="宋体" w:eastAsia="宋体" w:hint="default"/>
                <w:sz w:val="18"/>
                <w:szCs w:val="18"/>
              </w:rPr>
              <w:t>偿还）</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28,154,979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股改限售</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7"/>
              <w:ind w:left="22" w:right="154"/>
              <w:jc w:val="left"/>
              <w:rPr>
                <w:rFonts w:ascii="宋体" w:hAnsi="宋体" w:cs="宋体" w:eastAsia="宋体" w:hint="default"/>
                <w:sz w:val="21"/>
                <w:szCs w:val="21"/>
              </w:rPr>
            </w:pPr>
            <w:r>
              <w:rPr>
                <w:rFonts w:ascii="宋体" w:hAnsi="宋体" w:cs="宋体" w:eastAsia="宋体" w:hint="default"/>
                <w:sz w:val="21"/>
                <w:szCs w:val="21"/>
              </w:rPr>
              <w:t>尚未委托公司办 理解除限售手续</w:t>
            </w:r>
          </w:p>
        </w:tc>
      </w:tr>
      <w:tr>
        <w:trPr>
          <w:trHeight w:val="554"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深圳市正中投资</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2"/>
                <w:sz w:val="21"/>
              </w:rPr>
              <w:t>16,115,625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2"/>
                <w:sz w:val="21"/>
              </w:rPr>
              <w:t>16,115,625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股改限售</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w:t>
            </w:r>
          </w:p>
        </w:tc>
      </w:tr>
      <w:tr>
        <w:trPr>
          <w:trHeight w:val="554"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上海汇兴实业有</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16,820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16,820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股改限售</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w:t>
            </w:r>
          </w:p>
        </w:tc>
      </w:tr>
      <w:tr>
        <w:trPr>
          <w:trHeight w:val="283" w:hRule="exact"/>
        </w:trPr>
        <w:tc>
          <w:tcPr>
            <w:tcW w:w="16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31,646,869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16,132,445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82,640,555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98,154,979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1"/>
        <w:rPr>
          <w:rFonts w:ascii="黑体" w:hAnsi="黑体" w:cs="黑体" w:eastAsia="黑体" w:hint="default"/>
          <w:sz w:val="28"/>
          <w:szCs w:val="28"/>
        </w:rPr>
      </w:pPr>
    </w:p>
    <w:p>
      <w:pPr>
        <w:pStyle w:val="BodyText"/>
        <w:spacing w:line="240" w:lineRule="auto" w:before="35"/>
        <w:ind w:left="990" w:right="0"/>
        <w:jc w:val="left"/>
        <w:rPr>
          <w:rFonts w:ascii="黑体" w:hAnsi="黑体" w:cs="黑体" w:eastAsia="黑体" w:hint="default"/>
        </w:rPr>
      </w:pPr>
      <w:r>
        <w:rPr>
          <w:rFonts w:ascii="黑体" w:hAnsi="黑体" w:cs="黑体" w:eastAsia="黑体" w:hint="default"/>
        </w:rPr>
        <w:t>（三）前</w:t>
      </w:r>
      <w:r>
        <w:rPr>
          <w:rFonts w:ascii="黑体" w:hAnsi="黑体" w:cs="黑体" w:eastAsia="黑体" w:hint="default"/>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rFonts w:ascii="黑体" w:hAnsi="黑体" w:cs="黑体" w:eastAsia="黑体" w:hint="default"/>
        </w:rPr>
        <w:t>名股东中有限售条件股东持股数量及限售条件</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27"/>
          <w:szCs w:val="27"/>
        </w:rPr>
      </w:pPr>
    </w:p>
    <w:p>
      <w:pPr>
        <w:pStyle w:val="BodyText"/>
        <w:spacing w:line="240" w:lineRule="auto" w:before="35"/>
        <w:ind w:left="0" w:right="435"/>
        <w:jc w:val="right"/>
      </w:pPr>
      <w:r>
        <w:rPr/>
        <w:pict>
          <v:shape style="position:absolute;margin-left:69.180pt;margin-top:-147.742874pt;width:479.85pt;height:329.3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3"/>
                    <w:gridCol w:w="1763"/>
                    <w:gridCol w:w="1440"/>
                    <w:gridCol w:w="2185"/>
                    <w:gridCol w:w="1404"/>
                    <w:gridCol w:w="2267"/>
                  </w:tblGrid>
                  <w:tr>
                    <w:trPr>
                      <w:trHeight w:val="554" w:hRule="exact"/>
                    </w:trPr>
                    <w:tc>
                      <w:tcPr>
                        <w:tcW w:w="52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457"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持有的有限售</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条件股份数量</w:t>
                        </w:r>
                      </w:p>
                    </w:tc>
                    <w:tc>
                      <w:tcPr>
                        <w:tcW w:w="21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可上市交易时间</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新增可上市交</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易股份数量</w:t>
                        </w:r>
                      </w:p>
                    </w:tc>
                    <w:tc>
                      <w:tcPr>
                        <w:tcW w:w="22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709"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554" w:hRule="exact"/>
                    </w:trPr>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3" w:right="0"/>
                          <w:jc w:val="left"/>
                          <w:rPr>
                            <w:rFonts w:ascii="Times New Roman" w:hAnsi="Times New Roman" w:cs="Times New Roman" w:eastAsia="Times New Roman" w:hint="default"/>
                            <w:sz w:val="21"/>
                            <w:szCs w:val="21"/>
                          </w:rPr>
                        </w:pPr>
                        <w:r>
                          <w:rPr>
                            <w:rFonts w:ascii="Times New Roman"/>
                            <w:sz w:val="21"/>
                          </w:rPr>
                          <w:t>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中国宝安集团控股</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2" w:right="0"/>
                          <w:jc w:val="left"/>
                          <w:rPr>
                            <w:rFonts w:ascii="Times New Roman" w:hAnsi="Times New Roman" w:cs="Times New Roman" w:eastAsia="Times New Roman" w:hint="default"/>
                            <w:sz w:val="21"/>
                            <w:szCs w:val="21"/>
                          </w:rPr>
                        </w:pPr>
                        <w:r>
                          <w:rPr>
                            <w:rFonts w:ascii="Times New Roman"/>
                            <w:sz w:val="21"/>
                          </w:rPr>
                          <w:t>70,000,000</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4" w:right="0"/>
                          <w:jc w:val="left"/>
                          <w:rPr>
                            <w:rFonts w:ascii="Times New Roman" w:hAnsi="Times New Roman" w:cs="Times New Roman" w:eastAsia="Times New Roman" w:hint="default"/>
                            <w:sz w:val="21"/>
                            <w:szCs w:val="21"/>
                          </w:rPr>
                        </w:pPr>
                        <w:r>
                          <w:rPr>
                            <w:rFonts w:ascii="Times New Roman"/>
                            <w:sz w:val="21"/>
                          </w:rPr>
                          <w:t>70,000,000</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见前述相关内容</w:t>
                        </w:r>
                      </w:p>
                    </w:tc>
                  </w:tr>
                  <w:tr>
                    <w:trPr>
                      <w:trHeight w:val="281" w:hRule="exact"/>
                    </w:trPr>
                    <w:tc>
                      <w:tcPr>
                        <w:tcW w:w="523" w:type="dxa"/>
                        <w:tcBorders>
                          <w:top w:val="single" w:sz="4" w:space="0" w:color="000000"/>
                          <w:left w:val="single" w:sz="4" w:space="0" w:color="000000"/>
                          <w:bottom w:val="nil" w:sz="6" w:space="0" w:color="auto"/>
                          <w:right w:val="single" w:sz="4" w:space="0" w:color="000000"/>
                        </w:tcBorders>
                      </w:tcPr>
                      <w:p>
                        <w:pPr/>
                      </w:p>
                    </w:tc>
                    <w:tc>
                      <w:tcPr>
                        <w:tcW w:w="1763"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2185"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2267" w:type="dxa"/>
                        <w:tcBorders>
                          <w:top w:val="single" w:sz="4" w:space="0" w:color="000000"/>
                          <w:left w:val="single" w:sz="4" w:space="0" w:color="000000"/>
                          <w:bottom w:val="nil" w:sz="6" w:space="0" w:color="auto"/>
                          <w:right w:val="single" w:sz="4" w:space="0" w:color="000000"/>
                        </w:tcBorders>
                      </w:tcPr>
                      <w:p>
                        <w:pPr>
                          <w:pStyle w:val="TableParagraph"/>
                          <w:spacing w:line="255"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自股改方案实施日</w:t>
                        </w:r>
                        <w:r>
                          <w:rPr>
                            <w:rFonts w:ascii="Times New Roman" w:hAnsi="Times New Roman" w:cs="Times New Roman" w:eastAsia="Times New Roman" w:hint="default"/>
                            <w:sz w:val="21"/>
                            <w:szCs w:val="21"/>
                          </w:rPr>
                          <w:t>2006</w:t>
                        </w:r>
                      </w:p>
                    </w:tc>
                  </w:tr>
                  <w:tr>
                    <w:trPr>
                      <w:trHeight w:val="272" w:hRule="exact"/>
                    </w:trPr>
                    <w:tc>
                      <w:tcPr>
                        <w:tcW w:w="523" w:type="dxa"/>
                        <w:tcBorders>
                          <w:top w:val="nil" w:sz="6" w:space="0" w:color="auto"/>
                          <w:left w:val="single" w:sz="4" w:space="0" w:color="000000"/>
                          <w:bottom w:val="nil" w:sz="6" w:space="0" w:color="auto"/>
                          <w:right w:val="single" w:sz="4" w:space="0" w:color="000000"/>
                        </w:tcBorders>
                      </w:tcPr>
                      <w:p>
                        <w:pPr/>
                      </w:p>
                    </w:tc>
                    <w:tc>
                      <w:tcPr>
                        <w:tcW w:w="1763"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185" w:type="dxa"/>
                        <w:tcBorders>
                          <w:top w:val="nil" w:sz="6" w:space="0" w:color="auto"/>
                          <w:left w:val="single" w:sz="4" w:space="0" w:color="000000"/>
                          <w:bottom w:val="nil" w:sz="6" w:space="0" w:color="auto"/>
                          <w:right w:val="single" w:sz="4" w:space="0" w:color="000000"/>
                        </w:tcBorders>
                      </w:tcPr>
                      <w:p>
                        <w:pPr/>
                      </w:p>
                    </w:tc>
                    <w:tc>
                      <w:tcPr>
                        <w:tcW w:w="1404" w:type="dxa"/>
                        <w:tcBorders>
                          <w:top w:val="nil" w:sz="6" w:space="0" w:color="auto"/>
                          <w:left w:val="single" w:sz="4" w:space="0" w:color="000000"/>
                          <w:bottom w:val="nil" w:sz="6" w:space="0" w:color="auto"/>
                          <w:right w:val="single" w:sz="4" w:space="0" w:color="000000"/>
                        </w:tcBorders>
                      </w:tcPr>
                      <w:p>
                        <w:pPr/>
                      </w:p>
                    </w:tc>
                    <w:tc>
                      <w:tcPr>
                        <w:tcW w:w="2267"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24" w:right="0"/>
                          <w:jc w:val="left"/>
                          <w:rPr>
                            <w:rFonts w:ascii="宋体" w:hAnsi="宋体" w:cs="宋体" w:eastAsia="宋体" w:hint="default"/>
                            <w:sz w:val="21"/>
                            <w:szCs w:val="21"/>
                          </w:rPr>
                        </w:pP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日起</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个月内不</w:t>
                        </w:r>
                      </w:p>
                    </w:tc>
                  </w:tr>
                  <w:tr>
                    <w:trPr>
                      <w:trHeight w:val="1090" w:hRule="exact"/>
                    </w:trPr>
                    <w:tc>
                      <w:tcPr>
                        <w:tcW w:w="5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23" w:right="0"/>
                          <w:jc w:val="left"/>
                          <w:rPr>
                            <w:rFonts w:ascii="Times New Roman" w:hAnsi="Times New Roman" w:cs="Times New Roman" w:eastAsia="Times New Roman" w:hint="default"/>
                            <w:sz w:val="21"/>
                            <w:szCs w:val="21"/>
                          </w:rPr>
                        </w:pPr>
                        <w:r>
                          <w:rPr>
                            <w:rFonts w:ascii="Times New Roman"/>
                            <w:sz w:val="21"/>
                          </w:rPr>
                          <w:t>2</w:t>
                        </w:r>
                      </w:p>
                    </w:tc>
                    <w:tc>
                      <w:tcPr>
                        <w:tcW w:w="176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72" w:lineRule="exact"/>
                          <w:ind w:left="23" w:right="47"/>
                          <w:jc w:val="left"/>
                          <w:rPr>
                            <w:rFonts w:ascii="宋体" w:hAnsi="宋体" w:cs="宋体" w:eastAsia="宋体" w:hint="default"/>
                            <w:sz w:val="21"/>
                            <w:szCs w:val="21"/>
                          </w:rPr>
                        </w:pPr>
                        <w:r>
                          <w:rPr>
                            <w:rFonts w:ascii="宋体" w:hAnsi="宋体" w:cs="宋体" w:eastAsia="宋体" w:hint="default"/>
                            <w:sz w:val="21"/>
                            <w:szCs w:val="21"/>
                          </w:rPr>
                          <w:t>深圳市东鸿信投资 发展有限公司</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22" w:right="0"/>
                          <w:jc w:val="left"/>
                          <w:rPr>
                            <w:rFonts w:ascii="Times New Roman" w:hAnsi="Times New Roman" w:cs="Times New Roman" w:eastAsia="Times New Roman" w:hint="default"/>
                            <w:sz w:val="21"/>
                            <w:szCs w:val="21"/>
                          </w:rPr>
                        </w:pPr>
                        <w:r>
                          <w:rPr>
                            <w:rFonts w:ascii="Times New Roman"/>
                            <w:sz w:val="21"/>
                          </w:rPr>
                          <w:t>28,154,979</w:t>
                        </w:r>
                      </w:p>
                    </w:tc>
                    <w:tc>
                      <w:tcPr>
                        <w:tcW w:w="218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72" w:lineRule="exact"/>
                          <w:ind w:left="667" w:right="36" w:hanging="630"/>
                          <w:jc w:val="left"/>
                          <w:rPr>
                            <w:rFonts w:ascii="宋体" w:hAnsi="宋体" w:cs="宋体" w:eastAsia="宋体" w:hint="default"/>
                            <w:sz w:val="21"/>
                            <w:szCs w:val="21"/>
                          </w:rPr>
                        </w:pPr>
                        <w:r>
                          <w:rPr>
                            <w:rFonts w:ascii="宋体" w:hAnsi="宋体" w:cs="宋体" w:eastAsia="宋体" w:hint="default"/>
                            <w:sz w:val="21"/>
                            <w:szCs w:val="21"/>
                          </w:rPr>
                          <w:t>尚未委托公司办理解除 限售手续</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5" w:lineRule="exact" w:before="167"/>
                          <w:ind w:left="24" w:right="0"/>
                          <w:jc w:val="left"/>
                          <w:rPr>
                            <w:rFonts w:ascii="宋体" w:hAnsi="宋体" w:cs="宋体" w:eastAsia="宋体" w:hint="default"/>
                            <w:sz w:val="18"/>
                            <w:szCs w:val="18"/>
                          </w:rPr>
                        </w:pPr>
                        <w:r>
                          <w:rPr>
                            <w:rFonts w:ascii="Times New Roman" w:hAnsi="Times New Roman" w:cs="Times New Roman" w:eastAsia="Times New Roman" w:hint="default"/>
                            <w:sz w:val="21"/>
                            <w:szCs w:val="21"/>
                          </w:rPr>
                          <w:t>12,640,555</w:t>
                        </w:r>
                        <w:r>
                          <w:rPr>
                            <w:rFonts w:ascii="Times New Roman" w:hAnsi="Times New Roman" w:cs="Times New Roman" w:eastAsia="Times New Roman" w:hint="default"/>
                            <w:spacing w:val="-35"/>
                            <w:sz w:val="21"/>
                            <w:szCs w:val="21"/>
                          </w:rPr>
                          <w:t> </w:t>
                        </w:r>
                        <w:r>
                          <w:rPr>
                            <w:rFonts w:ascii="宋体" w:hAnsi="宋体" w:cs="宋体" w:eastAsia="宋体" w:hint="default"/>
                            <w:spacing w:val="10"/>
                            <w:sz w:val="18"/>
                            <w:szCs w:val="18"/>
                          </w:rPr>
                          <w:t>（股</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4" w:lineRule="exact" w:before="12"/>
                          <w:ind w:left="24" w:right="20"/>
                          <w:jc w:val="left"/>
                          <w:rPr>
                            <w:rFonts w:ascii="宋体" w:hAnsi="宋体" w:cs="宋体" w:eastAsia="宋体" w:hint="default"/>
                            <w:sz w:val="18"/>
                            <w:szCs w:val="18"/>
                          </w:rPr>
                        </w:pPr>
                        <w:r>
                          <w:rPr>
                            <w:rFonts w:ascii="宋体" w:hAnsi="宋体" w:cs="宋体" w:eastAsia="宋体" w:hint="default"/>
                            <w:spacing w:val="12"/>
                            <w:sz w:val="18"/>
                            <w:szCs w:val="18"/>
                          </w:rPr>
                          <w:t>改代垫对价获得</w:t>
                        </w:r>
                        <w:r>
                          <w:rPr>
                            <w:rFonts w:ascii="宋体" w:hAnsi="宋体" w:cs="宋体" w:eastAsia="宋体" w:hint="default"/>
                            <w:sz w:val="18"/>
                            <w:szCs w:val="18"/>
                          </w:rPr>
                          <w:t> 偿还）</w:t>
                        </w:r>
                      </w:p>
                    </w:tc>
                    <w:tc>
                      <w:tcPr>
                        <w:tcW w:w="2267"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24" w:right="0"/>
                          <w:jc w:val="both"/>
                          <w:rPr>
                            <w:rFonts w:ascii="宋体" w:hAnsi="宋体" w:cs="宋体" w:eastAsia="宋体" w:hint="default"/>
                            <w:sz w:val="21"/>
                            <w:szCs w:val="21"/>
                          </w:rPr>
                        </w:pPr>
                        <w:r>
                          <w:rPr>
                            <w:rFonts w:ascii="宋体" w:hAnsi="宋体" w:cs="宋体" w:eastAsia="宋体" w:hint="default"/>
                            <w:sz w:val="21"/>
                            <w:szCs w:val="21"/>
                          </w:rPr>
                          <w:t>上市交易或转让</w:t>
                        </w:r>
                        <w:r>
                          <w:rPr>
                            <w:rFonts w:ascii="宋体" w:hAnsi="宋体" w:cs="宋体" w:eastAsia="宋体" w:hint="default"/>
                            <w:spacing w:val="-100"/>
                            <w:sz w:val="21"/>
                            <w:szCs w:val="21"/>
                          </w:rPr>
                          <w:t>；</w:t>
                        </w:r>
                        <w:r>
                          <w:rPr>
                            <w:rFonts w:ascii="宋体" w:hAnsi="宋体" w:cs="宋体" w:eastAsia="宋体" w:hint="default"/>
                            <w:sz w:val="21"/>
                            <w:szCs w:val="21"/>
                          </w:rPr>
                          <w:t>在禁售</w:t>
                        </w:r>
                      </w:p>
                      <w:p>
                        <w:pPr>
                          <w:pStyle w:val="TableParagraph"/>
                          <w:spacing w:line="272" w:lineRule="exact" w:before="26"/>
                          <w:ind w:left="24" w:right="130"/>
                          <w:jc w:val="both"/>
                          <w:rPr>
                            <w:rFonts w:ascii="宋体" w:hAnsi="宋体" w:cs="宋体" w:eastAsia="宋体" w:hint="default"/>
                            <w:sz w:val="21"/>
                            <w:szCs w:val="21"/>
                          </w:rPr>
                        </w:pPr>
                        <w:r>
                          <w:rPr>
                            <w:rFonts w:ascii="宋体" w:hAnsi="宋体" w:cs="宋体" w:eastAsia="宋体" w:hint="default"/>
                            <w:sz w:val="21"/>
                            <w:szCs w:val="21"/>
                          </w:rPr>
                          <w:t>期满后上市交易出售原 非流通股股份数量占股 份总数的比例在</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w:t>
                        </w:r>
                      </w:p>
                    </w:tc>
                  </w:tr>
                  <w:tr>
                    <w:trPr>
                      <w:trHeight w:val="272" w:hRule="exact"/>
                    </w:trPr>
                    <w:tc>
                      <w:tcPr>
                        <w:tcW w:w="523" w:type="dxa"/>
                        <w:tcBorders>
                          <w:top w:val="nil" w:sz="6" w:space="0" w:color="auto"/>
                          <w:left w:val="single" w:sz="4" w:space="0" w:color="000000"/>
                          <w:bottom w:val="nil" w:sz="6" w:space="0" w:color="auto"/>
                          <w:right w:val="single" w:sz="4" w:space="0" w:color="000000"/>
                        </w:tcBorders>
                      </w:tcPr>
                      <w:p>
                        <w:pPr/>
                      </w:p>
                    </w:tc>
                    <w:tc>
                      <w:tcPr>
                        <w:tcW w:w="1763"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185" w:type="dxa"/>
                        <w:tcBorders>
                          <w:top w:val="nil" w:sz="6" w:space="0" w:color="auto"/>
                          <w:left w:val="single" w:sz="4" w:space="0" w:color="000000"/>
                          <w:bottom w:val="nil" w:sz="6" w:space="0" w:color="auto"/>
                          <w:right w:val="single" w:sz="4" w:space="0" w:color="000000"/>
                        </w:tcBorders>
                      </w:tcPr>
                      <w:p>
                        <w:pPr/>
                      </w:p>
                    </w:tc>
                    <w:tc>
                      <w:tcPr>
                        <w:tcW w:w="1404" w:type="dxa"/>
                        <w:tcBorders>
                          <w:top w:val="nil" w:sz="6" w:space="0" w:color="auto"/>
                          <w:left w:val="single" w:sz="4" w:space="0" w:color="000000"/>
                          <w:bottom w:val="nil" w:sz="6" w:space="0" w:color="auto"/>
                          <w:right w:val="single" w:sz="4" w:space="0" w:color="000000"/>
                        </w:tcBorders>
                      </w:tcPr>
                      <w:p>
                        <w:pPr/>
                      </w:p>
                    </w:tc>
                    <w:tc>
                      <w:tcPr>
                        <w:tcW w:w="2267"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内不超过百分之五、</w:t>
                        </w:r>
                        <w:r>
                          <w:rPr>
                            <w:rFonts w:ascii="Times New Roman" w:hAnsi="Times New Roman" w:cs="Times New Roman" w:eastAsia="Times New Roman" w:hint="default"/>
                            <w:sz w:val="21"/>
                            <w:szCs w:val="21"/>
                          </w:rPr>
                          <w:t>24</w:t>
                        </w:r>
                      </w:p>
                    </w:tc>
                  </w:tr>
                  <w:tr>
                    <w:trPr>
                      <w:trHeight w:val="273" w:hRule="exact"/>
                    </w:trPr>
                    <w:tc>
                      <w:tcPr>
                        <w:tcW w:w="523" w:type="dxa"/>
                        <w:tcBorders>
                          <w:top w:val="nil" w:sz="6" w:space="0" w:color="auto"/>
                          <w:left w:val="single" w:sz="4" w:space="0" w:color="000000"/>
                          <w:bottom w:val="single" w:sz="4" w:space="0" w:color="000000"/>
                          <w:right w:val="single" w:sz="4" w:space="0" w:color="000000"/>
                        </w:tcBorders>
                      </w:tcPr>
                      <w:p>
                        <w:pPr/>
                      </w:p>
                    </w:tc>
                    <w:tc>
                      <w:tcPr>
                        <w:tcW w:w="1763"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2185"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2267"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24" w:right="0"/>
                          <w:jc w:val="left"/>
                          <w:rPr>
                            <w:rFonts w:ascii="宋体" w:hAnsi="宋体" w:cs="宋体" w:eastAsia="宋体" w:hint="default"/>
                            <w:sz w:val="21"/>
                            <w:szCs w:val="21"/>
                          </w:rPr>
                        </w:pPr>
                        <w:r>
                          <w:rPr>
                            <w:rFonts w:ascii="宋体" w:hAnsi="宋体" w:cs="宋体" w:eastAsia="宋体" w:hint="default"/>
                            <w:sz w:val="21"/>
                            <w:szCs w:val="21"/>
                          </w:rPr>
                          <w:t>个月内不超过百分之十</w:t>
                        </w:r>
                      </w:p>
                    </w:tc>
                  </w:tr>
                  <w:tr>
                    <w:trPr>
                      <w:trHeight w:val="560" w:hRule="exact"/>
                    </w:trPr>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3" w:right="0"/>
                          <w:jc w:val="left"/>
                          <w:rPr>
                            <w:rFonts w:ascii="Times New Roman" w:hAnsi="Times New Roman" w:cs="Times New Roman" w:eastAsia="Times New Roman" w:hint="default"/>
                            <w:sz w:val="21"/>
                            <w:szCs w:val="21"/>
                          </w:rPr>
                        </w:pPr>
                        <w:r>
                          <w:rPr>
                            <w:rFonts w:ascii="Times New Roman"/>
                            <w:sz w:val="21"/>
                          </w:rPr>
                          <w:t>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深圳开道投资有限</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2" w:right="0"/>
                          <w:jc w:val="left"/>
                          <w:rPr>
                            <w:rFonts w:ascii="Times New Roman" w:hAnsi="Times New Roman" w:cs="Times New Roman" w:eastAsia="Times New Roman" w:hint="default"/>
                            <w:sz w:val="21"/>
                            <w:szCs w:val="21"/>
                          </w:rPr>
                        </w:pPr>
                        <w:r>
                          <w:rPr>
                            <w:rFonts w:ascii="Times New Roman"/>
                            <w:sz w:val="21"/>
                          </w:rPr>
                          <w:t>2,860,000</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p>
                        <w:pPr>
                          <w:pStyle w:val="TableParagraph"/>
                          <w:spacing w:line="229" w:lineRule="exact"/>
                          <w:ind w:right="149"/>
                          <w:jc w:val="center"/>
                          <w:rPr>
                            <w:rFonts w:ascii="宋体" w:hAnsi="宋体" w:cs="宋体" w:eastAsia="宋体" w:hint="default"/>
                            <w:sz w:val="18"/>
                            <w:szCs w:val="18"/>
                          </w:rPr>
                        </w:pPr>
                        <w:r>
                          <w:rPr>
                            <w:rFonts w:ascii="宋体" w:hAnsi="宋体" w:cs="宋体" w:eastAsia="宋体" w:hint="default"/>
                            <w:sz w:val="18"/>
                            <w:szCs w:val="18"/>
                          </w:rPr>
                          <w:t>（尚须先偿还股改对价）</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3" w:right="0"/>
                          <w:jc w:val="left"/>
                          <w:rPr>
                            <w:rFonts w:ascii="Times New Roman" w:hAnsi="Times New Roman" w:cs="Times New Roman" w:eastAsia="Times New Roman" w:hint="default"/>
                            <w:sz w:val="21"/>
                            <w:szCs w:val="21"/>
                          </w:rPr>
                        </w:pPr>
                        <w:r>
                          <w:rPr>
                            <w:rFonts w:ascii="Times New Roman"/>
                            <w:sz w:val="21"/>
                          </w:rPr>
                          <w:t>2,860,000</w:t>
                        </w:r>
                      </w:p>
                    </w:tc>
                    <w:tc>
                      <w:tcPr>
                        <w:tcW w:w="2267" w:type="dxa"/>
                        <w:tcBorders>
                          <w:top w:val="single" w:sz="4" w:space="0" w:color="000000"/>
                          <w:left w:val="single" w:sz="4" w:space="0" w:color="000000"/>
                          <w:bottom w:val="nil" w:sz="6" w:space="0" w:color="auto"/>
                          <w:right w:val="single" w:sz="4" w:space="0" w:color="000000"/>
                        </w:tcBorders>
                      </w:tcPr>
                      <w:p>
                        <w:pPr>
                          <w:pStyle w:val="TableParagraph"/>
                          <w:spacing w:line="246"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自改革方案实施日起</w:t>
                        </w:r>
                        <w:r>
                          <w:rPr>
                            <w:rFonts w:ascii="Times New Roman" w:hAnsi="Times New Roman" w:cs="Times New Roman" w:eastAsia="Times New Roman" w:hint="default"/>
                            <w:sz w:val="21"/>
                            <w:szCs w:val="21"/>
                          </w:rPr>
                          <w:t>12</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sz w:val="21"/>
                            <w:szCs w:val="21"/>
                          </w:rPr>
                          <w:t>个月内不上市交易或转</w:t>
                        </w:r>
                      </w:p>
                    </w:tc>
                  </w:tr>
                  <w:tr>
                    <w:trPr>
                      <w:trHeight w:val="260" w:hRule="exact"/>
                    </w:trPr>
                    <w:tc>
                      <w:tcPr>
                        <w:tcW w:w="523" w:type="dxa"/>
                        <w:tcBorders>
                          <w:top w:val="single" w:sz="4" w:space="0" w:color="000000"/>
                          <w:left w:val="single" w:sz="4" w:space="0" w:color="000000"/>
                          <w:bottom w:val="nil" w:sz="6" w:space="0" w:color="auto"/>
                          <w:right w:val="single" w:sz="4" w:space="0" w:color="000000"/>
                        </w:tcBorders>
                      </w:tcPr>
                      <w:p>
                        <w:pPr/>
                      </w:p>
                    </w:tc>
                    <w:tc>
                      <w:tcPr>
                        <w:tcW w:w="1763"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2185"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2267"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23" w:right="0"/>
                          <w:jc w:val="left"/>
                          <w:rPr>
                            <w:rFonts w:ascii="宋体" w:hAnsi="宋体" w:cs="宋体" w:eastAsia="宋体" w:hint="default"/>
                            <w:sz w:val="21"/>
                            <w:szCs w:val="21"/>
                          </w:rPr>
                        </w:pPr>
                        <w:r>
                          <w:rPr>
                            <w:rFonts w:ascii="宋体" w:hAnsi="宋体" w:cs="宋体" w:eastAsia="宋体" w:hint="default"/>
                            <w:sz w:val="21"/>
                            <w:szCs w:val="21"/>
                          </w:rPr>
                          <w:t>让</w:t>
                        </w:r>
                        <w:r>
                          <w:rPr>
                            <w:rFonts w:ascii="宋体" w:hAnsi="宋体" w:cs="宋体" w:eastAsia="宋体" w:hint="default"/>
                            <w:spacing w:val="-100"/>
                            <w:sz w:val="21"/>
                            <w:szCs w:val="21"/>
                          </w:rPr>
                          <w:t>；</w:t>
                        </w:r>
                        <w:r>
                          <w:rPr>
                            <w:rFonts w:ascii="宋体" w:hAnsi="宋体" w:cs="宋体" w:eastAsia="宋体" w:hint="default"/>
                            <w:sz w:val="21"/>
                            <w:szCs w:val="21"/>
                          </w:rPr>
                          <w:t>在禁售期满后上市交</w:t>
                        </w:r>
                      </w:p>
                    </w:tc>
                  </w:tr>
                  <w:tr>
                    <w:trPr>
                      <w:trHeight w:val="272" w:hRule="exact"/>
                    </w:trPr>
                    <w:tc>
                      <w:tcPr>
                        <w:tcW w:w="523" w:type="dxa"/>
                        <w:tcBorders>
                          <w:top w:val="nil" w:sz="6" w:space="0" w:color="auto"/>
                          <w:left w:val="single" w:sz="4" w:space="0" w:color="000000"/>
                          <w:bottom w:val="nil" w:sz="6" w:space="0" w:color="auto"/>
                          <w:right w:val="single" w:sz="4" w:space="0" w:color="000000"/>
                        </w:tcBorders>
                      </w:tcPr>
                      <w:p>
                        <w:pPr/>
                      </w:p>
                    </w:tc>
                    <w:tc>
                      <w:tcPr>
                        <w:tcW w:w="1763"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185" w:type="dxa"/>
                        <w:tcBorders>
                          <w:top w:val="nil" w:sz="6" w:space="0" w:color="auto"/>
                          <w:left w:val="single" w:sz="4" w:space="0" w:color="000000"/>
                          <w:bottom w:val="nil" w:sz="6" w:space="0" w:color="auto"/>
                          <w:right w:val="single" w:sz="4" w:space="0" w:color="000000"/>
                        </w:tcBorders>
                      </w:tcPr>
                      <w:p>
                        <w:pPr/>
                      </w:p>
                    </w:tc>
                    <w:tc>
                      <w:tcPr>
                        <w:tcW w:w="1404" w:type="dxa"/>
                        <w:tcBorders>
                          <w:top w:val="nil" w:sz="6" w:space="0" w:color="auto"/>
                          <w:left w:val="single" w:sz="4" w:space="0" w:color="000000"/>
                          <w:bottom w:val="nil" w:sz="6" w:space="0" w:color="auto"/>
                          <w:right w:val="single" w:sz="4" w:space="0" w:color="000000"/>
                        </w:tcBorders>
                      </w:tcPr>
                      <w:p>
                        <w:pPr/>
                      </w:p>
                    </w:tc>
                    <w:tc>
                      <w:tcPr>
                        <w:tcW w:w="2267"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易出售原非流通股股份</w:t>
                        </w:r>
                      </w:p>
                    </w:tc>
                  </w:tr>
                  <w:tr>
                    <w:trPr>
                      <w:trHeight w:val="272" w:hRule="exact"/>
                    </w:trPr>
                    <w:tc>
                      <w:tcPr>
                        <w:tcW w:w="523" w:type="dxa"/>
                        <w:tcBorders>
                          <w:top w:val="nil" w:sz="6" w:space="0" w:color="auto"/>
                          <w:left w:val="single" w:sz="4" w:space="0" w:color="000000"/>
                          <w:bottom w:val="nil" w:sz="6" w:space="0" w:color="auto"/>
                          <w:right w:val="single" w:sz="4" w:space="0" w:color="000000"/>
                        </w:tcBorders>
                      </w:tcPr>
                      <w:p>
                        <w:pPr/>
                      </w:p>
                    </w:tc>
                    <w:tc>
                      <w:tcPr>
                        <w:tcW w:w="1763"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185" w:type="dxa"/>
                        <w:tcBorders>
                          <w:top w:val="nil" w:sz="6" w:space="0" w:color="auto"/>
                          <w:left w:val="single" w:sz="4" w:space="0" w:color="000000"/>
                          <w:bottom w:val="nil" w:sz="6" w:space="0" w:color="auto"/>
                          <w:right w:val="single" w:sz="4" w:space="0" w:color="000000"/>
                        </w:tcBorders>
                      </w:tcPr>
                      <w:p>
                        <w:pPr/>
                      </w:p>
                    </w:tc>
                    <w:tc>
                      <w:tcPr>
                        <w:tcW w:w="1404" w:type="dxa"/>
                        <w:tcBorders>
                          <w:top w:val="nil" w:sz="6" w:space="0" w:color="auto"/>
                          <w:left w:val="single" w:sz="4" w:space="0" w:color="000000"/>
                          <w:bottom w:val="nil" w:sz="6" w:space="0" w:color="auto"/>
                          <w:right w:val="single" w:sz="4" w:space="0" w:color="000000"/>
                        </w:tcBorders>
                      </w:tcPr>
                      <w:p>
                        <w:pPr/>
                      </w:p>
                    </w:tc>
                    <w:tc>
                      <w:tcPr>
                        <w:tcW w:w="2267"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数量占股份总数的比例</w:t>
                        </w:r>
                      </w:p>
                    </w:tc>
                  </w:tr>
                  <w:tr>
                    <w:trPr>
                      <w:trHeight w:val="278" w:hRule="exact"/>
                    </w:trPr>
                    <w:tc>
                      <w:tcPr>
                        <w:tcW w:w="523" w:type="dxa"/>
                        <w:tcBorders>
                          <w:top w:val="nil" w:sz="6" w:space="0" w:color="auto"/>
                          <w:left w:val="single" w:sz="4" w:space="0" w:color="000000"/>
                          <w:bottom w:val="nil" w:sz="6" w:space="0" w:color="auto"/>
                          <w:right w:val="single" w:sz="4" w:space="0" w:color="000000"/>
                        </w:tcBorders>
                      </w:tcPr>
                      <w:p>
                        <w:pPr/>
                      </w:p>
                    </w:tc>
                    <w:tc>
                      <w:tcPr>
                        <w:tcW w:w="1763"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185" w:type="dxa"/>
                        <w:tcBorders>
                          <w:top w:val="nil" w:sz="6" w:space="0" w:color="auto"/>
                          <w:left w:val="single" w:sz="4" w:space="0" w:color="000000"/>
                          <w:bottom w:val="nil" w:sz="6" w:space="0" w:color="auto"/>
                          <w:right w:val="single" w:sz="4" w:space="0" w:color="000000"/>
                        </w:tcBorders>
                      </w:tcPr>
                      <w:p>
                        <w:pPr/>
                      </w:p>
                    </w:tc>
                    <w:tc>
                      <w:tcPr>
                        <w:tcW w:w="1404" w:type="dxa"/>
                        <w:tcBorders>
                          <w:top w:val="nil" w:sz="6" w:space="0" w:color="auto"/>
                          <w:left w:val="single" w:sz="4" w:space="0" w:color="000000"/>
                          <w:bottom w:val="nil" w:sz="6" w:space="0" w:color="auto"/>
                          <w:right w:val="single" w:sz="4" w:space="0" w:color="000000"/>
                        </w:tcBorders>
                      </w:tcPr>
                      <w:p>
                        <w:pPr/>
                      </w:p>
                    </w:tc>
                    <w:tc>
                      <w:tcPr>
                        <w:tcW w:w="2267"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在</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个月内不超过百分</w:t>
                        </w:r>
                      </w:p>
                    </w:tc>
                  </w:tr>
                  <w:tr>
                    <w:trPr>
                      <w:trHeight w:val="543" w:hRule="exact"/>
                    </w:trPr>
                    <w:tc>
                      <w:tcPr>
                        <w:tcW w:w="523"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left="23" w:right="0"/>
                          <w:jc w:val="left"/>
                          <w:rPr>
                            <w:rFonts w:ascii="Times New Roman" w:hAnsi="Times New Roman" w:cs="Times New Roman" w:eastAsia="Times New Roman" w:hint="default"/>
                            <w:sz w:val="21"/>
                            <w:szCs w:val="21"/>
                          </w:rPr>
                        </w:pPr>
                        <w:r>
                          <w:rPr>
                            <w:rFonts w:ascii="Times New Roman"/>
                            <w:sz w:val="21"/>
                          </w:rPr>
                          <w:t>4</w:t>
                        </w:r>
                      </w:p>
                    </w:tc>
                    <w:tc>
                      <w:tcPr>
                        <w:tcW w:w="1763"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深圳机场候机楼有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left="22" w:right="0"/>
                          <w:jc w:val="left"/>
                          <w:rPr>
                            <w:rFonts w:ascii="Times New Roman" w:hAnsi="Times New Roman" w:cs="Times New Roman" w:eastAsia="Times New Roman" w:hint="default"/>
                            <w:sz w:val="21"/>
                            <w:szCs w:val="21"/>
                          </w:rPr>
                        </w:pPr>
                        <w:r>
                          <w:rPr>
                            <w:rFonts w:ascii="Times New Roman"/>
                            <w:sz w:val="21"/>
                          </w:rPr>
                          <w:t>2,145,000</w:t>
                        </w:r>
                      </w:p>
                    </w:tc>
                    <w:tc>
                      <w:tcPr>
                        <w:tcW w:w="2185" w:type="dxa"/>
                        <w:tcBorders>
                          <w:top w:val="nil" w:sz="6" w:space="0" w:color="auto"/>
                          <w:left w:val="single" w:sz="4" w:space="0" w:color="000000"/>
                          <w:bottom w:val="nil" w:sz="6" w:space="0" w:color="auto"/>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p>
                        <w:pPr>
                          <w:pStyle w:val="TableParagraph"/>
                          <w:spacing w:line="229" w:lineRule="exact"/>
                          <w:ind w:right="149"/>
                          <w:jc w:val="center"/>
                          <w:rPr>
                            <w:rFonts w:ascii="宋体" w:hAnsi="宋体" w:cs="宋体" w:eastAsia="宋体" w:hint="default"/>
                            <w:sz w:val="18"/>
                            <w:szCs w:val="18"/>
                          </w:rPr>
                        </w:pPr>
                        <w:r>
                          <w:rPr>
                            <w:rFonts w:ascii="宋体" w:hAnsi="宋体" w:cs="宋体" w:eastAsia="宋体" w:hint="default"/>
                            <w:sz w:val="18"/>
                            <w:szCs w:val="18"/>
                          </w:rPr>
                          <w:t>（尚须先偿还股改对价）</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left="23" w:right="0"/>
                          <w:jc w:val="left"/>
                          <w:rPr>
                            <w:rFonts w:ascii="Times New Roman" w:hAnsi="Times New Roman" w:cs="Times New Roman" w:eastAsia="Times New Roman" w:hint="default"/>
                            <w:sz w:val="21"/>
                            <w:szCs w:val="21"/>
                          </w:rPr>
                        </w:pPr>
                        <w:r>
                          <w:rPr>
                            <w:rFonts w:ascii="Times New Roman"/>
                            <w:sz w:val="21"/>
                          </w:rPr>
                          <w:t>2,145,000</w:t>
                        </w:r>
                      </w:p>
                    </w:tc>
                    <w:tc>
                      <w:tcPr>
                        <w:tcW w:w="2267"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之五</w:t>
                        </w:r>
                        <w:r>
                          <w:rPr>
                            <w:rFonts w:ascii="宋体" w:hAnsi="宋体" w:cs="宋体" w:eastAsia="宋体" w:hint="default"/>
                            <w:spacing w:val="-100"/>
                            <w:sz w:val="21"/>
                            <w:szCs w:val="21"/>
                          </w:rPr>
                          <w:t>、</w:t>
                        </w:r>
                        <w:r>
                          <w:rPr>
                            <w:rFonts w:ascii="Times New Roman" w:hAnsi="Times New Roman" w:cs="Times New Roman" w:eastAsia="Times New Roman" w:hint="default"/>
                            <w:sz w:val="21"/>
                            <w:szCs w:val="21"/>
                          </w:rPr>
                          <w:t>24</w:t>
                        </w:r>
                        <w:r>
                          <w:rPr>
                            <w:rFonts w:ascii="宋体" w:hAnsi="宋体" w:cs="宋体" w:eastAsia="宋体" w:hint="default"/>
                            <w:sz w:val="21"/>
                            <w:szCs w:val="21"/>
                          </w:rPr>
                          <w:t>个</w:t>
                        </w:r>
                        <w:r>
                          <w:rPr>
                            <w:rFonts w:ascii="宋体" w:hAnsi="宋体" w:cs="宋体" w:eastAsia="宋体" w:hint="default"/>
                            <w:spacing w:val="-2"/>
                            <w:sz w:val="21"/>
                            <w:szCs w:val="21"/>
                          </w:rPr>
                          <w:t>月</w:t>
                        </w:r>
                        <w:r>
                          <w:rPr>
                            <w:rFonts w:ascii="宋体" w:hAnsi="宋体" w:cs="宋体" w:eastAsia="宋体" w:hint="default"/>
                            <w:sz w:val="21"/>
                            <w:szCs w:val="21"/>
                          </w:rPr>
                          <w:t>内不超过百</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sz w:val="21"/>
                            <w:szCs w:val="21"/>
                          </w:rPr>
                          <w:t>分之十</w:t>
                        </w:r>
                        <w:r>
                          <w:rPr>
                            <w:rFonts w:ascii="宋体" w:hAnsi="宋体" w:cs="宋体" w:eastAsia="宋体" w:hint="default"/>
                            <w:spacing w:val="-100"/>
                            <w:sz w:val="21"/>
                            <w:szCs w:val="21"/>
                          </w:rPr>
                          <w:t>。</w:t>
                        </w:r>
                        <w:r>
                          <w:rPr>
                            <w:rFonts w:ascii="宋体" w:hAnsi="宋体" w:cs="宋体" w:eastAsia="宋体" w:hint="default"/>
                            <w:sz w:val="21"/>
                            <w:szCs w:val="21"/>
                          </w:rPr>
                          <w:t>限售股份在上市</w:t>
                        </w:r>
                      </w:p>
                    </w:tc>
                  </w:tr>
                  <w:tr>
                    <w:trPr>
                      <w:trHeight w:val="269" w:hRule="exact"/>
                    </w:trPr>
                    <w:tc>
                      <w:tcPr>
                        <w:tcW w:w="523" w:type="dxa"/>
                        <w:tcBorders>
                          <w:top w:val="nil" w:sz="6" w:space="0" w:color="auto"/>
                          <w:left w:val="single" w:sz="4" w:space="0" w:color="000000"/>
                          <w:bottom w:val="nil" w:sz="6" w:space="0" w:color="auto"/>
                          <w:right w:val="single" w:sz="4" w:space="0" w:color="000000"/>
                        </w:tcBorders>
                      </w:tcPr>
                      <w:p>
                        <w:pPr/>
                      </w:p>
                    </w:tc>
                    <w:tc>
                      <w:tcPr>
                        <w:tcW w:w="1763"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185" w:type="dxa"/>
                        <w:tcBorders>
                          <w:top w:val="nil" w:sz="6" w:space="0" w:color="auto"/>
                          <w:left w:val="single" w:sz="4" w:space="0" w:color="000000"/>
                          <w:bottom w:val="nil" w:sz="6" w:space="0" w:color="auto"/>
                          <w:right w:val="single" w:sz="4" w:space="0" w:color="000000"/>
                        </w:tcBorders>
                      </w:tcPr>
                      <w:p>
                        <w:pPr/>
                      </w:p>
                    </w:tc>
                    <w:tc>
                      <w:tcPr>
                        <w:tcW w:w="1404" w:type="dxa"/>
                        <w:tcBorders>
                          <w:top w:val="nil" w:sz="6" w:space="0" w:color="auto"/>
                          <w:left w:val="single" w:sz="4" w:space="0" w:color="000000"/>
                          <w:bottom w:val="nil" w:sz="6" w:space="0" w:color="auto"/>
                          <w:right w:val="single" w:sz="4" w:space="0" w:color="000000"/>
                        </w:tcBorders>
                      </w:tcPr>
                      <w:p>
                        <w:pPr/>
                      </w:p>
                    </w:tc>
                    <w:tc>
                      <w:tcPr>
                        <w:tcW w:w="2267" w:type="dxa"/>
                        <w:tcBorders>
                          <w:top w:val="nil" w:sz="6" w:space="0" w:color="auto"/>
                          <w:left w:val="single" w:sz="4" w:space="0" w:color="000000"/>
                          <w:bottom w:val="nil" w:sz="6" w:space="0" w:color="auto"/>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流通时应首先向代为垫</w:t>
                        </w:r>
                      </w:p>
                    </w:tc>
                  </w:tr>
                  <w:tr>
                    <w:trPr>
                      <w:trHeight w:val="272" w:hRule="exact"/>
                    </w:trPr>
                    <w:tc>
                      <w:tcPr>
                        <w:tcW w:w="523" w:type="dxa"/>
                        <w:tcBorders>
                          <w:top w:val="nil" w:sz="6" w:space="0" w:color="auto"/>
                          <w:left w:val="single" w:sz="4" w:space="0" w:color="000000"/>
                          <w:bottom w:val="nil" w:sz="6" w:space="0" w:color="auto"/>
                          <w:right w:val="single" w:sz="4" w:space="0" w:color="000000"/>
                        </w:tcBorders>
                      </w:tcPr>
                      <w:p>
                        <w:pPr/>
                      </w:p>
                    </w:tc>
                    <w:tc>
                      <w:tcPr>
                        <w:tcW w:w="1763"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185" w:type="dxa"/>
                        <w:tcBorders>
                          <w:top w:val="nil" w:sz="6" w:space="0" w:color="auto"/>
                          <w:left w:val="single" w:sz="4" w:space="0" w:color="000000"/>
                          <w:bottom w:val="nil" w:sz="6" w:space="0" w:color="auto"/>
                          <w:right w:val="single" w:sz="4" w:space="0" w:color="000000"/>
                        </w:tcBorders>
                      </w:tcPr>
                      <w:p>
                        <w:pPr/>
                      </w:p>
                    </w:tc>
                    <w:tc>
                      <w:tcPr>
                        <w:tcW w:w="1404" w:type="dxa"/>
                        <w:tcBorders>
                          <w:top w:val="nil" w:sz="6" w:space="0" w:color="auto"/>
                          <w:left w:val="single" w:sz="4" w:space="0" w:color="000000"/>
                          <w:bottom w:val="nil" w:sz="6" w:space="0" w:color="auto"/>
                          <w:right w:val="single" w:sz="4" w:space="0" w:color="000000"/>
                        </w:tcBorders>
                      </w:tcPr>
                      <w:p>
                        <w:pPr/>
                      </w:p>
                    </w:tc>
                    <w:tc>
                      <w:tcPr>
                        <w:tcW w:w="2267"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付的深圳市东鸿信投资</w:t>
                        </w:r>
                      </w:p>
                    </w:tc>
                  </w:tr>
                  <w:tr>
                    <w:trPr>
                      <w:trHeight w:val="272" w:hRule="exact"/>
                    </w:trPr>
                    <w:tc>
                      <w:tcPr>
                        <w:tcW w:w="523" w:type="dxa"/>
                        <w:tcBorders>
                          <w:top w:val="nil" w:sz="6" w:space="0" w:color="auto"/>
                          <w:left w:val="single" w:sz="4" w:space="0" w:color="000000"/>
                          <w:bottom w:val="nil" w:sz="6" w:space="0" w:color="auto"/>
                          <w:right w:val="single" w:sz="4" w:space="0" w:color="000000"/>
                        </w:tcBorders>
                      </w:tcPr>
                      <w:p>
                        <w:pPr/>
                      </w:p>
                    </w:tc>
                    <w:tc>
                      <w:tcPr>
                        <w:tcW w:w="1763"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185" w:type="dxa"/>
                        <w:tcBorders>
                          <w:top w:val="nil" w:sz="6" w:space="0" w:color="auto"/>
                          <w:left w:val="single" w:sz="4" w:space="0" w:color="000000"/>
                          <w:bottom w:val="nil" w:sz="6" w:space="0" w:color="auto"/>
                          <w:right w:val="single" w:sz="4" w:space="0" w:color="000000"/>
                        </w:tcBorders>
                      </w:tcPr>
                      <w:p>
                        <w:pPr/>
                      </w:p>
                    </w:tc>
                    <w:tc>
                      <w:tcPr>
                        <w:tcW w:w="1404" w:type="dxa"/>
                        <w:tcBorders>
                          <w:top w:val="nil" w:sz="6" w:space="0" w:color="auto"/>
                          <w:left w:val="single" w:sz="4" w:space="0" w:color="000000"/>
                          <w:bottom w:val="nil" w:sz="6" w:space="0" w:color="auto"/>
                          <w:right w:val="single" w:sz="4" w:space="0" w:color="000000"/>
                        </w:tcBorders>
                      </w:tcPr>
                      <w:p>
                        <w:pPr/>
                      </w:p>
                    </w:tc>
                    <w:tc>
                      <w:tcPr>
                        <w:tcW w:w="2267"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发展有限公司偿还股改</w:t>
                        </w:r>
                      </w:p>
                    </w:tc>
                  </w:tr>
                  <w:tr>
                    <w:trPr>
                      <w:trHeight w:val="279" w:hRule="exact"/>
                    </w:trPr>
                    <w:tc>
                      <w:tcPr>
                        <w:tcW w:w="523" w:type="dxa"/>
                        <w:tcBorders>
                          <w:top w:val="nil" w:sz="6" w:space="0" w:color="auto"/>
                          <w:left w:val="single" w:sz="4" w:space="0" w:color="000000"/>
                          <w:bottom w:val="single" w:sz="4" w:space="0" w:color="000000"/>
                          <w:right w:val="single" w:sz="4" w:space="0" w:color="000000"/>
                        </w:tcBorders>
                      </w:tcPr>
                      <w:p>
                        <w:pPr/>
                      </w:p>
                    </w:tc>
                    <w:tc>
                      <w:tcPr>
                        <w:tcW w:w="1763"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2185"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2267"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对价或取得其同意。</w:t>
                        </w:r>
                      </w:p>
                    </w:tc>
                  </w:tr>
                </w:tbl>
                <w:p>
                  <w:pPr/>
                </w:p>
              </w:txbxContent>
            </v:textbox>
            <w10:wrap type="none"/>
          </v:shape>
        </w:pict>
      </w:r>
      <w:r>
        <w:rPr/>
        <w:t>。</w:t>
      </w:r>
    </w:p>
    <w:p>
      <w:pPr>
        <w:spacing w:after="0" w:line="240" w:lineRule="auto"/>
        <w:jc w:val="right"/>
        <w:sectPr>
          <w:pgSz w:w="11900" w:h="16840"/>
          <w:pgMar w:header="0" w:footer="939" w:top="1460" w:bottom="1180" w:left="880" w:right="420"/>
        </w:sectPr>
      </w:pPr>
    </w:p>
    <w:p>
      <w:pPr>
        <w:pStyle w:val="Heading3"/>
        <w:spacing w:line="240" w:lineRule="auto" w:before="7"/>
        <w:ind w:left="670" w:right="531"/>
        <w:jc w:val="left"/>
      </w:pPr>
      <w:r>
        <w:rPr/>
        <w:t>二．股票发行与上市情况</w:t>
      </w:r>
    </w:p>
    <w:p>
      <w:pPr>
        <w:pStyle w:val="BodyText"/>
        <w:spacing w:line="240" w:lineRule="auto" w:before="113"/>
        <w:ind w:left="1090" w:right="531"/>
        <w:jc w:val="left"/>
      </w:pPr>
      <w:r>
        <w:rPr>
          <w:rFonts w:ascii="Times New Roman" w:hAnsi="Times New Roman" w:cs="Times New Roman" w:eastAsia="Times New Roman" w:hint="default"/>
        </w:rPr>
        <w:t>1</w:t>
      </w:r>
      <w:r>
        <w:rPr/>
        <w:t>．截止报告期末前三年公司未有股票发行。</w:t>
      </w:r>
    </w:p>
    <w:p>
      <w:pPr>
        <w:pStyle w:val="BodyText"/>
        <w:spacing w:line="331" w:lineRule="auto" w:before="109"/>
        <w:ind w:left="670" w:right="531" w:firstLine="419"/>
        <w:jc w:val="left"/>
      </w:pPr>
      <w:r>
        <w:rPr>
          <w:rFonts w:ascii="Times New Roman" w:hAnsi="Times New Roman" w:cs="Times New Roman" w:eastAsia="Times New Roman" w:hint="default"/>
          <w:spacing w:val="-5"/>
        </w:rPr>
        <w:t>2</w:t>
      </w:r>
      <w:r>
        <w:rPr>
          <w:spacing w:val="-5"/>
        </w:rPr>
        <w:t>．报告期内公司因股权分置改革相关股东所持限售股份解除限售，股本结构相应发生变化，</w:t>
      </w:r>
      <w:r>
        <w:rPr/>
        <w:t> 具体详见前述一。</w:t>
      </w:r>
    </w:p>
    <w:p>
      <w:pPr>
        <w:pStyle w:val="BodyText"/>
        <w:spacing w:line="240" w:lineRule="auto" w:before="45"/>
        <w:ind w:left="1090" w:right="531"/>
        <w:jc w:val="left"/>
      </w:pPr>
      <w:r>
        <w:rPr>
          <w:rFonts w:ascii="Times New Roman" w:hAnsi="Times New Roman" w:cs="Times New Roman" w:eastAsia="Times New Roman" w:hint="default"/>
        </w:rPr>
        <w:t>3</w:t>
      </w:r>
      <w:r>
        <w:rPr/>
        <w:t>．公司无内部职工股。</w:t>
      </w:r>
    </w:p>
    <w:p>
      <w:pPr>
        <w:spacing w:line="240" w:lineRule="auto" w:before="13"/>
        <w:rPr>
          <w:rFonts w:ascii="宋体" w:hAnsi="宋体" w:cs="宋体" w:eastAsia="宋体" w:hint="default"/>
          <w:sz w:val="22"/>
          <w:szCs w:val="22"/>
        </w:rPr>
      </w:pPr>
    </w:p>
    <w:p>
      <w:pPr>
        <w:pStyle w:val="Heading3"/>
        <w:spacing w:line="240" w:lineRule="auto"/>
        <w:ind w:left="670" w:right="531"/>
        <w:jc w:val="left"/>
      </w:pPr>
      <w:r>
        <w:rPr/>
        <w:t>三、截止报告期末股东持股情况及控制人情况介绍</w:t>
      </w:r>
    </w:p>
    <w:p>
      <w:pPr>
        <w:spacing w:line="240" w:lineRule="auto" w:before="6"/>
        <w:rPr>
          <w:rFonts w:ascii="黑体" w:hAnsi="黑体" w:cs="黑体" w:eastAsia="黑体" w:hint="default"/>
          <w:sz w:val="23"/>
          <w:szCs w:val="23"/>
        </w:rPr>
      </w:pPr>
    </w:p>
    <w:p>
      <w:pPr>
        <w:pStyle w:val="BodyText"/>
        <w:spacing w:line="240" w:lineRule="auto" w:before="35"/>
        <w:ind w:left="670" w:right="531"/>
        <w:jc w:val="left"/>
        <w:rPr>
          <w:rFonts w:ascii="黑体" w:hAnsi="黑体" w:cs="黑体" w:eastAsia="黑体" w:hint="default"/>
        </w:rPr>
      </w:pPr>
      <w:r>
        <w:rPr>
          <w:rFonts w:ascii="黑体" w:hAnsi="黑体" w:cs="黑体" w:eastAsia="黑体" w:hint="default"/>
        </w:rPr>
        <w:t>（一）前十名股东、前十名无限售条件股东持股情况</w:t>
      </w:r>
    </w:p>
    <w:p>
      <w:pPr>
        <w:pStyle w:val="BodyText"/>
        <w:spacing w:line="240" w:lineRule="auto" w:before="7"/>
        <w:ind w:left="0" w:right="657"/>
        <w:jc w:val="right"/>
        <w:rPr>
          <w:rFonts w:ascii="黑体" w:hAnsi="黑体" w:cs="黑体" w:eastAsia="黑体" w:hint="default"/>
        </w:rPr>
      </w:pPr>
      <w:r>
        <w:rPr>
          <w:rFonts w:ascii="黑体" w:hAnsi="黑体" w:cs="黑体" w:eastAsia="黑体" w:hint="default"/>
        </w:rPr>
        <w:t>单位：股</w:t>
      </w:r>
    </w:p>
    <w:p>
      <w:pPr>
        <w:spacing w:line="240" w:lineRule="auto" w:before="7"/>
        <w:rPr>
          <w:rFonts w:ascii="黑体" w:hAnsi="黑体" w:cs="黑体" w:eastAsia="黑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738"/>
        <w:gridCol w:w="142"/>
        <w:gridCol w:w="1547"/>
        <w:gridCol w:w="118"/>
        <w:gridCol w:w="748"/>
        <w:gridCol w:w="1176"/>
        <w:gridCol w:w="470"/>
        <w:gridCol w:w="1176"/>
        <w:gridCol w:w="1598"/>
      </w:tblGrid>
      <w:tr>
        <w:trPr>
          <w:trHeight w:val="332" w:hRule="exact"/>
        </w:trPr>
        <w:tc>
          <w:tcPr>
            <w:tcW w:w="27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股东总数</w:t>
            </w:r>
          </w:p>
        </w:tc>
        <w:tc>
          <w:tcPr>
            <w:tcW w:w="6974" w:type="dxa"/>
            <w:gridSpan w:val="8"/>
            <w:tcBorders>
              <w:top w:val="single" w:sz="4" w:space="0" w:color="000000"/>
              <w:left w:val="single" w:sz="13" w:space="0" w:color="DCDCDC"/>
              <w:bottom w:val="single" w:sz="21" w:space="0" w:color="DCDCDC"/>
              <w:right w:val="single" w:sz="4" w:space="0" w:color="000000"/>
            </w:tcBorders>
          </w:tcPr>
          <w:p>
            <w:pPr>
              <w:pStyle w:val="TableParagraph"/>
              <w:spacing w:line="283" w:lineRule="exact"/>
              <w:ind w:left="2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75,638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户</w:t>
            </w:r>
          </w:p>
        </w:tc>
      </w:tr>
      <w:tr>
        <w:trPr>
          <w:trHeight w:val="298" w:hRule="exact"/>
        </w:trPr>
        <w:tc>
          <w:tcPr>
            <w:tcW w:w="9713"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7" w:lineRule="exact"/>
              <w:ind w:left="2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48"/>
                <w:sz w:val="21"/>
                <w:szCs w:val="21"/>
              </w:rPr>
              <w:t>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名股东持股情况</w:t>
            </w:r>
          </w:p>
        </w:tc>
      </w:tr>
      <w:tr>
        <w:trPr>
          <w:trHeight w:val="180"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547" w:type="dxa"/>
            <w:tcBorders>
              <w:top w:val="single" w:sz="4" w:space="0" w:color="000000"/>
              <w:left w:val="single" w:sz="4" w:space="0" w:color="000000"/>
              <w:bottom w:val="nil" w:sz="6" w:space="0" w:color="auto"/>
              <w:right w:val="single" w:sz="4" w:space="0" w:color="000000"/>
            </w:tcBorders>
            <w:shd w:val="clear" w:color="auto" w:fill="DCDCDC"/>
          </w:tcPr>
          <w:p>
            <w:pPr/>
          </w:p>
        </w:tc>
        <w:tc>
          <w:tcPr>
            <w:tcW w:w="865"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before="32"/>
              <w:ind w:left="217" w:right="214"/>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1"/>
                <w:sz w:val="21"/>
                <w:szCs w:val="21"/>
              </w:rPr>
              <w:t> </w:t>
            </w:r>
            <w:r>
              <w:rPr>
                <w:rFonts w:ascii="宋体" w:hAnsi="宋体" w:cs="宋体" w:eastAsia="宋体" w:hint="default"/>
                <w:sz w:val="21"/>
                <w:szCs w:val="21"/>
              </w:rPr>
              <w:t>比例</w:t>
            </w:r>
          </w:p>
        </w:tc>
        <w:tc>
          <w:tcPr>
            <w:tcW w:w="1176" w:type="dxa"/>
            <w:tcBorders>
              <w:top w:val="single" w:sz="4" w:space="0" w:color="000000"/>
              <w:left w:val="single" w:sz="4" w:space="0" w:color="000000"/>
              <w:bottom w:val="nil" w:sz="6" w:space="0" w:color="auto"/>
              <w:right w:val="single" w:sz="4" w:space="0" w:color="000000"/>
            </w:tcBorders>
            <w:shd w:val="clear" w:color="auto" w:fill="DCDCDC"/>
          </w:tcPr>
          <w:p>
            <w:pPr/>
          </w:p>
        </w:tc>
        <w:tc>
          <w:tcPr>
            <w:tcW w:w="1646"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before="32"/>
              <w:ind w:left="394" w:right="80" w:hanging="316"/>
              <w:jc w:val="left"/>
              <w:rPr>
                <w:rFonts w:ascii="宋体" w:hAnsi="宋体" w:cs="宋体" w:eastAsia="宋体" w:hint="default"/>
                <w:sz w:val="21"/>
                <w:szCs w:val="21"/>
              </w:rPr>
            </w:pPr>
            <w:r>
              <w:rPr>
                <w:rFonts w:ascii="宋体" w:hAnsi="宋体" w:cs="宋体" w:eastAsia="宋体" w:hint="default"/>
                <w:sz w:val="21"/>
                <w:szCs w:val="21"/>
              </w:rPr>
              <w:t>持有有限售条件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股份数量</w:t>
            </w:r>
          </w:p>
        </w:tc>
        <w:tc>
          <w:tcPr>
            <w:tcW w:w="1598" w:type="dxa"/>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before="32"/>
              <w:ind w:left="371" w:right="161" w:hanging="210"/>
              <w:jc w:val="left"/>
              <w:rPr>
                <w:rFonts w:ascii="宋体" w:hAnsi="宋体" w:cs="宋体" w:eastAsia="宋体" w:hint="default"/>
                <w:sz w:val="21"/>
                <w:szCs w:val="21"/>
              </w:rPr>
            </w:pPr>
            <w:r>
              <w:rPr>
                <w:rFonts w:ascii="宋体" w:hAnsi="宋体" w:cs="宋体" w:eastAsia="宋体" w:hint="default"/>
                <w:sz w:val="21"/>
                <w:szCs w:val="21"/>
              </w:rPr>
              <w:t>质押或冻结的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股份数量</w:t>
            </w:r>
          </w:p>
        </w:tc>
      </w:tr>
      <w:tr>
        <w:trPr>
          <w:trHeight w:val="272" w:hRule="exact"/>
        </w:trPr>
        <w:tc>
          <w:tcPr>
            <w:tcW w:w="288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54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股东性质</w:t>
            </w:r>
          </w:p>
        </w:tc>
        <w:tc>
          <w:tcPr>
            <w:tcW w:w="865" w:type="dxa"/>
            <w:gridSpan w:val="2"/>
            <w:vMerge/>
            <w:tcBorders>
              <w:left w:val="single" w:sz="4" w:space="0" w:color="000000"/>
              <w:right w:val="single" w:sz="4" w:space="0" w:color="000000"/>
            </w:tcBorders>
            <w:shd w:val="clear" w:color="auto" w:fill="DCDCDC"/>
          </w:tcPr>
          <w:p>
            <w:pPr/>
          </w:p>
        </w:tc>
        <w:tc>
          <w:tcPr>
            <w:tcW w:w="117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9" w:lineRule="exact"/>
              <w:ind w:left="159"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646" w:type="dxa"/>
            <w:gridSpan w:val="2"/>
            <w:vMerge/>
            <w:tcBorders>
              <w:left w:val="single" w:sz="4" w:space="0" w:color="000000"/>
              <w:right w:val="single" w:sz="4" w:space="0" w:color="000000"/>
            </w:tcBorders>
            <w:shd w:val="clear" w:color="auto" w:fill="DCDCDC"/>
          </w:tcPr>
          <w:p>
            <w:pPr/>
          </w:p>
        </w:tc>
        <w:tc>
          <w:tcPr>
            <w:tcW w:w="1598" w:type="dxa"/>
            <w:vMerge/>
            <w:tcBorders>
              <w:left w:val="single" w:sz="4" w:space="0" w:color="000000"/>
              <w:right w:val="single" w:sz="4" w:space="0" w:color="000000"/>
            </w:tcBorders>
            <w:shd w:val="clear" w:color="auto" w:fill="DCDCDC"/>
          </w:tcPr>
          <w:p>
            <w:pPr/>
          </w:p>
        </w:tc>
      </w:tr>
      <w:tr>
        <w:trPr>
          <w:trHeight w:val="159"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547" w:type="dxa"/>
            <w:tcBorders>
              <w:top w:val="nil" w:sz="6" w:space="0" w:color="auto"/>
              <w:left w:val="single" w:sz="4" w:space="0" w:color="000000"/>
              <w:bottom w:val="single" w:sz="4" w:space="0" w:color="000000"/>
              <w:right w:val="single" w:sz="4" w:space="0" w:color="000000"/>
            </w:tcBorders>
            <w:shd w:val="clear" w:color="auto" w:fill="DCDCDC"/>
          </w:tcPr>
          <w:p>
            <w:pPr/>
          </w:p>
        </w:tc>
        <w:tc>
          <w:tcPr>
            <w:tcW w:w="865" w:type="dxa"/>
            <w:gridSpan w:val="2"/>
            <w:vMerge/>
            <w:tcBorders>
              <w:left w:val="single" w:sz="4" w:space="0" w:color="000000"/>
              <w:bottom w:val="single" w:sz="4" w:space="0" w:color="000000"/>
              <w:right w:val="single" w:sz="4" w:space="0" w:color="000000"/>
            </w:tcBorders>
            <w:shd w:val="clear" w:color="auto" w:fill="DCDCDC"/>
          </w:tcPr>
          <w:p>
            <w:pPr/>
          </w:p>
        </w:tc>
        <w:tc>
          <w:tcPr>
            <w:tcW w:w="1176" w:type="dxa"/>
            <w:tcBorders>
              <w:top w:val="nil" w:sz="6" w:space="0" w:color="auto"/>
              <w:left w:val="single" w:sz="4" w:space="0" w:color="000000"/>
              <w:bottom w:val="single" w:sz="4" w:space="0" w:color="000000"/>
              <w:right w:val="single" w:sz="4" w:space="0" w:color="000000"/>
            </w:tcBorders>
            <w:shd w:val="clear" w:color="auto" w:fill="DCDCDC"/>
          </w:tcPr>
          <w:p>
            <w:pPr/>
          </w:p>
        </w:tc>
        <w:tc>
          <w:tcPr>
            <w:tcW w:w="1646" w:type="dxa"/>
            <w:gridSpan w:val="2"/>
            <w:vMerge/>
            <w:tcBorders>
              <w:left w:val="single" w:sz="4" w:space="0" w:color="000000"/>
              <w:bottom w:val="single" w:sz="4" w:space="0" w:color="000000"/>
              <w:right w:val="single" w:sz="4" w:space="0" w:color="000000"/>
            </w:tcBorders>
            <w:shd w:val="clear" w:color="auto" w:fill="DCDCDC"/>
          </w:tcPr>
          <w:p>
            <w:pPr/>
          </w:p>
        </w:tc>
        <w:tc>
          <w:tcPr>
            <w:tcW w:w="1598" w:type="dxa"/>
            <w:vMerge/>
            <w:tcBorders>
              <w:left w:val="single" w:sz="4" w:space="0" w:color="000000"/>
              <w:bottom w:val="single" w:sz="4" w:space="0" w:color="000000"/>
              <w:right w:val="single" w:sz="4" w:space="0" w:color="000000"/>
            </w:tcBorders>
            <w:shd w:val="clear" w:color="auto" w:fill="DCDCDC"/>
          </w:tcPr>
          <w:p>
            <w:pPr/>
          </w:p>
        </w:tc>
      </w:tr>
      <w:tr>
        <w:trPr>
          <w:trHeight w:val="327"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中国宝安集团控股有限公司</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865" w:type="dxa"/>
            <w:gridSpan w:val="2"/>
            <w:tcBorders>
              <w:top w:val="single" w:sz="14" w:space="0" w:color="DCDCDC"/>
              <w:left w:val="single" w:sz="4" w:space="0" w:color="000000"/>
              <w:bottom w:val="single" w:sz="4" w:space="0" w:color="000000"/>
              <w:right w:val="single" w:sz="4" w:space="0" w:color="000000"/>
            </w:tcBorders>
          </w:tcPr>
          <w:p>
            <w:pPr>
              <w:pStyle w:val="TableParagraph"/>
              <w:spacing w:line="240" w:lineRule="auto" w:before="93"/>
              <w:ind w:left="277" w:right="0"/>
              <w:jc w:val="left"/>
              <w:rPr>
                <w:rFonts w:ascii="Times New Roman" w:hAnsi="Times New Roman" w:cs="Times New Roman" w:eastAsia="Times New Roman" w:hint="default"/>
                <w:sz w:val="18"/>
                <w:szCs w:val="18"/>
              </w:rPr>
            </w:pPr>
            <w:r>
              <w:rPr>
                <w:rFonts w:ascii="Times New Roman"/>
                <w:sz w:val="18"/>
              </w:rPr>
              <w:t>19.80%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92,962,319</w:t>
            </w:r>
          </w:p>
        </w:tc>
        <w:tc>
          <w:tcPr>
            <w:tcW w:w="1646" w:type="dxa"/>
            <w:gridSpan w:val="2"/>
            <w:tcBorders>
              <w:top w:val="single" w:sz="14" w:space="0" w:color="DCDCDC"/>
              <w:left w:val="single" w:sz="4" w:space="0" w:color="000000"/>
              <w:bottom w:val="single" w:sz="4" w:space="0" w:color="000000"/>
              <w:right w:val="single" w:sz="4" w:space="0" w:color="000000"/>
            </w:tcBorders>
          </w:tcPr>
          <w:p>
            <w:pPr>
              <w:pStyle w:val="TableParagraph"/>
              <w:spacing w:line="240" w:lineRule="auto" w:before="93"/>
              <w:ind w:left="801" w:right="0"/>
              <w:jc w:val="left"/>
              <w:rPr>
                <w:rFonts w:ascii="Times New Roman" w:hAnsi="Times New Roman" w:cs="Times New Roman" w:eastAsia="Times New Roman" w:hint="default"/>
                <w:sz w:val="18"/>
                <w:szCs w:val="18"/>
              </w:rPr>
            </w:pPr>
            <w:r>
              <w:rPr>
                <w:rFonts w:ascii="Times New Roman"/>
                <w:sz w:val="18"/>
              </w:rPr>
              <w:t>70,000,000</w:t>
            </w:r>
          </w:p>
        </w:tc>
        <w:tc>
          <w:tcPr>
            <w:tcW w:w="1598" w:type="dxa"/>
            <w:tcBorders>
              <w:top w:val="single" w:sz="14" w:space="0" w:color="DCDCDC"/>
              <w:left w:val="single" w:sz="4" w:space="0" w:color="000000"/>
              <w:bottom w:val="single" w:sz="4" w:space="0" w:color="000000"/>
              <w:right w:val="single" w:sz="4" w:space="0" w:color="000000"/>
            </w:tcBorders>
          </w:tcPr>
          <w:p>
            <w:pPr>
              <w:pStyle w:val="TableParagraph"/>
              <w:spacing w:line="240" w:lineRule="auto" w:before="93"/>
              <w:ind w:left="574" w:right="0"/>
              <w:jc w:val="left"/>
              <w:rPr>
                <w:rFonts w:ascii="Times New Roman" w:hAnsi="Times New Roman" w:cs="Times New Roman" w:eastAsia="Times New Roman" w:hint="default"/>
                <w:sz w:val="18"/>
                <w:szCs w:val="18"/>
              </w:rPr>
            </w:pPr>
            <w:r>
              <w:rPr>
                <w:rFonts w:ascii="Times New Roman"/>
                <w:sz w:val="18"/>
              </w:rPr>
              <w:t>70,000,000</w:t>
            </w:r>
          </w:p>
        </w:tc>
      </w:tr>
      <w:tr>
        <w:trPr>
          <w:trHeight w:val="377"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深圳市东鸿信投资发展有限公司</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77" w:right="0"/>
              <w:jc w:val="left"/>
              <w:rPr>
                <w:rFonts w:ascii="Times New Roman" w:hAnsi="Times New Roman" w:cs="Times New Roman" w:eastAsia="Times New Roman" w:hint="default"/>
                <w:sz w:val="18"/>
                <w:szCs w:val="18"/>
              </w:rPr>
            </w:pPr>
            <w:r>
              <w:rPr>
                <w:rFonts w:ascii="Times New Roman"/>
                <w:sz w:val="18"/>
              </w:rPr>
              <w:t>16.81%</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sz w:val="18"/>
              </w:rPr>
              <w:t>78,936,513</w:t>
            </w:r>
          </w:p>
        </w:tc>
        <w:tc>
          <w:tcPr>
            <w:tcW w:w="16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801" w:right="0"/>
              <w:jc w:val="left"/>
              <w:rPr>
                <w:rFonts w:ascii="Times New Roman" w:hAnsi="Times New Roman" w:cs="Times New Roman" w:eastAsia="Times New Roman" w:hint="default"/>
                <w:sz w:val="18"/>
                <w:szCs w:val="18"/>
              </w:rPr>
            </w:pPr>
            <w:r>
              <w:rPr>
                <w:rFonts w:ascii="Times New Roman"/>
                <w:sz w:val="18"/>
              </w:rPr>
              <w:t>28,154,979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z w:val="18"/>
              </w:rPr>
              <w:t>0</w:t>
            </w:r>
          </w:p>
        </w:tc>
      </w:tr>
      <w:tr>
        <w:trPr>
          <w:trHeight w:val="311"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宋体" w:hAnsi="宋体" w:cs="宋体" w:eastAsia="宋体" w:hint="default"/>
                <w:sz w:val="18"/>
                <w:szCs w:val="18"/>
              </w:rPr>
              <w:t>深圳市正中投资发展有限公司</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67" w:right="0"/>
              <w:jc w:val="left"/>
              <w:rPr>
                <w:rFonts w:ascii="Times New Roman" w:hAnsi="Times New Roman" w:cs="Times New Roman" w:eastAsia="Times New Roman" w:hint="default"/>
                <w:sz w:val="18"/>
                <w:szCs w:val="18"/>
              </w:rPr>
            </w:pPr>
            <w:r>
              <w:rPr>
                <w:rFonts w:ascii="Times New Roman"/>
                <w:sz w:val="18"/>
              </w:rPr>
              <w:t>2.21%</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10,368,453</w:t>
            </w:r>
          </w:p>
        </w:tc>
        <w:tc>
          <w:tcPr>
            <w:tcW w:w="16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r>
      <w:tr>
        <w:trPr>
          <w:trHeight w:val="311"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深圳开道投资有限公司</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67" w:right="0"/>
              <w:jc w:val="left"/>
              <w:rPr>
                <w:rFonts w:ascii="Times New Roman" w:hAnsi="Times New Roman" w:cs="Times New Roman" w:eastAsia="Times New Roman" w:hint="default"/>
                <w:sz w:val="18"/>
                <w:szCs w:val="18"/>
              </w:rPr>
            </w:pPr>
            <w:r>
              <w:rPr>
                <w:rFonts w:ascii="Times New Roman"/>
                <w:sz w:val="18"/>
              </w:rPr>
              <w:t>0.61%</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z w:val="18"/>
              </w:rPr>
              <w:t>2,860,000</w:t>
            </w:r>
          </w:p>
        </w:tc>
        <w:tc>
          <w:tcPr>
            <w:tcW w:w="16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91" w:right="0"/>
              <w:jc w:val="left"/>
              <w:rPr>
                <w:rFonts w:ascii="Times New Roman" w:hAnsi="Times New Roman" w:cs="Times New Roman" w:eastAsia="Times New Roman" w:hint="default"/>
                <w:sz w:val="18"/>
                <w:szCs w:val="18"/>
              </w:rPr>
            </w:pPr>
            <w:r>
              <w:rPr>
                <w:rFonts w:ascii="Times New Roman"/>
                <w:sz w:val="18"/>
              </w:rPr>
              <w:t>2,860,000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z w:val="18"/>
              </w:rPr>
              <w:t>2,860,000</w:t>
            </w:r>
          </w:p>
        </w:tc>
      </w:tr>
      <w:tr>
        <w:trPr>
          <w:trHeight w:val="290"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中融国际信托有限公司－中融智德</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67" w:right="0"/>
              <w:jc w:val="left"/>
              <w:rPr>
                <w:rFonts w:ascii="Times New Roman" w:hAnsi="Times New Roman" w:cs="Times New Roman" w:eastAsia="Times New Roman" w:hint="default"/>
                <w:sz w:val="18"/>
                <w:szCs w:val="18"/>
              </w:rPr>
            </w:pPr>
            <w:r>
              <w:rPr>
                <w:rFonts w:ascii="Times New Roman"/>
                <w:sz w:val="18"/>
              </w:rPr>
              <w:t>0.58%</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2"/>
              <w:jc w:val="right"/>
              <w:rPr>
                <w:rFonts w:ascii="Times New Roman" w:hAnsi="Times New Roman" w:cs="Times New Roman" w:eastAsia="Times New Roman" w:hint="default"/>
                <w:sz w:val="18"/>
                <w:szCs w:val="18"/>
              </w:rPr>
            </w:pPr>
            <w:r>
              <w:rPr>
                <w:rFonts w:ascii="Times New Roman"/>
                <w:sz w:val="18"/>
              </w:rPr>
              <w:t>2,745,465</w:t>
            </w:r>
          </w:p>
        </w:tc>
        <w:tc>
          <w:tcPr>
            <w:tcW w:w="16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2"/>
              <w:jc w:val="right"/>
              <w:rPr>
                <w:rFonts w:ascii="Times New Roman" w:hAnsi="Times New Roman" w:cs="Times New Roman" w:eastAsia="Times New Roman" w:hint="default"/>
                <w:sz w:val="18"/>
                <w:szCs w:val="18"/>
              </w:rPr>
            </w:pPr>
            <w:r>
              <w:rPr>
                <w:rFonts w:ascii="Times New Roman"/>
                <w:sz w:val="18"/>
              </w:rPr>
              <w:t>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1"/>
              <w:jc w:val="right"/>
              <w:rPr>
                <w:rFonts w:ascii="Times New Roman" w:hAnsi="Times New Roman" w:cs="Times New Roman" w:eastAsia="Times New Roman" w:hint="default"/>
                <w:sz w:val="18"/>
                <w:szCs w:val="18"/>
              </w:rPr>
            </w:pPr>
            <w:r>
              <w:rPr>
                <w:rFonts w:ascii="Times New Roman"/>
                <w:sz w:val="18"/>
              </w:rPr>
              <w:t>0</w:t>
            </w:r>
          </w:p>
        </w:tc>
      </w:tr>
      <w:tr>
        <w:trPr>
          <w:trHeight w:val="311"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陈臻</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67" w:right="0"/>
              <w:jc w:val="left"/>
              <w:rPr>
                <w:rFonts w:ascii="Times New Roman" w:hAnsi="Times New Roman" w:cs="Times New Roman" w:eastAsia="Times New Roman" w:hint="default"/>
                <w:sz w:val="18"/>
                <w:szCs w:val="18"/>
              </w:rPr>
            </w:pPr>
            <w:r>
              <w:rPr>
                <w:rFonts w:ascii="Times New Roman"/>
                <w:sz w:val="18"/>
              </w:rPr>
              <w:t>0.55%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z w:val="18"/>
              </w:rPr>
              <w:t>2,594,800</w:t>
            </w:r>
          </w:p>
        </w:tc>
        <w:tc>
          <w:tcPr>
            <w:tcW w:w="16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z w:val="18"/>
              </w:rPr>
              <w:t>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z w:val="18"/>
              </w:rPr>
              <w:t>0</w:t>
            </w:r>
          </w:p>
        </w:tc>
      </w:tr>
      <w:tr>
        <w:trPr>
          <w:trHeight w:val="310"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深圳机场侯机楼有限公司</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67" w:right="0"/>
              <w:jc w:val="left"/>
              <w:rPr>
                <w:rFonts w:ascii="Times New Roman" w:hAnsi="Times New Roman" w:cs="Times New Roman" w:eastAsia="Times New Roman" w:hint="default"/>
                <w:sz w:val="18"/>
                <w:szCs w:val="18"/>
              </w:rPr>
            </w:pPr>
            <w:r>
              <w:rPr>
                <w:rFonts w:ascii="Times New Roman"/>
                <w:sz w:val="18"/>
              </w:rPr>
              <w:t>0.46%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z w:val="18"/>
              </w:rPr>
              <w:t>2,145,000</w:t>
            </w:r>
          </w:p>
        </w:tc>
        <w:tc>
          <w:tcPr>
            <w:tcW w:w="16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91" w:right="0"/>
              <w:jc w:val="left"/>
              <w:rPr>
                <w:rFonts w:ascii="Times New Roman" w:hAnsi="Times New Roman" w:cs="Times New Roman" w:eastAsia="Times New Roman" w:hint="default"/>
                <w:sz w:val="18"/>
                <w:szCs w:val="18"/>
              </w:rPr>
            </w:pPr>
            <w:r>
              <w:rPr>
                <w:rFonts w:ascii="Times New Roman"/>
                <w:sz w:val="18"/>
              </w:rPr>
              <w:t>2,145,000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z w:val="18"/>
              </w:rPr>
              <w:t>2,145,000</w:t>
            </w:r>
          </w:p>
        </w:tc>
      </w:tr>
      <w:tr>
        <w:trPr>
          <w:trHeight w:val="325"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尹英群</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67" w:right="0"/>
              <w:jc w:val="left"/>
              <w:rPr>
                <w:rFonts w:ascii="Times New Roman" w:hAnsi="Times New Roman" w:cs="Times New Roman" w:eastAsia="Times New Roman" w:hint="default"/>
                <w:sz w:val="18"/>
                <w:szCs w:val="18"/>
              </w:rPr>
            </w:pPr>
            <w:r>
              <w:rPr>
                <w:rFonts w:ascii="Times New Roman"/>
                <w:sz w:val="18"/>
              </w:rPr>
              <w:t>0.32%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z w:val="18"/>
              </w:rPr>
              <w:t>1,500,000</w:t>
            </w:r>
          </w:p>
        </w:tc>
        <w:tc>
          <w:tcPr>
            <w:tcW w:w="16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z w:val="18"/>
              </w:rPr>
              <w:t>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0</w:t>
            </w:r>
          </w:p>
        </w:tc>
      </w:tr>
      <w:tr>
        <w:trPr>
          <w:trHeight w:val="305"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东莞市万通实业投资有限公司</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367" w:right="0"/>
              <w:jc w:val="left"/>
              <w:rPr>
                <w:rFonts w:ascii="Times New Roman" w:hAnsi="Times New Roman" w:cs="Times New Roman" w:eastAsia="Times New Roman" w:hint="default"/>
                <w:sz w:val="18"/>
                <w:szCs w:val="18"/>
              </w:rPr>
            </w:pPr>
            <w:r>
              <w:rPr>
                <w:rFonts w:ascii="Times New Roman"/>
                <w:sz w:val="18"/>
              </w:rPr>
              <w:t>0.32%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z w:val="18"/>
              </w:rPr>
              <w:t>1,500,000</w:t>
            </w:r>
          </w:p>
        </w:tc>
        <w:tc>
          <w:tcPr>
            <w:tcW w:w="16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z w:val="18"/>
              </w:rPr>
              <w:t>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z w:val="18"/>
              </w:rPr>
              <w:t>0</w:t>
            </w:r>
          </w:p>
        </w:tc>
      </w:tr>
      <w:tr>
        <w:trPr>
          <w:trHeight w:val="62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142"/>
              <w:ind w:left="22" w:right="146"/>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中国工商银行－广发中证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指数 证券投资基金</w:t>
            </w:r>
            <w:r>
              <w:rPr>
                <w:rFonts w:ascii="Times New Roman" w:hAnsi="Times New Roman" w:cs="Times New Roman" w:eastAsia="Times New Roman" w:hint="default"/>
                <w:sz w:val="18"/>
                <w:szCs w:val="18"/>
              </w:rPr>
              <w:t>(LOF)</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left="367" w:right="0"/>
              <w:jc w:val="left"/>
              <w:rPr>
                <w:rFonts w:ascii="Times New Roman" w:hAnsi="Times New Roman" w:cs="Times New Roman" w:eastAsia="Times New Roman" w:hint="default"/>
                <w:sz w:val="18"/>
                <w:szCs w:val="18"/>
              </w:rPr>
            </w:pPr>
            <w:r>
              <w:rPr>
                <w:rFonts w:ascii="Times New Roman"/>
                <w:sz w:val="18"/>
              </w:rPr>
              <w:t>0.31%</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1,458,313</w:t>
            </w:r>
          </w:p>
        </w:tc>
        <w:tc>
          <w:tcPr>
            <w:tcW w:w="16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325" w:hRule="exact"/>
        </w:trPr>
        <w:tc>
          <w:tcPr>
            <w:tcW w:w="9713"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47"/>
                <w:sz w:val="21"/>
                <w:szCs w:val="21"/>
              </w:rPr>
              <w:t>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名无限售条件股东持股情况</w:t>
            </w:r>
          </w:p>
        </w:tc>
      </w:tr>
      <w:tr>
        <w:trPr>
          <w:trHeight w:val="310" w:hRule="exact"/>
        </w:trPr>
        <w:tc>
          <w:tcPr>
            <w:tcW w:w="4544"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394"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7" w:lineRule="exact"/>
              <w:ind w:left="32"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77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325" w:hRule="exact"/>
        </w:trPr>
        <w:tc>
          <w:tcPr>
            <w:tcW w:w="45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深圳市东鸿信投资发展有限公司</w:t>
            </w:r>
          </w:p>
        </w:tc>
        <w:tc>
          <w:tcPr>
            <w:tcW w:w="23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86" w:right="0"/>
              <w:jc w:val="left"/>
              <w:rPr>
                <w:rFonts w:ascii="Times New Roman" w:hAnsi="Times New Roman" w:cs="Times New Roman" w:eastAsia="Times New Roman" w:hint="default"/>
                <w:sz w:val="18"/>
                <w:szCs w:val="18"/>
              </w:rPr>
            </w:pPr>
            <w:r>
              <w:rPr>
                <w:rFonts w:ascii="Times New Roman"/>
                <w:sz w:val="18"/>
              </w:rPr>
              <w:t>50,781,534</w:t>
            </w:r>
          </w:p>
        </w:tc>
        <w:tc>
          <w:tcPr>
            <w:tcW w:w="27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10" w:hRule="exact"/>
        </w:trPr>
        <w:tc>
          <w:tcPr>
            <w:tcW w:w="45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中国宝安集团控股有限公司</w:t>
            </w:r>
          </w:p>
        </w:tc>
        <w:tc>
          <w:tcPr>
            <w:tcW w:w="23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86" w:right="0"/>
              <w:jc w:val="left"/>
              <w:rPr>
                <w:rFonts w:ascii="Times New Roman" w:hAnsi="Times New Roman" w:cs="Times New Roman" w:eastAsia="Times New Roman" w:hint="default"/>
                <w:sz w:val="18"/>
                <w:szCs w:val="18"/>
              </w:rPr>
            </w:pPr>
            <w:r>
              <w:rPr>
                <w:rFonts w:ascii="Times New Roman"/>
                <w:sz w:val="18"/>
              </w:rPr>
              <w:t>22,962,319</w:t>
            </w:r>
          </w:p>
        </w:tc>
        <w:tc>
          <w:tcPr>
            <w:tcW w:w="27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4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5" w:hRule="exact"/>
        </w:trPr>
        <w:tc>
          <w:tcPr>
            <w:tcW w:w="45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深圳市正中投资发展有限公司</w:t>
            </w:r>
          </w:p>
        </w:tc>
        <w:tc>
          <w:tcPr>
            <w:tcW w:w="23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86" w:right="0"/>
              <w:jc w:val="left"/>
              <w:rPr>
                <w:rFonts w:ascii="Times New Roman" w:hAnsi="Times New Roman" w:cs="Times New Roman" w:eastAsia="Times New Roman" w:hint="default"/>
                <w:sz w:val="18"/>
                <w:szCs w:val="18"/>
              </w:rPr>
            </w:pPr>
            <w:r>
              <w:rPr>
                <w:rFonts w:ascii="Times New Roman"/>
                <w:sz w:val="18"/>
              </w:rPr>
              <w:t>10,368,453</w:t>
            </w:r>
          </w:p>
        </w:tc>
        <w:tc>
          <w:tcPr>
            <w:tcW w:w="27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10" w:hRule="exact"/>
        </w:trPr>
        <w:tc>
          <w:tcPr>
            <w:tcW w:w="45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中融国际信托有限公司－中融智德证券投资</w:t>
            </w:r>
          </w:p>
        </w:tc>
        <w:tc>
          <w:tcPr>
            <w:tcW w:w="23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2,745,465</w:t>
            </w:r>
          </w:p>
        </w:tc>
        <w:tc>
          <w:tcPr>
            <w:tcW w:w="27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4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5" w:hRule="exact"/>
        </w:trPr>
        <w:tc>
          <w:tcPr>
            <w:tcW w:w="45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陈臻</w:t>
            </w:r>
          </w:p>
        </w:tc>
        <w:tc>
          <w:tcPr>
            <w:tcW w:w="23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2,594,800</w:t>
            </w:r>
          </w:p>
        </w:tc>
        <w:tc>
          <w:tcPr>
            <w:tcW w:w="27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11" w:hRule="exact"/>
        </w:trPr>
        <w:tc>
          <w:tcPr>
            <w:tcW w:w="45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尹英群</w:t>
            </w:r>
          </w:p>
        </w:tc>
        <w:tc>
          <w:tcPr>
            <w:tcW w:w="23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1,500,000</w:t>
            </w:r>
          </w:p>
        </w:tc>
        <w:tc>
          <w:tcPr>
            <w:tcW w:w="27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4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45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东莞市万通实业投资有限公司</w:t>
            </w:r>
          </w:p>
        </w:tc>
        <w:tc>
          <w:tcPr>
            <w:tcW w:w="23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1,500,000</w:t>
            </w:r>
          </w:p>
        </w:tc>
        <w:tc>
          <w:tcPr>
            <w:tcW w:w="27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4" w:hRule="exact"/>
        </w:trPr>
        <w:tc>
          <w:tcPr>
            <w:tcW w:w="45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中国工商银行－广发中证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指数证券投资基金</w:t>
            </w:r>
            <w:r>
              <w:rPr>
                <w:rFonts w:ascii="Times New Roman" w:hAnsi="Times New Roman" w:cs="Times New Roman" w:eastAsia="Times New Roman" w:hint="default"/>
                <w:sz w:val="18"/>
                <w:szCs w:val="18"/>
              </w:rPr>
              <w:t>(LOF)</w:t>
            </w:r>
          </w:p>
        </w:tc>
        <w:tc>
          <w:tcPr>
            <w:tcW w:w="23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Times New Roman"/>
                <w:sz w:val="18"/>
              </w:rPr>
              <w:t>1,458,313</w:t>
            </w:r>
          </w:p>
        </w:tc>
        <w:tc>
          <w:tcPr>
            <w:tcW w:w="27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5" w:hRule="exact"/>
        </w:trPr>
        <w:tc>
          <w:tcPr>
            <w:tcW w:w="45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王清泽</w:t>
            </w:r>
          </w:p>
        </w:tc>
        <w:tc>
          <w:tcPr>
            <w:tcW w:w="23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1,152,572</w:t>
            </w:r>
          </w:p>
        </w:tc>
        <w:tc>
          <w:tcPr>
            <w:tcW w:w="27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10" w:hRule="exact"/>
        </w:trPr>
        <w:tc>
          <w:tcPr>
            <w:tcW w:w="45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王建华</w:t>
            </w:r>
          </w:p>
        </w:tc>
        <w:tc>
          <w:tcPr>
            <w:tcW w:w="23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1,110,300</w:t>
            </w:r>
          </w:p>
        </w:tc>
        <w:tc>
          <w:tcPr>
            <w:tcW w:w="27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4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955" w:hRule="exact"/>
        </w:trPr>
        <w:tc>
          <w:tcPr>
            <w:tcW w:w="27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黑体" w:hAnsi="黑体" w:cs="黑体" w:eastAsia="黑体" w:hint="default"/>
                <w:sz w:val="14"/>
                <w:szCs w:val="14"/>
              </w:rPr>
            </w:pPr>
          </w:p>
          <w:p>
            <w:pPr>
              <w:pStyle w:val="TableParagraph"/>
              <w:spacing w:line="272" w:lineRule="exact"/>
              <w:ind w:left="22" w:right="17"/>
              <w:jc w:val="left"/>
              <w:rPr>
                <w:rFonts w:ascii="宋体" w:hAnsi="宋体" w:cs="宋体" w:eastAsia="宋体" w:hint="default"/>
                <w:sz w:val="21"/>
                <w:szCs w:val="21"/>
              </w:rPr>
            </w:pPr>
            <w:r>
              <w:rPr>
                <w:rFonts w:ascii="宋体" w:hAnsi="宋体" w:cs="宋体" w:eastAsia="宋体" w:hint="default"/>
                <w:spacing w:val="13"/>
                <w:sz w:val="21"/>
                <w:szCs w:val="21"/>
              </w:rPr>
              <w:t>上述股东关联关系或一致行</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动的说明</w:t>
            </w:r>
          </w:p>
        </w:tc>
        <w:tc>
          <w:tcPr>
            <w:tcW w:w="697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35" w:lineRule="exact"/>
              <w:ind w:left="28" w:right="0"/>
              <w:jc w:val="left"/>
              <w:rPr>
                <w:rFonts w:ascii="宋体" w:hAnsi="宋体" w:cs="宋体" w:eastAsia="宋体" w:hint="default"/>
                <w:sz w:val="18"/>
                <w:szCs w:val="18"/>
              </w:rPr>
            </w:pPr>
            <w:r>
              <w:rPr>
                <w:rFonts w:ascii="宋体" w:hAnsi="宋体" w:cs="宋体" w:eastAsia="宋体" w:hint="default"/>
                <w:sz w:val="18"/>
                <w:szCs w:val="18"/>
              </w:rPr>
              <w:t>截止报告期末，尚未获悉前十名股东之间、前十名无限售条件流通股股东之间，以及前</w:t>
            </w:r>
          </w:p>
          <w:p>
            <w:pPr>
              <w:pStyle w:val="TableParagraph"/>
              <w:spacing w:line="241" w:lineRule="exact"/>
              <w:ind w:left="28"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名无限售条件流通股股东和前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名股东之间是否存在关联关系，亦尚未获悉是否属于</w:t>
            </w:r>
          </w:p>
          <w:p>
            <w:pPr>
              <w:pStyle w:val="TableParagraph"/>
              <w:spacing w:line="228" w:lineRule="exact"/>
              <w:ind w:left="28" w:right="0"/>
              <w:jc w:val="left"/>
              <w:rPr>
                <w:rFonts w:ascii="宋体" w:hAnsi="宋体" w:cs="宋体" w:eastAsia="宋体" w:hint="default"/>
                <w:sz w:val="18"/>
                <w:szCs w:val="18"/>
              </w:rPr>
            </w:pPr>
            <w:r>
              <w:rPr>
                <w:rFonts w:ascii="宋体" w:hAnsi="宋体" w:cs="宋体" w:eastAsia="宋体" w:hint="default"/>
                <w:sz w:val="18"/>
                <w:szCs w:val="18"/>
              </w:rPr>
              <w:t>《上市公司收购管理办法》规定的一致行动人。</w:t>
            </w:r>
          </w:p>
        </w:tc>
      </w:tr>
    </w:tbl>
    <w:p>
      <w:pPr>
        <w:spacing w:after="0" w:line="228" w:lineRule="exact"/>
        <w:jc w:val="left"/>
        <w:rPr>
          <w:rFonts w:ascii="宋体" w:hAnsi="宋体" w:cs="宋体" w:eastAsia="宋体" w:hint="default"/>
          <w:sz w:val="18"/>
          <w:szCs w:val="18"/>
        </w:rPr>
        <w:sectPr>
          <w:pgSz w:w="11900" w:h="16840"/>
          <w:pgMar w:header="0" w:footer="939" w:top="1440" w:bottom="1180" w:left="1200" w:right="760"/>
        </w:sectPr>
      </w:pPr>
    </w:p>
    <w:p>
      <w:pPr>
        <w:pStyle w:val="BodyText"/>
        <w:spacing w:line="240" w:lineRule="auto" w:before="22"/>
        <w:ind w:right="0"/>
        <w:jc w:val="left"/>
        <w:rPr>
          <w:rFonts w:ascii="黑体" w:hAnsi="黑体" w:cs="黑体" w:eastAsia="黑体" w:hint="default"/>
        </w:rPr>
      </w:pPr>
      <w:r>
        <w:rPr>
          <w:rFonts w:ascii="黑体" w:hAnsi="黑体" w:cs="黑体" w:eastAsia="黑体" w:hint="default"/>
        </w:rPr>
        <w:t>（二）本公司控股股东及实际控制人情况介绍</w:t>
      </w:r>
    </w:p>
    <w:p>
      <w:pPr>
        <w:pStyle w:val="BodyText"/>
        <w:spacing w:line="240" w:lineRule="auto" w:before="117"/>
        <w:ind w:left="610" w:right="0"/>
        <w:jc w:val="left"/>
      </w:pPr>
      <w:r>
        <w:rPr/>
        <w:t>公司不存在控股股东及实际控制人。</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240" w:lineRule="auto"/>
        <w:ind w:right="0"/>
        <w:jc w:val="left"/>
        <w:rPr>
          <w:rFonts w:ascii="黑体" w:hAnsi="黑体" w:cs="黑体" w:eastAsia="黑体" w:hint="default"/>
        </w:rPr>
      </w:pPr>
      <w:r>
        <w:rPr>
          <w:rFonts w:ascii="黑体" w:hAnsi="黑体" w:cs="黑体" w:eastAsia="黑体" w:hint="default"/>
        </w:rPr>
        <w:t>（三）报告期内，公司第一大股东变更情况</w:t>
      </w:r>
    </w:p>
    <w:p>
      <w:pPr>
        <w:pStyle w:val="BodyText"/>
        <w:spacing w:line="328" w:lineRule="auto" w:before="117"/>
        <w:ind w:right="104" w:firstLine="420"/>
        <w:jc w:val="both"/>
      </w:pPr>
      <w:r>
        <w:rPr>
          <w:spacing w:val="-3"/>
        </w:rPr>
        <w:t>报告期内，中国宝安集团控股有限公司持有本公司无限售条件流通股</w:t>
      </w:r>
      <w:r>
        <w:rPr>
          <w:rFonts w:ascii="Times New Roman" w:hAnsi="Times New Roman" w:cs="Times New Roman" w:eastAsia="Times New Roman" w:hint="default"/>
          <w:spacing w:val="-3"/>
        </w:rPr>
        <w:t>92,962,319</w:t>
      </w:r>
      <w:r>
        <w:rPr>
          <w:spacing w:val="-3"/>
        </w:rPr>
        <w:t>股，成为本</w:t>
      </w:r>
      <w:r>
        <w:rPr/>
        <w:t> </w:t>
      </w:r>
      <w:r>
        <w:rPr>
          <w:spacing w:val="-3"/>
        </w:rPr>
        <w:t>公司第一大股东（相关内容详见公司于</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11</w:t>
      </w:r>
      <w:r>
        <w:rPr>
          <w:spacing w:val="-3"/>
        </w:rPr>
        <w:t>日在《中国证券报》、《证券时报》、巨潮</w:t>
      </w:r>
      <w:r>
        <w:rPr>
          <w:spacing w:val="-79"/>
        </w:rPr>
        <w:t> </w:t>
      </w:r>
      <w:r>
        <w:rPr>
          <w:spacing w:val="-79"/>
        </w:rPr>
      </w:r>
      <w:r>
        <w:rPr/>
        <w:t>资讯网</w:t>
      </w:r>
      <w:hyperlink r:id="rId9">
        <w:r>
          <w:rPr>
            <w:rFonts w:ascii="Times New Roman" w:hAnsi="Times New Roman" w:cs="Times New Roman" w:eastAsia="Times New Roman" w:hint="default"/>
          </w:rPr>
          <w:t>www.cninfo.com.cn</w:t>
        </w:r>
      </w:hyperlink>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spacing w:val="-8"/>
        </w:rPr>
        <w:t>刊登的《中国宝安集团控股有限公司关于增持深鸿基股份的公告》）。</w:t>
      </w:r>
    </w:p>
    <w:p>
      <w:pPr>
        <w:pStyle w:val="BodyText"/>
        <w:spacing w:line="338" w:lineRule="auto" w:before="24"/>
        <w:ind w:left="716" w:right="2054"/>
        <w:jc w:val="left"/>
      </w:pPr>
      <w:r>
        <w:rPr/>
        <w:t>中国宝安集团控股有限公司基本情况如下： 注册地：深圳市罗湖区笋岗东路</w:t>
      </w:r>
      <w:r>
        <w:rPr>
          <w:spacing w:val="-54"/>
        </w:rPr>
        <w:t> </w:t>
      </w:r>
      <w:r>
        <w:rPr>
          <w:rFonts w:ascii="Times New Roman" w:hAnsi="Times New Roman" w:cs="Times New Roman" w:eastAsia="Times New Roman" w:hint="default"/>
        </w:rPr>
        <w:t>1002</w:t>
      </w:r>
      <w:r>
        <w:rPr>
          <w:rFonts w:ascii="Times New Roman" w:hAnsi="Times New Roman" w:cs="Times New Roman" w:eastAsia="Times New Roman" w:hint="default"/>
          <w:spacing w:val="-1"/>
        </w:rPr>
        <w:t> </w:t>
      </w:r>
      <w:r>
        <w:rPr/>
        <w:t>号宝安广场</w:t>
      </w:r>
      <w:r>
        <w:rPr>
          <w:spacing w:val="-54"/>
        </w:rPr>
        <w:t> </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座</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层</w:t>
      </w:r>
      <w:r>
        <w:rPr>
          <w:spacing w:val="-54"/>
        </w:rPr>
        <w:t> </w:t>
      </w:r>
      <w:r>
        <w:rPr>
          <w:rFonts w:ascii="Times New Roman" w:hAnsi="Times New Roman" w:cs="Times New Roman" w:eastAsia="Times New Roman" w:hint="default"/>
        </w:rPr>
        <w:t>2803</w:t>
      </w:r>
      <w:r>
        <w:rPr>
          <w:rFonts w:ascii="Times New Roman" w:hAnsi="Times New Roman" w:cs="Times New Roman" w:eastAsia="Times New Roman" w:hint="default"/>
          <w:spacing w:val="-1"/>
        </w:rPr>
        <w:t> </w:t>
      </w:r>
      <w:r>
        <w:rPr/>
        <w:t>房 法定代表人：钟征宇</w:t>
      </w:r>
    </w:p>
    <w:p>
      <w:pPr>
        <w:pStyle w:val="BodyText"/>
        <w:spacing w:line="328" w:lineRule="auto" w:before="40"/>
        <w:ind w:left="716" w:right="3512"/>
        <w:jc w:val="left"/>
      </w:pPr>
      <w:r>
        <w:rPr/>
        <w:t>注册资本：</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 </w:t>
      </w:r>
      <w:r>
        <w:rPr>
          <w:spacing w:val="-1"/>
        </w:rPr>
        <w:t>企业法人营业执照注册号：</w:t>
      </w:r>
      <w:r>
        <w:rPr>
          <w:rFonts w:ascii="Times New Roman" w:hAnsi="Times New Roman" w:cs="Times New Roman" w:eastAsia="Times New Roman" w:hint="default"/>
          <w:spacing w:val="-1"/>
        </w:rPr>
        <w:t>440301102744255</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企业类型及经济性质：有限责任公司</w:t>
      </w:r>
    </w:p>
    <w:p>
      <w:pPr>
        <w:pStyle w:val="BodyText"/>
        <w:spacing w:line="348" w:lineRule="auto" w:before="48"/>
        <w:ind w:right="0" w:firstLine="525"/>
        <w:jc w:val="left"/>
      </w:pPr>
      <w:r>
        <w:rPr>
          <w:spacing w:val="-3"/>
        </w:rPr>
        <w:t>主要经营范围：科技项目投资及开发；金属材料，建筑材料，五金矿产品，机电产品，土</w:t>
      </w:r>
      <w:r>
        <w:rPr/>
        <w:t> 特产品的购销（不含专营、专卖、专控商品）</w:t>
      </w:r>
    </w:p>
    <w:p>
      <w:pPr>
        <w:pStyle w:val="BodyText"/>
        <w:spacing w:line="331" w:lineRule="auto" w:before="30"/>
        <w:ind w:left="716" w:right="838"/>
        <w:jc w:val="left"/>
      </w:pPr>
      <w:r>
        <w:rPr/>
        <w:t>经营期限：</w:t>
      </w:r>
      <w:r>
        <w:rPr>
          <w:rFonts w:ascii="Times New Roman" w:hAnsi="Times New Roman" w:cs="Times New Roman" w:eastAsia="Times New Roman" w:hint="default"/>
        </w:rPr>
        <w:t>1993</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日至</w:t>
      </w:r>
      <w:r>
        <w:rPr>
          <w:spacing w:val="-55"/>
        </w:rPr>
        <w:t> </w:t>
      </w:r>
      <w:r>
        <w:rPr>
          <w:rFonts w:ascii="Times New Roman" w:hAnsi="Times New Roman" w:cs="Times New Roman" w:eastAsia="Times New Roman" w:hint="default"/>
        </w:rPr>
        <w:t>2047</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 税务登记证号码：</w:t>
      </w:r>
      <w:r>
        <w:rPr>
          <w:rFonts w:ascii="Times New Roman" w:hAnsi="Times New Roman" w:cs="Times New Roman" w:eastAsia="Times New Roman" w:hint="default"/>
        </w:rPr>
        <w:t>440300220568546 </w:t>
      </w:r>
      <w:r>
        <w:rPr>
          <w:spacing w:val="-3"/>
        </w:rPr>
        <w:t>主要股东名称：中国宝安集团股份有限公司（</w:t>
      </w:r>
      <w:r>
        <w:rPr>
          <w:rFonts w:ascii="Times New Roman" w:hAnsi="Times New Roman" w:cs="Times New Roman" w:eastAsia="Times New Roman" w:hint="default"/>
          <w:spacing w:val="-3"/>
        </w:rPr>
        <w:t>80</w:t>
      </w:r>
      <w:r>
        <w:rPr>
          <w:spacing w:val="-3"/>
        </w:rPr>
        <w:t>％）、唐人控股有限公司（</w:t>
      </w:r>
      <w:r>
        <w:rPr>
          <w:rFonts w:ascii="Times New Roman" w:hAnsi="Times New Roman" w:cs="Times New Roman" w:eastAsia="Times New Roman" w:hint="default"/>
          <w:spacing w:val="-3"/>
        </w:rPr>
        <w:t>20</w:t>
      </w:r>
      <w:r>
        <w:rPr>
          <w:spacing w:val="-3"/>
        </w:rPr>
        <w:t>％）</w:t>
      </w:r>
      <w:r>
        <w:rPr>
          <w:spacing w:val="-99"/>
        </w:rPr>
        <w:t> </w:t>
      </w:r>
      <w:r>
        <w:rPr/>
        <w:t>通讯方式：深圳市罗湖区笋岗东路</w:t>
      </w:r>
      <w:r>
        <w:rPr>
          <w:rFonts w:ascii="Times New Roman" w:hAnsi="Times New Roman" w:cs="Times New Roman" w:eastAsia="Times New Roman" w:hint="default"/>
        </w:rPr>
        <w:t>1002</w:t>
      </w:r>
      <w:r>
        <w:rPr/>
        <w:t>号宝安广场</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28</w:t>
      </w:r>
      <w:r>
        <w:rPr/>
        <w:t>层</w:t>
      </w:r>
      <w:r>
        <w:rPr>
          <w:rFonts w:ascii="Times New Roman" w:hAnsi="Times New Roman" w:cs="Times New Roman" w:eastAsia="Times New Roman" w:hint="default"/>
        </w:rPr>
        <w:t>2803</w:t>
      </w:r>
      <w:r>
        <w:rPr/>
        <w:t>房</w:t>
      </w:r>
    </w:p>
    <w:p>
      <w:pPr>
        <w:spacing w:line="240" w:lineRule="auto" w:before="9"/>
        <w:rPr>
          <w:rFonts w:ascii="宋体" w:hAnsi="宋体" w:cs="宋体" w:eastAsia="宋体" w:hint="default"/>
          <w:sz w:val="29"/>
          <w:szCs w:val="29"/>
        </w:rPr>
      </w:pPr>
    </w:p>
    <w:p>
      <w:pPr>
        <w:pStyle w:val="BodyText"/>
        <w:spacing w:line="333" w:lineRule="auto"/>
        <w:ind w:left="610" w:right="3512" w:hanging="420"/>
        <w:jc w:val="left"/>
      </w:pPr>
      <w:r>
        <w:rPr>
          <w:rFonts w:ascii="黑体" w:hAnsi="黑体" w:cs="黑体" w:eastAsia="黑体" w:hint="default"/>
        </w:rPr>
        <w:t>（四）公司其他持股</w:t>
      </w:r>
      <w:r>
        <w:rPr>
          <w:rFonts w:ascii="黑体" w:hAnsi="黑体" w:cs="黑体" w:eastAsia="黑体" w:hint="default"/>
          <w:spacing w:val="-54"/>
        </w:rPr>
        <w:t> </w:t>
      </w:r>
      <w:r>
        <w:rPr>
          <w:rFonts w:ascii="Times New Roman" w:hAnsi="Times New Roman" w:cs="Times New Roman" w:eastAsia="Times New Roman" w:hint="default"/>
        </w:rPr>
        <w:t>10%</w:t>
      </w:r>
      <w:r>
        <w:rPr>
          <w:rFonts w:ascii="黑体" w:hAnsi="黑体" w:cs="黑体" w:eastAsia="黑体" w:hint="default"/>
        </w:rPr>
        <w:t>以上（含</w:t>
      </w:r>
      <w:r>
        <w:rPr>
          <w:rFonts w:ascii="黑体" w:hAnsi="黑体" w:cs="黑体" w:eastAsia="黑体" w:hint="default"/>
          <w:spacing w:val="-54"/>
        </w:rPr>
        <w:t> </w:t>
      </w:r>
      <w:r>
        <w:rPr>
          <w:rFonts w:ascii="Times New Roman" w:hAnsi="Times New Roman" w:cs="Times New Roman" w:eastAsia="Times New Roman" w:hint="default"/>
        </w:rPr>
        <w:t>10%</w:t>
      </w:r>
      <w:r>
        <w:rPr>
          <w:rFonts w:ascii="黑体" w:hAnsi="黑体" w:cs="黑体" w:eastAsia="黑体" w:hint="default"/>
        </w:rPr>
        <w:t>）的法人股东 </w:t>
      </w:r>
      <w:r>
        <w:rPr/>
        <w:t>名称：深圳市东鸿信投资发展有限公司 成立日期：</w:t>
      </w:r>
      <w:r>
        <w:rPr>
          <w:rFonts w:ascii="Times New Roman" w:hAnsi="Times New Roman" w:cs="Times New Roman" w:eastAsia="Times New Roman" w:hint="default"/>
        </w:rPr>
        <w:t>1999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 注册地：深圳市罗湖区东门中路</w:t>
      </w:r>
      <w:r>
        <w:rPr>
          <w:spacing w:val="-54"/>
        </w:rPr>
        <w:t> </w:t>
      </w:r>
      <w:r>
        <w:rPr>
          <w:rFonts w:ascii="Times New Roman" w:hAnsi="Times New Roman" w:cs="Times New Roman" w:eastAsia="Times New Roman" w:hint="default"/>
        </w:rPr>
        <w:t>1011#</w:t>
      </w:r>
      <w:r>
        <w:rPr/>
        <w:t>鸿基大厦</w:t>
      </w:r>
      <w:r>
        <w:rPr>
          <w:spacing w:val="-55"/>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层 法定代表人：颜金辉</w:t>
      </w:r>
    </w:p>
    <w:p>
      <w:pPr>
        <w:pStyle w:val="BodyText"/>
        <w:spacing w:line="331" w:lineRule="auto" w:before="43"/>
        <w:ind w:left="610" w:right="5768"/>
        <w:jc w:val="left"/>
      </w:pPr>
      <w:r>
        <w:rPr/>
        <w:t>注册资本：人民币</w:t>
      </w:r>
      <w:r>
        <w:rPr>
          <w:spacing w:val="-54"/>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t>万元 企业类型：有限责任公司</w:t>
      </w:r>
    </w:p>
    <w:p>
      <w:pPr>
        <w:pStyle w:val="BodyText"/>
        <w:spacing w:line="348" w:lineRule="auto" w:before="45"/>
        <w:ind w:left="1660" w:right="200" w:hanging="1050"/>
        <w:jc w:val="left"/>
      </w:pPr>
      <w:r>
        <w:rPr/>
        <w:t>经营范围：投资兴办实业；国内商业、物资供销业；电脑及外部设备、通讯设备、生物工</w:t>
      </w:r>
      <w:r>
        <w:rPr>
          <w:spacing w:val="-99"/>
        </w:rPr>
        <w:t> </w:t>
      </w:r>
      <w:r>
        <w:rPr>
          <w:spacing w:val="-99"/>
        </w:rPr>
      </w:r>
      <w:r>
        <w:rPr/>
        <w:t>程的技术开发</w:t>
      </w:r>
    </w:p>
    <w:p>
      <w:pPr>
        <w:pStyle w:val="BodyText"/>
        <w:spacing w:line="328" w:lineRule="auto" w:before="31"/>
        <w:ind w:left="610" w:right="4401"/>
        <w:jc w:val="left"/>
        <w:rPr>
          <w:rFonts w:ascii="Times New Roman" w:hAnsi="Times New Roman" w:cs="Times New Roman" w:eastAsia="Times New Roman" w:hint="default"/>
        </w:rPr>
      </w:pPr>
      <w:r>
        <w:rPr>
          <w:spacing w:val="-1"/>
        </w:rPr>
        <w:t>税务登记证号码：</w:t>
      </w:r>
      <w:r>
        <w:rPr>
          <w:rFonts w:ascii="Times New Roman" w:hAnsi="Times New Roman" w:cs="Times New Roman" w:eastAsia="Times New Roman" w:hint="default"/>
          <w:spacing w:val="-1"/>
        </w:rPr>
        <w:t>440300715220621</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t>企业注册号：</w:t>
      </w:r>
      <w:r>
        <w:rPr>
          <w:rFonts w:ascii="Times New Roman" w:hAnsi="Times New Roman" w:cs="Times New Roman" w:eastAsia="Times New Roman" w:hint="default"/>
        </w:rPr>
        <w:t>440301103425527</w:t>
      </w:r>
    </w:p>
    <w:p>
      <w:pPr>
        <w:pStyle w:val="BodyText"/>
        <w:spacing w:line="331" w:lineRule="auto" w:before="23"/>
        <w:ind w:left="1660" w:right="1915" w:hanging="1050"/>
        <w:jc w:val="left"/>
      </w:pPr>
      <w:r>
        <w:rPr/>
        <w:t>主要股东：深圳市鸿基（集团）股份有限公司工会工作委员会（</w:t>
      </w:r>
      <w:r>
        <w:rPr>
          <w:rFonts w:ascii="Times New Roman" w:hAnsi="Times New Roman" w:cs="Times New Roman" w:eastAsia="Times New Roman" w:hint="default"/>
        </w:rPr>
        <w:t>50%</w:t>
      </w:r>
      <w:r>
        <w:rPr/>
        <w:t>） 深圳市多智能投资有限公司（</w:t>
      </w:r>
      <w:r>
        <w:rPr>
          <w:rFonts w:ascii="Times New Roman" w:hAnsi="Times New Roman" w:cs="Times New Roman" w:eastAsia="Times New Roman" w:hint="default"/>
        </w:rPr>
        <w:t>50%</w:t>
      </w:r>
      <w:r>
        <w:rPr/>
        <w:t>）</w:t>
      </w:r>
    </w:p>
    <w:p>
      <w:pPr>
        <w:pStyle w:val="BodyText"/>
        <w:spacing w:line="240" w:lineRule="auto" w:before="20"/>
        <w:ind w:left="610" w:right="0"/>
        <w:jc w:val="left"/>
      </w:pPr>
      <w:r>
        <w:rPr/>
        <w:t>通讯地址：深圳市罗湖区晒布路二号鸿基综合楼八楼</w:t>
      </w:r>
    </w:p>
    <w:p>
      <w:pPr>
        <w:spacing w:after="0" w:line="240" w:lineRule="auto"/>
        <w:jc w:val="left"/>
        <w:sectPr>
          <w:pgSz w:w="11900" w:h="16840"/>
          <w:pgMar w:header="0" w:footer="939" w:top="1460" w:bottom="1180" w:left="1680" w:right="1200"/>
        </w:sectPr>
      </w:pPr>
    </w:p>
    <w:p>
      <w:pPr>
        <w:pStyle w:val="BodyText"/>
        <w:spacing w:line="240" w:lineRule="auto" w:before="22"/>
        <w:ind w:left="990" w:right="1862"/>
        <w:jc w:val="left"/>
        <w:rPr>
          <w:rFonts w:ascii="黑体" w:hAnsi="黑体" w:cs="黑体" w:eastAsia="黑体" w:hint="default"/>
        </w:rPr>
      </w:pPr>
      <w:r>
        <w:rPr>
          <w:rFonts w:ascii="黑体" w:hAnsi="黑体" w:cs="黑体" w:eastAsia="黑体" w:hint="default"/>
        </w:rPr>
        <w:t>（五）公司第一大股东、第二大股东与公司的股权关系图</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pStyle w:val="BodyText"/>
        <w:tabs>
          <w:tab w:pos="1154" w:val="left" w:leader="none"/>
        </w:tabs>
        <w:spacing w:line="240" w:lineRule="auto" w:before="178"/>
        <w:ind w:left="0" w:right="1053"/>
        <w:jc w:val="right"/>
        <w:rPr>
          <w:rFonts w:ascii="黑体" w:hAnsi="黑体" w:cs="黑体" w:eastAsia="黑体" w:hint="default"/>
        </w:rPr>
      </w:pPr>
      <w:r>
        <w:rPr/>
        <w:pict>
          <v:shape style="position:absolute;margin-left:130.740005pt;margin-top:7.123987pt;width:81.1pt;height:35.2pt;mso-position-horizontal-relative:page;mso-position-vertical-relative:paragraph;z-index:1432" type="#_x0000_t202" filled="false" stroked="true" strokeweight=".75pt" strokecolor="#000000">
            <v:textbox inset="0,0,0,0">
              <w:txbxContent>
                <w:p>
                  <w:pPr>
                    <w:spacing w:line="246" w:lineRule="exact" w:before="59"/>
                    <w:ind w:left="130" w:right="128" w:firstLine="0"/>
                    <w:jc w:val="left"/>
                    <w:rPr>
                      <w:rFonts w:ascii="宋体" w:hAnsi="宋体" w:cs="宋体" w:eastAsia="宋体" w:hint="default"/>
                      <w:sz w:val="19"/>
                      <w:szCs w:val="19"/>
                    </w:rPr>
                  </w:pPr>
                  <w:r>
                    <w:rPr>
                      <w:rFonts w:ascii="宋体" w:hAnsi="宋体" w:cs="宋体" w:eastAsia="宋体" w:hint="default"/>
                      <w:spacing w:val="2"/>
                      <w:sz w:val="19"/>
                      <w:szCs w:val="19"/>
                    </w:rPr>
                    <w:t>深圳市富安控股</w:t>
                  </w:r>
                  <w:r>
                    <w:rPr>
                      <w:rFonts w:ascii="宋体" w:hAnsi="宋体" w:cs="宋体" w:eastAsia="宋体" w:hint="default"/>
                      <w:w w:val="99"/>
                      <w:sz w:val="19"/>
                      <w:szCs w:val="19"/>
                    </w:rPr>
                    <w:t> </w:t>
                  </w:r>
                  <w:r>
                    <w:rPr>
                      <w:rFonts w:ascii="宋体" w:hAnsi="宋体" w:cs="宋体" w:eastAsia="宋体" w:hint="default"/>
                      <w:sz w:val="19"/>
                      <w:szCs w:val="19"/>
                    </w:rPr>
                    <w:t>有限公司</w:t>
                  </w:r>
                </w:p>
              </w:txbxContent>
            </v:textbox>
            <w10:wrap type="none"/>
          </v:shape>
        </w:pict>
      </w:r>
      <w:r>
        <w:rPr/>
        <w:pict>
          <v:shape style="position:absolute;margin-left:219.899994pt;margin-top:7.123987pt;width:89.2pt;height:35.2pt;mso-position-horizontal-relative:page;mso-position-vertical-relative:paragraph;z-index:1456" type="#_x0000_t202" filled="false" stroked="true" strokeweight=".75pt" strokecolor="#000000">
            <v:textbox inset="0,0,0,0">
              <w:txbxContent>
                <w:p>
                  <w:pPr>
                    <w:spacing w:line="246" w:lineRule="exact" w:before="59"/>
                    <w:ind w:left="130" w:right="98" w:firstLine="0"/>
                    <w:jc w:val="left"/>
                    <w:rPr>
                      <w:rFonts w:ascii="宋体" w:hAnsi="宋体" w:cs="宋体" w:eastAsia="宋体" w:hint="default"/>
                      <w:sz w:val="19"/>
                      <w:szCs w:val="19"/>
                    </w:rPr>
                  </w:pPr>
                  <w:r>
                    <w:rPr>
                      <w:rFonts w:ascii="宋体" w:hAnsi="宋体" w:cs="宋体" w:eastAsia="宋体" w:hint="default"/>
                      <w:spacing w:val="25"/>
                      <w:sz w:val="19"/>
                      <w:szCs w:val="19"/>
                    </w:rPr>
                    <w:t>深圳市宝安区投</w:t>
                  </w:r>
                  <w:r>
                    <w:rPr>
                      <w:rFonts w:ascii="宋体" w:hAnsi="宋体" w:cs="宋体" w:eastAsia="宋体" w:hint="default"/>
                      <w:spacing w:val="-93"/>
                      <w:sz w:val="19"/>
                      <w:szCs w:val="19"/>
                    </w:rPr>
                    <w:t> </w:t>
                  </w:r>
                  <w:r>
                    <w:rPr>
                      <w:rFonts w:ascii="宋体" w:hAnsi="宋体" w:cs="宋体" w:eastAsia="宋体" w:hint="default"/>
                      <w:sz w:val="19"/>
                      <w:szCs w:val="19"/>
                    </w:rPr>
                    <w:t>资管理有限公司</w:t>
                  </w:r>
                </w:p>
              </w:txbxContent>
            </v:textbox>
            <w10:wrap type="none"/>
          </v:shape>
        </w:pict>
      </w:r>
      <w:r>
        <w:rPr>
          <w:rFonts w:ascii="黑体" w:hAnsi="黑体" w:cs="黑体" w:eastAsia="黑体" w:hint="default"/>
        </w:rPr>
        <w:t>黄小娅</w:t>
        <w:tab/>
        <w:t>张桂发</w:t>
      </w:r>
    </w:p>
    <w:p>
      <w:pPr>
        <w:spacing w:line="240" w:lineRule="auto" w:before="1"/>
        <w:rPr>
          <w:rFonts w:ascii="黑体" w:hAnsi="黑体" w:cs="黑体" w:eastAsia="黑体" w:hint="default"/>
          <w:sz w:val="23"/>
          <w:szCs w:val="23"/>
        </w:rPr>
      </w:pPr>
    </w:p>
    <w:p>
      <w:pPr>
        <w:spacing w:after="0" w:line="240" w:lineRule="auto"/>
        <w:rPr>
          <w:rFonts w:ascii="黑体" w:hAnsi="黑体" w:cs="黑体" w:eastAsia="黑体" w:hint="default"/>
          <w:sz w:val="23"/>
          <w:szCs w:val="23"/>
        </w:rPr>
        <w:sectPr>
          <w:pgSz w:w="11900" w:h="16840"/>
          <w:pgMar w:header="0" w:footer="939" w:top="1460" w:bottom="1180" w:left="880" w:right="400"/>
        </w:sectPr>
      </w:pPr>
    </w:p>
    <w:p>
      <w:pPr>
        <w:spacing w:line="240" w:lineRule="auto" w:before="7"/>
        <w:rPr>
          <w:rFonts w:ascii="黑体" w:hAnsi="黑体" w:cs="黑体" w:eastAsia="黑体" w:hint="default"/>
          <w:sz w:val="22"/>
          <w:szCs w:val="22"/>
        </w:rPr>
      </w:pPr>
    </w:p>
    <w:p>
      <w:pPr>
        <w:tabs>
          <w:tab w:pos="4133" w:val="left" w:leader="none"/>
        </w:tabs>
        <w:spacing w:before="0"/>
        <w:ind w:left="2188" w:right="-20" w:firstLine="0"/>
        <w:jc w:val="left"/>
        <w:rPr>
          <w:rFonts w:ascii="Times New Roman" w:hAnsi="Times New Roman" w:cs="Times New Roman" w:eastAsia="Times New Roman" w:hint="default"/>
          <w:sz w:val="19"/>
          <w:szCs w:val="19"/>
        </w:rPr>
      </w:pPr>
      <w:r>
        <w:rPr/>
        <w:pict>
          <v:group style="position:absolute;margin-left:241.199997pt;margin-top:-10.570557pt;width:6pt;height:42.5pt;mso-position-horizontal-relative:page;mso-position-vertical-relative:paragraph;z-index:-810544" coordorigin="4824,-211" coordsize="120,850">
            <v:shape style="position:absolute;left:4824;top:-211;width:120;height:850" coordorigin="4824,-211" coordsize="120,850" path="m4877,518l4824,518,4884,638,4930,546,4884,546,4879,543,4877,539,4877,518xe" filled="true" fillcolor="#000000" stroked="false">
              <v:path arrowok="t"/>
              <v:fill type="solid"/>
            </v:shape>
            <v:shape style="position:absolute;left:4824;top:-211;width:120;height:850" coordorigin="4824,-211" coordsize="120,850" path="m4884,-211l4879,-210,4877,-204,4877,539,4879,543,4884,546,4889,543,4891,539,4891,-204,4889,-210,4884,-211xe" filled="true" fillcolor="#000000" stroked="false">
              <v:path arrowok="t"/>
              <v:fill type="solid"/>
            </v:shape>
            <v:shape style="position:absolute;left:4824;top:-211;width:120;height:850" coordorigin="4824,-211" coordsize="120,850" path="m4944,518l4891,518,4891,539,4889,543,4884,546,4930,546,4944,518xe" filled="true" fillcolor="#000000" stroked="false">
              <v:path arrowok="t"/>
              <v:fill type="solid"/>
            </v:shape>
            <w10:wrap type="none"/>
          </v:group>
        </w:pict>
      </w:r>
      <w:r>
        <w:rPr/>
        <w:pict>
          <v:group style="position:absolute;margin-left:192.600006pt;margin-top:-10.570557pt;width:6pt;height:42.5pt;mso-position-horizontal-relative:page;mso-position-vertical-relative:paragraph;z-index:-810520" coordorigin="3852,-211" coordsize="120,850">
            <v:shape style="position:absolute;left:3852;top:-211;width:120;height:850" coordorigin="3852,-211" coordsize="120,850" path="m3905,518l3852,518,3912,638,3958,546,3912,546,3906,543,3905,539,3905,518xe" filled="true" fillcolor="#000000" stroked="false">
              <v:path arrowok="t"/>
              <v:fill type="solid"/>
            </v:shape>
            <v:shape style="position:absolute;left:3852;top:-211;width:120;height:850" coordorigin="3852,-211" coordsize="120,850" path="m3911,-211l3906,-210,3904,-204,3905,539,3906,543,3912,546,3917,543,3919,539,3918,-204,3917,-210,3911,-211xe" filled="true" fillcolor="#000000" stroked="false">
              <v:path arrowok="t"/>
              <v:fill type="solid"/>
            </v:shape>
            <v:shape style="position:absolute;left:3852;top:-211;width:120;height:850" coordorigin="3852,-211" coordsize="120,850" path="m3972,518l3919,518,3919,539,3917,543,3912,546,3958,546,3972,518xe" filled="true" fillcolor="#000000" stroked="false">
              <v:path arrowok="t"/>
              <v:fill type="solid"/>
            </v:shape>
            <w10:wrap type="none"/>
          </v:group>
        </w:pict>
      </w:r>
      <w:r>
        <w:rPr>
          <w:rFonts w:ascii="Times New Roman"/>
          <w:w w:val="95"/>
          <w:sz w:val="19"/>
        </w:rPr>
        <w:t>8.40%</w:t>
        <w:tab/>
      </w:r>
      <w:r>
        <w:rPr>
          <w:rFonts w:ascii="Times New Roman"/>
          <w:sz w:val="19"/>
        </w:rPr>
        <w:t>6.78%</w: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p>
      <w:pPr>
        <w:spacing w:line="421" w:lineRule="exact"/>
        <w:ind w:left="189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shape style="width:129.6pt;height:21.1pt;mso-position-horizontal-relative:char;mso-position-vertical-relative:line" type="#_x0000_t202" filled="false" stroked="true" strokeweight=".75pt" strokecolor="#000000">
            <w10:anchorlock/>
            <v:textbox inset="0,0,0,0">
              <w:txbxContent>
                <w:p>
                  <w:pPr>
                    <w:spacing w:before="34"/>
                    <w:ind w:left="130" w:right="0" w:firstLine="0"/>
                    <w:jc w:val="left"/>
                    <w:rPr>
                      <w:rFonts w:ascii="宋体" w:hAnsi="宋体" w:cs="宋体" w:eastAsia="宋体" w:hint="default"/>
                      <w:sz w:val="19"/>
                      <w:szCs w:val="19"/>
                    </w:rPr>
                  </w:pPr>
                  <w:r>
                    <w:rPr>
                      <w:rFonts w:ascii="宋体" w:hAnsi="宋体" w:cs="宋体" w:eastAsia="宋体" w:hint="default"/>
                      <w:sz w:val="19"/>
                      <w:szCs w:val="19"/>
                    </w:rPr>
                    <w:t>中国宝安集团股份有限公司</w:t>
                  </w:r>
                </w:p>
              </w:txbxContent>
            </v:textbox>
          </v:shape>
        </w:pict>
      </w:r>
      <w:r>
        <w:rPr>
          <w:rFonts w:ascii="Times New Roman" w:hAnsi="Times New Roman" w:cs="Times New Roman" w:eastAsia="Times New Roman" w:hint="default"/>
          <w:position w:val="-7"/>
          <w:sz w:val="20"/>
          <w:szCs w:val="20"/>
        </w:rPr>
      </w:r>
    </w:p>
    <w:p>
      <w:pPr>
        <w:spacing w:line="240" w:lineRule="auto" w:before="5"/>
        <w:rPr>
          <w:rFonts w:ascii="Times New Roman" w:hAnsi="Times New Roman" w:cs="Times New Roman" w:eastAsia="Times New Roman" w:hint="default"/>
          <w:sz w:val="24"/>
          <w:szCs w:val="24"/>
        </w:rPr>
      </w:pPr>
    </w:p>
    <w:p>
      <w:pPr>
        <w:spacing w:before="0"/>
        <w:ind w:left="0" w:right="839" w:firstLine="0"/>
        <w:jc w:val="right"/>
        <w:rPr>
          <w:rFonts w:ascii="Times New Roman" w:hAnsi="Times New Roman" w:cs="Times New Roman" w:eastAsia="Times New Roman" w:hint="default"/>
          <w:sz w:val="19"/>
          <w:szCs w:val="19"/>
        </w:rPr>
      </w:pPr>
      <w:r>
        <w:rPr/>
        <w:pict>
          <v:group style="position:absolute;margin-left:201.660004pt;margin-top:-11.350393pt;width:6pt;height:39.4pt;mso-position-horizontal-relative:page;mso-position-vertical-relative:paragraph;z-index:1360" coordorigin="4033,-227" coordsize="120,788">
            <v:shape style="position:absolute;left:4033;top:-227;width:120;height:788" coordorigin="4033,-227" coordsize="120,788" path="m4085,440l4033,440,4093,560,4139,468,4093,468,4087,465,4085,461,4085,440xe" filled="true" fillcolor="#000000" stroked="false">
              <v:path arrowok="t"/>
              <v:fill type="solid"/>
            </v:shape>
            <v:shape style="position:absolute;left:4033;top:-227;width:120;height:788" coordorigin="4033,-227" coordsize="120,788" path="m4092,-227l4087,-225,4085,-220,4085,461,4087,465,4093,468,4098,465,4100,461,4099,-220,4097,-225,4092,-227xe" filled="true" fillcolor="#000000" stroked="false">
              <v:path arrowok="t"/>
              <v:fill type="solid"/>
            </v:shape>
            <v:shape style="position:absolute;left:4033;top:-227;width:120;height:788" coordorigin="4033,-227" coordsize="120,788" path="m4153,440l4100,440,4100,461,4098,465,4093,468,4139,468,4153,440xe" filled="true" fillcolor="#000000" stroked="false">
              <v:path arrowok="t"/>
              <v:fill type="solid"/>
            </v:shape>
            <w10:wrap type="none"/>
          </v:group>
        </w:pict>
      </w:r>
      <w:r>
        <w:rPr>
          <w:rFonts w:ascii="Times New Roman"/>
          <w:w w:val="95"/>
          <w:sz w:val="19"/>
        </w:rPr>
        <w:t>100%</w:t>
      </w:r>
      <w:r>
        <w:rPr>
          <w:rFonts w:ascii="Times New Roman"/>
          <w:sz w:val="19"/>
        </w:rPr>
      </w:r>
    </w:p>
    <w:p>
      <w:pPr>
        <w:spacing w:line="240" w:lineRule="auto" w:before="11"/>
        <w:rPr>
          <w:rFonts w:ascii="Times New Roman" w:hAnsi="Times New Roman" w:cs="Times New Roman" w:eastAsia="Times New Roman" w:hint="default"/>
          <w:sz w:val="29"/>
          <w:szCs w:val="29"/>
        </w:rPr>
      </w:pPr>
    </w:p>
    <w:p>
      <w:pPr>
        <w:spacing w:line="420" w:lineRule="exact"/>
        <w:ind w:left="2058" w:right="-74"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shape style="width:129.7pt;height:21pt;mso-position-horizontal-relative:char;mso-position-vertical-relative:line" type="#_x0000_t202" filled="false" stroked="true" strokeweight=".75pt" strokecolor="#000000">
            <w10:anchorlock/>
            <v:textbox inset="0,0,0,0">
              <w:txbxContent>
                <w:p>
                  <w:pPr>
                    <w:spacing w:before="34"/>
                    <w:ind w:left="130" w:right="0" w:firstLine="0"/>
                    <w:jc w:val="left"/>
                    <w:rPr>
                      <w:rFonts w:ascii="宋体" w:hAnsi="宋体" w:cs="宋体" w:eastAsia="宋体" w:hint="default"/>
                      <w:sz w:val="19"/>
                      <w:szCs w:val="19"/>
                    </w:rPr>
                  </w:pPr>
                  <w:r>
                    <w:rPr>
                      <w:rFonts w:ascii="宋体" w:hAnsi="宋体" w:cs="宋体" w:eastAsia="宋体" w:hint="default"/>
                      <w:sz w:val="19"/>
                      <w:szCs w:val="19"/>
                    </w:rPr>
                    <w:t>中国宝安集团控股有限公司</w:t>
                  </w:r>
                </w:p>
              </w:txbxContent>
            </v:textbox>
          </v:shape>
        </w:pict>
      </w:r>
      <w:r>
        <w:rPr>
          <w:rFonts w:ascii="Times New Roman" w:hAnsi="Times New Roman" w:cs="Times New Roman" w:eastAsia="Times New Roman" w:hint="default"/>
          <w:position w:val="-7"/>
          <w:sz w:val="20"/>
          <w:szCs w:val="20"/>
        </w:rPr>
      </w:r>
    </w:p>
    <w:p>
      <w:pPr>
        <w:spacing w:before="108"/>
        <w:ind w:left="2981" w:right="-20" w:firstLine="0"/>
        <w:jc w:val="left"/>
        <w:rPr>
          <w:rFonts w:ascii="Times New Roman" w:hAnsi="Times New Roman" w:cs="Times New Roman" w:eastAsia="Times New Roman" w:hint="default"/>
          <w:sz w:val="19"/>
          <w:szCs w:val="19"/>
        </w:rPr>
      </w:pPr>
      <w:r>
        <w:rPr/>
        <w:pict>
          <v:group style="position:absolute;margin-left:237.419998pt;margin-top:-.430676pt;width:6pt;height:33.9pt;mso-position-horizontal-relative:page;mso-position-vertical-relative:paragraph;z-index:-810568" coordorigin="4748,-9" coordsize="120,678">
            <v:shape style="position:absolute;left:4748;top:-9;width:120;height:678" coordorigin="4748,-9" coordsize="120,678" path="m4801,550l4748,551,4811,669,4855,577,4808,577,4804,575,4801,570,4801,550xe" filled="true" fillcolor="#000000" stroked="false">
              <v:path arrowok="t"/>
              <v:fill type="solid"/>
            </v:shape>
            <v:shape style="position:absolute;left:4748;top:-9;width:120;height:678" coordorigin="4748,-9" coordsize="120,678" path="m4815,549l4801,550,4801,570,4804,575,4808,577,4814,575,4816,570,4815,549xe" filled="true" fillcolor="#000000" stroked="false">
              <v:path arrowok="t"/>
              <v:fill type="solid"/>
            </v:shape>
            <v:shape style="position:absolute;left:4748;top:-9;width:120;height:678" coordorigin="4748,-9" coordsize="120,678" path="m4868,548l4815,549,4816,570,4814,575,4808,577,4855,577,4868,548xe" filled="true" fillcolor="#000000" stroked="false">
              <v:path arrowok="t"/>
              <v:fill type="solid"/>
            </v:shape>
            <v:shape style="position:absolute;left:4748;top:-9;width:120;height:678" coordorigin="4748,-9" coordsize="120,678" path="m4794,-9l4788,-6,4787,0,4801,550,4815,549,4801,0,4799,-6,4794,-9xe" filled="true" fillcolor="#000000" stroked="false">
              <v:path arrowok="t"/>
              <v:fill type="solid"/>
            </v:shape>
            <w10:wrap type="none"/>
          </v:group>
        </w:pict>
      </w:r>
      <w:r>
        <w:rPr>
          <w:rFonts w:ascii="Times New Roman"/>
          <w:sz w:val="19"/>
        </w:rPr>
        <w:t>19.80%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1"/>
          <w:szCs w:val="21"/>
        </w:rPr>
      </w:pPr>
    </w:p>
    <w:p>
      <w:pPr>
        <w:spacing w:before="0"/>
        <w:ind w:left="0" w:right="0" w:firstLine="0"/>
        <w:jc w:val="right"/>
        <w:rPr>
          <w:rFonts w:ascii="Times New Roman" w:hAnsi="Times New Roman" w:cs="Times New Roman" w:eastAsia="Times New Roman" w:hint="default"/>
          <w:sz w:val="19"/>
          <w:szCs w:val="19"/>
        </w:rPr>
      </w:pPr>
      <w:r>
        <w:rPr/>
        <w:pict>
          <v:group style="position:absolute;margin-left:354.660004pt;margin-top:-3.550493pt;width:6pt;height:31.65pt;mso-position-horizontal-relative:page;mso-position-vertical-relative:paragraph;z-index:-810400" coordorigin="7093,-71" coordsize="120,633">
            <v:shape style="position:absolute;left:7093;top:-71;width:120;height:633" coordorigin="7093,-71" coordsize="120,633" path="m7145,441l7093,441,7153,561,7199,469,7153,469,7147,467,7145,462,7145,441xe" filled="true" fillcolor="#000000" stroked="false">
              <v:path arrowok="t"/>
              <v:fill type="solid"/>
            </v:shape>
            <v:shape style="position:absolute;left:7093;top:-71;width:120;height:633" coordorigin="7093,-71" coordsize="120,633" path="m7151,-71l7146,-69,7144,-64,7145,462,7147,467,7153,469,7158,467,7160,462,7158,-64,7157,-69,7151,-71xe" filled="true" fillcolor="#000000" stroked="false">
              <v:path arrowok="t"/>
              <v:fill type="solid"/>
            </v:shape>
            <v:shape style="position:absolute;left:7093;top:-71;width:120;height:633" coordorigin="7093,-71" coordsize="120,633" path="m7213,441l7160,441,7160,462,7158,467,7153,469,7199,469,7213,441xe" filled="true" fillcolor="#000000" stroked="false">
              <v:path arrowok="t"/>
              <v:fill type="solid"/>
            </v:shape>
            <w10:wrap type="none"/>
          </v:group>
        </w:pict>
      </w:r>
      <w:r>
        <w:rPr>
          <w:rFonts w:ascii="Times New Roman"/>
          <w:w w:val="95"/>
          <w:sz w:val="19"/>
        </w:rPr>
        <w:t>16.81%</w:t>
      </w:r>
      <w:r>
        <w:rPr>
          <w:rFonts w:ascii="Times New Roman"/>
          <w:sz w:val="19"/>
        </w:rPr>
      </w:r>
    </w:p>
    <w:p>
      <w:pPr>
        <w:tabs>
          <w:tab w:pos="2254" w:val="left" w:leader="none"/>
        </w:tabs>
        <w:spacing w:before="75"/>
        <w:ind w:left="454" w:right="0" w:firstLine="0"/>
        <w:jc w:val="left"/>
        <w:rPr>
          <w:rFonts w:ascii="Times New Roman" w:hAnsi="Times New Roman" w:cs="Times New Roman" w:eastAsia="Times New Roman" w:hint="default"/>
          <w:sz w:val="19"/>
          <w:szCs w:val="19"/>
        </w:rPr>
      </w:pPr>
      <w:r>
        <w:rPr>
          <w:w w:val="95"/>
        </w:rPr>
        <w:br w:type="column"/>
      </w:r>
      <w:r>
        <w:rPr>
          <w:rFonts w:ascii="Times New Roman"/>
          <w:w w:val="95"/>
          <w:sz w:val="19"/>
        </w:rPr>
        <w:t>33.33%</w:t>
        <w:tab/>
      </w:r>
      <w:r>
        <w:rPr>
          <w:rFonts w:ascii="Times New Roman"/>
          <w:sz w:val="19"/>
        </w:rPr>
        <w:t>66.67%</w:t>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spacing w:line="546" w:lineRule="exact"/>
        <w:ind w:left="50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shape style="width:135pt;height:27.3pt;mso-position-horizontal-relative:char;mso-position-vertical-relative:line" type="#_x0000_t202" filled="false" stroked="true" strokeweight=".75pt" strokecolor="#000000">
            <w10:anchorlock/>
            <v:textbox inset="0,0,0,0">
              <w:txbxContent>
                <w:p>
                  <w:pPr>
                    <w:spacing w:before="34"/>
                    <w:ind w:left="130" w:right="0" w:firstLine="0"/>
                    <w:jc w:val="left"/>
                    <w:rPr>
                      <w:rFonts w:ascii="宋体" w:hAnsi="宋体" w:cs="宋体" w:eastAsia="宋体" w:hint="default"/>
                      <w:sz w:val="19"/>
                      <w:szCs w:val="19"/>
                    </w:rPr>
                  </w:pPr>
                  <w:r>
                    <w:rPr>
                      <w:rFonts w:ascii="宋体" w:hAnsi="宋体" w:cs="宋体" w:eastAsia="宋体" w:hint="default"/>
                      <w:sz w:val="19"/>
                      <w:szCs w:val="19"/>
                    </w:rPr>
                    <w:t>深圳市多智能投资有限公司</w:t>
                  </w:r>
                </w:p>
              </w:txbxContent>
            </v:textbox>
          </v:shape>
        </w:pict>
      </w:r>
      <w:r>
        <w:rPr>
          <w:rFonts w:ascii="Times New Roman" w:hAnsi="Times New Roman" w:cs="Times New Roman" w:eastAsia="Times New Roman" w:hint="default"/>
          <w:position w:val="-10"/>
          <w:sz w:val="20"/>
          <w:szCs w:val="20"/>
        </w:rPr>
      </w:r>
    </w:p>
    <w:p>
      <w:pPr>
        <w:spacing w:line="240" w:lineRule="auto" w:before="10"/>
        <w:rPr>
          <w:rFonts w:ascii="Times New Roman" w:hAnsi="Times New Roman" w:cs="Times New Roman" w:eastAsia="Times New Roman" w:hint="default"/>
          <w:sz w:val="17"/>
          <w:szCs w:val="17"/>
        </w:rPr>
      </w:pPr>
    </w:p>
    <w:p>
      <w:pPr>
        <w:spacing w:before="0"/>
        <w:ind w:left="1280" w:right="1924" w:firstLine="0"/>
        <w:jc w:val="center"/>
        <w:rPr>
          <w:rFonts w:ascii="Times New Roman" w:hAnsi="Times New Roman" w:cs="Times New Roman" w:eastAsia="Times New Roman" w:hint="default"/>
          <w:sz w:val="19"/>
          <w:szCs w:val="19"/>
        </w:rPr>
      </w:pPr>
      <w:r>
        <w:rPr/>
        <w:pict>
          <v:group style="position:absolute;margin-left:312.165009pt;margin-top:-61.345581pt;width:171.4pt;height:115.05pt;mso-position-horizontal-relative:page;mso-position-vertical-relative:paragraph;z-index:-810424" coordorigin="6243,-1227" coordsize="3428,2301">
            <v:group style="position:absolute;left:6251;top:-1219;width:1800;height:1014" coordorigin="6251,-1219" coordsize="1800,1014">
              <v:shape style="position:absolute;left:6251;top:-1219;width:1800;height:1014" coordorigin="6251,-1219" coordsize="1800,1014" path="m6251,-205l8051,-205,8051,-1219,6251,-1219,6251,-205xe" filled="false" stroked="true" strokeweight=".75pt" strokecolor="#000000">
                <v:path arrowok="t"/>
              </v:shape>
            </v:group>
            <v:group style="position:absolute;left:7452;top:-291;width:120;height:944" coordorigin="7452,-291" coordsize="120,944">
              <v:shape style="position:absolute;left:7452;top:-291;width:120;height:944" coordorigin="7452,-291" coordsize="120,944" path="m7505,533l7452,533,7512,653,7558,560,7512,560,7506,558,7505,553,7505,533xe" filled="true" fillcolor="#000000" stroked="false">
                <v:path arrowok="t"/>
                <v:fill type="solid"/>
              </v:shape>
              <v:shape style="position:absolute;left:7452;top:-291;width:120;height:944" coordorigin="7452,-291" coordsize="120,944" path="m7511,-291l7506,-288,7504,-283,7505,553,7506,558,7512,560,7517,558,7519,553,7518,-283,7517,-288,7511,-291xe" filled="true" fillcolor="#000000" stroked="false">
                <v:path arrowok="t"/>
                <v:fill type="solid"/>
              </v:shape>
              <v:shape style="position:absolute;left:7452;top:-291;width:120;height:944" coordorigin="7452,-291" coordsize="120,944" path="m7572,533l7519,533,7519,553,7517,558,7512,560,7558,560,7572,533xe" filled="true" fillcolor="#000000" stroked="false">
                <v:path arrowok="t"/>
                <v:fill type="solid"/>
              </v:shape>
              <v:shape style="position:absolute;left:6389;top:-1118;width:1619;height:683" type="#_x0000_t202" filled="false" stroked="false">
                <v:textbox inset="0,0,0,0">
                  <w:txbxContent>
                    <w:p>
                      <w:pPr>
                        <w:spacing w:line="188" w:lineRule="exact" w:before="0"/>
                        <w:ind w:left="0" w:right="0" w:firstLine="0"/>
                        <w:jc w:val="left"/>
                        <w:rPr>
                          <w:rFonts w:ascii="宋体" w:hAnsi="宋体" w:cs="宋体" w:eastAsia="宋体" w:hint="default"/>
                          <w:sz w:val="19"/>
                          <w:szCs w:val="19"/>
                        </w:rPr>
                      </w:pPr>
                      <w:r>
                        <w:rPr>
                          <w:rFonts w:ascii="宋体" w:hAnsi="宋体" w:cs="宋体" w:eastAsia="宋体" w:hint="default"/>
                          <w:w w:val="99"/>
                          <w:sz w:val="19"/>
                          <w:szCs w:val="19"/>
                        </w:rPr>
                        <w:t>深圳市</w:t>
                      </w:r>
                      <w:r>
                        <w:rPr>
                          <w:rFonts w:ascii="宋体" w:hAnsi="宋体" w:cs="宋体" w:eastAsia="宋体" w:hint="default"/>
                          <w:spacing w:val="1"/>
                          <w:w w:val="99"/>
                          <w:sz w:val="19"/>
                          <w:szCs w:val="19"/>
                        </w:rPr>
                        <w:t>鸿</w:t>
                      </w:r>
                      <w:r>
                        <w:rPr>
                          <w:rFonts w:ascii="宋体" w:hAnsi="宋体" w:cs="宋体" w:eastAsia="宋体" w:hint="default"/>
                          <w:spacing w:val="-90"/>
                          <w:w w:val="99"/>
                          <w:sz w:val="19"/>
                          <w:szCs w:val="19"/>
                        </w:rPr>
                        <w:t>基</w:t>
                      </w:r>
                      <w:r>
                        <w:rPr>
                          <w:rFonts w:ascii="宋体" w:hAnsi="宋体" w:cs="宋体" w:eastAsia="宋体" w:hint="default"/>
                          <w:spacing w:val="1"/>
                          <w:w w:val="99"/>
                          <w:sz w:val="19"/>
                          <w:szCs w:val="19"/>
                        </w:rPr>
                        <w:t>（</w:t>
                      </w:r>
                      <w:r>
                        <w:rPr>
                          <w:rFonts w:ascii="宋体" w:hAnsi="宋体" w:cs="宋体" w:eastAsia="宋体" w:hint="default"/>
                          <w:w w:val="99"/>
                          <w:sz w:val="19"/>
                          <w:szCs w:val="19"/>
                        </w:rPr>
                        <w:t>集团）</w:t>
                      </w:r>
                      <w:r>
                        <w:rPr>
                          <w:rFonts w:ascii="宋体" w:hAnsi="宋体" w:cs="宋体" w:eastAsia="宋体" w:hint="default"/>
                          <w:sz w:val="19"/>
                          <w:szCs w:val="19"/>
                        </w:rPr>
                      </w:r>
                    </w:p>
                    <w:p>
                      <w:pPr>
                        <w:spacing w:before="0"/>
                        <w:ind w:left="0" w:right="90" w:firstLine="0"/>
                        <w:jc w:val="left"/>
                        <w:rPr>
                          <w:rFonts w:ascii="宋体" w:hAnsi="宋体" w:cs="宋体" w:eastAsia="宋体" w:hint="default"/>
                          <w:sz w:val="19"/>
                          <w:szCs w:val="19"/>
                        </w:rPr>
                      </w:pPr>
                      <w:r>
                        <w:rPr>
                          <w:rFonts w:ascii="宋体" w:hAnsi="宋体" w:cs="宋体" w:eastAsia="宋体" w:hint="default"/>
                          <w:sz w:val="19"/>
                          <w:szCs w:val="19"/>
                        </w:rPr>
                        <w:t>股份有限公司工会</w:t>
                      </w:r>
                      <w:r>
                        <w:rPr>
                          <w:rFonts w:ascii="宋体" w:hAnsi="宋体" w:cs="宋体" w:eastAsia="宋体" w:hint="default"/>
                          <w:spacing w:val="-91"/>
                          <w:sz w:val="19"/>
                          <w:szCs w:val="19"/>
                        </w:rPr>
                        <w:t> </w:t>
                      </w:r>
                      <w:r>
                        <w:rPr>
                          <w:rFonts w:ascii="宋体" w:hAnsi="宋体" w:cs="宋体" w:eastAsia="宋体" w:hint="default"/>
                          <w:sz w:val="19"/>
                          <w:szCs w:val="19"/>
                        </w:rPr>
                        <w:t>工作委员会</w:t>
                      </w:r>
                    </w:p>
                  </w:txbxContent>
                </v:textbox>
                <w10:wrap type="none"/>
              </v:shape>
              <v:shape style="position:absolute;left:6886;top:25;width:348;height:190" type="#_x0000_t202" filled="false" stroked="false">
                <v:textbox inset="0,0,0,0">
                  <w:txbxContent>
                    <w:p>
                      <w:pPr>
                        <w:spacing w:line="190" w:lineRule="exact" w:before="0"/>
                        <w:ind w:left="0" w:right="0" w:firstLine="0"/>
                        <w:jc w:val="left"/>
                        <w:rPr>
                          <w:rFonts w:ascii="Times New Roman" w:hAnsi="Times New Roman" w:cs="Times New Roman" w:eastAsia="Times New Roman" w:hint="default"/>
                          <w:sz w:val="19"/>
                          <w:szCs w:val="19"/>
                        </w:rPr>
                      </w:pPr>
                      <w:r>
                        <w:rPr>
                          <w:rFonts w:ascii="Times New Roman"/>
                          <w:w w:val="95"/>
                          <w:sz w:val="19"/>
                        </w:rPr>
                        <w:t>50%</w:t>
                      </w:r>
                      <w:r>
                        <w:rPr>
                          <w:rFonts w:ascii="Times New Roman"/>
                          <w:sz w:val="19"/>
                        </w:rPr>
                      </w:r>
                    </w:p>
                  </w:txbxContent>
                </v:textbox>
                <w10:wrap type="none"/>
              </v:shape>
              <v:shape style="position:absolute;left:6611;top:653;width:3060;height:422" type="#_x0000_t202" filled="false" stroked="true" strokeweight=".75pt" strokecolor="#000000">
                <v:textbox inset="0,0,0,0">
                  <w:txbxContent>
                    <w:p>
                      <w:pPr>
                        <w:spacing w:before="34"/>
                        <w:ind w:left="130" w:right="0" w:firstLine="0"/>
                        <w:jc w:val="left"/>
                        <w:rPr>
                          <w:rFonts w:ascii="宋体" w:hAnsi="宋体" w:cs="宋体" w:eastAsia="宋体" w:hint="default"/>
                          <w:sz w:val="19"/>
                          <w:szCs w:val="19"/>
                        </w:rPr>
                      </w:pPr>
                      <w:r>
                        <w:rPr>
                          <w:rFonts w:ascii="宋体" w:hAnsi="宋体" w:cs="宋体" w:eastAsia="宋体" w:hint="default"/>
                          <w:sz w:val="19"/>
                          <w:szCs w:val="19"/>
                        </w:rPr>
                        <w:t>深圳市东鸿信投资发展有限公司</w:t>
                      </w:r>
                    </w:p>
                  </w:txbxContent>
                </v:textbox>
                <w10:wrap type="none"/>
              </v:shape>
            </v:group>
            <w10:wrap type="none"/>
          </v:group>
        </w:pict>
      </w:r>
      <w:r>
        <w:rPr/>
        <w:pict>
          <v:group style="position:absolute;margin-left:450.899994pt;margin-top:-10.630581pt;width:6pt;height:42.5pt;mso-position-horizontal-relative:page;mso-position-vertical-relative:paragraph;z-index:-810376" coordorigin="9018,-213" coordsize="120,850">
            <v:shape style="position:absolute;left:9018;top:-213;width:120;height:850" coordorigin="9018,-213" coordsize="120,850" path="m9071,518l9018,518,9078,637,9124,545,9078,545,9072,543,9071,537,9071,518xe" filled="true" fillcolor="#000000" stroked="false">
              <v:path arrowok="t"/>
              <v:fill type="solid"/>
            </v:shape>
            <v:shape style="position:absolute;left:9018;top:-213;width:120;height:850" coordorigin="9018,-213" coordsize="120,850" path="m9085,518l9071,518,9071,537,9072,543,9078,545,9083,543,9085,537,9085,518xe" filled="true" fillcolor="#000000" stroked="false">
              <v:path arrowok="t"/>
              <v:fill type="solid"/>
            </v:shape>
            <v:shape style="position:absolute;left:9018;top:-213;width:120;height:850" coordorigin="9018,-213" coordsize="120,850" path="m9138,517l9085,518,9085,537,9083,543,9078,545,9124,545,9138,517xe" filled="true" fillcolor="#000000" stroked="false">
              <v:path arrowok="t"/>
              <v:fill type="solid"/>
            </v:shape>
            <v:shape style="position:absolute;left:9018;top:-213;width:120;height:850" coordorigin="9018,-213" coordsize="120,850" path="m9076,-213l9071,-210,9068,-205,9071,518,9085,518,9084,-205,9082,-210,9076,-213xe" filled="true" fillcolor="#000000" stroked="false">
              <v:path arrowok="t"/>
              <v:fill type="solid"/>
            </v:shape>
            <w10:wrap type="none"/>
          </v:group>
        </w:pict>
      </w:r>
      <w:r>
        <w:rPr/>
        <w:pict>
          <v:group style="position:absolute;margin-left:453.540009pt;margin-top:-84.730583pt;width:6pt;height:47.2pt;mso-position-horizontal-relative:page;mso-position-vertical-relative:paragraph;z-index:-810328" coordorigin="9071,-1695" coordsize="120,944">
            <v:shape style="position:absolute;left:9071;top:-1695;width:120;height:944" coordorigin="9071,-1695" coordsize="120,944" path="m9124,-871l9071,-871,9131,-751,9177,-844,9131,-844,9126,-846,9124,-851,9124,-871xe" filled="true" fillcolor="#000000" stroked="false">
              <v:path arrowok="t"/>
              <v:fill type="solid"/>
            </v:shape>
            <v:shape style="position:absolute;left:9071;top:-1695;width:120;height:944" coordorigin="9071,-1695" coordsize="120,944" path="m9132,-1695l9127,-1692,9125,-1687,9124,-851,9126,-846,9131,-844,9137,-846,9138,-851,9139,-1687,9137,-1692,9132,-1695xe" filled="true" fillcolor="#000000" stroked="false">
              <v:path arrowok="t"/>
              <v:fill type="solid"/>
            </v:shape>
            <v:shape style="position:absolute;left:9071;top:-1695;width:120;height:944" coordorigin="9071,-1695" coordsize="120,944" path="m9191,-871l9138,-871,9138,-851,9137,-846,9131,-844,9177,-844,9191,-871xe" filled="true" fillcolor="#000000" stroked="false">
              <v:path arrowok="t"/>
              <v:fill type="solid"/>
            </v:shape>
            <w10:wrap type="none"/>
          </v:group>
        </w:pict>
      </w:r>
      <w:r>
        <w:rPr/>
        <w:pict>
          <v:group style="position:absolute;margin-left:498.540009pt;margin-top:-84.730583pt;width:6pt;height:47.2pt;mso-position-horizontal-relative:page;mso-position-vertical-relative:paragraph;z-index:-810304" coordorigin="9971,-1695" coordsize="120,944">
            <v:shape style="position:absolute;left:9971;top:-1695;width:120;height:944" coordorigin="9971,-1695" coordsize="120,944" path="m10024,-871l9971,-871,10031,-751,10077,-844,10031,-844,10026,-846,10024,-851,10024,-871xe" filled="true" fillcolor="#000000" stroked="false">
              <v:path arrowok="t"/>
              <v:fill type="solid"/>
            </v:shape>
            <v:shape style="position:absolute;left:9971;top:-1695;width:120;height:944" coordorigin="9971,-1695" coordsize="120,944" path="m10032,-1695l10027,-1692,10025,-1687,10024,-851,10026,-846,10031,-844,10037,-846,10038,-851,10039,-1687,10037,-1692,10032,-1695xe" filled="true" fillcolor="#000000" stroked="false">
              <v:path arrowok="t"/>
              <v:fill type="solid"/>
            </v:shape>
            <v:shape style="position:absolute;left:9971;top:-1695;width:120;height:944" coordorigin="9971,-1695" coordsize="120,944" path="m10091,-871l10038,-871,10038,-851,10037,-846,10031,-844,10077,-844,10091,-871xe" filled="true" fillcolor="#000000" stroked="false">
              <v:path arrowok="t"/>
              <v:fill type="solid"/>
            </v:shape>
            <w10:wrap type="none"/>
          </v:group>
        </w:pict>
      </w:r>
      <w:r>
        <w:rPr>
          <w:rFonts w:ascii="Times New Roman"/>
          <w:sz w:val="19"/>
        </w:rPr>
        <w:t>50%</w:t>
      </w:r>
    </w:p>
    <w:p>
      <w:pPr>
        <w:spacing w:after="0"/>
        <w:jc w:val="center"/>
        <w:rPr>
          <w:rFonts w:ascii="Times New Roman" w:hAnsi="Times New Roman" w:cs="Times New Roman" w:eastAsia="Times New Roman" w:hint="default"/>
          <w:sz w:val="19"/>
          <w:szCs w:val="19"/>
        </w:rPr>
        <w:sectPr>
          <w:type w:val="continuous"/>
          <w:pgSz w:w="11900" w:h="16840"/>
          <w:pgMar w:top="1600" w:bottom="280" w:left="880" w:right="400"/>
          <w:cols w:num="3" w:equalWidth="0">
            <w:col w:w="4625" w:space="40"/>
            <w:col w:w="2323" w:space="40"/>
            <w:col w:w="3592"/>
          </w:cols>
        </w:sectPr>
      </w:pPr>
    </w:p>
    <w:p>
      <w:pPr>
        <w:spacing w:line="240" w:lineRule="auto" w:before="9"/>
        <w:rPr>
          <w:rFonts w:ascii="Times New Roman" w:hAnsi="Times New Roman" w:cs="Times New Roman" w:eastAsia="Times New Roman" w:hint="default"/>
          <w:sz w:val="29"/>
          <w:szCs w:val="29"/>
        </w:rPr>
      </w:pPr>
    </w:p>
    <w:p>
      <w:pPr>
        <w:spacing w:line="468" w:lineRule="exact"/>
        <w:ind w:left="357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shape style="width:171pt;height:23.4pt;mso-position-horizontal-relative:char;mso-position-vertical-relative:line" type="#_x0000_t202" filled="false" stroked="true" strokeweight=".75pt" strokecolor="#000000">
            <w10:anchorlock/>
            <v:textbox inset="0,0,0,0">
              <w:txbxContent>
                <w:p>
                  <w:pPr>
                    <w:pStyle w:val="BodyText"/>
                    <w:spacing w:line="240" w:lineRule="auto" w:before="30"/>
                    <w:ind w:left="130" w:right="0"/>
                    <w:jc w:val="left"/>
                  </w:pPr>
                  <w:r>
                    <w:rPr/>
                    <w:t>深圳市鸿基（集团）股份有限公司</w:t>
                  </w:r>
                </w:p>
              </w:txbxContent>
            </v:textbox>
          </v:shape>
        </w:pict>
      </w:r>
      <w:r>
        <w:rPr>
          <w:rFonts w:ascii="Times New Roman" w:hAnsi="Times New Roman" w:cs="Times New Roman" w:eastAsia="Times New Roman" w:hint="default"/>
          <w:position w:val="-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tabs>
          <w:tab w:pos="3479" w:val="left" w:leader="none"/>
        </w:tabs>
        <w:spacing w:line="240" w:lineRule="auto" w:before="166"/>
        <w:ind w:left="2360" w:right="1862"/>
        <w:jc w:val="left"/>
      </w:pPr>
      <w:r>
        <w:rPr>
          <w:w w:val="95"/>
        </w:rPr>
        <w:t>第五节</w:t>
        <w:tab/>
      </w:r>
      <w:r>
        <w:rPr/>
        <w:t>董事、监事、高级管理人员和员工情况</w:t>
      </w:r>
    </w:p>
    <w:p>
      <w:pPr>
        <w:spacing w:line="240" w:lineRule="auto" w:before="4"/>
        <w:rPr>
          <w:rFonts w:ascii="黑体" w:hAnsi="黑体" w:cs="黑体" w:eastAsia="黑体" w:hint="default"/>
          <w:sz w:val="28"/>
          <w:szCs w:val="28"/>
        </w:rPr>
      </w:pPr>
    </w:p>
    <w:p>
      <w:pPr>
        <w:pStyle w:val="Heading3"/>
        <w:spacing w:line="240" w:lineRule="auto"/>
        <w:ind w:left="990" w:right="1862"/>
        <w:jc w:val="left"/>
      </w:pPr>
      <w:r>
        <w:rPr/>
        <w:t>一、董事、监事、高级管理人员情况</w:t>
      </w:r>
    </w:p>
    <w:p>
      <w:pPr>
        <w:spacing w:line="240" w:lineRule="auto" w:before="1"/>
        <w:rPr>
          <w:rFonts w:ascii="黑体" w:hAnsi="黑体" w:cs="黑体" w:eastAsia="黑体" w:hint="default"/>
          <w:sz w:val="26"/>
          <w:szCs w:val="26"/>
        </w:rPr>
      </w:pPr>
    </w:p>
    <w:p>
      <w:pPr>
        <w:pStyle w:val="BodyText"/>
        <w:spacing w:line="240" w:lineRule="auto"/>
        <w:ind w:left="990" w:right="1862"/>
        <w:jc w:val="left"/>
        <w:rPr>
          <w:rFonts w:ascii="黑体" w:hAnsi="黑体" w:cs="黑体" w:eastAsia="黑体" w:hint="default"/>
        </w:rPr>
      </w:pPr>
      <w:r>
        <w:rPr>
          <w:rFonts w:ascii="黑体" w:hAnsi="黑体" w:cs="黑体" w:eastAsia="黑体" w:hint="default"/>
        </w:rPr>
        <w:t>（一）第五届、第六届董事局、监事会及高级管理人员情况</w:t>
      </w: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901"/>
        <w:gridCol w:w="1336"/>
        <w:gridCol w:w="360"/>
        <w:gridCol w:w="540"/>
        <w:gridCol w:w="1260"/>
        <w:gridCol w:w="1291"/>
        <w:gridCol w:w="841"/>
        <w:gridCol w:w="437"/>
        <w:gridCol w:w="1123"/>
        <w:gridCol w:w="1034"/>
        <w:gridCol w:w="1264"/>
      </w:tblGrid>
      <w:tr>
        <w:trPr>
          <w:trHeight w:val="1373" w:hRule="exact"/>
        </w:trPr>
        <w:tc>
          <w:tcPr>
            <w:tcW w:w="9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13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职务</w:t>
            </w:r>
          </w:p>
        </w:tc>
        <w:tc>
          <w:tcPr>
            <w:tcW w:w="3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黑体" w:hAnsi="黑体" w:cs="黑体" w:eastAsia="黑体" w:hint="default"/>
                <w:sz w:val="20"/>
                <w:szCs w:val="20"/>
              </w:rPr>
            </w:pPr>
          </w:p>
          <w:p>
            <w:pPr>
              <w:pStyle w:val="TableParagraph"/>
              <w:spacing w:line="272" w:lineRule="exact" w:before="138"/>
              <w:ind w:left="68" w:right="70"/>
              <w:jc w:val="left"/>
              <w:rPr>
                <w:rFonts w:ascii="宋体" w:hAnsi="宋体" w:cs="宋体" w:eastAsia="宋体" w:hint="default"/>
                <w:sz w:val="21"/>
                <w:szCs w:val="21"/>
              </w:rPr>
            </w:pPr>
            <w:r>
              <w:rPr>
                <w:rFonts w:ascii="宋体" w:hAnsi="宋体" w:cs="宋体" w:eastAsia="宋体" w:hint="default"/>
                <w:sz w:val="21"/>
                <w:szCs w:val="21"/>
              </w:rPr>
              <w:t>性 别</w:t>
            </w:r>
          </w:p>
        </w:tc>
        <w:tc>
          <w:tcPr>
            <w:tcW w:w="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任职日期</w:t>
            </w:r>
          </w:p>
        </w:tc>
        <w:tc>
          <w:tcPr>
            <w:tcW w:w="12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年初持股数</w:t>
            </w:r>
          </w:p>
        </w:tc>
        <w:tc>
          <w:tcPr>
            <w:tcW w:w="8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黑体" w:hAnsi="黑体" w:cs="黑体" w:eastAsia="黑体" w:hint="default"/>
                <w:sz w:val="20"/>
                <w:szCs w:val="20"/>
              </w:rPr>
            </w:pPr>
          </w:p>
          <w:p>
            <w:pPr>
              <w:pStyle w:val="TableParagraph"/>
              <w:spacing w:line="272" w:lineRule="exact" w:before="138"/>
              <w:ind w:left="203" w:right="96" w:hanging="105"/>
              <w:jc w:val="left"/>
              <w:rPr>
                <w:rFonts w:ascii="宋体" w:hAnsi="宋体" w:cs="宋体" w:eastAsia="宋体" w:hint="default"/>
                <w:sz w:val="21"/>
                <w:szCs w:val="21"/>
              </w:rPr>
            </w:pPr>
            <w:r>
              <w:rPr>
                <w:rFonts w:ascii="宋体" w:hAnsi="宋体" w:cs="宋体" w:eastAsia="宋体" w:hint="default"/>
                <w:sz w:val="21"/>
                <w:szCs w:val="21"/>
              </w:rPr>
              <w:t>年末持</w:t>
            </w:r>
            <w:r>
              <w:rPr>
                <w:rFonts w:ascii="宋体" w:hAnsi="宋体" w:cs="宋体" w:eastAsia="宋体" w:hint="default"/>
                <w:spacing w:val="-102"/>
                <w:sz w:val="21"/>
                <w:szCs w:val="21"/>
              </w:rPr>
              <w:t> </w:t>
            </w:r>
            <w:r>
              <w:rPr>
                <w:rFonts w:ascii="宋体" w:hAnsi="宋体" w:cs="宋体" w:eastAsia="宋体" w:hint="default"/>
                <w:sz w:val="21"/>
                <w:szCs w:val="21"/>
              </w:rPr>
              <w:t>股数</w:t>
            </w:r>
          </w:p>
        </w:tc>
        <w:tc>
          <w:tcPr>
            <w:tcW w:w="4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8"/>
              <w:ind w:left="107" w:right="107"/>
              <w:jc w:val="both"/>
              <w:rPr>
                <w:rFonts w:ascii="宋体" w:hAnsi="宋体" w:cs="宋体" w:eastAsia="宋体" w:hint="default"/>
                <w:sz w:val="21"/>
                <w:szCs w:val="21"/>
              </w:rPr>
            </w:pPr>
            <w:r>
              <w:rPr>
                <w:rFonts w:ascii="宋体" w:hAnsi="宋体" w:cs="宋体" w:eastAsia="宋体" w:hint="default"/>
                <w:sz w:val="21"/>
                <w:szCs w:val="21"/>
              </w:rPr>
              <w:t>变 动 原 因</w:t>
            </w:r>
          </w:p>
        </w:tc>
        <w:tc>
          <w:tcPr>
            <w:tcW w:w="112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72" w:lineRule="exact" w:before="26"/>
              <w:ind w:left="29" w:right="28"/>
              <w:jc w:val="center"/>
              <w:rPr>
                <w:rFonts w:ascii="宋体" w:hAnsi="宋体" w:cs="宋体" w:eastAsia="宋体" w:hint="default"/>
                <w:sz w:val="21"/>
                <w:szCs w:val="21"/>
              </w:rPr>
            </w:pPr>
            <w:r>
              <w:rPr>
                <w:rFonts w:ascii="宋体" w:hAnsi="宋体" w:cs="宋体" w:eastAsia="宋体" w:hint="default"/>
                <w:sz w:val="21"/>
                <w:szCs w:val="21"/>
              </w:rPr>
              <w:t>公司领取的 报酬总额</w:t>
            </w:r>
          </w:p>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（税前）</w:t>
            </w:r>
          </w:p>
        </w:tc>
        <w:tc>
          <w:tcPr>
            <w:tcW w:w="10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 w:right="0"/>
              <w:jc w:val="center"/>
              <w:rPr>
                <w:rFonts w:ascii="宋体" w:hAnsi="宋体" w:cs="宋体" w:eastAsia="宋体" w:hint="default"/>
                <w:sz w:val="21"/>
                <w:szCs w:val="21"/>
              </w:rPr>
            </w:pPr>
            <w:r>
              <w:rPr>
                <w:rFonts w:ascii="宋体" w:hAnsi="宋体" w:cs="宋体" w:eastAsia="宋体" w:hint="default"/>
                <w:sz w:val="21"/>
                <w:szCs w:val="21"/>
              </w:rPr>
              <w:t>是否在股</w:t>
            </w:r>
          </w:p>
          <w:p>
            <w:pPr>
              <w:pStyle w:val="TableParagraph"/>
              <w:spacing w:line="272" w:lineRule="exact" w:before="26"/>
              <w:ind w:left="91" w:right="86"/>
              <w:jc w:val="center"/>
              <w:rPr>
                <w:rFonts w:ascii="宋体" w:hAnsi="宋体" w:cs="宋体" w:eastAsia="宋体" w:hint="default"/>
                <w:sz w:val="21"/>
                <w:szCs w:val="21"/>
              </w:rPr>
            </w:pPr>
            <w:r>
              <w:rPr>
                <w:rFonts w:ascii="宋体" w:hAnsi="宋体" w:cs="宋体" w:eastAsia="宋体" w:hint="default"/>
                <w:sz w:val="21"/>
                <w:szCs w:val="21"/>
              </w:rPr>
              <w:t>东单位或</w:t>
            </w:r>
            <w:r>
              <w:rPr>
                <w:rFonts w:ascii="宋体" w:hAnsi="宋体" w:cs="宋体" w:eastAsia="宋体" w:hint="default"/>
                <w:spacing w:val="1"/>
                <w:sz w:val="21"/>
                <w:szCs w:val="21"/>
              </w:rPr>
              <w:t> </w:t>
            </w:r>
            <w:r>
              <w:rPr>
                <w:rFonts w:ascii="宋体" w:hAnsi="宋体" w:cs="宋体" w:eastAsia="宋体" w:hint="default"/>
                <w:sz w:val="21"/>
                <w:szCs w:val="21"/>
              </w:rPr>
              <w:t>其他关联</w:t>
            </w:r>
            <w:r>
              <w:rPr>
                <w:rFonts w:ascii="宋体" w:hAnsi="宋体" w:cs="宋体" w:eastAsia="宋体" w:hint="default"/>
                <w:spacing w:val="1"/>
                <w:sz w:val="21"/>
                <w:szCs w:val="21"/>
              </w:rPr>
              <w:t> </w:t>
            </w:r>
            <w:r>
              <w:rPr>
                <w:rFonts w:ascii="宋体" w:hAnsi="宋体" w:cs="宋体" w:eastAsia="宋体" w:hint="default"/>
                <w:sz w:val="21"/>
                <w:szCs w:val="21"/>
              </w:rPr>
              <w:t>单位领取</w:t>
            </w:r>
            <w:r>
              <w:rPr>
                <w:rFonts w:ascii="宋体" w:hAnsi="宋体" w:cs="宋体" w:eastAsia="宋体" w:hint="default"/>
                <w:spacing w:val="1"/>
                <w:sz w:val="21"/>
                <w:szCs w:val="21"/>
              </w:rPr>
              <w:t> </w:t>
            </w:r>
            <w:r>
              <w:rPr>
                <w:rFonts w:ascii="宋体" w:hAnsi="宋体" w:cs="宋体" w:eastAsia="宋体" w:hint="default"/>
                <w:sz w:val="21"/>
                <w:szCs w:val="21"/>
              </w:rPr>
              <w:t>薪酬</w:t>
            </w:r>
          </w:p>
        </w:tc>
        <w:tc>
          <w:tcPr>
            <w:tcW w:w="1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66"/>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55" w:hRule="exact"/>
        </w:trPr>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邱瑞亨</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董事局主席、</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总裁</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left="22" w:right="0"/>
              <w:jc w:val="left"/>
              <w:rPr>
                <w:rFonts w:ascii="Times New Roman" w:hAnsi="Times New Roman" w:cs="Times New Roman" w:eastAsia="Times New Roman" w:hint="default"/>
                <w:sz w:val="21"/>
                <w:szCs w:val="21"/>
              </w:rPr>
            </w:pPr>
            <w:r>
              <w:rPr>
                <w:rFonts w:ascii="Times New Roman"/>
                <w:sz w:val="21"/>
              </w:rPr>
              <w:t>2006.6.30</w:t>
            </w: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-2009.6.30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233,859</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73"/>
              <w:jc w:val="right"/>
              <w:rPr>
                <w:rFonts w:ascii="Times New Roman" w:hAnsi="Times New Roman" w:cs="Times New Roman" w:eastAsia="Times New Roman" w:hint="default"/>
                <w:sz w:val="21"/>
                <w:szCs w:val="21"/>
              </w:rPr>
            </w:pPr>
            <w:r>
              <w:rPr>
                <w:rFonts w:ascii="Times New Roman"/>
                <w:spacing w:val="-1"/>
                <w:sz w:val="21"/>
              </w:rPr>
              <w:t>233,859</w:t>
            </w: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523,004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离任</w:t>
            </w:r>
          </w:p>
        </w:tc>
      </w:tr>
      <w:tr>
        <w:trPr>
          <w:trHeight w:val="481" w:hRule="exact"/>
        </w:trPr>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邓学勤</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center"/>
              <w:rPr>
                <w:rFonts w:ascii="宋体" w:hAnsi="宋体" w:cs="宋体" w:eastAsia="宋体" w:hint="default"/>
                <w:sz w:val="21"/>
                <w:szCs w:val="21"/>
              </w:rPr>
            </w:pPr>
            <w:r>
              <w:rPr>
                <w:rFonts w:ascii="宋体" w:hAnsi="宋体" w:cs="宋体" w:eastAsia="宋体" w:hint="default"/>
                <w:sz w:val="21"/>
                <w:szCs w:val="21"/>
              </w:rPr>
              <w:t>董事局副主席</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43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Times New Roman" w:hAnsi="Times New Roman" w:cs="Times New Roman" w:eastAsia="Times New Roman" w:hint="default"/>
                <w:sz w:val="21"/>
                <w:szCs w:val="21"/>
              </w:rPr>
            </w:pPr>
            <w:r>
              <w:rPr>
                <w:rFonts w:ascii="Times New Roman"/>
                <w:sz w:val="21"/>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sz w:val="21"/>
              </w:rPr>
              <w:t>0</w:t>
            </w: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21"/>
                <w:szCs w:val="21"/>
              </w:rPr>
            </w:pPr>
            <w:r>
              <w:rPr>
                <w:rFonts w:ascii="Times New Roman"/>
                <w:spacing w:val="-1"/>
                <w:sz w:val="21"/>
              </w:rPr>
              <w:t>60,000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21"/>
                <w:szCs w:val="21"/>
              </w:rPr>
              <w:t>是</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b/>
                <w:bCs/>
                <w:sz w:val="18"/>
                <w:szCs w:val="18"/>
              </w:rPr>
              <w:t>1</w:t>
            </w:r>
            <w:r>
              <w:rPr>
                <w:rFonts w:ascii="宋体" w:hAnsi="宋体" w:cs="宋体" w:eastAsia="宋体" w:hint="default"/>
                <w:sz w:val="18"/>
                <w:szCs w:val="18"/>
              </w:rPr>
              <w:t>）</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离任</w:t>
            </w:r>
          </w:p>
        </w:tc>
      </w:tr>
      <w:tr>
        <w:trPr>
          <w:trHeight w:val="476" w:hRule="exact"/>
        </w:trPr>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邱圣凯</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1"/>
                <w:szCs w:val="21"/>
              </w:rPr>
            </w:pPr>
            <w:r>
              <w:rPr>
                <w:rFonts w:ascii="宋体" w:hAnsi="宋体" w:cs="宋体" w:eastAsia="宋体" w:hint="default"/>
                <w:sz w:val="21"/>
                <w:szCs w:val="21"/>
              </w:rPr>
              <w:t>董事、副总裁</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44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1"/>
                <w:szCs w:val="21"/>
              </w:rPr>
            </w:pPr>
            <w:r>
              <w:rPr>
                <w:rFonts w:ascii="Times New Roman"/>
                <w:sz w:val="21"/>
              </w:rPr>
              <w:t>50,000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6"/>
              <w:jc w:val="right"/>
              <w:rPr>
                <w:rFonts w:ascii="Times New Roman" w:hAnsi="Times New Roman" w:cs="Times New Roman" w:eastAsia="Times New Roman" w:hint="default"/>
                <w:sz w:val="21"/>
                <w:szCs w:val="21"/>
              </w:rPr>
            </w:pPr>
            <w:r>
              <w:rPr>
                <w:rFonts w:ascii="Times New Roman"/>
                <w:spacing w:val="-1"/>
                <w:sz w:val="21"/>
              </w:rPr>
              <w:t>50,000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21"/>
                <w:szCs w:val="21"/>
              </w:rPr>
            </w:pPr>
            <w:r>
              <w:rPr>
                <w:rFonts w:ascii="Times New Roman"/>
                <w:spacing w:val="-1"/>
                <w:sz w:val="21"/>
              </w:rPr>
              <w:t>601,680.27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离任</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董事</w:t>
            </w:r>
          </w:p>
        </w:tc>
      </w:tr>
      <w:tr>
        <w:trPr>
          <w:trHeight w:val="476" w:hRule="exact"/>
        </w:trPr>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罗伟光</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1"/>
                <w:szCs w:val="21"/>
              </w:rPr>
            </w:pPr>
            <w:r>
              <w:rPr>
                <w:rFonts w:ascii="宋体" w:hAnsi="宋体" w:cs="宋体" w:eastAsia="宋体" w:hint="default"/>
                <w:sz w:val="21"/>
                <w:szCs w:val="21"/>
              </w:rPr>
              <w:t>董事、副总裁</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56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179,891</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72"/>
              <w:jc w:val="right"/>
              <w:rPr>
                <w:rFonts w:ascii="Times New Roman" w:hAnsi="Times New Roman" w:cs="Times New Roman" w:eastAsia="Times New Roman" w:hint="default"/>
                <w:sz w:val="21"/>
                <w:szCs w:val="21"/>
              </w:rPr>
            </w:pPr>
            <w:r>
              <w:rPr>
                <w:rFonts w:ascii="Times New Roman"/>
                <w:spacing w:val="-1"/>
                <w:sz w:val="21"/>
              </w:rPr>
              <w:t>199,891</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sz w:val="18"/>
                <w:szCs w:val="18"/>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21"/>
                <w:szCs w:val="21"/>
              </w:rPr>
            </w:pPr>
            <w:r>
              <w:rPr>
                <w:rFonts w:ascii="Times New Roman"/>
                <w:spacing w:val="-1"/>
                <w:sz w:val="21"/>
              </w:rPr>
              <w:t>570,320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离任</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董事</w:t>
            </w:r>
          </w:p>
        </w:tc>
      </w:tr>
      <w:tr>
        <w:trPr>
          <w:trHeight w:val="444" w:hRule="exact"/>
        </w:trPr>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颜金辉</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21"/>
                <w:szCs w:val="21"/>
              </w:rPr>
            </w:pPr>
            <w:r>
              <w:rPr>
                <w:rFonts w:ascii="宋体" w:hAnsi="宋体" w:cs="宋体" w:eastAsia="宋体" w:hint="default"/>
                <w:sz w:val="21"/>
                <w:szCs w:val="21"/>
              </w:rPr>
              <w:t>董事、副总裁</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56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135,061</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72"/>
              <w:jc w:val="right"/>
              <w:rPr>
                <w:rFonts w:ascii="Times New Roman" w:hAnsi="Times New Roman" w:cs="Times New Roman" w:eastAsia="Times New Roman" w:hint="default"/>
                <w:sz w:val="21"/>
                <w:szCs w:val="21"/>
              </w:rPr>
            </w:pPr>
            <w:r>
              <w:rPr>
                <w:rFonts w:ascii="Times New Roman"/>
                <w:spacing w:val="-1"/>
                <w:sz w:val="21"/>
              </w:rPr>
              <w:t>135,061</w:t>
            </w: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21"/>
                <w:szCs w:val="21"/>
              </w:rPr>
            </w:pPr>
            <w:r>
              <w:rPr>
                <w:rFonts w:ascii="Times New Roman"/>
                <w:spacing w:val="-1"/>
                <w:sz w:val="21"/>
              </w:rPr>
              <w:t>630,160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连任</w:t>
            </w:r>
          </w:p>
        </w:tc>
      </w:tr>
      <w:tr>
        <w:trPr>
          <w:trHeight w:val="475" w:hRule="exact"/>
        </w:trPr>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高文清</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1"/>
                <w:szCs w:val="21"/>
              </w:rPr>
            </w:pPr>
            <w:r>
              <w:rPr>
                <w:rFonts w:ascii="宋体" w:hAnsi="宋体" w:cs="宋体" w:eastAsia="宋体" w:hint="default"/>
                <w:sz w:val="21"/>
                <w:szCs w:val="21"/>
              </w:rPr>
              <w:t>董事、副总裁</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57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221,483</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73"/>
              <w:jc w:val="right"/>
              <w:rPr>
                <w:rFonts w:ascii="Times New Roman" w:hAnsi="Times New Roman" w:cs="Times New Roman" w:eastAsia="Times New Roman" w:hint="default"/>
                <w:sz w:val="21"/>
                <w:szCs w:val="21"/>
              </w:rPr>
            </w:pPr>
            <w:r>
              <w:rPr>
                <w:rFonts w:ascii="Times New Roman"/>
                <w:spacing w:val="-1"/>
                <w:sz w:val="21"/>
              </w:rPr>
              <w:t>221,483</w:t>
            </w: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21"/>
                <w:szCs w:val="21"/>
              </w:rPr>
            </w:pPr>
            <w:r>
              <w:rPr>
                <w:rFonts w:ascii="Times New Roman"/>
                <w:spacing w:val="-1"/>
                <w:sz w:val="21"/>
              </w:rPr>
              <w:t>692,718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连任</w:t>
            </w:r>
          </w:p>
        </w:tc>
      </w:tr>
      <w:tr>
        <w:trPr>
          <w:trHeight w:val="283" w:hRule="exact"/>
        </w:trPr>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庄伟鑫</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43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0</w:t>
            </w: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120,000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18"/>
                <w:szCs w:val="18"/>
              </w:rPr>
            </w:pPr>
            <w:r>
              <w:rPr>
                <w:rFonts w:ascii="宋体" w:hAnsi="宋体" w:cs="宋体" w:eastAsia="宋体" w:hint="default"/>
                <w:sz w:val="21"/>
                <w:szCs w:val="21"/>
              </w:rPr>
              <w:t>是</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b/>
                <w:bCs/>
                <w:sz w:val="18"/>
                <w:szCs w:val="18"/>
              </w:rPr>
              <w:t>3</w:t>
            </w:r>
            <w:r>
              <w:rPr>
                <w:rFonts w:ascii="宋体" w:hAnsi="宋体" w:cs="宋体" w:eastAsia="宋体" w:hint="default"/>
                <w:sz w:val="18"/>
                <w:szCs w:val="18"/>
              </w:rPr>
              <w:t>）</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连任</w:t>
            </w:r>
          </w:p>
        </w:tc>
      </w:tr>
      <w:tr>
        <w:trPr>
          <w:trHeight w:val="282" w:hRule="exact"/>
        </w:trPr>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吕改秋</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54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0</w:t>
            </w: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60,000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离任</w:t>
            </w:r>
          </w:p>
        </w:tc>
      </w:tr>
    </w:tbl>
    <w:p>
      <w:pPr>
        <w:spacing w:after="0" w:line="205" w:lineRule="exact"/>
        <w:jc w:val="center"/>
        <w:rPr>
          <w:rFonts w:ascii="宋体" w:hAnsi="宋体" w:cs="宋体" w:eastAsia="宋体" w:hint="default"/>
          <w:sz w:val="18"/>
          <w:szCs w:val="18"/>
        </w:rPr>
        <w:sectPr>
          <w:type w:val="continuous"/>
          <w:pgSz w:w="11900" w:h="16840"/>
          <w:pgMar w:top="1600" w:bottom="280" w:left="880" w:right="400"/>
        </w:sectPr>
      </w:pPr>
    </w:p>
    <w:p>
      <w:pPr>
        <w:spacing w:line="240" w:lineRule="auto" w:before="1"/>
        <w:rPr>
          <w:rFonts w:ascii="黑体" w:hAnsi="黑体" w:cs="黑体" w:eastAsia="黑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901"/>
        <w:gridCol w:w="1336"/>
        <w:gridCol w:w="360"/>
        <w:gridCol w:w="540"/>
        <w:gridCol w:w="1260"/>
        <w:gridCol w:w="1291"/>
        <w:gridCol w:w="841"/>
        <w:gridCol w:w="437"/>
        <w:gridCol w:w="1123"/>
        <w:gridCol w:w="1034"/>
        <w:gridCol w:w="1264"/>
      </w:tblGrid>
      <w:tr>
        <w:trPr>
          <w:trHeight w:val="468" w:hRule="exact"/>
        </w:trPr>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30" w:right="0"/>
              <w:jc w:val="left"/>
              <w:rPr>
                <w:rFonts w:ascii="宋体" w:hAnsi="宋体" w:cs="宋体" w:eastAsia="宋体" w:hint="default"/>
                <w:sz w:val="21"/>
                <w:szCs w:val="21"/>
              </w:rPr>
            </w:pPr>
            <w:r>
              <w:rPr>
                <w:rFonts w:ascii="宋体" w:hAnsi="宋体" w:cs="宋体" w:eastAsia="宋体" w:hint="default"/>
                <w:sz w:val="21"/>
                <w:szCs w:val="21"/>
              </w:rPr>
              <w:t>周可添</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58" w:right="0"/>
              <w:jc w:val="left"/>
              <w:rPr>
                <w:rFonts w:ascii="Times New Roman" w:hAnsi="Times New Roman" w:cs="Times New Roman" w:eastAsia="Times New Roman" w:hint="default"/>
                <w:sz w:val="21"/>
                <w:szCs w:val="21"/>
              </w:rPr>
            </w:pPr>
            <w:r>
              <w:rPr>
                <w:rFonts w:ascii="Times New Roman"/>
                <w:sz w:val="21"/>
              </w:rPr>
              <w:t>56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587"/>
              <w:jc w:val="right"/>
              <w:rPr>
                <w:rFonts w:ascii="Times New Roman" w:hAnsi="Times New Roman" w:cs="Times New Roman" w:eastAsia="Times New Roman" w:hint="default"/>
                <w:sz w:val="21"/>
                <w:szCs w:val="21"/>
              </w:rPr>
            </w:pPr>
            <w:r>
              <w:rPr>
                <w:rFonts w:ascii="Times New Roman"/>
                <w:sz w:val="21"/>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21"/>
                <w:szCs w:val="21"/>
              </w:rPr>
            </w:pPr>
            <w:r>
              <w:rPr>
                <w:rFonts w:ascii="Times New Roman"/>
                <w:sz w:val="21"/>
              </w:rPr>
              <w:t>0</w:t>
            </w: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1"/>
              <w:jc w:val="right"/>
              <w:rPr>
                <w:rFonts w:ascii="Times New Roman" w:hAnsi="Times New Roman" w:cs="Times New Roman" w:eastAsia="Times New Roman" w:hint="default"/>
                <w:sz w:val="21"/>
                <w:szCs w:val="21"/>
              </w:rPr>
            </w:pPr>
            <w:r>
              <w:rPr>
                <w:rFonts w:ascii="Times New Roman"/>
                <w:spacing w:val="-1"/>
                <w:sz w:val="21"/>
              </w:rPr>
              <w:t>60,000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离任</w:t>
            </w:r>
          </w:p>
        </w:tc>
      </w:tr>
      <w:tr>
        <w:trPr>
          <w:trHeight w:val="474" w:hRule="exact"/>
        </w:trPr>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30" w:right="0"/>
              <w:jc w:val="left"/>
              <w:rPr>
                <w:rFonts w:ascii="宋体" w:hAnsi="宋体" w:cs="宋体" w:eastAsia="宋体" w:hint="default"/>
                <w:sz w:val="21"/>
                <w:szCs w:val="21"/>
              </w:rPr>
            </w:pPr>
            <w:r>
              <w:rPr>
                <w:rFonts w:ascii="宋体" w:hAnsi="宋体" w:cs="宋体" w:eastAsia="宋体" w:hint="default"/>
                <w:sz w:val="21"/>
                <w:szCs w:val="21"/>
              </w:rPr>
              <w:t>陈凤娇</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58" w:right="0"/>
              <w:jc w:val="left"/>
              <w:rPr>
                <w:rFonts w:ascii="Times New Roman" w:hAnsi="Times New Roman" w:cs="Times New Roman" w:eastAsia="Times New Roman" w:hint="default"/>
                <w:sz w:val="21"/>
                <w:szCs w:val="21"/>
              </w:rPr>
            </w:pPr>
            <w:r>
              <w:rPr>
                <w:rFonts w:ascii="Times New Roman"/>
                <w:sz w:val="21"/>
              </w:rPr>
              <w:t>46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587"/>
              <w:jc w:val="right"/>
              <w:rPr>
                <w:rFonts w:ascii="Times New Roman" w:hAnsi="Times New Roman" w:cs="Times New Roman" w:eastAsia="Times New Roman" w:hint="default"/>
                <w:sz w:val="21"/>
                <w:szCs w:val="21"/>
              </w:rPr>
            </w:pPr>
            <w:r>
              <w:rPr>
                <w:rFonts w:ascii="Times New Roman"/>
                <w:sz w:val="21"/>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Times New Roman" w:hAnsi="Times New Roman" w:cs="Times New Roman" w:eastAsia="Times New Roman" w:hint="default"/>
                <w:sz w:val="21"/>
                <w:szCs w:val="21"/>
              </w:rPr>
            </w:pPr>
            <w:r>
              <w:rPr>
                <w:rFonts w:ascii="Times New Roman"/>
                <w:sz w:val="21"/>
              </w:rPr>
              <w:t>0</w:t>
            </w: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21"/>
                <w:szCs w:val="21"/>
              </w:rPr>
            </w:pPr>
            <w:r>
              <w:rPr>
                <w:rFonts w:ascii="Times New Roman"/>
                <w:spacing w:val="-1"/>
                <w:sz w:val="21"/>
              </w:rPr>
              <w:t>120,000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连任</w:t>
            </w:r>
          </w:p>
        </w:tc>
      </w:tr>
      <w:tr>
        <w:trPr>
          <w:trHeight w:val="452" w:hRule="exact"/>
        </w:trPr>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0" w:right="0"/>
              <w:jc w:val="left"/>
              <w:rPr>
                <w:rFonts w:ascii="宋体" w:hAnsi="宋体" w:cs="宋体" w:eastAsia="宋体" w:hint="default"/>
                <w:sz w:val="21"/>
                <w:szCs w:val="21"/>
              </w:rPr>
            </w:pPr>
            <w:r>
              <w:rPr>
                <w:rFonts w:ascii="宋体" w:hAnsi="宋体" w:cs="宋体" w:eastAsia="宋体" w:hint="default"/>
                <w:sz w:val="21"/>
                <w:szCs w:val="21"/>
              </w:rPr>
              <w:t>何祥增</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58" w:right="0"/>
              <w:jc w:val="left"/>
              <w:rPr>
                <w:rFonts w:ascii="Times New Roman" w:hAnsi="Times New Roman" w:cs="Times New Roman" w:eastAsia="Times New Roman" w:hint="default"/>
                <w:sz w:val="21"/>
                <w:szCs w:val="21"/>
              </w:rPr>
            </w:pPr>
            <w:r>
              <w:rPr>
                <w:rFonts w:ascii="Times New Roman"/>
                <w:sz w:val="21"/>
              </w:rPr>
              <w:t>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587"/>
              <w:jc w:val="right"/>
              <w:rPr>
                <w:rFonts w:ascii="Times New Roman" w:hAnsi="Times New Roman" w:cs="Times New Roman" w:eastAsia="Times New Roman" w:hint="default"/>
                <w:sz w:val="21"/>
                <w:szCs w:val="21"/>
              </w:rPr>
            </w:pPr>
            <w:r>
              <w:rPr>
                <w:rFonts w:ascii="Times New Roman"/>
                <w:sz w:val="21"/>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Times New Roman" w:hAnsi="Times New Roman" w:cs="Times New Roman" w:eastAsia="Times New Roman" w:hint="default"/>
                <w:sz w:val="21"/>
                <w:szCs w:val="21"/>
              </w:rPr>
            </w:pPr>
            <w:r>
              <w:rPr>
                <w:rFonts w:ascii="Times New Roman"/>
                <w:sz w:val="21"/>
              </w:rPr>
              <w:t>0</w:t>
            </w: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pacing w:val="-1"/>
                <w:sz w:val="21"/>
              </w:rPr>
              <w:t>120,000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连任</w:t>
            </w:r>
          </w:p>
        </w:tc>
      </w:tr>
      <w:tr>
        <w:trPr>
          <w:trHeight w:val="470" w:hRule="exact"/>
        </w:trPr>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30" w:right="0"/>
              <w:jc w:val="left"/>
              <w:rPr>
                <w:rFonts w:ascii="宋体" w:hAnsi="宋体" w:cs="宋体" w:eastAsia="宋体" w:hint="default"/>
                <w:sz w:val="21"/>
                <w:szCs w:val="21"/>
              </w:rPr>
            </w:pPr>
            <w:r>
              <w:rPr>
                <w:rFonts w:ascii="宋体" w:hAnsi="宋体" w:cs="宋体" w:eastAsia="宋体" w:hint="default"/>
                <w:sz w:val="21"/>
                <w:szCs w:val="21"/>
              </w:rPr>
              <w:t>魏达志</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58" w:right="0"/>
              <w:jc w:val="left"/>
              <w:rPr>
                <w:rFonts w:ascii="Times New Roman" w:hAnsi="Times New Roman" w:cs="Times New Roman" w:eastAsia="Times New Roman" w:hint="default"/>
                <w:sz w:val="21"/>
                <w:szCs w:val="21"/>
              </w:rPr>
            </w:pPr>
            <w:r>
              <w:rPr>
                <w:rFonts w:ascii="Times New Roman"/>
                <w:sz w:val="21"/>
              </w:rPr>
              <w:t>57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587"/>
              <w:jc w:val="right"/>
              <w:rPr>
                <w:rFonts w:ascii="Times New Roman" w:hAnsi="Times New Roman" w:cs="Times New Roman" w:eastAsia="Times New Roman" w:hint="default"/>
                <w:sz w:val="21"/>
                <w:szCs w:val="21"/>
              </w:rPr>
            </w:pPr>
            <w:r>
              <w:rPr>
                <w:rFonts w:ascii="Times New Roman"/>
                <w:sz w:val="21"/>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21"/>
                <w:szCs w:val="21"/>
              </w:rPr>
            </w:pPr>
            <w:r>
              <w:rPr>
                <w:rFonts w:ascii="Times New Roman"/>
                <w:sz w:val="21"/>
              </w:rPr>
              <w:t>0</w:t>
            </w: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21"/>
                <w:szCs w:val="21"/>
              </w:rPr>
            </w:pPr>
            <w:r>
              <w:rPr>
                <w:rFonts w:ascii="Times New Roman"/>
                <w:spacing w:val="-1"/>
                <w:sz w:val="21"/>
              </w:rPr>
              <w:t>60,000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离任</w:t>
            </w:r>
          </w:p>
        </w:tc>
      </w:tr>
      <w:tr>
        <w:trPr>
          <w:trHeight w:val="476" w:hRule="exact"/>
        </w:trPr>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30" w:right="0"/>
              <w:jc w:val="left"/>
              <w:rPr>
                <w:rFonts w:ascii="宋体" w:hAnsi="宋体" w:cs="宋体" w:eastAsia="宋体" w:hint="default"/>
                <w:sz w:val="21"/>
                <w:szCs w:val="21"/>
              </w:rPr>
            </w:pPr>
            <w:r>
              <w:rPr>
                <w:rFonts w:ascii="宋体" w:hAnsi="宋体" w:cs="宋体" w:eastAsia="宋体" w:hint="default"/>
                <w:sz w:val="21"/>
                <w:szCs w:val="21"/>
              </w:rPr>
              <w:t>尤明天</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8" w:right="0"/>
              <w:jc w:val="left"/>
              <w:rPr>
                <w:rFonts w:ascii="Times New Roman" w:hAnsi="Times New Roman" w:cs="Times New Roman" w:eastAsia="Times New Roman" w:hint="default"/>
                <w:sz w:val="21"/>
                <w:szCs w:val="21"/>
              </w:rPr>
            </w:pPr>
            <w:r>
              <w:rPr>
                <w:rFonts w:ascii="Times New Roman"/>
                <w:sz w:val="21"/>
              </w:rPr>
              <w:t>52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587"/>
              <w:jc w:val="right"/>
              <w:rPr>
                <w:rFonts w:ascii="Times New Roman" w:hAnsi="Times New Roman" w:cs="Times New Roman" w:eastAsia="Times New Roman" w:hint="default"/>
                <w:sz w:val="21"/>
                <w:szCs w:val="21"/>
              </w:rPr>
            </w:pPr>
            <w:r>
              <w:rPr>
                <w:rFonts w:ascii="Times New Roman"/>
                <w:sz w:val="21"/>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1"/>
                <w:szCs w:val="21"/>
              </w:rPr>
            </w:pPr>
            <w:r>
              <w:rPr>
                <w:rFonts w:ascii="Times New Roman"/>
                <w:sz w:val="21"/>
              </w:rPr>
              <w:t>0</w:t>
            </w: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21"/>
                <w:szCs w:val="21"/>
              </w:rPr>
            </w:pPr>
            <w:r>
              <w:rPr>
                <w:rFonts w:ascii="Times New Roman"/>
                <w:spacing w:val="-1"/>
                <w:sz w:val="21"/>
              </w:rPr>
              <w:t>540,720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连任</w:t>
            </w:r>
          </w:p>
        </w:tc>
      </w:tr>
      <w:tr>
        <w:trPr>
          <w:trHeight w:val="469" w:hRule="exact"/>
        </w:trPr>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30" w:right="0"/>
              <w:jc w:val="left"/>
              <w:rPr>
                <w:rFonts w:ascii="宋体" w:hAnsi="宋体" w:cs="宋体" w:eastAsia="宋体" w:hint="default"/>
                <w:sz w:val="21"/>
                <w:szCs w:val="21"/>
              </w:rPr>
            </w:pPr>
            <w:r>
              <w:rPr>
                <w:rFonts w:ascii="宋体" w:hAnsi="宋体" w:cs="宋体" w:eastAsia="宋体" w:hint="default"/>
                <w:sz w:val="21"/>
                <w:szCs w:val="21"/>
              </w:rPr>
              <w:t>李联添</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58" w:right="0"/>
              <w:jc w:val="left"/>
              <w:rPr>
                <w:rFonts w:ascii="Times New Roman" w:hAnsi="Times New Roman" w:cs="Times New Roman" w:eastAsia="Times New Roman" w:hint="default"/>
                <w:sz w:val="21"/>
                <w:szCs w:val="21"/>
              </w:rPr>
            </w:pPr>
            <w:r>
              <w:rPr>
                <w:rFonts w:ascii="Times New Roman"/>
                <w:sz w:val="21"/>
              </w:rPr>
              <w:t>42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587"/>
              <w:jc w:val="right"/>
              <w:rPr>
                <w:rFonts w:ascii="Times New Roman" w:hAnsi="Times New Roman" w:cs="Times New Roman" w:eastAsia="Times New Roman" w:hint="default"/>
                <w:sz w:val="21"/>
                <w:szCs w:val="21"/>
              </w:rPr>
            </w:pPr>
            <w:r>
              <w:rPr>
                <w:rFonts w:ascii="Times New Roman"/>
                <w:sz w:val="21"/>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
              <w:jc w:val="center"/>
              <w:rPr>
                <w:rFonts w:ascii="Times New Roman" w:hAnsi="Times New Roman" w:cs="Times New Roman" w:eastAsia="Times New Roman" w:hint="default"/>
                <w:sz w:val="21"/>
                <w:szCs w:val="21"/>
              </w:rPr>
            </w:pPr>
            <w:r>
              <w:rPr>
                <w:rFonts w:ascii="Times New Roman"/>
                <w:sz w:val="21"/>
              </w:rPr>
              <w:t>0</w:t>
            </w: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0"/>
              <w:jc w:val="right"/>
              <w:rPr>
                <w:rFonts w:ascii="Times New Roman" w:hAnsi="Times New Roman" w:cs="Times New Roman" w:eastAsia="Times New Roman" w:hint="default"/>
                <w:sz w:val="21"/>
                <w:szCs w:val="21"/>
              </w:rPr>
            </w:pPr>
            <w:r>
              <w:rPr>
                <w:rFonts w:ascii="Times New Roman"/>
                <w:spacing w:val="-1"/>
                <w:sz w:val="21"/>
              </w:rPr>
              <w:t>208,426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连任</w:t>
            </w:r>
          </w:p>
        </w:tc>
      </w:tr>
      <w:tr>
        <w:trPr>
          <w:trHeight w:val="461" w:hRule="exact"/>
        </w:trPr>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21"/>
                <w:szCs w:val="21"/>
              </w:rPr>
            </w:pPr>
            <w:r>
              <w:rPr>
                <w:rFonts w:ascii="宋体" w:hAnsi="宋体" w:cs="宋体" w:eastAsia="宋体" w:hint="default"/>
                <w:sz w:val="21"/>
                <w:szCs w:val="21"/>
              </w:rPr>
              <w:t>林引福</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Times New Roman" w:hAnsi="Times New Roman" w:cs="Times New Roman" w:eastAsia="Times New Roman" w:hint="default"/>
                <w:sz w:val="21"/>
                <w:szCs w:val="21"/>
              </w:rPr>
            </w:pPr>
            <w:r>
              <w:rPr>
                <w:rFonts w:ascii="Times New Roman"/>
                <w:sz w:val="21"/>
              </w:rPr>
              <w:t>42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87"/>
              <w:jc w:val="right"/>
              <w:rPr>
                <w:rFonts w:ascii="Times New Roman" w:hAnsi="Times New Roman" w:cs="Times New Roman" w:eastAsia="Times New Roman" w:hint="default"/>
                <w:sz w:val="21"/>
                <w:szCs w:val="21"/>
              </w:rPr>
            </w:pPr>
            <w:r>
              <w:rPr>
                <w:rFonts w:ascii="Times New Roman"/>
                <w:sz w:val="21"/>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21"/>
                <w:szCs w:val="21"/>
              </w:rPr>
            </w:pPr>
            <w:r>
              <w:rPr>
                <w:rFonts w:ascii="Times New Roman"/>
                <w:sz w:val="21"/>
              </w:rPr>
              <w:t>0</w:t>
            </w: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21"/>
                <w:szCs w:val="21"/>
              </w:rPr>
            </w:pPr>
            <w:r>
              <w:rPr>
                <w:rFonts w:ascii="Times New Roman"/>
                <w:spacing w:val="-1"/>
                <w:sz w:val="21"/>
              </w:rPr>
              <w:t>124,020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离任</w:t>
            </w:r>
          </w:p>
        </w:tc>
      </w:tr>
      <w:tr>
        <w:trPr>
          <w:trHeight w:val="710" w:hRule="exact"/>
        </w:trPr>
        <w:tc>
          <w:tcPr>
            <w:tcW w:w="901" w:type="dxa"/>
            <w:tcBorders>
              <w:top w:val="single" w:sz="4" w:space="0" w:color="000000"/>
              <w:left w:val="single" w:sz="4" w:space="0" w:color="000000"/>
              <w:bottom w:val="single" w:sz="4" w:space="0" w:color="000000"/>
              <w:right w:val="single" w:sz="4" w:space="0" w:color="000000"/>
            </w:tcBorders>
          </w:tcPr>
          <w:p>
            <w:pPr>
              <w:pStyle w:val="TableParagraph"/>
              <w:tabs>
                <w:tab w:pos="550" w:val="left" w:leader="none"/>
              </w:tabs>
              <w:spacing w:line="240" w:lineRule="auto" w:before="178"/>
              <w:ind w:left="130" w:right="0"/>
              <w:jc w:val="left"/>
              <w:rPr>
                <w:rFonts w:ascii="宋体" w:hAnsi="宋体" w:cs="宋体" w:eastAsia="宋体" w:hint="default"/>
                <w:sz w:val="21"/>
                <w:szCs w:val="21"/>
              </w:rPr>
            </w:pPr>
            <w:r>
              <w:rPr>
                <w:rFonts w:ascii="宋体" w:hAnsi="宋体" w:cs="宋体" w:eastAsia="宋体" w:hint="default"/>
                <w:sz w:val="21"/>
                <w:szCs w:val="21"/>
              </w:rPr>
              <w:t>罗</w:t>
              <w:tab/>
              <w:t>竣</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0"/>
              <w:ind w:left="138" w:right="31" w:hanging="106"/>
              <w:jc w:val="left"/>
              <w:rPr>
                <w:rFonts w:ascii="宋体" w:hAnsi="宋体" w:cs="宋体" w:eastAsia="宋体" w:hint="default"/>
                <w:sz w:val="21"/>
                <w:szCs w:val="21"/>
              </w:rPr>
            </w:pPr>
            <w:r>
              <w:rPr>
                <w:rFonts w:ascii="宋体" w:hAnsi="宋体" w:cs="宋体" w:eastAsia="宋体" w:hint="default"/>
                <w:sz w:val="21"/>
                <w:szCs w:val="21"/>
              </w:rPr>
              <w:t>董事局主席助 理、副总裁</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left="158" w:right="0"/>
              <w:jc w:val="left"/>
              <w:rPr>
                <w:rFonts w:ascii="Times New Roman" w:hAnsi="Times New Roman" w:cs="Times New Roman" w:eastAsia="Times New Roman" w:hint="default"/>
                <w:sz w:val="21"/>
                <w:szCs w:val="21"/>
              </w:rPr>
            </w:pPr>
            <w:r>
              <w:rPr>
                <w:rFonts w:ascii="Times New Roman"/>
                <w:sz w:val="21"/>
              </w:rPr>
              <w:t>54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587"/>
              <w:jc w:val="right"/>
              <w:rPr>
                <w:rFonts w:ascii="Times New Roman" w:hAnsi="Times New Roman" w:cs="Times New Roman" w:eastAsia="Times New Roman" w:hint="default"/>
                <w:sz w:val="21"/>
                <w:szCs w:val="21"/>
              </w:rPr>
            </w:pPr>
            <w:r>
              <w:rPr>
                <w:rFonts w:ascii="Times New Roman"/>
                <w:sz w:val="21"/>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w:t>
            </w: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515,400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firstLine="63"/>
              <w:jc w:val="left"/>
              <w:rPr>
                <w:rFonts w:ascii="宋体" w:hAnsi="宋体" w:cs="宋体" w:eastAsia="宋体" w:hint="default"/>
                <w:sz w:val="18"/>
                <w:szCs w:val="18"/>
              </w:rPr>
            </w:pPr>
            <w:r>
              <w:rPr>
                <w:rFonts w:ascii="宋体" w:hAnsi="宋体" w:cs="宋体" w:eastAsia="宋体" w:hint="default"/>
                <w:sz w:val="18"/>
                <w:szCs w:val="18"/>
              </w:rPr>
              <w:t>离任董事局主</w:t>
            </w:r>
          </w:p>
          <w:p>
            <w:pPr>
              <w:pStyle w:val="TableParagraph"/>
              <w:spacing w:line="240" w:lineRule="auto"/>
              <w:ind w:left="446" w:right="23" w:hanging="424"/>
              <w:jc w:val="left"/>
              <w:rPr>
                <w:rFonts w:ascii="宋体" w:hAnsi="宋体" w:cs="宋体" w:eastAsia="宋体" w:hint="default"/>
                <w:sz w:val="18"/>
                <w:szCs w:val="18"/>
              </w:rPr>
            </w:pPr>
            <w:r>
              <w:rPr>
                <w:rFonts w:ascii="宋体" w:hAnsi="宋体" w:cs="宋体" w:eastAsia="宋体" w:hint="default"/>
                <w:spacing w:val="-8"/>
                <w:sz w:val="18"/>
                <w:szCs w:val="18"/>
              </w:rPr>
              <w:t>席助理、连任副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总裁</w:t>
            </w:r>
          </w:p>
        </w:tc>
      </w:tr>
      <w:tr>
        <w:trPr>
          <w:trHeight w:val="476" w:hRule="exact"/>
        </w:trPr>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30" w:right="0"/>
              <w:jc w:val="left"/>
              <w:rPr>
                <w:rFonts w:ascii="宋体" w:hAnsi="宋体" w:cs="宋体" w:eastAsia="宋体" w:hint="default"/>
                <w:sz w:val="21"/>
                <w:szCs w:val="21"/>
              </w:rPr>
            </w:pPr>
            <w:r>
              <w:rPr>
                <w:rFonts w:ascii="宋体" w:hAnsi="宋体" w:cs="宋体" w:eastAsia="宋体" w:hint="default"/>
                <w:sz w:val="21"/>
                <w:szCs w:val="21"/>
              </w:rPr>
              <w:t>余毓凡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8" w:right="0"/>
              <w:jc w:val="left"/>
              <w:rPr>
                <w:rFonts w:ascii="Times New Roman" w:hAnsi="Times New Roman" w:cs="Times New Roman" w:eastAsia="Times New Roman" w:hint="default"/>
                <w:sz w:val="21"/>
                <w:szCs w:val="21"/>
              </w:rPr>
            </w:pPr>
            <w:r>
              <w:rPr>
                <w:rFonts w:ascii="Times New Roman"/>
                <w:sz w:val="21"/>
              </w:rPr>
              <w:t>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587"/>
              <w:jc w:val="right"/>
              <w:rPr>
                <w:rFonts w:ascii="Times New Roman" w:hAnsi="Times New Roman" w:cs="Times New Roman" w:eastAsia="Times New Roman" w:hint="default"/>
                <w:sz w:val="21"/>
                <w:szCs w:val="21"/>
              </w:rPr>
            </w:pPr>
            <w:r>
              <w:rPr>
                <w:rFonts w:ascii="Times New Roman"/>
                <w:sz w:val="21"/>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1"/>
                <w:szCs w:val="21"/>
              </w:rPr>
            </w:pPr>
            <w:r>
              <w:rPr>
                <w:rFonts w:ascii="Times New Roman"/>
                <w:sz w:val="21"/>
              </w:rPr>
              <w:t>0</w:t>
            </w: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21"/>
                <w:szCs w:val="21"/>
              </w:rPr>
            </w:pPr>
            <w:r>
              <w:rPr>
                <w:rFonts w:ascii="Times New Roman"/>
                <w:spacing w:val="-1"/>
                <w:sz w:val="21"/>
              </w:rPr>
              <w:t>512,880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29"/>
              <w:jc w:val="center"/>
              <w:rPr>
                <w:rFonts w:ascii="宋体" w:hAnsi="宋体" w:cs="宋体" w:eastAsia="宋体" w:hint="default"/>
                <w:sz w:val="18"/>
                <w:szCs w:val="18"/>
              </w:rPr>
            </w:pPr>
            <w:r>
              <w:rPr>
                <w:rFonts w:ascii="宋体" w:hAnsi="宋体" w:cs="宋体" w:eastAsia="宋体" w:hint="default"/>
                <w:sz w:val="18"/>
                <w:szCs w:val="18"/>
              </w:rPr>
              <w:t>离任财务总监、</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新任副总裁</w:t>
            </w:r>
          </w:p>
        </w:tc>
      </w:tr>
      <w:tr>
        <w:trPr>
          <w:trHeight w:val="282" w:hRule="exact"/>
        </w:trPr>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0" w:right="0"/>
              <w:jc w:val="left"/>
              <w:rPr>
                <w:rFonts w:ascii="宋体" w:hAnsi="宋体" w:cs="宋体" w:eastAsia="宋体" w:hint="default"/>
                <w:sz w:val="21"/>
                <w:szCs w:val="21"/>
              </w:rPr>
            </w:pPr>
            <w:r>
              <w:rPr>
                <w:rFonts w:ascii="宋体" w:hAnsi="宋体" w:cs="宋体" w:eastAsia="宋体" w:hint="default"/>
                <w:sz w:val="21"/>
                <w:szCs w:val="21"/>
              </w:rPr>
              <w:t>王迪新</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总裁助理</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58" w:right="0"/>
              <w:jc w:val="left"/>
              <w:rPr>
                <w:rFonts w:ascii="Times New Roman" w:hAnsi="Times New Roman" w:cs="Times New Roman" w:eastAsia="Times New Roman" w:hint="default"/>
                <w:sz w:val="21"/>
                <w:szCs w:val="21"/>
              </w:rPr>
            </w:pPr>
            <w:r>
              <w:rPr>
                <w:rFonts w:ascii="Times New Roman"/>
                <w:sz w:val="21"/>
              </w:rPr>
              <w:t>58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87"/>
              <w:jc w:val="right"/>
              <w:rPr>
                <w:rFonts w:ascii="Times New Roman" w:hAnsi="Times New Roman" w:cs="Times New Roman" w:eastAsia="Times New Roman" w:hint="default"/>
                <w:sz w:val="21"/>
                <w:szCs w:val="21"/>
              </w:rPr>
            </w:pPr>
            <w:r>
              <w:rPr>
                <w:rFonts w:ascii="Times New Roman"/>
                <w:sz w:val="21"/>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0</w:t>
            </w: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361,596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连任</w:t>
            </w:r>
          </w:p>
        </w:tc>
      </w:tr>
      <w:tr>
        <w:trPr>
          <w:trHeight w:val="478" w:hRule="exact"/>
        </w:trPr>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30" w:right="0"/>
              <w:jc w:val="left"/>
              <w:rPr>
                <w:rFonts w:ascii="宋体" w:hAnsi="宋体" w:cs="宋体" w:eastAsia="宋体" w:hint="default"/>
                <w:sz w:val="21"/>
                <w:szCs w:val="21"/>
              </w:rPr>
            </w:pPr>
            <w:r>
              <w:rPr>
                <w:rFonts w:ascii="宋体" w:hAnsi="宋体" w:cs="宋体" w:eastAsia="宋体" w:hint="default"/>
                <w:sz w:val="21"/>
                <w:szCs w:val="21"/>
              </w:rPr>
              <w:t>沈蜀江</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董事局秘书</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8" w:right="0"/>
              <w:jc w:val="left"/>
              <w:rPr>
                <w:rFonts w:ascii="Times New Roman" w:hAnsi="Times New Roman" w:cs="Times New Roman" w:eastAsia="Times New Roman" w:hint="default"/>
                <w:sz w:val="21"/>
                <w:szCs w:val="21"/>
              </w:rPr>
            </w:pPr>
            <w:r>
              <w:rPr>
                <w:rFonts w:ascii="Times New Roman"/>
                <w:sz w:val="21"/>
              </w:rPr>
              <w:t>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587"/>
              <w:jc w:val="right"/>
              <w:rPr>
                <w:rFonts w:ascii="Times New Roman" w:hAnsi="Times New Roman" w:cs="Times New Roman" w:eastAsia="Times New Roman" w:hint="default"/>
                <w:sz w:val="21"/>
                <w:szCs w:val="21"/>
              </w:rPr>
            </w:pPr>
            <w:r>
              <w:rPr>
                <w:rFonts w:ascii="Times New Roman"/>
                <w:sz w:val="21"/>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1"/>
                <w:szCs w:val="21"/>
              </w:rPr>
            </w:pPr>
            <w:r>
              <w:rPr>
                <w:rFonts w:ascii="Times New Roman"/>
                <w:sz w:val="21"/>
              </w:rPr>
              <w:t>0</w:t>
            </w: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21"/>
                <w:szCs w:val="21"/>
              </w:rPr>
            </w:pPr>
            <w:r>
              <w:rPr>
                <w:rFonts w:ascii="Times New Roman"/>
                <w:spacing w:val="-1"/>
                <w:sz w:val="21"/>
              </w:rPr>
              <w:t>408,540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firstLine="63"/>
              <w:jc w:val="left"/>
              <w:rPr>
                <w:rFonts w:ascii="宋体" w:hAnsi="宋体" w:cs="宋体" w:eastAsia="宋体" w:hint="default"/>
                <w:sz w:val="18"/>
                <w:szCs w:val="18"/>
              </w:rPr>
            </w:pPr>
            <w:r>
              <w:rPr>
                <w:rFonts w:ascii="宋体" w:hAnsi="宋体" w:cs="宋体" w:eastAsia="宋体" w:hint="default"/>
                <w:sz w:val="18"/>
                <w:szCs w:val="18"/>
              </w:rPr>
              <w:t>连任董事局秘</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pacing w:val="-8"/>
                <w:sz w:val="18"/>
                <w:szCs w:val="18"/>
              </w:rPr>
              <w:t>书、新任副总裁</w:t>
            </w:r>
          </w:p>
        </w:tc>
      </w:tr>
      <w:tr>
        <w:trPr>
          <w:trHeight w:val="476" w:hRule="exact"/>
        </w:trPr>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30" w:right="0"/>
              <w:jc w:val="left"/>
              <w:rPr>
                <w:rFonts w:ascii="宋体" w:hAnsi="宋体" w:cs="宋体" w:eastAsia="宋体" w:hint="default"/>
                <w:sz w:val="21"/>
                <w:szCs w:val="21"/>
              </w:rPr>
            </w:pPr>
            <w:r>
              <w:rPr>
                <w:rFonts w:ascii="宋体" w:hAnsi="宋体" w:cs="宋体" w:eastAsia="宋体" w:hint="default"/>
                <w:sz w:val="21"/>
                <w:szCs w:val="21"/>
              </w:rPr>
              <w:t>黄旭辉</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1"/>
                <w:szCs w:val="21"/>
              </w:rPr>
            </w:pPr>
            <w:r>
              <w:rPr>
                <w:rFonts w:ascii="宋体" w:hAnsi="宋体" w:cs="宋体" w:eastAsia="宋体" w:hint="default"/>
                <w:sz w:val="21"/>
                <w:szCs w:val="21"/>
              </w:rPr>
              <w:t>财务经理</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8" w:right="0"/>
              <w:jc w:val="left"/>
              <w:rPr>
                <w:rFonts w:ascii="Times New Roman" w:hAnsi="Times New Roman" w:cs="Times New Roman" w:eastAsia="Times New Roman" w:hint="default"/>
                <w:sz w:val="21"/>
                <w:szCs w:val="21"/>
              </w:rPr>
            </w:pPr>
            <w:r>
              <w:rPr>
                <w:rFonts w:ascii="Times New Roman"/>
                <w:sz w:val="21"/>
              </w:rPr>
              <w:t>37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587"/>
              <w:jc w:val="right"/>
              <w:rPr>
                <w:rFonts w:ascii="Times New Roman" w:hAnsi="Times New Roman" w:cs="Times New Roman" w:eastAsia="Times New Roman" w:hint="default"/>
                <w:sz w:val="21"/>
                <w:szCs w:val="21"/>
              </w:rPr>
            </w:pPr>
            <w:r>
              <w:rPr>
                <w:rFonts w:ascii="Times New Roman"/>
                <w:sz w:val="21"/>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1"/>
                <w:szCs w:val="21"/>
              </w:rPr>
            </w:pPr>
            <w:r>
              <w:rPr>
                <w:rFonts w:ascii="Times New Roman"/>
                <w:sz w:val="21"/>
              </w:rPr>
              <w:t>0</w:t>
            </w: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21"/>
                <w:szCs w:val="21"/>
              </w:rPr>
            </w:pPr>
            <w:r>
              <w:rPr>
                <w:rFonts w:ascii="Times New Roman"/>
                <w:spacing w:val="-1"/>
                <w:sz w:val="21"/>
              </w:rPr>
              <w:t>328,518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29"/>
              <w:jc w:val="left"/>
              <w:rPr>
                <w:rFonts w:ascii="宋体" w:hAnsi="宋体" w:cs="宋体" w:eastAsia="宋体" w:hint="default"/>
                <w:sz w:val="18"/>
                <w:szCs w:val="18"/>
              </w:rPr>
            </w:pPr>
            <w:r>
              <w:rPr>
                <w:rFonts w:ascii="宋体" w:hAnsi="宋体" w:cs="宋体" w:eastAsia="宋体" w:hint="default"/>
                <w:sz w:val="18"/>
                <w:szCs w:val="18"/>
              </w:rPr>
              <w:t>离任财务经理、</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新任总裁助理</w:t>
            </w:r>
          </w:p>
        </w:tc>
      </w:tr>
      <w:tr>
        <w:trPr>
          <w:trHeight w:val="493" w:hRule="exact"/>
        </w:trPr>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30" w:right="0"/>
              <w:jc w:val="left"/>
              <w:rPr>
                <w:rFonts w:ascii="宋体" w:hAnsi="宋体" w:cs="宋体" w:eastAsia="宋体" w:hint="default"/>
                <w:sz w:val="21"/>
                <w:szCs w:val="21"/>
              </w:rPr>
            </w:pPr>
            <w:r>
              <w:rPr>
                <w:rFonts w:ascii="宋体" w:hAnsi="宋体" w:cs="宋体" w:eastAsia="宋体" w:hint="default"/>
                <w:sz w:val="21"/>
                <w:szCs w:val="21"/>
              </w:rPr>
              <w:t>陈泰泉</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21"/>
                <w:szCs w:val="21"/>
              </w:rPr>
            </w:pPr>
            <w:r>
              <w:rPr>
                <w:rFonts w:ascii="宋体" w:hAnsi="宋体" w:cs="宋体" w:eastAsia="宋体" w:hint="default"/>
                <w:sz w:val="21"/>
                <w:szCs w:val="21"/>
              </w:rPr>
              <w:t>董事局主席</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58" w:right="0"/>
              <w:jc w:val="left"/>
              <w:rPr>
                <w:rFonts w:ascii="Times New Roman" w:hAnsi="Times New Roman" w:cs="Times New Roman" w:eastAsia="Times New Roman" w:hint="default"/>
                <w:sz w:val="21"/>
                <w:szCs w:val="21"/>
              </w:rPr>
            </w:pPr>
            <w:r>
              <w:rPr>
                <w:rFonts w:ascii="Times New Roman"/>
                <w:sz w:val="21"/>
              </w:rPr>
              <w:t>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Times New Roman" w:hAnsi="Times New Roman" w:cs="Times New Roman" w:eastAsia="Times New Roman" w:hint="default"/>
                <w:sz w:val="21"/>
                <w:szCs w:val="21"/>
              </w:rPr>
            </w:pPr>
            <w:r>
              <w:rPr>
                <w:rFonts w:ascii="Times New Roman"/>
                <w:sz w:val="21"/>
              </w:rPr>
              <w:t>2009.6.30</w:t>
            </w:r>
          </w:p>
          <w:p>
            <w:pPr>
              <w:pStyle w:val="TableParagraph"/>
              <w:spacing w:line="240" w:lineRule="auto"/>
              <w:ind w:left="169" w:right="0"/>
              <w:jc w:val="left"/>
              <w:rPr>
                <w:rFonts w:ascii="Times New Roman" w:hAnsi="Times New Roman" w:cs="Times New Roman" w:eastAsia="Times New Roman" w:hint="default"/>
                <w:sz w:val="21"/>
                <w:szCs w:val="21"/>
              </w:rPr>
            </w:pPr>
            <w:r>
              <w:rPr>
                <w:rFonts w:ascii="Times New Roman"/>
                <w:sz w:val="21"/>
              </w:rPr>
              <w:t>-2012.6.30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587"/>
              <w:jc w:val="right"/>
              <w:rPr>
                <w:rFonts w:ascii="Times New Roman" w:hAnsi="Times New Roman" w:cs="Times New Roman" w:eastAsia="Times New Roman" w:hint="default"/>
                <w:sz w:val="21"/>
                <w:szCs w:val="21"/>
              </w:rPr>
            </w:pPr>
            <w:r>
              <w:rPr>
                <w:rFonts w:ascii="Times New Roman"/>
                <w:sz w:val="21"/>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Times New Roman" w:hAnsi="Times New Roman" w:cs="Times New Roman" w:eastAsia="Times New Roman" w:hint="default"/>
                <w:sz w:val="21"/>
                <w:szCs w:val="21"/>
              </w:rPr>
            </w:pPr>
            <w:r>
              <w:rPr>
                <w:rFonts w:ascii="Times New Roman"/>
                <w:sz w:val="21"/>
              </w:rPr>
              <w:t>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Times New Roman" w:hAnsi="Times New Roman" w:cs="Times New Roman" w:eastAsia="Times New Roman" w:hint="default"/>
                <w:sz w:val="21"/>
                <w:szCs w:val="21"/>
              </w:rPr>
            </w:pPr>
            <w:r>
              <w:rPr>
                <w:rFonts w:ascii="Times New Roman"/>
                <w:sz w:val="21"/>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8"/>
              <w:jc w:val="right"/>
              <w:rPr>
                <w:rFonts w:ascii="Times New Roman" w:hAnsi="Times New Roman" w:cs="Times New Roman" w:eastAsia="Times New Roman" w:hint="default"/>
                <w:sz w:val="21"/>
                <w:szCs w:val="21"/>
              </w:rPr>
            </w:pPr>
            <w:r>
              <w:rPr>
                <w:rFonts w:ascii="Times New Roman"/>
                <w:spacing w:val="-1"/>
                <w:sz w:val="21"/>
              </w:rPr>
              <w:t>60,000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18"/>
                <w:szCs w:val="18"/>
              </w:rPr>
            </w:pPr>
            <w:r>
              <w:rPr>
                <w:rFonts w:ascii="宋体" w:hAnsi="宋体" w:cs="宋体" w:eastAsia="宋体" w:hint="default"/>
                <w:sz w:val="21"/>
                <w:szCs w:val="21"/>
              </w:rPr>
              <w:t>是</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b/>
                <w:bCs/>
                <w:sz w:val="18"/>
                <w:szCs w:val="18"/>
              </w:rPr>
              <w:t>4</w:t>
            </w:r>
            <w:r>
              <w:rPr>
                <w:rFonts w:ascii="宋体" w:hAnsi="宋体" w:cs="宋体" w:eastAsia="宋体" w:hint="default"/>
                <w:sz w:val="18"/>
                <w:szCs w:val="18"/>
              </w:rPr>
              <w:t>）</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21"/>
                <w:szCs w:val="21"/>
              </w:rPr>
            </w:pPr>
            <w:r>
              <w:rPr>
                <w:rFonts w:ascii="宋体" w:hAnsi="宋体" w:cs="宋体" w:eastAsia="宋体" w:hint="default"/>
                <w:sz w:val="21"/>
                <w:szCs w:val="21"/>
              </w:rPr>
              <w:t>新任</w:t>
            </w:r>
          </w:p>
        </w:tc>
      </w:tr>
      <w:tr>
        <w:trPr>
          <w:trHeight w:val="554" w:hRule="exact"/>
        </w:trPr>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2" w:right="0"/>
              <w:jc w:val="left"/>
              <w:rPr>
                <w:rFonts w:ascii="宋体" w:hAnsi="宋体" w:cs="宋体" w:eastAsia="宋体" w:hint="default"/>
                <w:sz w:val="21"/>
                <w:szCs w:val="21"/>
              </w:rPr>
            </w:pPr>
            <w:r>
              <w:rPr>
                <w:rFonts w:ascii="宋体" w:hAnsi="宋体" w:cs="宋体" w:eastAsia="宋体" w:hint="default"/>
                <w:sz w:val="21"/>
                <w:szCs w:val="21"/>
              </w:rPr>
              <w:t>周 非</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董事、常务副</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总裁</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58" w:right="0"/>
              <w:jc w:val="left"/>
              <w:rPr>
                <w:rFonts w:ascii="Times New Roman" w:hAnsi="Times New Roman" w:cs="Times New Roman" w:eastAsia="Times New Roman" w:hint="default"/>
                <w:sz w:val="21"/>
                <w:szCs w:val="21"/>
              </w:rPr>
            </w:pPr>
            <w:r>
              <w:rPr>
                <w:rFonts w:ascii="Times New Roman"/>
                <w:sz w:val="21"/>
              </w:rPr>
              <w:t>48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587"/>
              <w:jc w:val="right"/>
              <w:rPr>
                <w:rFonts w:ascii="Times New Roman" w:hAnsi="Times New Roman" w:cs="Times New Roman" w:eastAsia="Times New Roman" w:hint="default"/>
                <w:sz w:val="21"/>
                <w:szCs w:val="21"/>
              </w:rPr>
            </w:pPr>
            <w:r>
              <w:rPr>
                <w:rFonts w:ascii="Times New Roman"/>
                <w:sz w:val="21"/>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59"/>
              <w:jc w:val="right"/>
              <w:rPr>
                <w:rFonts w:ascii="Times New Roman" w:hAnsi="Times New Roman" w:cs="Times New Roman" w:eastAsia="Times New Roman" w:hint="default"/>
                <w:sz w:val="21"/>
                <w:szCs w:val="21"/>
              </w:rPr>
            </w:pPr>
            <w:r>
              <w:rPr>
                <w:rFonts w:ascii="Times New Roman"/>
                <w:spacing w:val="-2"/>
                <w:sz w:val="21"/>
              </w:rPr>
              <w:t>280,110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新任</w:t>
            </w:r>
          </w:p>
        </w:tc>
      </w:tr>
      <w:tr>
        <w:trPr>
          <w:trHeight w:val="431" w:hRule="exact"/>
        </w:trPr>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30" w:right="0"/>
              <w:jc w:val="left"/>
              <w:rPr>
                <w:rFonts w:ascii="宋体" w:hAnsi="宋体" w:cs="宋体" w:eastAsia="宋体" w:hint="default"/>
                <w:sz w:val="21"/>
                <w:szCs w:val="21"/>
              </w:rPr>
            </w:pPr>
            <w:r>
              <w:rPr>
                <w:rFonts w:ascii="宋体" w:hAnsi="宋体" w:cs="宋体" w:eastAsia="宋体" w:hint="default"/>
                <w:sz w:val="21"/>
                <w:szCs w:val="21"/>
              </w:rPr>
              <w:t>郭山清</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8" w:right="0"/>
              <w:jc w:val="left"/>
              <w:rPr>
                <w:rFonts w:ascii="Times New Roman" w:hAnsi="Times New Roman" w:cs="Times New Roman" w:eastAsia="Times New Roman" w:hint="default"/>
                <w:sz w:val="21"/>
                <w:szCs w:val="21"/>
              </w:rPr>
            </w:pPr>
            <w:r>
              <w:rPr>
                <w:rFonts w:ascii="Times New Roman"/>
                <w:sz w:val="21"/>
              </w:rPr>
              <w:t>44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87"/>
              <w:jc w:val="right"/>
              <w:rPr>
                <w:rFonts w:ascii="Times New Roman" w:hAnsi="Times New Roman" w:cs="Times New Roman" w:eastAsia="Times New Roman" w:hint="default"/>
                <w:sz w:val="21"/>
                <w:szCs w:val="21"/>
              </w:rPr>
            </w:pPr>
            <w:r>
              <w:rPr>
                <w:rFonts w:ascii="Times New Roman"/>
                <w:sz w:val="21"/>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Times New Roman" w:hAnsi="Times New Roman" w:cs="Times New Roman" w:eastAsia="Times New Roman" w:hint="default"/>
                <w:sz w:val="21"/>
                <w:szCs w:val="21"/>
              </w:rPr>
            </w:pPr>
            <w:r>
              <w:rPr>
                <w:rFonts w:ascii="Times New Roman"/>
                <w:sz w:val="21"/>
              </w:rPr>
              <w:t>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8"/>
              <w:jc w:val="right"/>
              <w:rPr>
                <w:rFonts w:ascii="Times New Roman" w:hAnsi="Times New Roman" w:cs="Times New Roman" w:eastAsia="Times New Roman" w:hint="default"/>
                <w:sz w:val="21"/>
                <w:szCs w:val="21"/>
              </w:rPr>
            </w:pPr>
            <w:r>
              <w:rPr>
                <w:rFonts w:ascii="Times New Roman"/>
                <w:spacing w:val="-1"/>
                <w:sz w:val="21"/>
              </w:rPr>
              <w:t>60,000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18"/>
                <w:szCs w:val="18"/>
              </w:rPr>
            </w:pPr>
            <w:r>
              <w:rPr>
                <w:rFonts w:ascii="宋体" w:hAnsi="宋体" w:cs="宋体" w:eastAsia="宋体" w:hint="default"/>
                <w:sz w:val="21"/>
                <w:szCs w:val="21"/>
              </w:rPr>
              <w:t>是</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b/>
                <w:bCs/>
                <w:sz w:val="18"/>
                <w:szCs w:val="18"/>
              </w:rPr>
              <w:t>5</w:t>
            </w:r>
            <w:r>
              <w:rPr>
                <w:rFonts w:ascii="宋体" w:hAnsi="宋体" w:cs="宋体" w:eastAsia="宋体" w:hint="default"/>
                <w:sz w:val="18"/>
                <w:szCs w:val="18"/>
              </w:rPr>
              <w:t>）</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新任</w:t>
            </w:r>
          </w:p>
        </w:tc>
      </w:tr>
      <w:tr>
        <w:trPr>
          <w:trHeight w:val="461" w:hRule="exact"/>
        </w:trPr>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21"/>
                <w:szCs w:val="21"/>
              </w:rPr>
            </w:pPr>
            <w:r>
              <w:rPr>
                <w:rFonts w:ascii="宋体" w:hAnsi="宋体" w:cs="宋体" w:eastAsia="宋体" w:hint="default"/>
                <w:sz w:val="21"/>
                <w:szCs w:val="21"/>
              </w:rPr>
              <w:t>钟征宇</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Times New Roman" w:hAnsi="Times New Roman" w:cs="Times New Roman" w:eastAsia="Times New Roman" w:hint="default"/>
                <w:sz w:val="21"/>
                <w:szCs w:val="21"/>
              </w:rPr>
            </w:pPr>
            <w:r>
              <w:rPr>
                <w:rFonts w:ascii="Times New Roman"/>
                <w:sz w:val="21"/>
              </w:rPr>
              <w:t>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87"/>
              <w:jc w:val="right"/>
              <w:rPr>
                <w:rFonts w:ascii="Times New Roman" w:hAnsi="Times New Roman" w:cs="Times New Roman" w:eastAsia="Times New Roman" w:hint="default"/>
                <w:sz w:val="21"/>
                <w:szCs w:val="21"/>
              </w:rPr>
            </w:pPr>
            <w:r>
              <w:rPr>
                <w:rFonts w:ascii="Times New Roman"/>
                <w:sz w:val="21"/>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21"/>
                <w:szCs w:val="21"/>
              </w:rPr>
            </w:pPr>
            <w:r>
              <w:rPr>
                <w:rFonts w:ascii="Times New Roman"/>
                <w:sz w:val="21"/>
              </w:rPr>
              <w:t>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21"/>
                <w:szCs w:val="21"/>
              </w:rPr>
            </w:pPr>
            <w:r>
              <w:rPr>
                <w:rFonts w:ascii="Times New Roman"/>
                <w:sz w:val="21"/>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6"/>
              <w:jc w:val="right"/>
              <w:rPr>
                <w:rFonts w:ascii="Times New Roman" w:hAnsi="Times New Roman" w:cs="Times New Roman" w:eastAsia="Times New Roman" w:hint="default"/>
                <w:sz w:val="21"/>
                <w:szCs w:val="21"/>
              </w:rPr>
            </w:pPr>
            <w:r>
              <w:rPr>
                <w:rFonts w:ascii="Times New Roman"/>
                <w:spacing w:val="-1"/>
                <w:sz w:val="21"/>
              </w:rPr>
              <w:t>60,000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8"/>
              <w:jc w:val="center"/>
              <w:rPr>
                <w:rFonts w:ascii="宋体" w:hAnsi="宋体" w:cs="宋体" w:eastAsia="宋体" w:hint="default"/>
                <w:sz w:val="18"/>
                <w:szCs w:val="18"/>
              </w:rPr>
            </w:pPr>
            <w:r>
              <w:rPr>
                <w:rFonts w:ascii="宋体" w:hAnsi="宋体" w:cs="宋体" w:eastAsia="宋体" w:hint="default"/>
                <w:sz w:val="21"/>
                <w:szCs w:val="21"/>
              </w:rPr>
              <w:t>是</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b/>
                <w:bCs/>
                <w:sz w:val="18"/>
                <w:szCs w:val="18"/>
              </w:rPr>
              <w:t>6</w:t>
            </w:r>
            <w:r>
              <w:rPr>
                <w:rFonts w:ascii="宋体" w:hAnsi="宋体" w:cs="宋体" w:eastAsia="宋体" w:hint="default"/>
                <w:sz w:val="18"/>
                <w:szCs w:val="18"/>
              </w:rPr>
              <w:t>）</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新任</w:t>
            </w:r>
          </w:p>
        </w:tc>
      </w:tr>
      <w:tr>
        <w:trPr>
          <w:trHeight w:val="295" w:hRule="exact"/>
        </w:trPr>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30" w:right="0"/>
              <w:jc w:val="left"/>
              <w:rPr>
                <w:rFonts w:ascii="宋体" w:hAnsi="宋体" w:cs="宋体" w:eastAsia="宋体" w:hint="default"/>
                <w:sz w:val="21"/>
                <w:szCs w:val="21"/>
              </w:rPr>
            </w:pPr>
            <w:r>
              <w:rPr>
                <w:rFonts w:ascii="宋体" w:hAnsi="宋体" w:cs="宋体" w:eastAsia="宋体" w:hint="default"/>
                <w:sz w:val="21"/>
                <w:szCs w:val="21"/>
              </w:rPr>
              <w:t>贺雪琴</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8" w:right="0"/>
              <w:jc w:val="left"/>
              <w:rPr>
                <w:rFonts w:ascii="Times New Roman" w:hAnsi="Times New Roman" w:cs="Times New Roman" w:eastAsia="Times New Roman" w:hint="default"/>
                <w:sz w:val="21"/>
                <w:szCs w:val="21"/>
              </w:rPr>
            </w:pPr>
            <w:r>
              <w:rPr>
                <w:rFonts w:ascii="Times New Roman"/>
                <w:sz w:val="21"/>
              </w:rPr>
              <w:t>42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87"/>
              <w:jc w:val="right"/>
              <w:rPr>
                <w:rFonts w:ascii="Times New Roman" w:hAnsi="Times New Roman" w:cs="Times New Roman" w:eastAsia="Times New Roman" w:hint="default"/>
                <w:sz w:val="21"/>
                <w:szCs w:val="21"/>
              </w:rPr>
            </w:pPr>
            <w:r>
              <w:rPr>
                <w:rFonts w:ascii="Times New Roman"/>
                <w:sz w:val="21"/>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Times New Roman" w:hAnsi="Times New Roman" w:cs="Times New Roman" w:eastAsia="Times New Roman" w:hint="default"/>
                <w:sz w:val="21"/>
                <w:szCs w:val="21"/>
              </w:rPr>
            </w:pPr>
            <w:r>
              <w:rPr>
                <w:rFonts w:ascii="Times New Roman"/>
                <w:spacing w:val="-1"/>
                <w:sz w:val="21"/>
              </w:rPr>
              <w:t>60,000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8"/>
              <w:jc w:val="center"/>
              <w:rPr>
                <w:rFonts w:ascii="宋体" w:hAnsi="宋体" w:cs="宋体" w:eastAsia="宋体" w:hint="default"/>
                <w:sz w:val="18"/>
                <w:szCs w:val="18"/>
              </w:rPr>
            </w:pPr>
            <w:r>
              <w:rPr>
                <w:rFonts w:ascii="宋体" w:hAnsi="宋体" w:cs="宋体" w:eastAsia="宋体" w:hint="default"/>
                <w:sz w:val="21"/>
                <w:szCs w:val="21"/>
              </w:rPr>
              <w:t>是</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b/>
                <w:bCs/>
                <w:sz w:val="18"/>
                <w:szCs w:val="18"/>
              </w:rPr>
              <w:t>7</w:t>
            </w:r>
            <w:r>
              <w:rPr>
                <w:rFonts w:ascii="宋体" w:hAnsi="宋体" w:cs="宋体" w:eastAsia="宋体" w:hint="default"/>
                <w:sz w:val="18"/>
                <w:szCs w:val="18"/>
              </w:rPr>
              <w:t>）</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新任</w:t>
            </w:r>
          </w:p>
        </w:tc>
      </w:tr>
      <w:tr>
        <w:trPr>
          <w:trHeight w:val="294" w:hRule="exact"/>
        </w:trPr>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30" w:right="0"/>
              <w:jc w:val="left"/>
              <w:rPr>
                <w:rFonts w:ascii="宋体" w:hAnsi="宋体" w:cs="宋体" w:eastAsia="宋体" w:hint="default"/>
                <w:sz w:val="21"/>
                <w:szCs w:val="21"/>
              </w:rPr>
            </w:pPr>
            <w:r>
              <w:rPr>
                <w:rFonts w:ascii="宋体" w:hAnsi="宋体" w:cs="宋体" w:eastAsia="宋体" w:hint="default"/>
                <w:sz w:val="21"/>
                <w:szCs w:val="21"/>
              </w:rPr>
              <w:t>徐志新</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8" w:right="0"/>
              <w:jc w:val="left"/>
              <w:rPr>
                <w:rFonts w:ascii="Times New Roman" w:hAnsi="Times New Roman" w:cs="Times New Roman" w:eastAsia="Times New Roman" w:hint="default"/>
                <w:sz w:val="21"/>
                <w:szCs w:val="21"/>
              </w:rPr>
            </w:pPr>
            <w:r>
              <w:rPr>
                <w:rFonts w:ascii="Times New Roman"/>
                <w:sz w:val="21"/>
              </w:rPr>
              <w:t>41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87"/>
              <w:jc w:val="right"/>
              <w:rPr>
                <w:rFonts w:ascii="Times New Roman" w:hAnsi="Times New Roman" w:cs="Times New Roman" w:eastAsia="Times New Roman" w:hint="default"/>
                <w:sz w:val="21"/>
                <w:szCs w:val="21"/>
              </w:rPr>
            </w:pPr>
            <w:r>
              <w:rPr>
                <w:rFonts w:ascii="Times New Roman"/>
                <w:sz w:val="21"/>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Times New Roman" w:hAnsi="Times New Roman" w:cs="Times New Roman" w:eastAsia="Times New Roman" w:hint="default"/>
                <w:sz w:val="21"/>
                <w:szCs w:val="21"/>
              </w:rPr>
            </w:pPr>
            <w:r>
              <w:rPr>
                <w:rFonts w:ascii="Times New Roman"/>
                <w:spacing w:val="-1"/>
                <w:sz w:val="21"/>
              </w:rPr>
              <w:t>60,000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新任</w:t>
            </w:r>
          </w:p>
        </w:tc>
      </w:tr>
      <w:tr>
        <w:trPr>
          <w:trHeight w:val="283" w:hRule="exact"/>
        </w:trPr>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0" w:right="0"/>
              <w:jc w:val="left"/>
              <w:rPr>
                <w:rFonts w:ascii="宋体" w:hAnsi="宋体" w:cs="宋体" w:eastAsia="宋体" w:hint="default"/>
                <w:sz w:val="21"/>
                <w:szCs w:val="21"/>
              </w:rPr>
            </w:pPr>
            <w:r>
              <w:rPr>
                <w:rFonts w:ascii="宋体" w:hAnsi="宋体" w:cs="宋体" w:eastAsia="宋体" w:hint="default"/>
                <w:sz w:val="21"/>
                <w:szCs w:val="21"/>
              </w:rPr>
              <w:t>陈伟强</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58" w:right="0"/>
              <w:jc w:val="left"/>
              <w:rPr>
                <w:rFonts w:ascii="Times New Roman" w:hAnsi="Times New Roman" w:cs="Times New Roman" w:eastAsia="Times New Roman" w:hint="default"/>
                <w:sz w:val="21"/>
                <w:szCs w:val="21"/>
              </w:rPr>
            </w:pPr>
            <w:r>
              <w:rPr>
                <w:rFonts w:ascii="Times New Roman"/>
                <w:sz w:val="21"/>
              </w:rPr>
              <w:t>48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87"/>
              <w:jc w:val="right"/>
              <w:rPr>
                <w:rFonts w:ascii="Times New Roman" w:hAnsi="Times New Roman" w:cs="Times New Roman" w:eastAsia="Times New Roman" w:hint="default"/>
                <w:sz w:val="21"/>
                <w:szCs w:val="21"/>
              </w:rPr>
            </w:pPr>
            <w:r>
              <w:rPr>
                <w:rFonts w:ascii="Times New Roman"/>
                <w:sz w:val="21"/>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60,000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新任</w:t>
            </w:r>
          </w:p>
        </w:tc>
      </w:tr>
      <w:tr>
        <w:trPr>
          <w:trHeight w:val="282" w:hRule="exact"/>
        </w:trPr>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0" w:right="0"/>
              <w:jc w:val="left"/>
              <w:rPr>
                <w:rFonts w:ascii="宋体" w:hAnsi="宋体" w:cs="宋体" w:eastAsia="宋体" w:hint="default"/>
                <w:sz w:val="21"/>
                <w:szCs w:val="21"/>
              </w:rPr>
            </w:pPr>
            <w:r>
              <w:rPr>
                <w:rFonts w:ascii="宋体" w:hAnsi="宋体" w:cs="宋体" w:eastAsia="宋体" w:hint="default"/>
                <w:sz w:val="21"/>
                <w:szCs w:val="21"/>
              </w:rPr>
              <w:t>陈昌华</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58" w:right="0"/>
              <w:jc w:val="left"/>
              <w:rPr>
                <w:rFonts w:ascii="Times New Roman" w:hAnsi="Times New Roman" w:cs="Times New Roman" w:eastAsia="Times New Roman" w:hint="default"/>
                <w:sz w:val="21"/>
                <w:szCs w:val="21"/>
              </w:rPr>
            </w:pPr>
            <w:r>
              <w:rPr>
                <w:rFonts w:ascii="Times New Roman"/>
                <w:sz w:val="21"/>
              </w:rPr>
              <w:t>59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87"/>
              <w:jc w:val="right"/>
              <w:rPr>
                <w:rFonts w:ascii="Times New Roman" w:hAnsi="Times New Roman" w:cs="Times New Roman" w:eastAsia="Times New Roman" w:hint="default"/>
                <w:sz w:val="21"/>
                <w:szCs w:val="21"/>
              </w:rPr>
            </w:pPr>
            <w:r>
              <w:rPr>
                <w:rFonts w:ascii="Times New Roman"/>
                <w:sz w:val="21"/>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8"/>
              <w:jc w:val="center"/>
              <w:rPr>
                <w:rFonts w:ascii="宋体" w:hAnsi="宋体" w:cs="宋体" w:eastAsia="宋体" w:hint="default"/>
                <w:sz w:val="18"/>
                <w:szCs w:val="18"/>
              </w:rPr>
            </w:pPr>
            <w:r>
              <w:rPr>
                <w:rFonts w:ascii="宋体" w:hAnsi="宋体" w:cs="宋体" w:eastAsia="宋体" w:hint="default"/>
                <w:sz w:val="21"/>
                <w:szCs w:val="21"/>
              </w:rPr>
              <w:t>是</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b/>
                <w:bCs/>
                <w:sz w:val="18"/>
                <w:szCs w:val="18"/>
              </w:rPr>
              <w:t>8</w:t>
            </w:r>
            <w:r>
              <w:rPr>
                <w:rFonts w:ascii="宋体" w:hAnsi="宋体" w:cs="宋体" w:eastAsia="宋体" w:hint="default"/>
                <w:sz w:val="18"/>
                <w:szCs w:val="18"/>
              </w:rPr>
              <w:t>）</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新任</w:t>
            </w:r>
          </w:p>
        </w:tc>
      </w:tr>
      <w:tr>
        <w:trPr>
          <w:trHeight w:val="282" w:hRule="exact"/>
        </w:trPr>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0" w:right="0"/>
              <w:jc w:val="left"/>
              <w:rPr>
                <w:rFonts w:ascii="宋体" w:hAnsi="宋体" w:cs="宋体" w:eastAsia="宋体" w:hint="default"/>
                <w:sz w:val="21"/>
                <w:szCs w:val="21"/>
              </w:rPr>
            </w:pPr>
            <w:r>
              <w:rPr>
                <w:rFonts w:ascii="宋体" w:hAnsi="宋体" w:cs="宋体" w:eastAsia="宋体" w:hint="default"/>
                <w:sz w:val="21"/>
                <w:szCs w:val="21"/>
              </w:rPr>
              <w:t>张育新</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58" w:right="0"/>
              <w:jc w:val="left"/>
              <w:rPr>
                <w:rFonts w:ascii="Times New Roman" w:hAnsi="Times New Roman" w:cs="Times New Roman" w:eastAsia="Times New Roman" w:hint="default"/>
                <w:sz w:val="21"/>
                <w:szCs w:val="21"/>
              </w:rPr>
            </w:pPr>
            <w:r>
              <w:rPr>
                <w:rFonts w:ascii="Times New Roman"/>
                <w:sz w:val="21"/>
              </w:rPr>
              <w:t>60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87"/>
              <w:jc w:val="right"/>
              <w:rPr>
                <w:rFonts w:ascii="Times New Roman" w:hAnsi="Times New Roman" w:cs="Times New Roman" w:eastAsia="Times New Roman" w:hint="default"/>
                <w:sz w:val="21"/>
                <w:szCs w:val="21"/>
              </w:rPr>
            </w:pPr>
            <w:r>
              <w:rPr>
                <w:rFonts w:ascii="Times New Roman"/>
                <w:sz w:val="21"/>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8"/>
              <w:jc w:val="center"/>
              <w:rPr>
                <w:rFonts w:ascii="宋体" w:hAnsi="宋体" w:cs="宋体" w:eastAsia="宋体" w:hint="default"/>
                <w:sz w:val="18"/>
                <w:szCs w:val="18"/>
              </w:rPr>
            </w:pPr>
            <w:r>
              <w:rPr>
                <w:rFonts w:ascii="宋体" w:hAnsi="宋体" w:cs="宋体" w:eastAsia="宋体" w:hint="default"/>
                <w:sz w:val="21"/>
                <w:szCs w:val="21"/>
              </w:rPr>
              <w:t>是</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b/>
                <w:bCs/>
                <w:sz w:val="18"/>
                <w:szCs w:val="18"/>
              </w:rPr>
              <w:t>9</w:t>
            </w:r>
            <w:r>
              <w:rPr>
                <w:rFonts w:ascii="宋体" w:hAnsi="宋体" w:cs="宋体" w:eastAsia="宋体" w:hint="default"/>
                <w:sz w:val="18"/>
                <w:szCs w:val="18"/>
              </w:rPr>
              <w:t>）</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新任</w:t>
            </w:r>
          </w:p>
        </w:tc>
      </w:tr>
      <w:tr>
        <w:trPr>
          <w:trHeight w:val="283" w:hRule="exact"/>
        </w:trPr>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0" w:right="0"/>
              <w:jc w:val="left"/>
              <w:rPr>
                <w:rFonts w:ascii="宋体" w:hAnsi="宋体" w:cs="宋体" w:eastAsia="宋体" w:hint="default"/>
                <w:sz w:val="21"/>
                <w:szCs w:val="21"/>
              </w:rPr>
            </w:pPr>
            <w:r>
              <w:rPr>
                <w:rFonts w:ascii="宋体" w:hAnsi="宋体" w:cs="宋体" w:eastAsia="宋体" w:hint="default"/>
                <w:sz w:val="21"/>
                <w:szCs w:val="21"/>
              </w:rPr>
              <w:t>陈汉忠</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58" w:right="0"/>
              <w:jc w:val="left"/>
              <w:rPr>
                <w:rFonts w:ascii="Times New Roman" w:hAnsi="Times New Roman" w:cs="Times New Roman" w:eastAsia="Times New Roman" w:hint="default"/>
                <w:sz w:val="21"/>
                <w:szCs w:val="21"/>
              </w:rPr>
            </w:pPr>
            <w:r>
              <w:rPr>
                <w:rFonts w:ascii="Times New Roman"/>
                <w:sz w:val="21"/>
              </w:rPr>
              <w:t>56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87"/>
              <w:jc w:val="right"/>
              <w:rPr>
                <w:rFonts w:ascii="Times New Roman" w:hAnsi="Times New Roman" w:cs="Times New Roman" w:eastAsia="Times New Roman" w:hint="default"/>
                <w:sz w:val="21"/>
                <w:szCs w:val="21"/>
              </w:rPr>
            </w:pPr>
            <w:r>
              <w:rPr>
                <w:rFonts w:ascii="Times New Roman"/>
                <w:sz w:val="21"/>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198,540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新任</w:t>
            </w:r>
          </w:p>
        </w:tc>
      </w:tr>
      <w:tr>
        <w:trPr>
          <w:trHeight w:val="554" w:hRule="exact"/>
        </w:trPr>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2" w:right="0"/>
              <w:jc w:val="left"/>
              <w:rPr>
                <w:rFonts w:ascii="宋体" w:hAnsi="宋体" w:cs="宋体" w:eastAsia="宋体" w:hint="default"/>
                <w:sz w:val="21"/>
                <w:szCs w:val="21"/>
              </w:rPr>
            </w:pPr>
            <w:r>
              <w:rPr>
                <w:rFonts w:ascii="宋体" w:hAnsi="宋体" w:cs="宋体" w:eastAsia="宋体" w:hint="default"/>
                <w:sz w:val="21"/>
                <w:szCs w:val="21"/>
              </w:rPr>
              <w:t>钟 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财务总监、财</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务经理</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58" w:right="0"/>
              <w:jc w:val="left"/>
              <w:rPr>
                <w:rFonts w:ascii="Times New Roman" w:hAnsi="Times New Roman" w:cs="Times New Roman" w:eastAsia="Times New Roman" w:hint="default"/>
                <w:sz w:val="21"/>
                <w:szCs w:val="21"/>
              </w:rPr>
            </w:pPr>
            <w:r>
              <w:rPr>
                <w:rFonts w:ascii="Times New Roman"/>
                <w:sz w:val="21"/>
              </w:rPr>
              <w:t>42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587"/>
              <w:jc w:val="right"/>
              <w:rPr>
                <w:rFonts w:ascii="Times New Roman" w:hAnsi="Times New Roman" w:cs="Times New Roman" w:eastAsia="Times New Roman" w:hint="default"/>
                <w:sz w:val="21"/>
                <w:szCs w:val="21"/>
              </w:rPr>
            </w:pPr>
            <w:r>
              <w:rPr>
                <w:rFonts w:ascii="Times New Roman"/>
                <w:sz w:val="21"/>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56"/>
              <w:jc w:val="right"/>
              <w:rPr>
                <w:rFonts w:ascii="Times New Roman" w:hAnsi="Times New Roman" w:cs="Times New Roman" w:eastAsia="Times New Roman" w:hint="default"/>
                <w:sz w:val="21"/>
                <w:szCs w:val="21"/>
              </w:rPr>
            </w:pPr>
            <w:r>
              <w:rPr>
                <w:rFonts w:ascii="Times New Roman"/>
                <w:spacing w:val="-1"/>
                <w:sz w:val="21"/>
              </w:rPr>
              <w:t>197,700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新任</w:t>
            </w:r>
          </w:p>
        </w:tc>
      </w:tr>
    </w:tbl>
    <w:p>
      <w:pPr>
        <w:spacing w:before="29"/>
        <w:ind w:left="990" w:right="1862"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1"/>
          <w:sz w:val="18"/>
          <w:szCs w:val="18"/>
        </w:rPr>
        <w:t> </w:t>
      </w:r>
      <w:r>
        <w:rPr>
          <w:rFonts w:ascii="Times New Roman" w:hAnsi="Times New Roman" w:cs="Times New Roman" w:eastAsia="Times New Roman" w:hint="default"/>
          <w:b/>
          <w:bCs/>
          <w:sz w:val="18"/>
          <w:szCs w:val="18"/>
        </w:rPr>
        <w:t>1</w:t>
      </w:r>
      <w:r>
        <w:rPr>
          <w:rFonts w:ascii="宋体" w:hAnsi="宋体" w:cs="宋体" w:eastAsia="宋体" w:hint="default"/>
          <w:sz w:val="18"/>
          <w:szCs w:val="18"/>
        </w:rPr>
        <w:t>：董事邓学勤先生在股东单位</w:t>
      </w:r>
      <w:r>
        <w:rPr>
          <w:rFonts w:ascii="Times New Roman" w:hAnsi="Times New Roman" w:cs="Times New Roman" w:eastAsia="Times New Roman" w:hint="default"/>
          <w:b/>
          <w:bCs/>
          <w:sz w:val="18"/>
          <w:szCs w:val="18"/>
        </w:rPr>
        <w:t>——</w:t>
      </w:r>
      <w:r>
        <w:rPr>
          <w:rFonts w:ascii="宋体" w:hAnsi="宋体" w:cs="宋体" w:eastAsia="宋体" w:hint="default"/>
          <w:sz w:val="18"/>
          <w:szCs w:val="18"/>
        </w:rPr>
        <w:t>深圳市正中投资发展有限公司领薪。</w:t>
      </w:r>
    </w:p>
    <w:p>
      <w:pPr>
        <w:spacing w:line="288" w:lineRule="auto" w:before="51"/>
        <w:ind w:left="990" w:right="1862"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b/>
          <w:bCs/>
          <w:sz w:val="18"/>
          <w:szCs w:val="18"/>
        </w:rPr>
        <w:t>2</w:t>
      </w:r>
      <w:r>
        <w:rPr>
          <w:rFonts w:ascii="宋体" w:hAnsi="宋体" w:cs="宋体" w:eastAsia="宋体" w:hint="default"/>
          <w:sz w:val="18"/>
          <w:szCs w:val="18"/>
        </w:rPr>
        <w:t>：罗伟光先生于</w:t>
      </w:r>
      <w:r>
        <w:rPr>
          <w:rFonts w:ascii="宋体" w:hAnsi="宋体" w:cs="宋体" w:eastAsia="宋体" w:hint="default"/>
          <w:spacing w:val="-44"/>
          <w:sz w:val="18"/>
          <w:szCs w:val="18"/>
        </w:rPr>
        <w:t> </w:t>
      </w:r>
      <w:r>
        <w:rPr>
          <w:rFonts w:ascii="Times New Roman" w:hAnsi="Times New Roman" w:cs="Times New Roman" w:eastAsia="Times New Roman" w:hint="default"/>
          <w:b/>
          <w:bCs/>
          <w:sz w:val="18"/>
          <w:szCs w:val="18"/>
        </w:rPr>
        <w:t>2009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b/>
          <w:bCs/>
          <w:sz w:val="18"/>
          <w:szCs w:val="18"/>
        </w:rPr>
        <w:t>16</w:t>
      </w:r>
      <w:r>
        <w:rPr>
          <w:rFonts w:ascii="Times New Roman" w:hAnsi="Times New Roman" w:cs="Times New Roman" w:eastAsia="Times New Roman" w:hint="default"/>
          <w:b/>
          <w:bCs/>
          <w:spacing w:val="-1"/>
          <w:sz w:val="18"/>
          <w:szCs w:val="18"/>
        </w:rPr>
        <w:t> </w:t>
      </w:r>
      <w:r>
        <w:rPr>
          <w:rFonts w:ascii="宋体" w:hAnsi="宋体" w:cs="宋体" w:eastAsia="宋体" w:hint="default"/>
          <w:sz w:val="18"/>
          <w:szCs w:val="18"/>
        </w:rPr>
        <w:t>日买入</w:t>
      </w:r>
      <w:r>
        <w:rPr>
          <w:rFonts w:ascii="宋体" w:hAnsi="宋体" w:cs="宋体" w:eastAsia="宋体" w:hint="default"/>
          <w:spacing w:val="-44"/>
          <w:sz w:val="18"/>
          <w:szCs w:val="18"/>
        </w:rPr>
        <w:t> </w:t>
      </w:r>
      <w:r>
        <w:rPr>
          <w:rFonts w:ascii="Times New Roman" w:hAnsi="Times New Roman" w:cs="Times New Roman" w:eastAsia="Times New Roman" w:hint="default"/>
          <w:b/>
          <w:bCs/>
          <w:sz w:val="18"/>
          <w:szCs w:val="18"/>
        </w:rPr>
        <w:t>20,000 </w:t>
      </w:r>
      <w:r>
        <w:rPr>
          <w:rFonts w:ascii="宋体" w:hAnsi="宋体" w:cs="宋体" w:eastAsia="宋体" w:hint="default"/>
          <w:sz w:val="18"/>
          <w:szCs w:val="18"/>
        </w:rPr>
        <w:t>股公司股票，其买入数量的</w:t>
      </w:r>
      <w:r>
        <w:rPr>
          <w:rFonts w:ascii="宋体" w:hAnsi="宋体" w:cs="宋体" w:eastAsia="宋体" w:hint="default"/>
          <w:spacing w:val="-44"/>
          <w:sz w:val="18"/>
          <w:szCs w:val="18"/>
        </w:rPr>
        <w:t> </w:t>
      </w:r>
      <w:r>
        <w:rPr>
          <w:rFonts w:ascii="Times New Roman" w:hAnsi="Times New Roman" w:cs="Times New Roman" w:eastAsia="Times New Roman" w:hint="default"/>
          <w:b/>
          <w:bCs/>
          <w:sz w:val="18"/>
          <w:szCs w:val="18"/>
        </w:rPr>
        <w:t>75%</w:t>
      </w:r>
      <w:r>
        <w:rPr>
          <w:rFonts w:ascii="宋体" w:hAnsi="宋体" w:cs="宋体" w:eastAsia="宋体" w:hint="default"/>
          <w:sz w:val="18"/>
          <w:szCs w:val="18"/>
        </w:rPr>
        <w:t>已自动锁定。 注</w:t>
      </w:r>
      <w:r>
        <w:rPr>
          <w:rFonts w:ascii="宋体" w:hAnsi="宋体" w:cs="宋体" w:eastAsia="宋体" w:hint="default"/>
          <w:spacing w:val="-29"/>
          <w:sz w:val="18"/>
          <w:szCs w:val="18"/>
        </w:rPr>
        <w:t> </w:t>
      </w:r>
      <w:r>
        <w:rPr>
          <w:rFonts w:ascii="Times New Roman" w:hAnsi="Times New Roman" w:cs="Times New Roman" w:eastAsia="Times New Roman" w:hint="default"/>
          <w:b/>
          <w:bCs/>
          <w:sz w:val="18"/>
          <w:szCs w:val="18"/>
        </w:rPr>
        <w:t>3</w:t>
      </w:r>
      <w:r>
        <w:rPr>
          <w:rFonts w:ascii="宋体" w:hAnsi="宋体" w:cs="宋体" w:eastAsia="宋体" w:hint="default"/>
          <w:sz w:val="18"/>
          <w:szCs w:val="18"/>
        </w:rPr>
        <w:t>：董事庄伟鑫先生在股东单位</w:t>
      </w:r>
      <w:r>
        <w:rPr>
          <w:rFonts w:ascii="Times New Roman" w:hAnsi="Times New Roman" w:cs="Times New Roman" w:eastAsia="Times New Roman" w:hint="default"/>
          <w:b/>
          <w:bCs/>
          <w:sz w:val="18"/>
          <w:szCs w:val="18"/>
        </w:rPr>
        <w:t>——</w:t>
      </w:r>
      <w:r>
        <w:rPr>
          <w:rFonts w:ascii="宋体" w:hAnsi="宋体" w:cs="宋体" w:eastAsia="宋体" w:hint="default"/>
          <w:sz w:val="18"/>
          <w:szCs w:val="18"/>
        </w:rPr>
        <w:t>深圳市东鸿信投资发展有限公司领薪。</w:t>
      </w:r>
    </w:p>
    <w:p>
      <w:pPr>
        <w:spacing w:before="11"/>
        <w:ind w:left="99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35"/>
          <w:sz w:val="18"/>
          <w:szCs w:val="18"/>
        </w:rPr>
        <w:t> </w:t>
      </w:r>
      <w:r>
        <w:rPr>
          <w:rFonts w:ascii="Times New Roman" w:hAnsi="Times New Roman" w:cs="Times New Roman" w:eastAsia="Times New Roman" w:hint="default"/>
          <w:b/>
          <w:bCs/>
          <w:spacing w:val="-3"/>
          <w:sz w:val="18"/>
          <w:szCs w:val="18"/>
        </w:rPr>
        <w:t>4-9</w:t>
      </w:r>
      <w:r>
        <w:rPr>
          <w:rFonts w:ascii="宋体" w:hAnsi="宋体" w:cs="宋体" w:eastAsia="宋体" w:hint="default"/>
          <w:spacing w:val="-3"/>
          <w:sz w:val="18"/>
          <w:szCs w:val="18"/>
        </w:rPr>
        <w:t>：董事陈泰泉、郭山清、钟征宇、贺雪琴，监事陈昌华、张育新均在公司第一大股东之控股股东单位</w:t>
      </w:r>
      <w:r>
        <w:rPr>
          <w:rFonts w:ascii="Times New Roman" w:hAnsi="Times New Roman" w:cs="Times New Roman" w:eastAsia="Times New Roman" w:hint="default"/>
          <w:b/>
          <w:bCs/>
          <w:spacing w:val="-3"/>
          <w:sz w:val="18"/>
          <w:szCs w:val="18"/>
        </w:rPr>
        <w:t>——</w:t>
      </w:r>
      <w:r>
        <w:rPr>
          <w:rFonts w:ascii="Times New Roman" w:hAnsi="Times New Roman" w:cs="Times New Roman" w:eastAsia="Times New Roman" w:hint="default"/>
          <w:sz w:val="18"/>
          <w:szCs w:val="18"/>
        </w:rPr>
      </w:r>
    </w:p>
    <w:p>
      <w:pPr>
        <w:spacing w:before="51"/>
        <w:ind w:left="990" w:right="1862" w:firstLine="0"/>
        <w:jc w:val="left"/>
        <w:rPr>
          <w:rFonts w:ascii="宋体" w:hAnsi="宋体" w:cs="宋体" w:eastAsia="宋体" w:hint="default"/>
          <w:sz w:val="18"/>
          <w:szCs w:val="18"/>
        </w:rPr>
      </w:pPr>
      <w:r>
        <w:rPr>
          <w:rFonts w:ascii="宋体" w:hAnsi="宋体" w:cs="宋体" w:eastAsia="宋体" w:hint="default"/>
          <w:sz w:val="18"/>
          <w:szCs w:val="18"/>
        </w:rPr>
        <w:t>中国宝安集团股份有限公司领薪。</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BodyText"/>
        <w:spacing w:line="240" w:lineRule="auto"/>
        <w:ind w:left="990" w:right="1862"/>
        <w:jc w:val="left"/>
        <w:rPr>
          <w:rFonts w:ascii="黑体" w:hAnsi="黑体" w:cs="黑体" w:eastAsia="黑体" w:hint="default"/>
        </w:rPr>
      </w:pPr>
      <w:r>
        <w:rPr>
          <w:rFonts w:ascii="黑体" w:hAnsi="黑体" w:cs="黑体" w:eastAsia="黑体" w:hint="default"/>
        </w:rPr>
        <w:t>（二）截止报告期末，公司现任董事、监事、高级管理人员在股东单位任职情况</w:t>
      </w:r>
    </w:p>
    <w:p>
      <w:pPr>
        <w:spacing w:line="240" w:lineRule="auto" w:before="3"/>
        <w:rPr>
          <w:rFonts w:ascii="黑体" w:hAnsi="黑体" w:cs="黑体" w:eastAsia="黑体" w:hint="default"/>
          <w:sz w:val="3"/>
          <w:szCs w:val="3"/>
        </w:rPr>
      </w:pPr>
    </w:p>
    <w:tbl>
      <w:tblPr>
        <w:tblW w:w="0" w:type="auto"/>
        <w:jc w:val="left"/>
        <w:tblInd w:w="878" w:type="dxa"/>
        <w:tblLayout w:type="fixed"/>
        <w:tblCellMar>
          <w:top w:w="0" w:type="dxa"/>
          <w:left w:w="0" w:type="dxa"/>
          <w:bottom w:w="0" w:type="dxa"/>
          <w:right w:w="0" w:type="dxa"/>
        </w:tblCellMar>
        <w:tblLook w:val="01E0"/>
      </w:tblPr>
      <w:tblGrid>
        <w:gridCol w:w="1530"/>
        <w:gridCol w:w="3594"/>
        <w:gridCol w:w="2695"/>
      </w:tblGrid>
      <w:tr>
        <w:trPr>
          <w:trHeight w:val="394" w:hRule="exact"/>
        </w:trPr>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董事任职</w:t>
            </w:r>
          </w:p>
        </w:tc>
        <w:tc>
          <w:tcPr>
            <w:tcW w:w="3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任职单位</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职务</w:t>
            </w:r>
          </w:p>
        </w:tc>
      </w:tr>
      <w:tr>
        <w:trPr>
          <w:trHeight w:val="395" w:hRule="exact"/>
        </w:trPr>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钟征宇</w:t>
            </w:r>
          </w:p>
        </w:tc>
        <w:tc>
          <w:tcPr>
            <w:tcW w:w="3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中国宝安集团控股有限公司</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法定代表人、董事长、总经理</w:t>
            </w:r>
          </w:p>
        </w:tc>
      </w:tr>
      <w:tr>
        <w:trPr>
          <w:trHeight w:val="378" w:hRule="exact"/>
        </w:trPr>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颜金辉</w:t>
            </w:r>
          </w:p>
        </w:tc>
        <w:tc>
          <w:tcPr>
            <w:tcW w:w="3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深圳市东鸿信投资发展有限公司</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法定代表人、董事长</w:t>
            </w:r>
          </w:p>
        </w:tc>
      </w:tr>
      <w:tr>
        <w:trPr>
          <w:trHeight w:val="394" w:hRule="exact"/>
        </w:trPr>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庄伟鑫</w:t>
            </w:r>
          </w:p>
        </w:tc>
        <w:tc>
          <w:tcPr>
            <w:tcW w:w="3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深圳市东鸿信投资发展有限公司</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董事、总经理</w:t>
            </w:r>
          </w:p>
        </w:tc>
      </w:tr>
    </w:tbl>
    <w:p>
      <w:pPr>
        <w:spacing w:after="0" w:line="240" w:lineRule="auto"/>
        <w:jc w:val="center"/>
        <w:rPr>
          <w:rFonts w:ascii="宋体" w:hAnsi="宋体" w:cs="宋体" w:eastAsia="宋体" w:hint="default"/>
          <w:sz w:val="18"/>
          <w:szCs w:val="18"/>
        </w:rPr>
        <w:sectPr>
          <w:pgSz w:w="11900" w:h="16840"/>
          <w:pgMar w:header="0" w:footer="939" w:top="1360" w:bottom="1180" w:left="880" w:right="400"/>
        </w:sectPr>
      </w:pPr>
    </w:p>
    <w:p>
      <w:pPr>
        <w:spacing w:line="240" w:lineRule="auto" w:before="1"/>
        <w:rPr>
          <w:rFonts w:ascii="黑体" w:hAnsi="黑体" w:cs="黑体" w:eastAsia="黑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530"/>
        <w:gridCol w:w="3594"/>
        <w:gridCol w:w="2695"/>
      </w:tblGrid>
      <w:tr>
        <w:trPr>
          <w:trHeight w:val="394" w:hRule="exact"/>
        </w:trPr>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监事任职</w:t>
            </w:r>
          </w:p>
        </w:tc>
        <w:tc>
          <w:tcPr>
            <w:tcW w:w="3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任职单位</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131" w:right="0"/>
              <w:jc w:val="left"/>
              <w:rPr>
                <w:rFonts w:ascii="宋体" w:hAnsi="宋体" w:cs="宋体" w:eastAsia="宋体" w:hint="default"/>
                <w:sz w:val="21"/>
                <w:szCs w:val="21"/>
              </w:rPr>
            </w:pPr>
            <w:r>
              <w:rPr>
                <w:rFonts w:ascii="宋体" w:hAnsi="宋体" w:cs="宋体" w:eastAsia="宋体" w:hint="default"/>
                <w:sz w:val="21"/>
                <w:szCs w:val="21"/>
              </w:rPr>
              <w:t>职务</w:t>
            </w:r>
          </w:p>
        </w:tc>
      </w:tr>
      <w:tr>
        <w:trPr>
          <w:trHeight w:val="378" w:hRule="exact"/>
        </w:trPr>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尤明天</w:t>
            </w:r>
          </w:p>
        </w:tc>
        <w:tc>
          <w:tcPr>
            <w:tcW w:w="3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深圳市东鸿信投资发展有限公司</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6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95" w:hRule="exact"/>
        </w:trPr>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高管任职</w:t>
            </w:r>
          </w:p>
        </w:tc>
        <w:tc>
          <w:tcPr>
            <w:tcW w:w="3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任职单位</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131" w:right="0"/>
              <w:jc w:val="left"/>
              <w:rPr>
                <w:rFonts w:ascii="宋体" w:hAnsi="宋体" w:cs="宋体" w:eastAsia="宋体" w:hint="default"/>
                <w:sz w:val="21"/>
                <w:szCs w:val="21"/>
              </w:rPr>
            </w:pPr>
            <w:r>
              <w:rPr>
                <w:rFonts w:ascii="宋体" w:hAnsi="宋体" w:cs="宋体" w:eastAsia="宋体" w:hint="default"/>
                <w:sz w:val="21"/>
                <w:szCs w:val="21"/>
              </w:rPr>
              <w:t>职务</w:t>
            </w:r>
          </w:p>
        </w:tc>
      </w:tr>
      <w:tr>
        <w:trPr>
          <w:trHeight w:val="394" w:hRule="exact"/>
        </w:trPr>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罗竣</w:t>
            </w:r>
          </w:p>
        </w:tc>
        <w:tc>
          <w:tcPr>
            <w:tcW w:w="3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深圳市东鸿信投资发展有限公司</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6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395" w:hRule="exact"/>
        </w:trPr>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余毓凡</w:t>
            </w:r>
          </w:p>
        </w:tc>
        <w:tc>
          <w:tcPr>
            <w:tcW w:w="3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深圳市东鸿信投资发展有限公司</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62" w:right="0"/>
              <w:jc w:val="left"/>
              <w:rPr>
                <w:rFonts w:ascii="宋体" w:hAnsi="宋体" w:cs="宋体" w:eastAsia="宋体" w:hint="default"/>
                <w:sz w:val="18"/>
                <w:szCs w:val="18"/>
              </w:rPr>
            </w:pPr>
            <w:r>
              <w:rPr>
                <w:rFonts w:ascii="宋体" w:hAnsi="宋体" w:cs="宋体" w:eastAsia="宋体" w:hint="default"/>
                <w:sz w:val="18"/>
                <w:szCs w:val="18"/>
              </w:rPr>
              <w:t>董事</w:t>
            </w:r>
          </w:p>
        </w:tc>
      </w:tr>
    </w:tbl>
    <w:p>
      <w:pPr>
        <w:spacing w:line="240" w:lineRule="auto" w:before="5"/>
        <w:rPr>
          <w:rFonts w:ascii="黑体" w:hAnsi="黑体" w:cs="黑体" w:eastAsia="黑体" w:hint="default"/>
          <w:sz w:val="18"/>
          <w:szCs w:val="18"/>
        </w:rPr>
      </w:pPr>
    </w:p>
    <w:p>
      <w:pPr>
        <w:pStyle w:val="Heading3"/>
        <w:spacing w:line="240" w:lineRule="auto" w:before="26"/>
        <w:ind w:left="230" w:right="1566"/>
        <w:jc w:val="left"/>
      </w:pPr>
      <w:r>
        <w:rPr/>
        <w:t>二、年度报酬情况</w:t>
      </w:r>
    </w:p>
    <w:p>
      <w:pPr>
        <w:spacing w:line="240" w:lineRule="auto" w:before="7"/>
        <w:rPr>
          <w:rFonts w:ascii="黑体" w:hAnsi="黑体" w:cs="黑体" w:eastAsia="黑体" w:hint="default"/>
          <w:sz w:val="28"/>
          <w:szCs w:val="28"/>
        </w:rPr>
      </w:pPr>
    </w:p>
    <w:p>
      <w:pPr>
        <w:pStyle w:val="BodyText"/>
        <w:spacing w:line="328" w:lineRule="auto"/>
        <w:ind w:left="650" w:right="1566" w:hanging="1"/>
        <w:jc w:val="left"/>
      </w:pPr>
      <w:r>
        <w:rPr>
          <w:rFonts w:ascii="Times New Roman" w:hAnsi="Times New Roman" w:cs="Times New Roman" w:eastAsia="Times New Roman" w:hint="default"/>
        </w:rPr>
        <w:t>1</w:t>
      </w:r>
      <w:r>
        <w:rPr/>
        <w:t>、董事、监事和高级管理人员在公司领取报酬的决策程序、报酬确定依据 </w:t>
      </w:r>
      <w:r>
        <w:rPr>
          <w:spacing w:val="-4"/>
        </w:rPr>
        <w:t>公司董事（含独立董事）、监事津贴由公司股东大会审议决定；</w:t>
      </w:r>
    </w:p>
    <w:p>
      <w:pPr>
        <w:pStyle w:val="BodyText"/>
        <w:spacing w:line="340" w:lineRule="auto" w:before="48"/>
        <w:ind w:left="230" w:right="207" w:firstLine="420"/>
        <w:jc w:val="both"/>
        <w:rPr>
          <w:rFonts w:ascii="Times New Roman" w:hAnsi="Times New Roman" w:cs="Times New Roman" w:eastAsia="Times New Roman" w:hint="default"/>
        </w:rPr>
      </w:pPr>
      <w:r>
        <w:rPr/>
        <w:t>根据</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日董事局审议通过的《公司薪酬制度》规定，公司高管：总裁、副总 裁、财务总监、总裁助理、董事局秘书、财务经理均实行年薪制，年薪主要包含固定部分、浮</w:t>
      </w:r>
      <w:r>
        <w:rPr>
          <w:spacing w:val="-99"/>
        </w:rPr>
        <w:t> </w:t>
      </w:r>
      <w:r>
        <w:rPr>
          <w:spacing w:val="-99"/>
        </w:rPr>
      </w:r>
      <w:r>
        <w:rPr>
          <w:spacing w:val="-3"/>
        </w:rPr>
        <w:t>动部分（职务年薪</w:t>
      </w:r>
      <w:r>
        <w:rPr>
          <w:rFonts w:ascii="Times New Roman" w:hAnsi="Times New Roman" w:cs="Times New Roman" w:eastAsia="Times New Roman" w:hint="default"/>
          <w:spacing w:val="-3"/>
        </w:rPr>
        <w:t>+</w:t>
      </w:r>
      <w:r>
        <w:rPr>
          <w:spacing w:val="-3"/>
        </w:rPr>
        <w:t>绩效年薪）、附加部分；固定部分、职务年薪、附加部分按月发放。绩效年</w:t>
      </w:r>
      <w:r>
        <w:rPr>
          <w:spacing w:val="-96"/>
        </w:rPr>
        <w:t> </w:t>
      </w:r>
      <w:r>
        <w:rPr>
          <w:spacing w:val="-96"/>
        </w:rPr>
      </w:r>
      <w:r>
        <w:rPr>
          <w:spacing w:val="-5"/>
        </w:rPr>
        <w:t>薪按月预提后根据年终考核结果一次性发放。公司高管绩效考核依据公司《薪酬制度》、《绩效</w:t>
      </w:r>
      <w:r>
        <w:rPr>
          <w:spacing w:val="-100"/>
        </w:rPr>
        <w:t> </w:t>
      </w:r>
      <w:r>
        <w:rPr>
          <w:spacing w:val="-100"/>
        </w:rPr>
      </w:r>
      <w:r>
        <w:rPr>
          <w:spacing w:val="-5"/>
        </w:rPr>
        <w:t>考核制度》及《董事局薪酬与考核委员会工作规程》，由董事局薪酬与考核委员会组织实施，根</w:t>
      </w:r>
      <w:r>
        <w:rPr>
          <w:spacing w:val="-98"/>
        </w:rPr>
        <w:t> </w:t>
      </w:r>
      <w:r>
        <w:rPr>
          <w:spacing w:val="-98"/>
        </w:rPr>
      </w:r>
      <w:r>
        <w:rPr/>
        <w:t>据高管填报的绩效考核相关资料及述职报告，加权汇总高管</w:t>
      </w:r>
      <w:r>
        <w:rPr>
          <w:rFonts w:ascii="Times New Roman" w:hAnsi="Times New Roman" w:cs="Times New Roman" w:eastAsia="Times New Roman" w:hint="default"/>
        </w:rPr>
        <w:t>“</w:t>
      </w:r>
      <w:r>
        <w:rPr/>
        <w:t>自我评分</w:t>
      </w:r>
      <w:r>
        <w:rPr>
          <w:rFonts w:ascii="Times New Roman" w:hAnsi="Times New Roman" w:cs="Times New Roman" w:eastAsia="Times New Roman" w:hint="default"/>
        </w:rPr>
        <w:t>”</w:t>
      </w:r>
      <w:r>
        <w:rPr/>
        <w:t>与董事</w:t>
      </w:r>
      <w:r>
        <w:rPr>
          <w:rFonts w:ascii="Times New Roman" w:hAnsi="Times New Roman" w:cs="Times New Roman" w:eastAsia="Times New Roman" w:hint="default"/>
        </w:rPr>
        <w:t>“</w:t>
      </w:r>
      <w:r>
        <w:rPr/>
        <w:t>考核评分</w:t>
      </w:r>
      <w:r>
        <w:rPr>
          <w:rFonts w:ascii="Times New Roman" w:hAnsi="Times New Roman" w:cs="Times New Roman" w:eastAsia="Times New Roman" w:hint="default"/>
        </w:rPr>
        <w:t>”</w:t>
      </w:r>
      <w:r>
        <w:rPr/>
        <w:t>最终</w:t>
      </w:r>
      <w:r>
        <w:rPr>
          <w:spacing w:val="-61"/>
        </w:rPr>
        <w:t> </w:t>
      </w:r>
      <w:r>
        <w:rPr/>
        <w:t>确定绩效考核系数，作为高管年终绩效年薪的发放依据。</w:t>
      </w:r>
      <w:r>
        <w:rPr>
          <w:rFonts w:ascii="Times New Roman" w:hAnsi="Times New Roman" w:cs="Times New Roman" w:eastAsia="Times New Roman" w:hint="default"/>
        </w:rPr>
        <w:t>2009  </w:t>
      </w:r>
      <w:r>
        <w:rPr/>
        <w:t>年度高管绩效考核议案已</w:t>
      </w:r>
      <w:r>
        <w:rPr>
          <w:spacing w:val="4"/>
        </w:rPr>
        <w:t> </w:t>
      </w:r>
      <w:r>
        <w:rPr>
          <w:rFonts w:ascii="Times New Roman" w:hAnsi="Times New Roman" w:cs="Times New Roman" w:eastAsia="Times New Roman" w:hint="default"/>
        </w:rPr>
        <w:t>2010</w:t>
      </w:r>
    </w:p>
    <w:p>
      <w:pPr>
        <w:pStyle w:val="BodyText"/>
        <w:spacing w:line="240" w:lineRule="auto" w:before="11"/>
        <w:ind w:left="230" w:right="1566"/>
        <w:jc w:val="left"/>
      </w:pP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月由薪酬与考核委员会提交董事局会议审议通过。</w:t>
      </w:r>
    </w:p>
    <w:p>
      <w:pPr>
        <w:pStyle w:val="BodyText"/>
        <w:spacing w:line="240" w:lineRule="auto" w:before="109"/>
        <w:ind w:left="650" w:right="1566"/>
        <w:jc w:val="left"/>
      </w:pPr>
      <w:r>
        <w:rPr>
          <w:rFonts w:ascii="Times New Roman" w:hAnsi="Times New Roman" w:cs="Times New Roman" w:eastAsia="Times New Roman" w:hint="default"/>
        </w:rPr>
        <w:t>2</w:t>
      </w:r>
      <w:r>
        <w:rPr/>
        <w:t>、现任董事、监事和高级管理人员的年度报酬总额是</w:t>
      </w:r>
      <w:r>
        <w:rPr>
          <w:spacing w:val="-57"/>
        </w:rPr>
        <w:t> </w:t>
      </w:r>
      <w:r>
        <w:rPr>
          <w:rFonts w:ascii="Times New Roman" w:hAnsi="Times New Roman" w:cs="Times New Roman" w:eastAsia="Times New Roman" w:hint="default"/>
        </w:rPr>
        <w:t>6,827,308.27</w:t>
      </w:r>
      <w:r>
        <w:rPr>
          <w:rFonts w:ascii="Times New Roman" w:hAnsi="Times New Roman" w:cs="Times New Roman" w:eastAsia="Times New Roman" w:hint="default"/>
          <w:spacing w:val="-4"/>
        </w:rPr>
        <w:t> </w:t>
      </w:r>
      <w:r>
        <w:rPr/>
        <w:t>元。</w:t>
      </w:r>
    </w:p>
    <w:p>
      <w:pPr>
        <w:spacing w:line="240" w:lineRule="auto" w:before="1"/>
        <w:rPr>
          <w:rFonts w:ascii="宋体" w:hAnsi="宋体" w:cs="宋体" w:eastAsia="宋体" w:hint="default"/>
          <w:sz w:val="23"/>
          <w:szCs w:val="23"/>
        </w:rPr>
      </w:pPr>
    </w:p>
    <w:p>
      <w:pPr>
        <w:pStyle w:val="Heading3"/>
        <w:spacing w:line="240" w:lineRule="auto"/>
        <w:ind w:left="230" w:right="1566"/>
        <w:jc w:val="left"/>
      </w:pPr>
      <w:r>
        <w:rPr/>
        <w:t>三、现任董事、监事及其他高级管理人员的主要工作经历：</w:t>
      </w:r>
    </w:p>
    <w:p>
      <w:pPr>
        <w:spacing w:line="240" w:lineRule="auto" w:before="7"/>
        <w:rPr>
          <w:rFonts w:ascii="黑体" w:hAnsi="黑体" w:cs="黑体" w:eastAsia="黑体" w:hint="default"/>
          <w:sz w:val="28"/>
          <w:szCs w:val="28"/>
        </w:rPr>
      </w:pPr>
    </w:p>
    <w:p>
      <w:pPr>
        <w:pStyle w:val="BodyText"/>
        <w:spacing w:line="240" w:lineRule="auto"/>
        <w:ind w:left="650" w:right="1566"/>
        <w:jc w:val="left"/>
        <w:rPr>
          <w:rFonts w:ascii="黑体" w:hAnsi="黑体" w:cs="黑体" w:eastAsia="黑体" w:hint="default"/>
        </w:rPr>
      </w:pPr>
      <w:r>
        <w:rPr>
          <w:rFonts w:ascii="黑体" w:hAnsi="黑体" w:cs="黑体" w:eastAsia="黑体" w:hint="default"/>
        </w:rPr>
        <w:t>（一）董事局成员：</w:t>
      </w:r>
    </w:p>
    <w:p>
      <w:pPr>
        <w:pStyle w:val="BodyText"/>
        <w:spacing w:line="340" w:lineRule="auto" w:before="125"/>
        <w:ind w:left="230" w:right="217" w:firstLine="419"/>
        <w:jc w:val="both"/>
      </w:pPr>
      <w:r>
        <w:rPr>
          <w:rFonts w:ascii="Times New Roman" w:hAnsi="Times New Roman" w:cs="Times New Roman" w:eastAsia="Times New Roman" w:hint="default"/>
        </w:rPr>
        <w:t>1</w:t>
      </w:r>
      <w:r>
        <w:rPr/>
        <w:t>、陈泰泉：公司第六届董事局主席。男，</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2</w:t>
      </w:r>
      <w:r>
        <w:rPr/>
        <w:t>月出生，研究生学历，中国民主建国会 会员、民建深圳市委副主委、民建广东省委常委，深圳市政协常委。现兼任宝安集团董事局常 务副主席、执行总裁。曾任中国宝安集团股份有限公司总经理助理、副总经理等职务。</w:t>
      </w:r>
    </w:p>
    <w:p>
      <w:pPr>
        <w:pStyle w:val="BodyText"/>
        <w:spacing w:line="331" w:lineRule="auto" w:before="36"/>
        <w:ind w:left="230" w:right="217" w:firstLine="419"/>
        <w:jc w:val="both"/>
      </w:pPr>
      <w:r>
        <w:rPr>
          <w:rFonts w:ascii="Times New Roman" w:hAnsi="Times New Roman" w:cs="Times New Roman" w:eastAsia="Times New Roman" w:hint="default"/>
        </w:rPr>
        <w:t>2</w:t>
      </w:r>
      <w:r>
        <w:rPr/>
        <w:t>、高文清：公司第六届董事局董事、总裁。男，</w:t>
      </w:r>
      <w:r>
        <w:rPr>
          <w:rFonts w:ascii="Times New Roman" w:hAnsi="Times New Roman" w:cs="Times New Roman" w:eastAsia="Times New Roman" w:hint="default"/>
        </w:rPr>
        <w:t>1953</w:t>
      </w:r>
      <w:r>
        <w:rPr/>
        <w:t>年</w:t>
      </w:r>
      <w:r>
        <w:rPr>
          <w:rFonts w:ascii="Times New Roman" w:hAnsi="Times New Roman" w:cs="Times New Roman" w:eastAsia="Times New Roman" w:hint="default"/>
        </w:rPr>
        <w:t>4</w:t>
      </w:r>
      <w:r>
        <w:rPr/>
        <w:t>月出生，大专学历，经济师，中 共党员。现兼任公司控股子公司</w:t>
      </w:r>
      <w:r>
        <w:rPr>
          <w:rFonts w:ascii="Times New Roman" w:hAnsi="Times New Roman" w:cs="Times New Roman" w:eastAsia="Times New Roman" w:hint="default"/>
        </w:rPr>
        <w:t>——</w:t>
      </w:r>
      <w:r>
        <w:rPr/>
        <w:t>深圳迅达汽车运输公司法定代表人、总经理。曾任深圳市 东鸿信投资发展有限公司监事、公司董事兼副总裁、公司下属单位车队长、经理等职务。</w:t>
      </w:r>
    </w:p>
    <w:p>
      <w:pPr>
        <w:pStyle w:val="BodyText"/>
        <w:spacing w:line="336" w:lineRule="auto" w:before="45"/>
        <w:ind w:left="230" w:right="0" w:firstLine="419"/>
        <w:jc w:val="left"/>
      </w:pPr>
      <w:r>
        <w:rPr>
          <w:rFonts w:ascii="Times New Roman" w:hAnsi="Times New Roman" w:cs="Times New Roman" w:eastAsia="Times New Roman" w:hint="default"/>
        </w:rPr>
        <w:t>3</w:t>
      </w:r>
      <w:r>
        <w:rPr/>
        <w:t>、周非：公司第六届董事局董事、常务副总裁。女，</w:t>
      </w:r>
      <w:r>
        <w:rPr>
          <w:rFonts w:ascii="Times New Roman" w:hAnsi="Times New Roman" w:cs="Times New Roman" w:eastAsia="Times New Roman" w:hint="default"/>
        </w:rPr>
        <w:t>1962</w:t>
      </w:r>
      <w:r>
        <w:rPr/>
        <w:t>年</w:t>
      </w:r>
      <w:r>
        <w:rPr>
          <w:rFonts w:ascii="Times New Roman" w:hAnsi="Times New Roman" w:cs="Times New Roman" w:eastAsia="Times New Roman" w:hint="default"/>
        </w:rPr>
        <w:t>4</w:t>
      </w:r>
      <w:r>
        <w:rPr/>
        <w:t>月出生，大学本科学历，高 </w:t>
      </w:r>
      <w:r>
        <w:rPr>
          <w:spacing w:val="-3"/>
        </w:rPr>
        <w:t>级工程师，中共党员。现兼任公司控股子公司</w:t>
      </w:r>
      <w:r>
        <w:rPr>
          <w:rFonts w:ascii="Times New Roman" w:hAnsi="Times New Roman" w:cs="Times New Roman" w:eastAsia="Times New Roman" w:hint="default"/>
          <w:spacing w:val="-3"/>
        </w:rPr>
        <w:t>——</w:t>
      </w:r>
      <w:r>
        <w:rPr>
          <w:spacing w:val="-3"/>
        </w:rPr>
        <w:t>深圳市龙岗鸿基房地产开发有限公司董事长、</w:t>
      </w:r>
      <w:r>
        <w:rPr>
          <w:spacing w:val="-79"/>
        </w:rPr>
        <w:t> </w:t>
      </w:r>
      <w:r>
        <w:rPr/>
        <w:t>法定代表人。曾任宝安集团海南公司总经理助理、副总经理、常务副总经理，宝安集团地产开 发部部长助理、副部长、规划设计总监等职务。</w:t>
      </w:r>
    </w:p>
    <w:p>
      <w:pPr>
        <w:pStyle w:val="BodyText"/>
        <w:spacing w:line="338" w:lineRule="auto" w:before="42"/>
        <w:ind w:left="230" w:right="217" w:firstLine="419"/>
        <w:jc w:val="both"/>
      </w:pPr>
      <w:r>
        <w:rPr>
          <w:rFonts w:ascii="Times New Roman" w:hAnsi="Times New Roman" w:cs="Times New Roman" w:eastAsia="Times New Roman" w:hint="default"/>
        </w:rPr>
        <w:t>4</w:t>
      </w:r>
      <w:r>
        <w:rPr/>
        <w:t>、郭山清：公司第六届董事局董事。男，</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9</w:t>
      </w:r>
      <w:r>
        <w:rPr/>
        <w:t>月出生，研究生学历，高级经营师，中 共党员。现兼任宝安集团资产管理部总经理，北京鼎汉技术股份有限公司监事、湖北鼎龙化学 股份有限公司董事。曾任深圳市安信财务公司调研部副总经理、武汉马应龙药业集团股份有限</w:t>
      </w:r>
    </w:p>
    <w:p>
      <w:pPr>
        <w:spacing w:after="0" w:line="338" w:lineRule="auto"/>
        <w:jc w:val="both"/>
        <w:sectPr>
          <w:pgSz w:w="11900" w:h="16840"/>
          <w:pgMar w:header="0" w:footer="939" w:top="1360" w:bottom="1180" w:left="1640" w:right="1200"/>
        </w:sectPr>
      </w:pPr>
    </w:p>
    <w:p>
      <w:pPr>
        <w:pStyle w:val="BodyText"/>
        <w:spacing w:line="348" w:lineRule="auto" w:before="15"/>
        <w:ind w:right="100"/>
        <w:jc w:val="left"/>
      </w:pPr>
      <w:r>
        <w:rPr/>
        <w:t>公司财务总监、宝安集团生物医药事业部副部长兼唐人药业公司常务副总经理、宝安集团资产 管理部常务副部长等职务。</w:t>
      </w:r>
    </w:p>
    <w:p>
      <w:pPr>
        <w:pStyle w:val="BodyText"/>
        <w:spacing w:line="343" w:lineRule="auto" w:before="31"/>
        <w:ind w:right="117" w:firstLine="419"/>
        <w:jc w:val="both"/>
      </w:pPr>
      <w:r>
        <w:rPr>
          <w:rFonts w:ascii="Times New Roman" w:hAnsi="Times New Roman" w:cs="Times New Roman" w:eastAsia="Times New Roman" w:hint="default"/>
        </w:rPr>
        <w:t>5</w:t>
      </w:r>
      <w:r>
        <w:rPr/>
        <w:t>、钟征宇：公司第六届董事局董事。男，</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6</w:t>
      </w:r>
      <w:r>
        <w:rPr/>
        <w:t>月出生，研究生学历。现兼任宝安集团 副总裁，中国宝安集团控股有限公司法定代表人、董事长、总经理。曾任深圳市上步建行信贷 主管、恒安房地产公司副总经理、宝安集团金融部副部长、部长、金融总监，深圳市利必得投 资公司副总经理等职务。</w:t>
      </w:r>
    </w:p>
    <w:p>
      <w:pPr>
        <w:pStyle w:val="BodyText"/>
        <w:spacing w:line="345" w:lineRule="auto" w:before="34"/>
        <w:ind w:right="108" w:firstLine="419"/>
        <w:jc w:val="both"/>
      </w:pPr>
      <w:r>
        <w:rPr>
          <w:rFonts w:ascii="Times New Roman" w:hAnsi="Times New Roman" w:cs="Times New Roman" w:eastAsia="Times New Roman" w:hint="default"/>
        </w:rPr>
        <w:t>6</w:t>
      </w:r>
      <w:r>
        <w:rPr/>
        <w:t>、贺雪琴：公司第六届董事局董事。男，</w:t>
      </w:r>
      <w:r>
        <w:rPr>
          <w:rFonts w:ascii="Times New Roman" w:hAnsi="Times New Roman" w:cs="Times New Roman" w:eastAsia="Times New Roman" w:hint="default"/>
        </w:rPr>
        <w:t>1968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月出生，本科学历，经济师，中共党 员。现兼任深圳市贝特瑞新能源材料股份有限公司法定代表人、董事长。曾任宝安集团资产经</w:t>
      </w:r>
      <w:r>
        <w:rPr>
          <w:spacing w:val="-99"/>
        </w:rPr>
        <w:t> </w:t>
      </w:r>
      <w:r>
        <w:rPr>
          <w:spacing w:val="-99"/>
        </w:rPr>
      </w:r>
      <w:r>
        <w:rPr/>
        <w:t>营部高级项目经理、部长助理、副部长、宝安集团创新科技园有限公司副总经理、深圳市宝安</w:t>
      </w:r>
      <w:r>
        <w:rPr>
          <w:spacing w:val="-99"/>
        </w:rPr>
        <w:t> </w:t>
      </w:r>
      <w:r>
        <w:rPr>
          <w:spacing w:val="-99"/>
        </w:rPr>
      </w:r>
      <w:r>
        <w:rPr/>
        <w:t>电子研究所办公室副主任、厦门龙舟实业集团股份有限公司总经理助理、深圳市运通物实业有</w:t>
      </w:r>
      <w:r>
        <w:rPr>
          <w:spacing w:val="-99"/>
        </w:rPr>
        <w:t> </w:t>
      </w:r>
      <w:r>
        <w:rPr>
          <w:spacing w:val="-99"/>
        </w:rPr>
      </w:r>
      <w:r>
        <w:rPr/>
        <w:t>限公司副总经理等职务。</w:t>
      </w:r>
    </w:p>
    <w:p>
      <w:pPr>
        <w:pStyle w:val="BodyText"/>
        <w:spacing w:line="336" w:lineRule="auto" w:before="33"/>
        <w:ind w:right="117" w:firstLine="420"/>
        <w:jc w:val="both"/>
      </w:pPr>
      <w:r>
        <w:rPr>
          <w:rFonts w:ascii="Times New Roman" w:hAnsi="Times New Roman" w:cs="Times New Roman" w:eastAsia="Times New Roman" w:hint="default"/>
        </w:rPr>
        <w:t>7</w:t>
      </w:r>
      <w:r>
        <w:rPr/>
        <w:t>、颜金辉：公司第六届董事局董事、副总裁。男，</w:t>
      </w:r>
      <w:r>
        <w:rPr>
          <w:rFonts w:ascii="Times New Roman" w:hAnsi="Times New Roman" w:cs="Times New Roman" w:eastAsia="Times New Roman" w:hint="default"/>
        </w:rPr>
        <w:t>1954</w:t>
      </w:r>
      <w:r>
        <w:rPr/>
        <w:t>年</w:t>
      </w:r>
      <w:r>
        <w:rPr>
          <w:rFonts w:ascii="Times New Roman" w:hAnsi="Times New Roman" w:cs="Times New Roman" w:eastAsia="Times New Roman" w:hint="default"/>
        </w:rPr>
        <w:t>1</w:t>
      </w:r>
      <w:r>
        <w:rPr/>
        <w:t>月出生，大专学历，经济师， 中共党员。现兼任深圳市东鸿信投资发展有限公司法定代表人、董事长，深圳市新鸿泰投资发 展有限公司法定代表人、董事长，公司控股子公司</w:t>
      </w:r>
      <w:r>
        <w:rPr>
          <w:rFonts w:ascii="Times New Roman" w:hAnsi="Times New Roman" w:cs="Times New Roman" w:eastAsia="Times New Roman" w:hint="default"/>
        </w:rPr>
        <w:t>——</w:t>
      </w:r>
      <w:r>
        <w:rPr/>
        <w:t>深圳市深运工贸企业有限公司董事长、 总经理。曾任深圳市东鸿信投资发展有限公司董事等职务。</w:t>
      </w:r>
    </w:p>
    <w:p>
      <w:pPr>
        <w:pStyle w:val="BodyText"/>
        <w:spacing w:line="343" w:lineRule="auto" w:before="41"/>
        <w:ind w:right="108" w:firstLine="420"/>
        <w:jc w:val="both"/>
      </w:pPr>
      <w:r>
        <w:rPr>
          <w:rFonts w:ascii="Times New Roman" w:hAnsi="Times New Roman" w:cs="Times New Roman" w:eastAsia="Times New Roman" w:hint="default"/>
          <w:spacing w:val="-12"/>
        </w:rPr>
        <w:t>8</w:t>
      </w:r>
      <w:r>
        <w:rPr>
          <w:spacing w:val="-12"/>
        </w:rPr>
        <w:t>、庄伟鑫：公司第六届董事。男，</w:t>
      </w:r>
      <w:r>
        <w:rPr>
          <w:rFonts w:ascii="Times New Roman" w:hAnsi="Times New Roman" w:cs="Times New Roman" w:eastAsia="Times New Roman" w:hint="default"/>
          <w:spacing w:val="-12"/>
        </w:rPr>
        <w:t>1967 </w:t>
      </w:r>
      <w:r>
        <w:rPr/>
        <w:t>年 </w:t>
      </w:r>
      <w:r>
        <w:rPr>
          <w:rFonts w:ascii="Times New Roman" w:hAnsi="Times New Roman" w:cs="Times New Roman" w:eastAsia="Times New Roman" w:hint="default"/>
          <w:spacing w:val="-4"/>
        </w:rPr>
        <w:t>11 </w:t>
      </w:r>
      <w:r>
        <w:rPr>
          <w:spacing w:val="-8"/>
        </w:rPr>
        <w:t>月出生，高级经营师，获英国伦敦</w:t>
      </w:r>
      <w:r>
        <w:rPr>
          <w:spacing w:val="-80"/>
        </w:rPr>
        <w:t> </w:t>
      </w:r>
      <w:r>
        <w:rPr>
          <w:rFonts w:ascii="Times New Roman" w:hAnsi="Times New Roman" w:cs="Times New Roman" w:eastAsia="Times New Roman" w:hint="default"/>
        </w:rPr>
        <w:t>City&amp;Guilds </w:t>
      </w:r>
      <w:r>
        <w:rPr/>
        <w:t>国际管理资格认证。现兼任东鸿信公司董事、总经理，深圳市多智能投资发展有限公司董事。</w:t>
      </w:r>
      <w:r>
        <w:rPr>
          <w:spacing w:val="-99"/>
        </w:rPr>
        <w:t> </w:t>
      </w:r>
      <w:r>
        <w:rPr>
          <w:spacing w:val="-99"/>
        </w:rPr>
      </w:r>
      <w:r>
        <w:rPr/>
        <w:t>曾任深圳市迅达汽车运输企业公司秘书，深圳市沙头角东升运输实业公司办公室主任、总经理</w:t>
      </w:r>
      <w:r>
        <w:rPr>
          <w:spacing w:val="-99"/>
        </w:rPr>
        <w:t> </w:t>
      </w:r>
      <w:r>
        <w:rPr>
          <w:spacing w:val="-99"/>
        </w:rPr>
      </w:r>
      <w:r>
        <w:rPr/>
        <w:t>助理等职务。</w:t>
      </w:r>
    </w:p>
    <w:p>
      <w:pPr>
        <w:pStyle w:val="BodyText"/>
        <w:spacing w:line="343" w:lineRule="auto" w:before="34"/>
        <w:ind w:right="108" w:firstLine="419"/>
        <w:jc w:val="both"/>
      </w:pPr>
      <w:r>
        <w:rPr>
          <w:rFonts w:ascii="Times New Roman" w:hAnsi="Times New Roman" w:cs="Times New Roman" w:eastAsia="Times New Roman" w:hint="default"/>
        </w:rPr>
        <w:t>9</w:t>
      </w:r>
      <w:r>
        <w:rPr/>
        <w:t>、陈凤娇：公司第六届董事局独立董事。女，</w:t>
      </w:r>
      <w:r>
        <w:rPr>
          <w:rFonts w:ascii="Times New Roman" w:hAnsi="Times New Roman" w:cs="Times New Roman" w:eastAsia="Times New Roman" w:hint="default"/>
        </w:rPr>
        <w:t>1964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月出生，注册会计师、注册税务 师、会计师。现兼任深圳市泓兴会计师事务所所长，深圳市专家工作委员会金融联合会委员。</w:t>
      </w:r>
      <w:r>
        <w:rPr>
          <w:spacing w:val="-99"/>
        </w:rPr>
        <w:t> </w:t>
      </w:r>
      <w:r>
        <w:rPr>
          <w:spacing w:val="-99"/>
        </w:rPr>
      </w:r>
      <w:r>
        <w:rPr/>
        <w:t>曾任深圳市福田审计师事务所项目经理、办事处主任，深圳市公平会计师事务所审计部长、所</w:t>
      </w:r>
      <w:r>
        <w:rPr>
          <w:spacing w:val="-99"/>
        </w:rPr>
        <w:t> </w:t>
      </w:r>
      <w:r>
        <w:rPr>
          <w:spacing w:val="-99"/>
        </w:rPr>
      </w:r>
      <w:r>
        <w:rPr/>
        <w:t>长助理，深圳市北成会计师事务所合伙人、副所长等职务。</w:t>
      </w:r>
    </w:p>
    <w:p>
      <w:pPr>
        <w:pStyle w:val="BodyText"/>
        <w:spacing w:line="343" w:lineRule="auto" w:before="35"/>
        <w:ind w:right="108" w:firstLine="419"/>
        <w:jc w:val="both"/>
      </w:pPr>
      <w:r>
        <w:rPr>
          <w:rFonts w:ascii="Times New Roman" w:hAnsi="Times New Roman" w:cs="Times New Roman" w:eastAsia="Times New Roman" w:hint="default"/>
        </w:rPr>
        <w:t>10</w:t>
      </w:r>
      <w:r>
        <w:rPr/>
        <w:t>、何祥增：公司第六届董事局独立董事。男，</w:t>
      </w:r>
      <w:r>
        <w:rPr>
          <w:rFonts w:ascii="Times New Roman" w:hAnsi="Times New Roman" w:cs="Times New Roman" w:eastAsia="Times New Roman" w:hint="default"/>
        </w:rPr>
        <w:t>1963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月出生，律师。现兼任广东伟 强律师事务所合伙人，加拿大（香港）环保科技发展公司等单位常年法律顾问。曾任惠东县律</w:t>
      </w:r>
      <w:r>
        <w:rPr>
          <w:spacing w:val="-99"/>
        </w:rPr>
        <w:t> </w:t>
      </w:r>
      <w:r>
        <w:rPr>
          <w:spacing w:val="-99"/>
        </w:rPr>
      </w:r>
      <w:r>
        <w:rPr/>
        <w:t>师事务所、惠东县经济贸易律师所、广东粤惠律师事务所律师、合伙人、副主任、主任及惠东</w:t>
      </w:r>
      <w:r>
        <w:rPr>
          <w:spacing w:val="-99"/>
        </w:rPr>
        <w:t> </w:t>
      </w:r>
      <w:r>
        <w:rPr>
          <w:spacing w:val="-99"/>
        </w:rPr>
      </w:r>
      <w:r>
        <w:rPr/>
        <w:t>县青联常委、惠州市公证律师初中级评委等职务。</w:t>
      </w:r>
    </w:p>
    <w:p>
      <w:pPr>
        <w:pStyle w:val="BodyText"/>
        <w:spacing w:line="343" w:lineRule="auto" w:before="34"/>
        <w:ind w:right="111" w:firstLine="419"/>
        <w:jc w:val="both"/>
      </w:pPr>
      <w:r>
        <w:rPr>
          <w:rFonts w:ascii="Times New Roman" w:hAnsi="Times New Roman" w:cs="Times New Roman" w:eastAsia="Times New Roman" w:hint="default"/>
          <w:spacing w:val="-3"/>
        </w:rPr>
        <w:t>11</w:t>
      </w:r>
      <w:r>
        <w:rPr>
          <w:spacing w:val="-3"/>
        </w:rPr>
        <w:t>、徐志新：公司第六届董事局独立董事。男，</w:t>
      </w:r>
      <w:r>
        <w:rPr>
          <w:rFonts w:ascii="Times New Roman" w:hAnsi="Times New Roman" w:cs="Times New Roman" w:eastAsia="Times New Roman" w:hint="default"/>
          <w:spacing w:val="-3"/>
        </w:rPr>
        <w:t>1969</w:t>
      </w:r>
      <w:r>
        <w:rPr>
          <w:spacing w:val="-3"/>
        </w:rPr>
        <w:t>年</w:t>
      </w:r>
      <w:r>
        <w:rPr>
          <w:rFonts w:ascii="Times New Roman" w:hAnsi="Times New Roman" w:cs="Times New Roman" w:eastAsia="Times New Roman" w:hint="default"/>
          <w:spacing w:val="-3"/>
        </w:rPr>
        <w:t>7</w:t>
      </w:r>
      <w:r>
        <w:rPr>
          <w:spacing w:val="-3"/>
        </w:rPr>
        <w:t>月出生，本科学历，中国政法大学</w:t>
      </w:r>
      <w:r>
        <w:rPr/>
        <w:t> 国际法研究生课程班结业，中共党员。现兼任北京市地平线律师事务所合伙人。曾任湖北省黄 冈市罗田县第二律师事务所副主任、公证处主任、司法局副局长、法律援助中心律师，广东中 安律师事务所合伙人等职务。</w:t>
      </w:r>
    </w:p>
    <w:p>
      <w:pPr>
        <w:pStyle w:val="BodyText"/>
        <w:spacing w:line="340" w:lineRule="auto" w:before="34"/>
        <w:ind w:right="111" w:firstLine="420"/>
        <w:jc w:val="both"/>
      </w:pPr>
      <w:r>
        <w:rPr>
          <w:rFonts w:ascii="Times New Roman" w:hAnsi="Times New Roman" w:cs="Times New Roman" w:eastAsia="Times New Roman" w:hint="default"/>
          <w:spacing w:val="-3"/>
        </w:rPr>
        <w:t>12</w:t>
      </w:r>
      <w:r>
        <w:rPr>
          <w:spacing w:val="-3"/>
        </w:rPr>
        <w:t>、陈伟强：公司第六届董事局独立董事。男，</w:t>
      </w:r>
      <w:r>
        <w:rPr>
          <w:rFonts w:ascii="Times New Roman" w:hAnsi="Times New Roman" w:cs="Times New Roman" w:eastAsia="Times New Roman" w:hint="default"/>
          <w:spacing w:val="-3"/>
        </w:rPr>
        <w:t>1962</w:t>
      </w:r>
      <w:r>
        <w:rPr>
          <w:spacing w:val="-3"/>
        </w:rPr>
        <w:t>年</w:t>
      </w:r>
      <w:r>
        <w:rPr>
          <w:rFonts w:ascii="Times New Roman" w:hAnsi="Times New Roman" w:cs="Times New Roman" w:eastAsia="Times New Roman" w:hint="default"/>
          <w:spacing w:val="-3"/>
        </w:rPr>
        <w:t>9</w:t>
      </w:r>
      <w:r>
        <w:rPr>
          <w:spacing w:val="-3"/>
        </w:rPr>
        <w:t>月出生，研究生学历，中国民主建</w:t>
      </w:r>
      <w:r>
        <w:rPr/>
        <w:t> 国会会员。现兼任广东深天正律师事务所合伙人。曾任河南省开封第一律师事务所律师、深圳 市宝安律师所律师。</w:t>
      </w:r>
    </w:p>
    <w:p>
      <w:pPr>
        <w:spacing w:after="0" w:line="340" w:lineRule="auto"/>
        <w:jc w:val="both"/>
        <w:sectPr>
          <w:pgSz w:w="11900" w:h="16840"/>
          <w:pgMar w:header="0" w:footer="939" w:top="1500" w:bottom="1180" w:left="1680" w:right="1300"/>
        </w:sectPr>
      </w:pPr>
    </w:p>
    <w:p>
      <w:pPr>
        <w:pStyle w:val="BodyText"/>
        <w:spacing w:line="240" w:lineRule="auto" w:before="15"/>
        <w:ind w:left="610" w:right="0"/>
        <w:jc w:val="left"/>
      </w:pPr>
      <w:r>
        <w:rPr>
          <w:rFonts w:ascii="黑体" w:hAnsi="黑体" w:cs="黑体" w:eastAsia="黑体" w:hint="default"/>
        </w:rPr>
        <w:t>（二）监事会成员</w:t>
      </w:r>
      <w:r>
        <w:rPr/>
        <w:t>：</w:t>
      </w:r>
    </w:p>
    <w:p>
      <w:pPr>
        <w:pStyle w:val="BodyText"/>
        <w:spacing w:line="343" w:lineRule="auto" w:before="125"/>
        <w:ind w:right="168" w:firstLine="419"/>
        <w:jc w:val="both"/>
      </w:pPr>
      <w:r>
        <w:rPr>
          <w:rFonts w:ascii="Times New Roman" w:hAnsi="Times New Roman" w:cs="Times New Roman" w:eastAsia="Times New Roman" w:hint="default"/>
        </w:rPr>
        <w:t>1</w:t>
      </w:r>
      <w:r>
        <w:rPr/>
        <w:t>、尤明天：公司第六届监事会主席，党委副书记。男，</w:t>
      </w:r>
      <w:r>
        <w:rPr>
          <w:rFonts w:ascii="Times New Roman" w:hAnsi="Times New Roman" w:cs="Times New Roman" w:eastAsia="Times New Roman" w:hint="default"/>
        </w:rPr>
        <w:t>1958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月出生，高级政工师， 中共党员。现兼任公司党委副书记、东鸿信公司董事、深圳市新鸿泰投资发展有限公司董事、</w:t>
      </w:r>
      <w:r>
        <w:rPr>
          <w:spacing w:val="-99"/>
        </w:rPr>
        <w:t> </w:t>
      </w:r>
      <w:r>
        <w:rPr>
          <w:spacing w:val="-99"/>
        </w:rPr>
      </w:r>
      <w:r>
        <w:rPr/>
        <w:t>总经理。曾任深圳市鸿基集装箱运输公司总经理、公司人事部经理，深圳市东鸿信投资发展有</w:t>
      </w:r>
      <w:r>
        <w:rPr>
          <w:spacing w:val="-99"/>
        </w:rPr>
        <w:t> </w:t>
      </w:r>
      <w:r>
        <w:rPr>
          <w:spacing w:val="-99"/>
        </w:rPr>
      </w:r>
      <w:r>
        <w:rPr/>
        <w:t>限公司董事长等职务。</w:t>
      </w:r>
    </w:p>
    <w:p>
      <w:pPr>
        <w:pStyle w:val="BodyText"/>
        <w:spacing w:line="331" w:lineRule="auto" w:before="35"/>
        <w:ind w:right="168" w:firstLine="435"/>
        <w:jc w:val="both"/>
      </w:pPr>
      <w:r>
        <w:rPr>
          <w:rFonts w:ascii="Times New Roman" w:hAnsi="Times New Roman" w:cs="Times New Roman" w:eastAsia="Times New Roman" w:hint="default"/>
        </w:rPr>
        <w:t>2</w:t>
      </w:r>
      <w:r>
        <w:rPr/>
        <w:t>、李联添：公司第六届监事会监事。男，</w:t>
      </w:r>
      <w:r>
        <w:rPr>
          <w:rFonts w:ascii="Times New Roman" w:hAnsi="Times New Roman" w:cs="Times New Roman" w:eastAsia="Times New Roman" w:hint="default"/>
        </w:rPr>
        <w:t>1968</w:t>
      </w:r>
      <w:r>
        <w:rPr>
          <w:rFonts w:ascii="Times New Roman" w:hAnsi="Times New Roman" w:cs="Times New Roman" w:eastAsia="Times New Roman" w:hint="default"/>
          <w:spacing w:val="-22"/>
        </w:rPr>
        <w:t> </w:t>
      </w:r>
      <w:r>
        <w:rPr/>
        <w:t>年</w:t>
      </w:r>
      <w:r>
        <w:rPr>
          <w:spacing w:val="-74"/>
        </w:rPr>
        <w:t> </w:t>
      </w:r>
      <w:r>
        <w:rPr>
          <w:rFonts w:ascii="Times New Roman" w:hAnsi="Times New Roman" w:cs="Times New Roman" w:eastAsia="Times New Roman" w:hint="default"/>
        </w:rPr>
        <w:t>12</w:t>
      </w:r>
      <w:r>
        <w:rPr>
          <w:rFonts w:ascii="Times New Roman" w:hAnsi="Times New Roman" w:cs="Times New Roman" w:eastAsia="Times New Roman" w:hint="default"/>
          <w:spacing w:val="-22"/>
        </w:rPr>
        <w:t> </w:t>
      </w:r>
      <w:r>
        <w:rPr/>
        <w:t>月出生，助理会计师，中共党员。现 兼任公司审计部部长，公司控股子公司</w:t>
      </w:r>
      <w:r>
        <w:rPr>
          <w:rFonts w:ascii="Times New Roman" w:hAnsi="Times New Roman" w:cs="Times New Roman" w:eastAsia="Times New Roman" w:hint="default"/>
        </w:rPr>
        <w:t>——</w:t>
      </w:r>
      <w:r>
        <w:rPr/>
        <w:t>西安深鸿基房地产开发有限公司监事。曾任公司房</w:t>
      </w:r>
      <w:r>
        <w:rPr>
          <w:spacing w:val="-99"/>
        </w:rPr>
        <w:t> </w:t>
      </w:r>
      <w:r>
        <w:rPr>
          <w:spacing w:val="-99"/>
        </w:rPr>
      </w:r>
      <w:r>
        <w:rPr/>
        <w:t>地产开发部财务主管、公司控股子公司</w:t>
      </w:r>
      <w:r>
        <w:rPr>
          <w:rFonts w:ascii="Times New Roman" w:hAnsi="Times New Roman" w:cs="Times New Roman" w:eastAsia="Times New Roman" w:hint="default"/>
        </w:rPr>
        <w:t>——</w:t>
      </w:r>
      <w:r>
        <w:rPr/>
        <w:t>深圳市龙岗鸿基房地产有限公司财务部经理、总经</w:t>
      </w:r>
      <w:r>
        <w:rPr>
          <w:spacing w:val="-99"/>
        </w:rPr>
        <w:t> </w:t>
      </w:r>
      <w:r>
        <w:rPr>
          <w:spacing w:val="-99"/>
        </w:rPr>
      </w:r>
      <w:r>
        <w:rPr/>
        <w:t>理助理等职务。</w:t>
      </w:r>
    </w:p>
    <w:p>
      <w:pPr>
        <w:pStyle w:val="BodyText"/>
        <w:spacing w:line="343" w:lineRule="auto" w:before="45"/>
        <w:ind w:right="109" w:firstLine="435"/>
        <w:jc w:val="both"/>
      </w:pPr>
      <w:r>
        <w:rPr>
          <w:rFonts w:ascii="Times New Roman" w:hAnsi="Times New Roman" w:cs="Times New Roman" w:eastAsia="Times New Roman" w:hint="default"/>
        </w:rPr>
        <w:t>3</w:t>
      </w:r>
      <w:r>
        <w:rPr/>
        <w:t>、陈昌华：公司第六届监事会监事。男，</w:t>
      </w:r>
      <w:r>
        <w:rPr>
          <w:rFonts w:ascii="Times New Roman" w:hAnsi="Times New Roman" w:cs="Times New Roman" w:eastAsia="Times New Roman" w:hint="default"/>
        </w:rPr>
        <w:t>1951</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月出生，研究生学历，高级政工师， 中共党员。现兼任宝安集团办公室常务副主任兼品牌推广部部长。曾任洛阳市教育学院团委负</w:t>
      </w:r>
      <w:r>
        <w:rPr>
          <w:spacing w:val="-99"/>
        </w:rPr>
        <w:t> </w:t>
      </w:r>
      <w:r>
        <w:rPr>
          <w:spacing w:val="-99"/>
        </w:rPr>
      </w:r>
      <w:r>
        <w:rPr/>
        <w:t>责人、洛阳市委宣传部文教科长、洛阳市文联副主席、宝安集团宣传部副部长、部长、唐人文</w:t>
      </w:r>
      <w:r>
        <w:rPr>
          <w:spacing w:val="-99"/>
        </w:rPr>
        <w:t> </w:t>
      </w:r>
      <w:r>
        <w:rPr>
          <w:spacing w:val="-99"/>
        </w:rPr>
      </w:r>
      <w:r>
        <w:rPr/>
        <w:t>化公司总经理等职务。</w:t>
      </w:r>
    </w:p>
    <w:p>
      <w:pPr>
        <w:pStyle w:val="BodyText"/>
        <w:spacing w:line="343" w:lineRule="auto" w:before="34"/>
        <w:ind w:right="109" w:firstLine="435"/>
        <w:jc w:val="both"/>
      </w:pPr>
      <w:r>
        <w:rPr>
          <w:rFonts w:ascii="Times New Roman" w:hAnsi="Times New Roman" w:cs="Times New Roman" w:eastAsia="Times New Roman" w:hint="default"/>
        </w:rPr>
        <w:t>4</w:t>
      </w:r>
      <w:r>
        <w:rPr/>
        <w:t>、张育新：公司第六届监事会监事。男，</w:t>
      </w:r>
      <w:r>
        <w:rPr>
          <w:rFonts w:ascii="Times New Roman" w:hAnsi="Times New Roman" w:cs="Times New Roman" w:eastAsia="Times New Roman" w:hint="default"/>
        </w:rPr>
        <w:t>1950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月出生，研究生学历，高级政工师， 中共党员。现兼任宝安集团党委副书记、纪委书记、工会主席、人力资源总监。曾任中山大学</w:t>
      </w:r>
      <w:r>
        <w:rPr>
          <w:spacing w:val="-99"/>
        </w:rPr>
        <w:t> </w:t>
      </w:r>
      <w:r>
        <w:rPr>
          <w:spacing w:val="-99"/>
        </w:rPr>
      </w:r>
      <w:r>
        <w:rPr/>
        <w:t>教师、深圳大学人事处副处长、深圳市委组织部办公室副主任、调研处长、宝安集团办公室主</w:t>
      </w:r>
      <w:r>
        <w:rPr>
          <w:spacing w:val="-99"/>
        </w:rPr>
        <w:t> </w:t>
      </w:r>
      <w:r>
        <w:rPr>
          <w:spacing w:val="-99"/>
        </w:rPr>
      </w:r>
      <w:r>
        <w:rPr/>
        <w:t>任等职务。</w:t>
      </w:r>
    </w:p>
    <w:p>
      <w:pPr>
        <w:spacing w:line="240" w:lineRule="auto" w:before="0"/>
        <w:rPr>
          <w:rFonts w:ascii="宋体" w:hAnsi="宋体" w:cs="宋体" w:eastAsia="宋体" w:hint="default"/>
          <w:sz w:val="20"/>
          <w:szCs w:val="20"/>
        </w:rPr>
      </w:pPr>
    </w:p>
    <w:p>
      <w:pPr>
        <w:pStyle w:val="BodyText"/>
        <w:spacing w:line="240" w:lineRule="auto" w:before="173"/>
        <w:ind w:left="612" w:right="0"/>
        <w:jc w:val="left"/>
      </w:pPr>
      <w:r>
        <w:rPr>
          <w:rFonts w:ascii="黑体" w:hAnsi="黑体" w:cs="黑体" w:eastAsia="黑体" w:hint="default"/>
        </w:rPr>
        <w:t>（三）其他高级管理人员</w:t>
      </w:r>
      <w:r>
        <w:rPr/>
        <w:t>：</w:t>
      </w:r>
    </w:p>
    <w:p>
      <w:pPr>
        <w:pStyle w:val="BodyText"/>
        <w:spacing w:line="331" w:lineRule="auto" w:before="125"/>
        <w:ind w:right="177" w:firstLine="419"/>
        <w:jc w:val="both"/>
      </w:pPr>
      <w:r>
        <w:rPr>
          <w:rFonts w:ascii="Times New Roman" w:hAnsi="Times New Roman" w:cs="Times New Roman" w:eastAsia="Times New Roman" w:hint="default"/>
        </w:rPr>
        <w:t>1</w:t>
      </w:r>
      <w:r>
        <w:rPr/>
        <w:t>、罗伟光：副总裁。男，</w:t>
      </w:r>
      <w:r>
        <w:rPr>
          <w:rFonts w:ascii="Times New Roman" w:hAnsi="Times New Roman" w:cs="Times New Roman" w:eastAsia="Times New Roman" w:hint="default"/>
        </w:rPr>
        <w:t>1954</w:t>
      </w:r>
      <w:r>
        <w:rPr/>
        <w:t>年</w:t>
      </w:r>
      <w:r>
        <w:rPr>
          <w:rFonts w:ascii="Times New Roman" w:hAnsi="Times New Roman" w:cs="Times New Roman" w:eastAsia="Times New Roman" w:hint="default"/>
        </w:rPr>
        <w:t>3</w:t>
      </w:r>
      <w:r>
        <w:rPr/>
        <w:t>月出生，大专学历，经济师，中共党员。现兼任公司党 委书记、控股子公司</w:t>
      </w:r>
      <w:r>
        <w:rPr>
          <w:rFonts w:ascii="Times New Roman" w:hAnsi="Times New Roman" w:cs="Times New Roman" w:eastAsia="Times New Roman" w:hint="default"/>
        </w:rPr>
        <w:t>——</w:t>
      </w:r>
      <w:r>
        <w:rPr/>
        <w:t>深圳市鸿基房地产有限公司董事长、总经理。曾任公司人事政工部经 理、办公室主任、总经理助理、副总裁等职务。</w:t>
      </w:r>
    </w:p>
    <w:p>
      <w:pPr>
        <w:pStyle w:val="BodyText"/>
        <w:spacing w:line="336" w:lineRule="auto" w:before="45"/>
        <w:ind w:right="177" w:firstLine="419"/>
        <w:jc w:val="both"/>
      </w:pPr>
      <w:r>
        <w:rPr>
          <w:rFonts w:ascii="Times New Roman" w:hAnsi="Times New Roman" w:cs="Times New Roman" w:eastAsia="Times New Roman" w:hint="default"/>
        </w:rPr>
        <w:t>2</w:t>
      </w:r>
      <w:r>
        <w:rPr/>
        <w:t>、邱圣凯：副总裁。男，</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5</w:t>
      </w:r>
      <w:r>
        <w:rPr/>
        <w:t>月出生，本科学历，经济师，中共党员。现兼任公司控 股子公司</w:t>
      </w:r>
      <w:r>
        <w:rPr>
          <w:rFonts w:ascii="Times New Roman" w:hAnsi="Times New Roman" w:cs="Times New Roman" w:eastAsia="Times New Roman" w:hint="default"/>
        </w:rPr>
        <w:t>——</w:t>
      </w:r>
      <w:r>
        <w:rPr/>
        <w:t>西安深鸿基房地产开发有限公司董事长、总经理；公司控股子公司</w:t>
      </w:r>
      <w:r>
        <w:rPr>
          <w:rFonts w:ascii="Times New Roman" w:hAnsi="Times New Roman" w:cs="Times New Roman" w:eastAsia="Times New Roman" w:hint="default"/>
        </w:rPr>
        <w:t>——</w:t>
      </w:r>
      <w:r>
        <w:rPr/>
        <w:t>香港鸿业 发展有限公司法定代表人、董事长。曾任公司第五届董事局董事、副总裁，中国工商银行股份 有限公司深圳罗湖支行信贷业务科科长、公司部经理、支行副行长等职务。</w:t>
      </w:r>
    </w:p>
    <w:p>
      <w:pPr>
        <w:pStyle w:val="BodyText"/>
        <w:spacing w:line="336" w:lineRule="auto" w:before="42"/>
        <w:ind w:right="177" w:firstLine="419"/>
        <w:jc w:val="both"/>
      </w:pPr>
      <w:r>
        <w:rPr>
          <w:rFonts w:ascii="Times New Roman" w:hAnsi="Times New Roman" w:cs="Times New Roman" w:eastAsia="Times New Roman" w:hint="default"/>
        </w:rPr>
        <w:t>3</w:t>
      </w:r>
      <w:r>
        <w:rPr/>
        <w:t>、罗竣：副总裁。男，</w:t>
      </w:r>
      <w:r>
        <w:rPr>
          <w:rFonts w:ascii="Times New Roman" w:hAnsi="Times New Roman" w:cs="Times New Roman" w:eastAsia="Times New Roman" w:hint="default"/>
        </w:rPr>
        <w:t>1956</w:t>
      </w:r>
      <w:r>
        <w:rPr/>
        <w:t>年</w:t>
      </w:r>
      <w:r>
        <w:rPr>
          <w:rFonts w:ascii="Times New Roman" w:hAnsi="Times New Roman" w:cs="Times New Roman" w:eastAsia="Times New Roman" w:hint="default"/>
        </w:rPr>
        <w:t>9</w:t>
      </w:r>
      <w:r>
        <w:rPr/>
        <w:t>月出生，本科学历，会计师，中共党员。现兼任东鸿信公 司监事、福建东南广播电视网络有限公司董事、公司控股子公司</w:t>
      </w:r>
      <w:r>
        <w:rPr>
          <w:rFonts w:ascii="Times New Roman" w:hAnsi="Times New Roman" w:cs="Times New Roman" w:eastAsia="Times New Roman" w:hint="default"/>
        </w:rPr>
        <w:t>——</w:t>
      </w:r>
      <w:r>
        <w:rPr/>
        <w:t>深圳市鸿基物流有限公司 董事。曾任四川峨眉山盐化工业（集团）股份有限公司经营开发处处长、董事会秘书、副总经 理、副董事长，公司投资部经理，公司第五届董事局主席助理等职务。</w:t>
      </w:r>
    </w:p>
    <w:p>
      <w:pPr>
        <w:pStyle w:val="BodyText"/>
        <w:spacing w:line="340" w:lineRule="auto" w:before="41"/>
        <w:ind w:right="168" w:firstLine="420"/>
        <w:jc w:val="both"/>
      </w:pPr>
      <w:r>
        <w:rPr>
          <w:rFonts w:ascii="Times New Roman" w:hAnsi="Times New Roman" w:cs="Times New Roman" w:eastAsia="Times New Roman" w:hint="default"/>
          <w:spacing w:val="-3"/>
        </w:rPr>
        <w:t>4</w:t>
      </w:r>
      <w:r>
        <w:rPr>
          <w:spacing w:val="-3"/>
        </w:rPr>
        <w:t>、陈汉忠：副总裁。男，</w:t>
      </w:r>
      <w:r>
        <w:rPr>
          <w:rFonts w:ascii="Times New Roman" w:hAnsi="Times New Roman" w:cs="Times New Roman" w:eastAsia="Times New Roman" w:hint="default"/>
          <w:spacing w:val="-3"/>
        </w:rPr>
        <w:t>1954</w:t>
      </w:r>
      <w:r>
        <w:rPr>
          <w:spacing w:val="-3"/>
        </w:rPr>
        <w:t>年</w:t>
      </w:r>
      <w:r>
        <w:rPr>
          <w:rFonts w:ascii="Times New Roman" w:hAnsi="Times New Roman" w:cs="Times New Roman" w:eastAsia="Times New Roman" w:hint="default"/>
          <w:spacing w:val="-3"/>
        </w:rPr>
        <w:t>10</w:t>
      </w:r>
      <w:r>
        <w:rPr>
          <w:spacing w:val="-3"/>
        </w:rPr>
        <w:t>月出生，本科学历，工程师，中国民主建国会会员。曾</w:t>
      </w:r>
      <w:r>
        <w:rPr/>
        <w:t> 任中国宝安集团农牧水产公司经理、深圳兴达实业公司副总经理、深圳外轮供应公司副总经理 等职务。</w:t>
      </w:r>
    </w:p>
    <w:p>
      <w:pPr>
        <w:pStyle w:val="BodyText"/>
        <w:spacing w:line="240" w:lineRule="auto" w:before="36"/>
        <w:ind w:left="610" w:right="0"/>
        <w:jc w:val="left"/>
      </w:pPr>
      <w:r>
        <w:rPr>
          <w:rFonts w:ascii="Times New Roman" w:hAnsi="Times New Roman" w:cs="Times New Roman" w:eastAsia="Times New Roman" w:hint="default"/>
        </w:rPr>
        <w:t>5</w:t>
      </w:r>
      <w:r>
        <w:rPr/>
        <w:t>、余毓凡：副总裁。男，</w:t>
      </w:r>
      <w:r>
        <w:rPr>
          <w:rFonts w:ascii="Times New Roman" w:hAnsi="Times New Roman" w:cs="Times New Roman" w:eastAsia="Times New Roman" w:hint="default"/>
        </w:rPr>
        <w:t>1971</w:t>
      </w:r>
      <w:r>
        <w:rPr>
          <w:rFonts w:ascii="Times New Roman" w:hAnsi="Times New Roman" w:cs="Times New Roman" w:eastAsia="Times New Roman" w:hint="default"/>
          <w:spacing w:val="-17"/>
        </w:rPr>
        <w:t> </w:t>
      </w:r>
      <w:r>
        <w:rPr/>
        <w:t>年</w:t>
      </w:r>
      <w:r>
        <w:rPr>
          <w:spacing w:val="-70"/>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月出生，注册会计师。现兼任东鸿信公司董事、福建</w:t>
      </w:r>
    </w:p>
    <w:p>
      <w:pPr>
        <w:spacing w:after="0" w:line="240" w:lineRule="auto"/>
        <w:jc w:val="left"/>
        <w:sectPr>
          <w:pgSz w:w="11900" w:h="16840"/>
          <w:pgMar w:header="0" w:footer="939" w:top="1500" w:bottom="1180" w:left="1680" w:right="1240"/>
        </w:sectPr>
      </w:pPr>
    </w:p>
    <w:p>
      <w:pPr>
        <w:pStyle w:val="BodyText"/>
        <w:spacing w:line="340" w:lineRule="auto" w:before="15"/>
        <w:ind w:left="230" w:right="142"/>
        <w:jc w:val="left"/>
      </w:pPr>
      <w:r>
        <w:rPr/>
        <w:t>东南广播电视网络有限公司董事，公司控股子公司</w:t>
      </w:r>
      <w:r>
        <w:rPr>
          <w:rFonts w:ascii="Times New Roman" w:hAnsi="Times New Roman" w:cs="Times New Roman" w:eastAsia="Times New Roman" w:hint="default"/>
        </w:rPr>
        <w:t>——</w:t>
      </w:r>
      <w:r>
        <w:rPr/>
        <w:t>深圳市鸿基物流有限公司董事。曾任深</w:t>
      </w:r>
      <w:r>
        <w:rPr>
          <w:spacing w:val="-99"/>
        </w:rPr>
        <w:t> </w:t>
      </w:r>
      <w:r>
        <w:rPr>
          <w:spacing w:val="-99"/>
        </w:rPr>
      </w:r>
      <w:r>
        <w:rPr>
          <w:spacing w:val="-3"/>
        </w:rPr>
        <w:t>圳市大华会计师事务所业务经理，中国和平深圳公司投资部经理，深圳市长雅投资公司副总裁，</w:t>
      </w:r>
      <w:r>
        <w:rPr>
          <w:spacing w:val="-79"/>
        </w:rPr>
        <w:t> </w:t>
      </w:r>
      <w:r>
        <w:rPr>
          <w:spacing w:val="-79"/>
        </w:rPr>
      </w:r>
      <w:r>
        <w:rPr/>
        <w:t>福建东南广播电视网络有限公司财务总监、公司董事局主席助理、财务总监等职务。</w:t>
      </w:r>
    </w:p>
    <w:p>
      <w:pPr>
        <w:pStyle w:val="BodyText"/>
        <w:spacing w:line="328" w:lineRule="auto" w:before="36"/>
        <w:ind w:left="230" w:right="142" w:firstLine="420"/>
        <w:jc w:val="left"/>
      </w:pPr>
      <w:r>
        <w:rPr>
          <w:rFonts w:ascii="Times New Roman" w:hAnsi="Times New Roman" w:cs="Times New Roman" w:eastAsia="Times New Roman" w:hint="default"/>
          <w:spacing w:val="-5"/>
        </w:rPr>
        <w:t>6</w:t>
      </w:r>
      <w:r>
        <w:rPr>
          <w:spacing w:val="-5"/>
        </w:rPr>
        <w:t>、沈蜀江：副总裁兼董事局秘书，董事局办公室主任。女，</w:t>
      </w:r>
      <w:r>
        <w:rPr>
          <w:rFonts w:ascii="Times New Roman" w:hAnsi="Times New Roman" w:cs="Times New Roman" w:eastAsia="Times New Roman" w:hint="default"/>
          <w:spacing w:val="-5"/>
        </w:rPr>
        <w:t>1971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21"/>
        </w:rPr>
        <w:t> </w:t>
      </w:r>
      <w:r>
        <w:rPr>
          <w:spacing w:val="-4"/>
        </w:rPr>
        <w:t>月出生，本科学历，</w:t>
      </w:r>
      <w:r>
        <w:rPr/>
        <w:t> 经济师，中共党员。曾任公司总经理办公室秘书、董事局办公室副主任、证券事务代表。</w:t>
      </w:r>
    </w:p>
    <w:p>
      <w:pPr>
        <w:pStyle w:val="BodyText"/>
        <w:spacing w:line="328" w:lineRule="auto" w:before="48"/>
        <w:ind w:left="230" w:right="258" w:firstLine="419"/>
        <w:jc w:val="both"/>
      </w:pPr>
      <w:r>
        <w:rPr>
          <w:rFonts w:ascii="Times New Roman" w:hAnsi="Times New Roman" w:cs="Times New Roman" w:eastAsia="Times New Roman" w:hint="default"/>
          <w:spacing w:val="-1"/>
        </w:rPr>
        <w:t>7</w:t>
      </w:r>
      <w:r>
        <w:rPr>
          <w:spacing w:val="-1"/>
        </w:rPr>
        <w:t>、钟民：财务总监兼财务经理。男，</w:t>
      </w:r>
      <w:r>
        <w:rPr>
          <w:rFonts w:ascii="Times New Roman" w:hAnsi="Times New Roman" w:cs="Times New Roman" w:eastAsia="Times New Roman" w:hint="default"/>
          <w:spacing w:val="-1"/>
        </w:rPr>
        <w:t>1968</w:t>
      </w:r>
      <w:r>
        <w:rPr>
          <w:spacing w:val="-1"/>
        </w:rPr>
        <w:t>年</w:t>
      </w:r>
      <w:r>
        <w:rPr>
          <w:rFonts w:ascii="Times New Roman" w:hAnsi="Times New Roman" w:cs="Times New Roman" w:eastAsia="Times New Roman" w:hint="default"/>
          <w:spacing w:val="-1"/>
        </w:rPr>
        <w:t>6</w:t>
      </w:r>
      <w:r>
        <w:rPr>
          <w:spacing w:val="-1"/>
        </w:rPr>
        <w:t>月出生，大专学历，会计师。曾任深圳恒安</w:t>
      </w:r>
      <w:r>
        <w:rPr/>
        <w:t> 房地产开发公司会计、宝安集团海南公司会计、财务部长等职务。</w:t>
      </w:r>
    </w:p>
    <w:p>
      <w:pPr>
        <w:pStyle w:val="BodyText"/>
        <w:spacing w:line="336" w:lineRule="auto" w:before="47"/>
        <w:ind w:left="230" w:right="248" w:firstLine="419"/>
        <w:jc w:val="both"/>
      </w:pPr>
      <w:r>
        <w:rPr>
          <w:rFonts w:ascii="Times New Roman" w:hAnsi="Times New Roman" w:cs="Times New Roman" w:eastAsia="Times New Roman" w:hint="default"/>
        </w:rPr>
        <w:t>8</w:t>
      </w:r>
      <w:r>
        <w:rPr/>
        <w:t>、王迪新：总裁助理。男，</w:t>
      </w:r>
      <w:r>
        <w:rPr>
          <w:rFonts w:ascii="Times New Roman" w:hAnsi="Times New Roman" w:cs="Times New Roman" w:eastAsia="Times New Roman" w:hint="default"/>
        </w:rPr>
        <w:t>1952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月出生，工程师，中共党员。现兼任公司控股子公 司</w:t>
      </w:r>
      <w:r>
        <w:rPr>
          <w:rFonts w:ascii="Times New Roman" w:hAnsi="Times New Roman" w:cs="Times New Roman" w:eastAsia="Times New Roman" w:hint="default"/>
        </w:rPr>
        <w:t>——</w:t>
      </w:r>
      <w:r>
        <w:rPr/>
        <w:t>西安新鸿业投资发展有限公司董事、总经理，公司控股子公司</w:t>
      </w:r>
      <w:r>
        <w:rPr>
          <w:rFonts w:ascii="Times New Roman" w:hAnsi="Times New Roman" w:cs="Times New Roman" w:eastAsia="Times New Roman" w:hint="default"/>
        </w:rPr>
        <w:t>——</w:t>
      </w:r>
      <w:r>
        <w:rPr/>
        <w:t>西安深鸿基房地产开</w:t>
      </w:r>
      <w:r>
        <w:rPr>
          <w:spacing w:val="-99"/>
        </w:rPr>
        <w:t> </w:t>
      </w:r>
      <w:r>
        <w:rPr>
          <w:spacing w:val="-99"/>
        </w:rPr>
      </w:r>
      <w:r>
        <w:rPr/>
        <w:t>发有限公司董事。曾任深圳市鸿基大型物件起重运输有限公司机务部主任、深圳市迅达汽车运</w:t>
      </w:r>
      <w:r>
        <w:rPr>
          <w:spacing w:val="-99"/>
        </w:rPr>
        <w:t> </w:t>
      </w:r>
      <w:r>
        <w:rPr>
          <w:spacing w:val="-99"/>
        </w:rPr>
      </w:r>
      <w:r>
        <w:rPr/>
        <w:t>输企业公司车辆部主任、公司人力资源部部长等职务。</w:t>
      </w:r>
    </w:p>
    <w:p>
      <w:pPr>
        <w:pStyle w:val="BodyText"/>
        <w:spacing w:line="328" w:lineRule="auto" w:before="42"/>
        <w:ind w:left="230" w:right="249" w:firstLine="420"/>
        <w:jc w:val="both"/>
      </w:pPr>
      <w:r>
        <w:rPr>
          <w:rFonts w:ascii="Times New Roman" w:hAnsi="Times New Roman" w:cs="Times New Roman" w:eastAsia="Times New Roman" w:hint="default"/>
        </w:rPr>
        <w:t>9</w:t>
      </w:r>
      <w:r>
        <w:rPr/>
        <w:t>、黄旭辉：总裁助理。男，</w:t>
      </w:r>
      <w:r>
        <w:rPr>
          <w:rFonts w:ascii="Times New Roman" w:hAnsi="Times New Roman" w:cs="Times New Roman" w:eastAsia="Times New Roman" w:hint="default"/>
        </w:rPr>
        <w:t>1996</w:t>
      </w:r>
      <w:r>
        <w:rPr>
          <w:rFonts w:ascii="Times New Roman" w:hAnsi="Times New Roman" w:cs="Times New Roman" w:eastAsia="Times New Roman" w:hint="default"/>
          <w:spacing w:val="2"/>
        </w:rPr>
        <w:t> </w:t>
      </w:r>
      <w:r>
        <w:rPr/>
        <w:t>年参加工作，会计师。曾任深圳市鸿基小汽车运输有限 公司会计、财务部负责人、深圳市迅达汽车运输企业公司财务负责人，公司财务经理等职务。</w:t>
      </w:r>
    </w:p>
    <w:p>
      <w:pPr>
        <w:spacing w:line="240" w:lineRule="auto" w:before="7"/>
        <w:rPr>
          <w:rFonts w:ascii="宋体" w:hAnsi="宋体" w:cs="宋体" w:eastAsia="宋体" w:hint="default"/>
          <w:sz w:val="26"/>
          <w:szCs w:val="26"/>
        </w:rPr>
      </w:pPr>
    </w:p>
    <w:p>
      <w:pPr>
        <w:pStyle w:val="Heading3"/>
        <w:spacing w:line="312" w:lineRule="exact"/>
        <w:ind w:left="230" w:right="246"/>
        <w:jc w:val="left"/>
      </w:pPr>
      <w:r>
        <w:rPr>
          <w:spacing w:val="-1"/>
        </w:rPr>
        <w:t>四、截止报告期末，现任董事、监事、高级管理人员在股东以外的其他单位任职或</w:t>
      </w:r>
      <w:r>
        <w:rPr>
          <w:spacing w:val="-108"/>
        </w:rPr>
        <w:t> </w:t>
      </w:r>
      <w:r>
        <w:rPr>
          <w:spacing w:val="-108"/>
        </w:rPr>
      </w:r>
      <w:r>
        <w:rPr/>
        <w:t>兼职情况</w:t>
      </w:r>
    </w:p>
    <w:tbl>
      <w:tblPr>
        <w:tblW w:w="0" w:type="auto"/>
        <w:jc w:val="left"/>
        <w:tblInd w:w="107" w:type="dxa"/>
        <w:tblLayout w:type="fixed"/>
        <w:tblCellMar>
          <w:top w:w="0" w:type="dxa"/>
          <w:left w:w="0" w:type="dxa"/>
          <w:bottom w:w="0" w:type="dxa"/>
          <w:right w:w="0" w:type="dxa"/>
        </w:tblCellMar>
        <w:tblLook w:val="01E0"/>
      </w:tblPr>
      <w:tblGrid>
        <w:gridCol w:w="879"/>
        <w:gridCol w:w="3355"/>
        <w:gridCol w:w="2405"/>
        <w:gridCol w:w="2194"/>
      </w:tblGrid>
      <w:tr>
        <w:trPr>
          <w:trHeight w:val="481" w:hRule="exact"/>
        </w:trPr>
        <w:tc>
          <w:tcPr>
            <w:tcW w:w="8833" w:type="dxa"/>
            <w:gridSpan w:val="4"/>
            <w:tcBorders>
              <w:top w:val="single" w:sz="12" w:space="0" w:color="000000"/>
              <w:left w:val="single" w:sz="12" w:space="0" w:color="000000"/>
              <w:bottom w:val="single" w:sz="4" w:space="0" w:color="000000"/>
              <w:right w:val="single" w:sz="12" w:space="0" w:color="000000"/>
            </w:tcBorders>
            <w:shd w:val="clear" w:color="auto" w:fill="B3B3B3"/>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469" w:hRule="exact"/>
        </w:trPr>
        <w:tc>
          <w:tcPr>
            <w:tcW w:w="879" w:type="dxa"/>
            <w:tcBorders>
              <w:top w:val="single" w:sz="4" w:space="0" w:color="000000"/>
              <w:left w:val="single" w:sz="12" w:space="0" w:color="000000"/>
              <w:bottom w:val="single" w:sz="6" w:space="0" w:color="000000"/>
              <w:right w:val="single" w:sz="6" w:space="0" w:color="000000"/>
            </w:tcBorders>
            <w:shd w:val="clear" w:color="auto" w:fill="B3B3B3"/>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355" w:type="dxa"/>
            <w:tcBorders>
              <w:top w:val="single" w:sz="4" w:space="0" w:color="000000"/>
              <w:left w:val="single" w:sz="6" w:space="0" w:color="000000"/>
              <w:bottom w:val="single" w:sz="6" w:space="0" w:color="000000"/>
              <w:right w:val="single" w:sz="4" w:space="0" w:color="000000"/>
            </w:tcBorders>
            <w:shd w:val="clear" w:color="auto" w:fill="B3B3B3"/>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任职或兼职单位</w:t>
            </w:r>
          </w:p>
        </w:tc>
        <w:tc>
          <w:tcPr>
            <w:tcW w:w="2405" w:type="dxa"/>
            <w:tcBorders>
              <w:top w:val="single" w:sz="4" w:space="0" w:color="000000"/>
              <w:left w:val="single" w:sz="4" w:space="0" w:color="000000"/>
              <w:bottom w:val="single" w:sz="6" w:space="0" w:color="000000"/>
              <w:right w:val="single" w:sz="6" w:space="0" w:color="000000"/>
            </w:tcBorders>
            <w:shd w:val="clear" w:color="auto" w:fill="B3B3B3"/>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与本公司的关系</w:t>
            </w:r>
          </w:p>
        </w:tc>
        <w:tc>
          <w:tcPr>
            <w:tcW w:w="2194" w:type="dxa"/>
            <w:tcBorders>
              <w:top w:val="single" w:sz="4" w:space="0" w:color="000000"/>
              <w:left w:val="single" w:sz="6" w:space="0" w:color="000000"/>
              <w:bottom w:val="single" w:sz="6" w:space="0" w:color="000000"/>
              <w:right w:val="single" w:sz="12" w:space="0" w:color="000000"/>
            </w:tcBorders>
            <w:shd w:val="clear" w:color="auto" w:fill="B3B3B3"/>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职务</w:t>
            </w:r>
          </w:p>
        </w:tc>
      </w:tr>
      <w:tr>
        <w:trPr>
          <w:trHeight w:val="374" w:hRule="exact"/>
        </w:trPr>
        <w:tc>
          <w:tcPr>
            <w:tcW w:w="879"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right="161"/>
              <w:jc w:val="right"/>
              <w:rPr>
                <w:rFonts w:ascii="宋体" w:hAnsi="宋体" w:cs="宋体" w:eastAsia="宋体" w:hint="default"/>
                <w:sz w:val="18"/>
                <w:szCs w:val="18"/>
              </w:rPr>
            </w:pPr>
            <w:r>
              <w:rPr>
                <w:rFonts w:ascii="宋体" w:hAnsi="宋体" w:cs="宋体" w:eastAsia="宋体" w:hint="default"/>
                <w:sz w:val="18"/>
                <w:szCs w:val="18"/>
              </w:rPr>
              <w:t>陈泰泉</w:t>
            </w:r>
          </w:p>
        </w:tc>
        <w:tc>
          <w:tcPr>
            <w:tcW w:w="335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sz w:val="18"/>
                <w:szCs w:val="18"/>
              </w:rPr>
              <w:t>中国宝安集团股份有限公司</w:t>
            </w:r>
          </w:p>
        </w:tc>
        <w:tc>
          <w:tcPr>
            <w:tcW w:w="240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9"/>
              <w:ind w:left="117" w:right="0"/>
              <w:jc w:val="left"/>
              <w:rPr>
                <w:rFonts w:ascii="宋体" w:hAnsi="宋体" w:cs="宋体" w:eastAsia="宋体" w:hint="default"/>
                <w:sz w:val="18"/>
                <w:szCs w:val="18"/>
              </w:rPr>
            </w:pPr>
            <w:r>
              <w:rPr>
                <w:rFonts w:ascii="宋体" w:hAnsi="宋体" w:cs="宋体" w:eastAsia="宋体" w:hint="default"/>
                <w:sz w:val="18"/>
                <w:szCs w:val="18"/>
              </w:rPr>
              <w:t>公司第一大股东的控股股东</w:t>
            </w:r>
          </w:p>
        </w:tc>
        <w:tc>
          <w:tcPr>
            <w:tcW w:w="2194"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常务副主席、执行总裁</w:t>
            </w:r>
          </w:p>
        </w:tc>
      </w:tr>
      <w:tr>
        <w:trPr>
          <w:trHeight w:val="316" w:hRule="exact"/>
        </w:trPr>
        <w:tc>
          <w:tcPr>
            <w:tcW w:w="879" w:type="dxa"/>
            <w:vMerge w:val="restart"/>
            <w:tcBorders>
              <w:top w:val="single" w:sz="6" w:space="0" w:color="000000"/>
              <w:left w:val="single" w:sz="12" w:space="0" w:color="000000"/>
              <w:right w:val="single" w:sz="6" w:space="0" w:color="000000"/>
            </w:tcBorders>
          </w:tcPr>
          <w:p>
            <w:pPr>
              <w:pStyle w:val="TableParagraph"/>
              <w:spacing w:line="207" w:lineRule="exact"/>
              <w:ind w:left="154" w:right="0"/>
              <w:jc w:val="left"/>
              <w:rPr>
                <w:rFonts w:ascii="宋体" w:hAnsi="宋体" w:cs="宋体" w:eastAsia="宋体" w:hint="default"/>
                <w:sz w:val="18"/>
                <w:szCs w:val="18"/>
              </w:rPr>
            </w:pPr>
            <w:r>
              <w:rPr>
                <w:rFonts w:ascii="宋体" w:hAnsi="宋体" w:cs="宋体" w:eastAsia="宋体" w:hint="default"/>
                <w:sz w:val="18"/>
                <w:szCs w:val="18"/>
              </w:rPr>
              <w:t>高文清</w:t>
            </w:r>
          </w:p>
        </w:tc>
        <w:tc>
          <w:tcPr>
            <w:tcW w:w="3355"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深圳市迅达汽车运输企业公司</w:t>
            </w:r>
          </w:p>
        </w:tc>
        <w:tc>
          <w:tcPr>
            <w:tcW w:w="2405"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194"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法定代表人、总经理</w:t>
            </w:r>
          </w:p>
        </w:tc>
      </w:tr>
      <w:tr>
        <w:trPr>
          <w:trHeight w:val="300" w:hRule="exact"/>
        </w:trPr>
        <w:tc>
          <w:tcPr>
            <w:tcW w:w="879" w:type="dxa"/>
            <w:vMerge/>
            <w:tcBorders>
              <w:left w:val="single" w:sz="12" w:space="0" w:color="000000"/>
              <w:bottom w:val="single" w:sz="6" w:space="0" w:color="000000"/>
              <w:right w:val="single" w:sz="6" w:space="0" w:color="000000"/>
            </w:tcBorders>
          </w:tcPr>
          <w:p>
            <w:pPr/>
          </w:p>
        </w:tc>
        <w:tc>
          <w:tcPr>
            <w:tcW w:w="3355"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西安深鸿基房地产开发有限公司</w:t>
            </w:r>
          </w:p>
        </w:tc>
        <w:tc>
          <w:tcPr>
            <w:tcW w:w="2405"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194"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00" w:hRule="exact"/>
        </w:trPr>
        <w:tc>
          <w:tcPr>
            <w:tcW w:w="879"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right="205"/>
              <w:jc w:val="right"/>
              <w:rPr>
                <w:rFonts w:ascii="宋体" w:hAnsi="宋体" w:cs="宋体" w:eastAsia="宋体" w:hint="default"/>
                <w:sz w:val="18"/>
                <w:szCs w:val="18"/>
              </w:rPr>
            </w:pPr>
            <w:r>
              <w:rPr>
                <w:rFonts w:ascii="宋体" w:hAnsi="宋体" w:cs="宋体" w:eastAsia="宋体" w:hint="default"/>
                <w:sz w:val="18"/>
                <w:szCs w:val="18"/>
              </w:rPr>
              <w:t>周 非</w:t>
            </w:r>
          </w:p>
        </w:tc>
        <w:tc>
          <w:tcPr>
            <w:tcW w:w="3355"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深圳市龙岗鸿基房地产开发有限公司</w:t>
            </w:r>
          </w:p>
        </w:tc>
        <w:tc>
          <w:tcPr>
            <w:tcW w:w="2405"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194"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法定代表人、董事长</w:t>
            </w:r>
          </w:p>
        </w:tc>
      </w:tr>
      <w:tr>
        <w:trPr>
          <w:trHeight w:val="300" w:hRule="exact"/>
        </w:trPr>
        <w:tc>
          <w:tcPr>
            <w:tcW w:w="879"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right="161"/>
              <w:jc w:val="right"/>
              <w:rPr>
                <w:rFonts w:ascii="宋体" w:hAnsi="宋体" w:cs="宋体" w:eastAsia="宋体" w:hint="default"/>
                <w:sz w:val="18"/>
                <w:szCs w:val="18"/>
              </w:rPr>
            </w:pPr>
            <w:r>
              <w:rPr>
                <w:rFonts w:ascii="宋体" w:hAnsi="宋体" w:cs="宋体" w:eastAsia="宋体" w:hint="default"/>
                <w:sz w:val="18"/>
                <w:szCs w:val="18"/>
              </w:rPr>
              <w:t>钟征宇</w:t>
            </w:r>
          </w:p>
        </w:tc>
        <w:tc>
          <w:tcPr>
            <w:tcW w:w="3355"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中国宝安集团股份有限公司</w:t>
            </w:r>
          </w:p>
        </w:tc>
        <w:tc>
          <w:tcPr>
            <w:tcW w:w="2405"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公司第一大股东的控股股东</w:t>
            </w:r>
          </w:p>
        </w:tc>
        <w:tc>
          <w:tcPr>
            <w:tcW w:w="2194"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344" w:hRule="exact"/>
        </w:trPr>
        <w:tc>
          <w:tcPr>
            <w:tcW w:w="879"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right="161"/>
              <w:jc w:val="right"/>
              <w:rPr>
                <w:rFonts w:ascii="宋体" w:hAnsi="宋体" w:cs="宋体" w:eastAsia="宋体" w:hint="default"/>
                <w:sz w:val="18"/>
                <w:szCs w:val="18"/>
              </w:rPr>
            </w:pPr>
            <w:r>
              <w:rPr>
                <w:rFonts w:ascii="宋体" w:hAnsi="宋体" w:cs="宋体" w:eastAsia="宋体" w:hint="default"/>
                <w:sz w:val="18"/>
                <w:szCs w:val="18"/>
              </w:rPr>
              <w:t>贺雪琴</w:t>
            </w:r>
          </w:p>
        </w:tc>
        <w:tc>
          <w:tcPr>
            <w:tcW w:w="3355"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深圳市贝瑞特新能源材料股份有限公司</w:t>
            </w:r>
          </w:p>
        </w:tc>
        <w:tc>
          <w:tcPr>
            <w:tcW w:w="2405"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2194"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法定代表人、董事长</w:t>
            </w:r>
          </w:p>
        </w:tc>
      </w:tr>
      <w:tr>
        <w:trPr>
          <w:trHeight w:val="313" w:hRule="exact"/>
        </w:trPr>
        <w:tc>
          <w:tcPr>
            <w:tcW w:w="879" w:type="dxa"/>
            <w:vMerge w:val="restart"/>
            <w:tcBorders>
              <w:top w:val="single" w:sz="6" w:space="0" w:color="000000"/>
              <w:left w:val="single" w:sz="12" w:space="0" w:color="000000"/>
              <w:right w:val="single" w:sz="6" w:space="0" w:color="000000"/>
            </w:tcBorders>
          </w:tcPr>
          <w:p>
            <w:pPr>
              <w:pStyle w:val="TableParagraph"/>
              <w:spacing w:line="207" w:lineRule="exact"/>
              <w:ind w:left="154" w:right="0"/>
              <w:jc w:val="left"/>
              <w:rPr>
                <w:rFonts w:ascii="宋体" w:hAnsi="宋体" w:cs="宋体" w:eastAsia="宋体" w:hint="default"/>
                <w:sz w:val="18"/>
                <w:szCs w:val="18"/>
              </w:rPr>
            </w:pPr>
            <w:r>
              <w:rPr>
                <w:rFonts w:ascii="宋体" w:hAnsi="宋体" w:cs="宋体" w:eastAsia="宋体" w:hint="default"/>
                <w:sz w:val="18"/>
                <w:szCs w:val="18"/>
              </w:rPr>
              <w:t>郭山清</w:t>
            </w:r>
          </w:p>
        </w:tc>
        <w:tc>
          <w:tcPr>
            <w:tcW w:w="3355" w:type="dxa"/>
            <w:tcBorders>
              <w:top w:val="single" w:sz="6" w:space="0" w:color="000000"/>
              <w:left w:val="single" w:sz="6"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北京鼎汉技术股份有限公司</w:t>
            </w:r>
          </w:p>
        </w:tc>
        <w:tc>
          <w:tcPr>
            <w:tcW w:w="2405" w:type="dxa"/>
            <w:tcBorders>
              <w:top w:val="single" w:sz="6" w:space="0" w:color="000000"/>
              <w:left w:val="single" w:sz="4" w:space="0" w:color="000000"/>
              <w:bottom w:val="single" w:sz="4"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2194" w:type="dxa"/>
            <w:tcBorders>
              <w:top w:val="single" w:sz="6" w:space="0" w:color="000000"/>
              <w:left w:val="single" w:sz="6" w:space="0" w:color="000000"/>
              <w:bottom w:val="single" w:sz="4"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332" w:hRule="exact"/>
        </w:trPr>
        <w:tc>
          <w:tcPr>
            <w:tcW w:w="879" w:type="dxa"/>
            <w:vMerge/>
            <w:tcBorders>
              <w:left w:val="single" w:sz="12" w:space="0" w:color="000000"/>
              <w:bottom w:val="single" w:sz="6" w:space="0" w:color="000000"/>
              <w:right w:val="single" w:sz="6" w:space="0" w:color="000000"/>
            </w:tcBorders>
          </w:tcPr>
          <w:p>
            <w:pPr/>
          </w:p>
        </w:tc>
        <w:tc>
          <w:tcPr>
            <w:tcW w:w="3355" w:type="dxa"/>
            <w:tcBorders>
              <w:top w:val="single" w:sz="4" w:space="0" w:color="000000"/>
              <w:left w:val="single" w:sz="6" w:space="0" w:color="000000"/>
              <w:bottom w:val="single" w:sz="6"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湖北鼎龙化学股份有限公司</w:t>
            </w:r>
          </w:p>
        </w:tc>
        <w:tc>
          <w:tcPr>
            <w:tcW w:w="2405" w:type="dxa"/>
            <w:tcBorders>
              <w:top w:val="single" w:sz="4" w:space="0" w:color="000000"/>
              <w:left w:val="single" w:sz="4" w:space="0" w:color="000000"/>
              <w:bottom w:val="single" w:sz="6"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2194" w:type="dxa"/>
            <w:tcBorders>
              <w:top w:val="single" w:sz="4" w:space="0" w:color="000000"/>
              <w:left w:val="single" w:sz="6" w:space="0" w:color="000000"/>
              <w:bottom w:val="single" w:sz="6" w:space="0" w:color="000000"/>
              <w:right w:val="single" w:sz="12"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79" w:hRule="exact"/>
        </w:trPr>
        <w:tc>
          <w:tcPr>
            <w:tcW w:w="879" w:type="dxa"/>
            <w:vMerge w:val="restart"/>
            <w:tcBorders>
              <w:top w:val="single" w:sz="6" w:space="0" w:color="000000"/>
              <w:left w:val="single" w:sz="12" w:space="0" w:color="000000"/>
              <w:right w:val="single" w:sz="6" w:space="0" w:color="000000"/>
            </w:tcBorders>
          </w:tcPr>
          <w:p>
            <w:pPr>
              <w:pStyle w:val="TableParagraph"/>
              <w:spacing w:line="207" w:lineRule="exact"/>
              <w:ind w:left="154" w:right="0"/>
              <w:jc w:val="left"/>
              <w:rPr>
                <w:rFonts w:ascii="宋体" w:hAnsi="宋体" w:cs="宋体" w:eastAsia="宋体" w:hint="default"/>
                <w:sz w:val="18"/>
                <w:szCs w:val="18"/>
              </w:rPr>
            </w:pPr>
            <w:r>
              <w:rPr>
                <w:rFonts w:ascii="宋体" w:hAnsi="宋体" w:cs="宋体" w:eastAsia="宋体" w:hint="default"/>
                <w:sz w:val="18"/>
                <w:szCs w:val="18"/>
              </w:rPr>
              <w:t>颜金辉</w:t>
            </w:r>
          </w:p>
        </w:tc>
        <w:tc>
          <w:tcPr>
            <w:tcW w:w="3355" w:type="dxa"/>
            <w:tcBorders>
              <w:top w:val="single" w:sz="6" w:space="0" w:color="000000"/>
              <w:left w:val="single" w:sz="6"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深圳市新鸿泰投资发展有限公司</w:t>
            </w:r>
          </w:p>
        </w:tc>
        <w:tc>
          <w:tcPr>
            <w:tcW w:w="2405"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公司第二大股东之股东的控</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股子公司</w:t>
            </w:r>
          </w:p>
        </w:tc>
        <w:tc>
          <w:tcPr>
            <w:tcW w:w="2194" w:type="dxa"/>
            <w:tcBorders>
              <w:top w:val="single" w:sz="6" w:space="0" w:color="000000"/>
              <w:left w:val="single" w:sz="6" w:space="0" w:color="000000"/>
              <w:bottom w:val="single" w:sz="4"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法定代表人、董事长</w:t>
            </w:r>
          </w:p>
        </w:tc>
      </w:tr>
      <w:tr>
        <w:trPr>
          <w:trHeight w:val="362" w:hRule="exact"/>
        </w:trPr>
        <w:tc>
          <w:tcPr>
            <w:tcW w:w="879" w:type="dxa"/>
            <w:vMerge/>
            <w:tcBorders>
              <w:left w:val="single" w:sz="12" w:space="0" w:color="000000"/>
              <w:right w:val="single" w:sz="6" w:space="0" w:color="000000"/>
            </w:tcBorders>
          </w:tcPr>
          <w:p>
            <w:pPr/>
          </w:p>
        </w:tc>
        <w:tc>
          <w:tcPr>
            <w:tcW w:w="3355" w:type="dxa"/>
            <w:tcBorders>
              <w:top w:val="single" w:sz="4" w:space="0" w:color="000000"/>
              <w:left w:val="single" w:sz="6" w:space="0" w:color="000000"/>
              <w:bottom w:val="single" w:sz="6"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深圳市深运工贸企业有限公司</w:t>
            </w:r>
          </w:p>
        </w:tc>
        <w:tc>
          <w:tcPr>
            <w:tcW w:w="2405" w:type="dxa"/>
            <w:tcBorders>
              <w:top w:val="single" w:sz="4" w:space="0" w:color="000000"/>
              <w:left w:val="single" w:sz="4" w:space="0" w:color="000000"/>
              <w:bottom w:val="single" w:sz="6"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194" w:type="dxa"/>
            <w:tcBorders>
              <w:top w:val="single" w:sz="4" w:space="0" w:color="000000"/>
              <w:left w:val="single" w:sz="6" w:space="0" w:color="000000"/>
              <w:bottom w:val="single" w:sz="6" w:space="0" w:color="000000"/>
              <w:right w:val="single" w:sz="12"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董事长、总经理</w:t>
            </w:r>
          </w:p>
        </w:tc>
      </w:tr>
      <w:tr>
        <w:trPr>
          <w:trHeight w:val="346" w:hRule="exact"/>
        </w:trPr>
        <w:tc>
          <w:tcPr>
            <w:tcW w:w="879" w:type="dxa"/>
            <w:vMerge/>
            <w:tcBorders>
              <w:left w:val="single" w:sz="12" w:space="0" w:color="000000"/>
              <w:right w:val="single" w:sz="6" w:space="0" w:color="000000"/>
            </w:tcBorders>
          </w:tcPr>
          <w:p>
            <w:pPr/>
          </w:p>
        </w:tc>
        <w:tc>
          <w:tcPr>
            <w:tcW w:w="3355"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深圳市鸿基物流有限公司</w:t>
            </w:r>
          </w:p>
        </w:tc>
        <w:tc>
          <w:tcPr>
            <w:tcW w:w="2405"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194"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董事长、总经理</w:t>
            </w:r>
          </w:p>
        </w:tc>
      </w:tr>
      <w:tr>
        <w:trPr>
          <w:trHeight w:val="342" w:hRule="exact"/>
        </w:trPr>
        <w:tc>
          <w:tcPr>
            <w:tcW w:w="879" w:type="dxa"/>
            <w:vMerge/>
            <w:tcBorders>
              <w:left w:val="single" w:sz="12" w:space="0" w:color="000000"/>
              <w:bottom w:val="single" w:sz="4" w:space="0" w:color="000000"/>
              <w:right w:val="single" w:sz="6" w:space="0" w:color="000000"/>
            </w:tcBorders>
          </w:tcPr>
          <w:p>
            <w:pPr/>
          </w:p>
        </w:tc>
        <w:tc>
          <w:tcPr>
            <w:tcW w:w="3355" w:type="dxa"/>
            <w:tcBorders>
              <w:top w:val="single" w:sz="6" w:space="0" w:color="000000"/>
              <w:left w:val="single" w:sz="6"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深圳鸿丰酒店管理有限公司</w:t>
            </w:r>
          </w:p>
        </w:tc>
        <w:tc>
          <w:tcPr>
            <w:tcW w:w="2405" w:type="dxa"/>
            <w:tcBorders>
              <w:top w:val="single" w:sz="6" w:space="0" w:color="000000"/>
              <w:left w:val="single" w:sz="4" w:space="0" w:color="000000"/>
              <w:bottom w:val="single" w:sz="4"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间接控股子公司的联营企业</w:t>
            </w:r>
          </w:p>
        </w:tc>
        <w:tc>
          <w:tcPr>
            <w:tcW w:w="2194" w:type="dxa"/>
            <w:tcBorders>
              <w:top w:val="single" w:sz="6" w:space="0" w:color="000000"/>
              <w:left w:val="single" w:sz="6" w:space="0" w:color="000000"/>
              <w:bottom w:val="single" w:sz="4"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董事长、总经理</w:t>
            </w:r>
          </w:p>
        </w:tc>
      </w:tr>
      <w:tr>
        <w:trPr>
          <w:trHeight w:val="478" w:hRule="exact"/>
        </w:trPr>
        <w:tc>
          <w:tcPr>
            <w:tcW w:w="879" w:type="dxa"/>
            <w:tcBorders>
              <w:top w:val="single" w:sz="4" w:space="0" w:color="000000"/>
              <w:left w:val="single" w:sz="12" w:space="0" w:color="000000"/>
              <w:bottom w:val="single" w:sz="4" w:space="0" w:color="000000"/>
              <w:right w:val="single" w:sz="6" w:space="0" w:color="000000"/>
            </w:tcBorders>
          </w:tcPr>
          <w:p>
            <w:pPr>
              <w:pStyle w:val="TableParagraph"/>
              <w:spacing w:line="205" w:lineRule="exact"/>
              <w:ind w:right="161"/>
              <w:jc w:val="right"/>
              <w:rPr>
                <w:rFonts w:ascii="宋体" w:hAnsi="宋体" w:cs="宋体" w:eastAsia="宋体" w:hint="default"/>
                <w:sz w:val="18"/>
                <w:szCs w:val="18"/>
              </w:rPr>
            </w:pPr>
            <w:r>
              <w:rPr>
                <w:rFonts w:ascii="宋体" w:hAnsi="宋体" w:cs="宋体" w:eastAsia="宋体" w:hint="default"/>
                <w:sz w:val="18"/>
                <w:szCs w:val="18"/>
              </w:rPr>
              <w:t>庄伟鑫</w:t>
            </w:r>
          </w:p>
        </w:tc>
        <w:tc>
          <w:tcPr>
            <w:tcW w:w="3355" w:type="dxa"/>
            <w:tcBorders>
              <w:top w:val="single" w:sz="4" w:space="0" w:color="000000"/>
              <w:left w:val="single" w:sz="6"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深圳市多智能投资发展有限公司</w:t>
            </w:r>
          </w:p>
        </w:tc>
        <w:tc>
          <w:tcPr>
            <w:tcW w:w="2405" w:type="dxa"/>
            <w:tcBorders>
              <w:top w:val="single" w:sz="4" w:space="0" w:color="000000"/>
              <w:left w:val="single" w:sz="4" w:space="0" w:color="000000"/>
              <w:bottom w:val="single" w:sz="4"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持有东鸿信公司</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％股权的</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2194" w:type="dxa"/>
            <w:tcBorders>
              <w:top w:val="single" w:sz="4" w:space="0" w:color="000000"/>
              <w:left w:val="single" w:sz="6" w:space="0" w:color="000000"/>
              <w:bottom w:val="single" w:sz="4"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44" w:hRule="exact"/>
        </w:trPr>
        <w:tc>
          <w:tcPr>
            <w:tcW w:w="879" w:type="dxa"/>
            <w:vMerge w:val="restart"/>
            <w:tcBorders>
              <w:top w:val="single" w:sz="4" w:space="0" w:color="000000"/>
              <w:left w:val="single" w:sz="12" w:space="0" w:color="000000"/>
              <w:right w:val="single" w:sz="6" w:space="0" w:color="000000"/>
            </w:tcBorders>
          </w:tcPr>
          <w:p>
            <w:pPr>
              <w:pStyle w:val="TableParagraph"/>
              <w:spacing w:line="205" w:lineRule="exact"/>
              <w:ind w:left="154" w:right="0"/>
              <w:jc w:val="left"/>
              <w:rPr>
                <w:rFonts w:ascii="宋体" w:hAnsi="宋体" w:cs="宋体" w:eastAsia="宋体" w:hint="default"/>
                <w:sz w:val="18"/>
                <w:szCs w:val="18"/>
              </w:rPr>
            </w:pPr>
            <w:r>
              <w:rPr>
                <w:rFonts w:ascii="宋体" w:hAnsi="宋体" w:cs="宋体" w:eastAsia="宋体" w:hint="default"/>
                <w:sz w:val="18"/>
                <w:szCs w:val="18"/>
              </w:rPr>
              <w:t>陈凤娇</w:t>
            </w:r>
          </w:p>
        </w:tc>
        <w:tc>
          <w:tcPr>
            <w:tcW w:w="3355" w:type="dxa"/>
            <w:tcBorders>
              <w:top w:val="single" w:sz="4" w:space="0" w:color="000000"/>
              <w:left w:val="single" w:sz="6"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深圳市泓兴会计师事务所</w:t>
            </w:r>
          </w:p>
        </w:tc>
        <w:tc>
          <w:tcPr>
            <w:tcW w:w="2405" w:type="dxa"/>
            <w:tcBorders>
              <w:top w:val="single" w:sz="4"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2194" w:type="dxa"/>
            <w:tcBorders>
              <w:top w:val="single" w:sz="4" w:space="0" w:color="000000"/>
              <w:left w:val="single" w:sz="6" w:space="0" w:color="000000"/>
              <w:bottom w:val="single" w:sz="4"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所长</w:t>
            </w:r>
          </w:p>
        </w:tc>
      </w:tr>
      <w:tr>
        <w:trPr>
          <w:trHeight w:val="316" w:hRule="exact"/>
        </w:trPr>
        <w:tc>
          <w:tcPr>
            <w:tcW w:w="879" w:type="dxa"/>
            <w:vMerge/>
            <w:tcBorders>
              <w:left w:val="single" w:sz="12" w:space="0" w:color="000000"/>
              <w:bottom w:val="single" w:sz="6" w:space="0" w:color="000000"/>
              <w:right w:val="single" w:sz="6" w:space="0" w:color="000000"/>
            </w:tcBorders>
          </w:tcPr>
          <w:p>
            <w:pPr/>
          </w:p>
        </w:tc>
        <w:tc>
          <w:tcPr>
            <w:tcW w:w="3355" w:type="dxa"/>
            <w:tcBorders>
              <w:top w:val="single" w:sz="4" w:space="0" w:color="000000"/>
              <w:left w:val="single" w:sz="6"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深圳市专家工作委员会金融联合会</w:t>
            </w:r>
          </w:p>
        </w:tc>
        <w:tc>
          <w:tcPr>
            <w:tcW w:w="2405" w:type="dxa"/>
            <w:tcBorders>
              <w:top w:val="single" w:sz="4" w:space="0" w:color="000000"/>
              <w:left w:val="single" w:sz="4" w:space="0" w:color="000000"/>
              <w:bottom w:val="single" w:sz="4"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2194" w:type="dxa"/>
            <w:tcBorders>
              <w:top w:val="single" w:sz="4" w:space="0" w:color="000000"/>
              <w:left w:val="single" w:sz="6" w:space="0" w:color="000000"/>
              <w:bottom w:val="single" w:sz="4" w:space="0" w:color="000000"/>
              <w:right w:val="single" w:sz="12"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委员</w:t>
            </w:r>
          </w:p>
        </w:tc>
      </w:tr>
      <w:tr>
        <w:trPr>
          <w:trHeight w:val="284" w:hRule="exact"/>
        </w:trPr>
        <w:tc>
          <w:tcPr>
            <w:tcW w:w="879" w:type="dxa"/>
            <w:vMerge w:val="restart"/>
            <w:tcBorders>
              <w:top w:val="single" w:sz="6" w:space="0" w:color="000000"/>
              <w:left w:val="single" w:sz="12" w:space="0" w:color="000000"/>
              <w:right w:val="single" w:sz="6" w:space="0" w:color="000000"/>
            </w:tcBorders>
          </w:tcPr>
          <w:p>
            <w:pPr>
              <w:pStyle w:val="TableParagraph"/>
              <w:spacing w:line="209" w:lineRule="exact"/>
              <w:ind w:left="154" w:right="0"/>
              <w:jc w:val="left"/>
              <w:rPr>
                <w:rFonts w:ascii="宋体" w:hAnsi="宋体" w:cs="宋体" w:eastAsia="宋体" w:hint="default"/>
                <w:sz w:val="18"/>
                <w:szCs w:val="18"/>
              </w:rPr>
            </w:pPr>
            <w:r>
              <w:rPr>
                <w:rFonts w:ascii="宋体" w:hAnsi="宋体" w:cs="宋体" w:eastAsia="宋体" w:hint="default"/>
                <w:sz w:val="18"/>
                <w:szCs w:val="18"/>
              </w:rPr>
              <w:t>何祥增</w:t>
            </w:r>
          </w:p>
        </w:tc>
        <w:tc>
          <w:tcPr>
            <w:tcW w:w="3355" w:type="dxa"/>
            <w:tcBorders>
              <w:top w:val="single" w:sz="4" w:space="0" w:color="000000"/>
              <w:left w:val="single" w:sz="6"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广东伟强律师事务所</w:t>
            </w:r>
          </w:p>
        </w:tc>
        <w:tc>
          <w:tcPr>
            <w:tcW w:w="2405" w:type="dxa"/>
            <w:tcBorders>
              <w:top w:val="single" w:sz="4" w:space="0" w:color="000000"/>
              <w:left w:val="single" w:sz="4" w:space="0" w:color="000000"/>
              <w:bottom w:val="single" w:sz="4"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2194" w:type="dxa"/>
            <w:tcBorders>
              <w:top w:val="single" w:sz="4" w:space="0" w:color="000000"/>
              <w:left w:val="single" w:sz="6" w:space="0" w:color="000000"/>
              <w:bottom w:val="single" w:sz="4" w:space="0" w:color="000000"/>
              <w:right w:val="single" w:sz="12"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律师、合伙人</w:t>
            </w:r>
          </w:p>
        </w:tc>
      </w:tr>
      <w:tr>
        <w:trPr>
          <w:trHeight w:val="316" w:hRule="exact"/>
        </w:trPr>
        <w:tc>
          <w:tcPr>
            <w:tcW w:w="879" w:type="dxa"/>
            <w:vMerge/>
            <w:tcBorders>
              <w:left w:val="single" w:sz="12" w:space="0" w:color="000000"/>
              <w:right w:val="single" w:sz="6" w:space="0" w:color="000000"/>
            </w:tcBorders>
          </w:tcPr>
          <w:p>
            <w:pPr/>
          </w:p>
        </w:tc>
        <w:tc>
          <w:tcPr>
            <w:tcW w:w="3355" w:type="dxa"/>
            <w:tcBorders>
              <w:top w:val="single" w:sz="4" w:space="0" w:color="000000"/>
              <w:left w:val="single" w:sz="6"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加拿大（香港）环保科技发展公司</w:t>
            </w:r>
          </w:p>
        </w:tc>
        <w:tc>
          <w:tcPr>
            <w:tcW w:w="2405" w:type="dxa"/>
            <w:tcBorders>
              <w:top w:val="single" w:sz="4" w:space="0" w:color="000000"/>
              <w:left w:val="single" w:sz="4" w:space="0" w:color="000000"/>
              <w:bottom w:val="single" w:sz="4"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2194" w:type="dxa"/>
            <w:tcBorders>
              <w:top w:val="single" w:sz="4" w:space="0" w:color="000000"/>
              <w:left w:val="single" w:sz="6" w:space="0" w:color="000000"/>
              <w:bottom w:val="single" w:sz="4" w:space="0" w:color="000000"/>
              <w:right w:val="single" w:sz="12"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常年法律顾问</w:t>
            </w:r>
          </w:p>
        </w:tc>
      </w:tr>
      <w:tr>
        <w:trPr>
          <w:trHeight w:val="300" w:hRule="exact"/>
        </w:trPr>
        <w:tc>
          <w:tcPr>
            <w:tcW w:w="879" w:type="dxa"/>
            <w:vMerge/>
            <w:tcBorders>
              <w:left w:val="single" w:sz="12" w:space="0" w:color="000000"/>
              <w:right w:val="single" w:sz="6" w:space="0" w:color="000000"/>
            </w:tcBorders>
          </w:tcPr>
          <w:p>
            <w:pPr/>
          </w:p>
        </w:tc>
        <w:tc>
          <w:tcPr>
            <w:tcW w:w="3355" w:type="dxa"/>
            <w:tcBorders>
              <w:top w:val="single" w:sz="4" w:space="0" w:color="000000"/>
              <w:left w:val="single" w:sz="6"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香港英泰五金工业有限公司</w:t>
            </w:r>
          </w:p>
        </w:tc>
        <w:tc>
          <w:tcPr>
            <w:tcW w:w="2405" w:type="dxa"/>
            <w:tcBorders>
              <w:top w:val="single" w:sz="4" w:space="0" w:color="000000"/>
              <w:left w:val="single" w:sz="4" w:space="0" w:color="000000"/>
              <w:bottom w:val="single" w:sz="4"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2194" w:type="dxa"/>
            <w:tcBorders>
              <w:top w:val="single" w:sz="4" w:space="0" w:color="000000"/>
              <w:left w:val="single" w:sz="6" w:space="0" w:color="000000"/>
              <w:bottom w:val="single" w:sz="4" w:space="0" w:color="000000"/>
              <w:right w:val="single" w:sz="12"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常年法律顾问</w:t>
            </w:r>
          </w:p>
        </w:tc>
      </w:tr>
      <w:tr>
        <w:trPr>
          <w:trHeight w:val="374" w:hRule="exact"/>
        </w:trPr>
        <w:tc>
          <w:tcPr>
            <w:tcW w:w="879" w:type="dxa"/>
            <w:vMerge/>
            <w:tcBorders>
              <w:left w:val="single" w:sz="12" w:space="0" w:color="000000"/>
              <w:bottom w:val="single" w:sz="12" w:space="0" w:color="000000"/>
              <w:right w:val="single" w:sz="6" w:space="0" w:color="000000"/>
            </w:tcBorders>
          </w:tcPr>
          <w:p>
            <w:pPr/>
          </w:p>
        </w:tc>
        <w:tc>
          <w:tcPr>
            <w:tcW w:w="3355" w:type="dxa"/>
            <w:tcBorders>
              <w:top w:val="single" w:sz="4" w:space="0" w:color="000000"/>
              <w:left w:val="single" w:sz="6"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英泰隆工业发展（深圳）有限公司</w:t>
            </w:r>
          </w:p>
        </w:tc>
        <w:tc>
          <w:tcPr>
            <w:tcW w:w="2405" w:type="dxa"/>
            <w:tcBorders>
              <w:top w:val="single" w:sz="4" w:space="0" w:color="000000"/>
              <w:left w:val="single" w:sz="4" w:space="0" w:color="000000"/>
              <w:bottom w:val="single" w:sz="4"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2194" w:type="dxa"/>
            <w:tcBorders>
              <w:top w:val="single" w:sz="4" w:space="0" w:color="000000"/>
              <w:left w:val="single" w:sz="6" w:space="0" w:color="000000"/>
              <w:bottom w:val="single" w:sz="4" w:space="0" w:color="000000"/>
              <w:right w:val="single" w:sz="12"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常年法律顾问</w:t>
            </w:r>
          </w:p>
        </w:tc>
      </w:tr>
    </w:tbl>
    <w:p>
      <w:pPr>
        <w:spacing w:after="0" w:line="211" w:lineRule="exact"/>
        <w:jc w:val="left"/>
        <w:rPr>
          <w:rFonts w:ascii="宋体" w:hAnsi="宋体" w:cs="宋体" w:eastAsia="宋体" w:hint="default"/>
          <w:sz w:val="18"/>
          <w:szCs w:val="18"/>
        </w:rPr>
        <w:sectPr>
          <w:pgSz w:w="11900" w:h="16840"/>
          <w:pgMar w:header="0" w:footer="939" w:top="1500" w:bottom="1180" w:left="1640" w:right="1160"/>
        </w:sectPr>
      </w:pPr>
    </w:p>
    <w:p>
      <w:pPr>
        <w:spacing w:line="240" w:lineRule="auto" w:before="9"/>
        <w:rPr>
          <w:rFonts w:ascii="Times New Roman" w:hAnsi="Times New Roman" w:cs="Times New Roman" w:eastAsia="Times New Roman"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879"/>
        <w:gridCol w:w="3355"/>
        <w:gridCol w:w="2405"/>
        <w:gridCol w:w="2194"/>
      </w:tblGrid>
      <w:tr>
        <w:trPr>
          <w:trHeight w:val="328" w:hRule="exact"/>
        </w:trPr>
        <w:tc>
          <w:tcPr>
            <w:tcW w:w="879" w:type="dxa"/>
            <w:vMerge w:val="restart"/>
            <w:tcBorders>
              <w:top w:val="single" w:sz="12" w:space="0" w:color="000000"/>
              <w:left w:val="single" w:sz="12" w:space="0" w:color="000000"/>
              <w:right w:val="single" w:sz="6" w:space="0" w:color="000000"/>
            </w:tcBorders>
          </w:tcPr>
          <w:p>
            <w:pPr/>
          </w:p>
        </w:tc>
        <w:tc>
          <w:tcPr>
            <w:tcW w:w="3355" w:type="dxa"/>
            <w:tcBorders>
              <w:top w:val="single" w:sz="4" w:space="0" w:color="000000"/>
              <w:left w:val="single" w:sz="6" w:space="0" w:color="000000"/>
              <w:bottom w:val="single" w:sz="4" w:space="0" w:color="000000"/>
              <w:right w:val="single" w:sz="4"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深圳市昌恩电子有限公司</w:t>
            </w:r>
          </w:p>
        </w:tc>
        <w:tc>
          <w:tcPr>
            <w:tcW w:w="2405" w:type="dxa"/>
            <w:tcBorders>
              <w:top w:val="single" w:sz="4" w:space="0" w:color="000000"/>
              <w:left w:val="single" w:sz="4" w:space="0" w:color="000000"/>
              <w:bottom w:val="single" w:sz="4" w:space="0" w:color="000000"/>
              <w:right w:val="single" w:sz="6"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2194" w:type="dxa"/>
            <w:tcBorders>
              <w:top w:val="single" w:sz="4" w:space="0" w:color="000000"/>
              <w:left w:val="single" w:sz="6" w:space="0" w:color="000000"/>
              <w:bottom w:val="single" w:sz="4" w:space="0" w:color="000000"/>
              <w:right w:val="single" w:sz="12"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常年法律顾问</w:t>
            </w:r>
          </w:p>
        </w:tc>
      </w:tr>
      <w:tr>
        <w:trPr>
          <w:trHeight w:val="314" w:hRule="exact"/>
        </w:trPr>
        <w:tc>
          <w:tcPr>
            <w:tcW w:w="879" w:type="dxa"/>
            <w:vMerge/>
            <w:tcBorders>
              <w:left w:val="single" w:sz="12" w:space="0" w:color="000000"/>
              <w:right w:val="single" w:sz="6" w:space="0" w:color="000000"/>
            </w:tcBorders>
          </w:tcPr>
          <w:p>
            <w:pPr/>
          </w:p>
        </w:tc>
        <w:tc>
          <w:tcPr>
            <w:tcW w:w="3355" w:type="dxa"/>
            <w:tcBorders>
              <w:top w:val="single" w:sz="4" w:space="0" w:color="000000"/>
              <w:left w:val="single" w:sz="6"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深圳市华城锡业科技有限公司</w:t>
            </w:r>
          </w:p>
        </w:tc>
        <w:tc>
          <w:tcPr>
            <w:tcW w:w="2405" w:type="dxa"/>
            <w:tcBorders>
              <w:top w:val="single" w:sz="4" w:space="0" w:color="000000"/>
              <w:left w:val="single" w:sz="4" w:space="0" w:color="000000"/>
              <w:bottom w:val="single" w:sz="4"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2194" w:type="dxa"/>
            <w:tcBorders>
              <w:top w:val="single" w:sz="4" w:space="0" w:color="000000"/>
              <w:left w:val="single" w:sz="6" w:space="0" w:color="000000"/>
              <w:bottom w:val="single" w:sz="4" w:space="0" w:color="000000"/>
              <w:right w:val="single" w:sz="12"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常年法律顾问</w:t>
            </w:r>
          </w:p>
        </w:tc>
      </w:tr>
      <w:tr>
        <w:trPr>
          <w:trHeight w:val="316" w:hRule="exact"/>
        </w:trPr>
        <w:tc>
          <w:tcPr>
            <w:tcW w:w="879" w:type="dxa"/>
            <w:vMerge/>
            <w:tcBorders>
              <w:left w:val="single" w:sz="12" w:space="0" w:color="000000"/>
              <w:right w:val="single" w:sz="6" w:space="0" w:color="000000"/>
            </w:tcBorders>
          </w:tcPr>
          <w:p>
            <w:pPr/>
          </w:p>
        </w:tc>
        <w:tc>
          <w:tcPr>
            <w:tcW w:w="3355" w:type="dxa"/>
            <w:tcBorders>
              <w:top w:val="single" w:sz="4" w:space="0" w:color="000000"/>
              <w:left w:val="single" w:sz="6"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深圳市创丰环保包装材料有限公司</w:t>
            </w:r>
          </w:p>
        </w:tc>
        <w:tc>
          <w:tcPr>
            <w:tcW w:w="2405" w:type="dxa"/>
            <w:tcBorders>
              <w:top w:val="single" w:sz="4" w:space="0" w:color="000000"/>
              <w:left w:val="single" w:sz="4" w:space="0" w:color="000000"/>
              <w:bottom w:val="single" w:sz="4"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2194" w:type="dxa"/>
            <w:tcBorders>
              <w:top w:val="single" w:sz="4" w:space="0" w:color="000000"/>
              <w:left w:val="single" w:sz="6" w:space="0" w:color="000000"/>
              <w:bottom w:val="single" w:sz="4" w:space="0" w:color="000000"/>
              <w:right w:val="single" w:sz="12"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常年法律顾问</w:t>
            </w:r>
          </w:p>
        </w:tc>
      </w:tr>
      <w:tr>
        <w:trPr>
          <w:trHeight w:val="330" w:hRule="exact"/>
        </w:trPr>
        <w:tc>
          <w:tcPr>
            <w:tcW w:w="879" w:type="dxa"/>
            <w:vMerge/>
            <w:tcBorders>
              <w:left w:val="single" w:sz="12" w:space="0" w:color="000000"/>
              <w:right w:val="single" w:sz="6" w:space="0" w:color="000000"/>
            </w:tcBorders>
          </w:tcPr>
          <w:p>
            <w:pPr/>
          </w:p>
        </w:tc>
        <w:tc>
          <w:tcPr>
            <w:tcW w:w="3355" w:type="dxa"/>
            <w:tcBorders>
              <w:top w:val="single" w:sz="4" w:space="0" w:color="000000"/>
              <w:left w:val="single" w:sz="6"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深圳市宝安区冠力线材制品厂</w:t>
            </w:r>
          </w:p>
        </w:tc>
        <w:tc>
          <w:tcPr>
            <w:tcW w:w="2405" w:type="dxa"/>
            <w:tcBorders>
              <w:top w:val="single" w:sz="4" w:space="0" w:color="000000"/>
              <w:left w:val="single" w:sz="4" w:space="0" w:color="000000"/>
              <w:bottom w:val="single" w:sz="4"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2194" w:type="dxa"/>
            <w:tcBorders>
              <w:top w:val="single" w:sz="4" w:space="0" w:color="000000"/>
              <w:left w:val="single" w:sz="6" w:space="0" w:color="000000"/>
              <w:bottom w:val="single" w:sz="4" w:space="0" w:color="000000"/>
              <w:right w:val="single" w:sz="12"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常年法律顾问</w:t>
            </w:r>
          </w:p>
        </w:tc>
      </w:tr>
      <w:tr>
        <w:trPr>
          <w:trHeight w:val="427" w:hRule="exact"/>
        </w:trPr>
        <w:tc>
          <w:tcPr>
            <w:tcW w:w="879" w:type="dxa"/>
            <w:vMerge/>
            <w:tcBorders>
              <w:left w:val="single" w:sz="12" w:space="0" w:color="000000"/>
              <w:bottom w:val="single" w:sz="6" w:space="0" w:color="000000"/>
              <w:right w:val="single" w:sz="6" w:space="0" w:color="000000"/>
            </w:tcBorders>
          </w:tcPr>
          <w:p>
            <w:pPr/>
          </w:p>
        </w:tc>
        <w:tc>
          <w:tcPr>
            <w:tcW w:w="3355" w:type="dxa"/>
            <w:tcBorders>
              <w:top w:val="single" w:sz="4" w:space="0" w:color="000000"/>
              <w:left w:val="single" w:sz="6"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惠州市富康环保设备制造有限公司</w:t>
            </w:r>
          </w:p>
        </w:tc>
        <w:tc>
          <w:tcPr>
            <w:tcW w:w="2405" w:type="dxa"/>
            <w:tcBorders>
              <w:top w:val="single" w:sz="4" w:space="0" w:color="000000"/>
              <w:left w:val="single" w:sz="4" w:space="0" w:color="000000"/>
              <w:bottom w:val="single" w:sz="4"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2194" w:type="dxa"/>
            <w:tcBorders>
              <w:top w:val="single" w:sz="4" w:space="0" w:color="000000"/>
              <w:left w:val="single" w:sz="6" w:space="0" w:color="000000"/>
              <w:bottom w:val="single" w:sz="4" w:space="0" w:color="000000"/>
              <w:right w:val="single" w:sz="12"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常年法律顾问</w:t>
            </w:r>
          </w:p>
        </w:tc>
      </w:tr>
      <w:tr>
        <w:trPr>
          <w:trHeight w:val="319" w:hRule="exact"/>
        </w:trPr>
        <w:tc>
          <w:tcPr>
            <w:tcW w:w="879" w:type="dxa"/>
            <w:tcBorders>
              <w:top w:val="single" w:sz="6" w:space="0" w:color="000000"/>
              <w:left w:val="single" w:sz="12" w:space="0" w:color="000000"/>
              <w:bottom w:val="single" w:sz="6" w:space="0" w:color="000000"/>
              <w:right w:val="single" w:sz="6" w:space="0" w:color="000000"/>
            </w:tcBorders>
          </w:tcPr>
          <w:p>
            <w:pPr>
              <w:pStyle w:val="TableParagraph"/>
              <w:spacing w:line="209" w:lineRule="exact"/>
              <w:ind w:right="161"/>
              <w:jc w:val="right"/>
              <w:rPr>
                <w:rFonts w:ascii="宋体" w:hAnsi="宋体" w:cs="宋体" w:eastAsia="宋体" w:hint="default"/>
                <w:sz w:val="18"/>
                <w:szCs w:val="18"/>
              </w:rPr>
            </w:pPr>
            <w:r>
              <w:rPr>
                <w:rFonts w:ascii="宋体" w:hAnsi="宋体" w:cs="宋体" w:eastAsia="宋体" w:hint="default"/>
                <w:sz w:val="18"/>
                <w:szCs w:val="18"/>
              </w:rPr>
              <w:t>徐志新</w:t>
            </w:r>
          </w:p>
        </w:tc>
        <w:tc>
          <w:tcPr>
            <w:tcW w:w="3355" w:type="dxa"/>
            <w:tcBorders>
              <w:top w:val="single" w:sz="4" w:space="0" w:color="000000"/>
              <w:left w:val="single" w:sz="6"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北京市地平线律师事务所</w:t>
            </w:r>
          </w:p>
        </w:tc>
        <w:tc>
          <w:tcPr>
            <w:tcW w:w="2405" w:type="dxa"/>
            <w:tcBorders>
              <w:top w:val="single" w:sz="4" w:space="0" w:color="000000"/>
              <w:left w:val="single" w:sz="4" w:space="0" w:color="000000"/>
              <w:bottom w:val="single" w:sz="4"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2194" w:type="dxa"/>
            <w:tcBorders>
              <w:top w:val="single" w:sz="4" w:space="0" w:color="000000"/>
              <w:left w:val="single" w:sz="6" w:space="0" w:color="000000"/>
              <w:bottom w:val="single" w:sz="4" w:space="0" w:color="000000"/>
              <w:right w:val="single" w:sz="12"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律师、合伙人</w:t>
            </w:r>
          </w:p>
        </w:tc>
      </w:tr>
      <w:tr>
        <w:trPr>
          <w:trHeight w:val="451" w:hRule="exact"/>
        </w:trPr>
        <w:tc>
          <w:tcPr>
            <w:tcW w:w="879" w:type="dxa"/>
            <w:tcBorders>
              <w:top w:val="single" w:sz="6" w:space="0" w:color="000000"/>
              <w:left w:val="single" w:sz="12" w:space="0" w:color="000000"/>
              <w:bottom w:val="single" w:sz="4" w:space="0" w:color="000000"/>
              <w:right w:val="single" w:sz="6" w:space="0" w:color="000000"/>
            </w:tcBorders>
          </w:tcPr>
          <w:p>
            <w:pPr>
              <w:pStyle w:val="TableParagraph"/>
              <w:spacing w:line="209" w:lineRule="exact"/>
              <w:ind w:right="161"/>
              <w:jc w:val="right"/>
              <w:rPr>
                <w:rFonts w:ascii="宋体" w:hAnsi="宋体" w:cs="宋体" w:eastAsia="宋体" w:hint="default"/>
                <w:sz w:val="18"/>
                <w:szCs w:val="18"/>
              </w:rPr>
            </w:pPr>
            <w:r>
              <w:rPr>
                <w:rFonts w:ascii="宋体" w:hAnsi="宋体" w:cs="宋体" w:eastAsia="宋体" w:hint="default"/>
                <w:sz w:val="18"/>
                <w:szCs w:val="18"/>
              </w:rPr>
              <w:t>陈伟强</w:t>
            </w:r>
          </w:p>
        </w:tc>
        <w:tc>
          <w:tcPr>
            <w:tcW w:w="3355" w:type="dxa"/>
            <w:tcBorders>
              <w:top w:val="single" w:sz="4" w:space="0" w:color="000000"/>
              <w:left w:val="single" w:sz="6"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广东深天正律师事务所</w:t>
            </w:r>
          </w:p>
        </w:tc>
        <w:tc>
          <w:tcPr>
            <w:tcW w:w="2405" w:type="dxa"/>
            <w:tcBorders>
              <w:top w:val="single" w:sz="4" w:space="0" w:color="000000"/>
              <w:left w:val="single" w:sz="4" w:space="0" w:color="000000"/>
              <w:bottom w:val="single" w:sz="4"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2194" w:type="dxa"/>
            <w:tcBorders>
              <w:top w:val="single" w:sz="4" w:space="0" w:color="000000"/>
              <w:left w:val="single" w:sz="6" w:space="0" w:color="000000"/>
              <w:bottom w:val="single" w:sz="4" w:space="0" w:color="000000"/>
              <w:right w:val="single" w:sz="12"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律师、主任</w:t>
            </w:r>
          </w:p>
        </w:tc>
      </w:tr>
      <w:tr>
        <w:trPr>
          <w:trHeight w:val="363" w:hRule="exact"/>
        </w:trPr>
        <w:tc>
          <w:tcPr>
            <w:tcW w:w="8833" w:type="dxa"/>
            <w:gridSpan w:val="4"/>
            <w:tcBorders>
              <w:top w:val="single" w:sz="4" w:space="0" w:color="000000"/>
              <w:left w:val="single" w:sz="12" w:space="0" w:color="000000"/>
              <w:bottom w:val="single" w:sz="4" w:space="0" w:color="000000"/>
              <w:right w:val="single" w:sz="12" w:space="0" w:color="000000"/>
            </w:tcBorders>
            <w:shd w:val="clear" w:color="auto" w:fill="B3B3B3"/>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470" w:hRule="exact"/>
        </w:trPr>
        <w:tc>
          <w:tcPr>
            <w:tcW w:w="879" w:type="dxa"/>
            <w:tcBorders>
              <w:top w:val="single" w:sz="4" w:space="0" w:color="000000"/>
              <w:left w:val="single" w:sz="12" w:space="0" w:color="000000"/>
              <w:bottom w:val="single" w:sz="4" w:space="0" w:color="000000"/>
              <w:right w:val="single" w:sz="4" w:space="0" w:color="000000"/>
            </w:tcBorders>
            <w:shd w:val="clear" w:color="auto" w:fill="B3B3B3"/>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355"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任职或兼职单位</w:t>
            </w:r>
          </w:p>
        </w:tc>
        <w:tc>
          <w:tcPr>
            <w:tcW w:w="2405"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与本公司的关系</w:t>
            </w:r>
          </w:p>
        </w:tc>
        <w:tc>
          <w:tcPr>
            <w:tcW w:w="2194"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职务</w:t>
            </w:r>
          </w:p>
        </w:tc>
      </w:tr>
      <w:tr>
        <w:trPr>
          <w:trHeight w:val="479" w:hRule="exact"/>
        </w:trPr>
        <w:tc>
          <w:tcPr>
            <w:tcW w:w="879" w:type="dxa"/>
            <w:vMerge w:val="restart"/>
            <w:tcBorders>
              <w:top w:val="single" w:sz="4" w:space="0" w:color="000000"/>
              <w:left w:val="single" w:sz="12"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尤明天</w:t>
            </w:r>
          </w:p>
        </w:tc>
        <w:tc>
          <w:tcPr>
            <w:tcW w:w="3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深圳市新鸿泰投资发展有限公司</w:t>
            </w:r>
          </w:p>
        </w:tc>
        <w:tc>
          <w:tcPr>
            <w:tcW w:w="2405" w:type="dxa"/>
            <w:tcBorders>
              <w:top w:val="single" w:sz="4" w:space="0" w:color="000000"/>
              <w:left w:val="single" w:sz="4" w:space="0" w:color="000000"/>
              <w:bottom w:val="single" w:sz="6"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公司第二大股东之股东的控</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股子公司</w:t>
            </w:r>
          </w:p>
        </w:tc>
        <w:tc>
          <w:tcPr>
            <w:tcW w:w="2194" w:type="dxa"/>
            <w:tcBorders>
              <w:top w:val="single" w:sz="4" w:space="0" w:color="000000"/>
              <w:left w:val="single" w:sz="4" w:space="0" w:color="000000"/>
              <w:bottom w:val="single" w:sz="6" w:space="0" w:color="000000"/>
              <w:right w:val="single" w:sz="12"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董事、总经理</w:t>
            </w:r>
          </w:p>
        </w:tc>
      </w:tr>
      <w:tr>
        <w:trPr>
          <w:trHeight w:val="300" w:hRule="exact"/>
        </w:trPr>
        <w:tc>
          <w:tcPr>
            <w:tcW w:w="879" w:type="dxa"/>
            <w:vMerge/>
            <w:tcBorders>
              <w:left w:val="single" w:sz="12" w:space="0" w:color="000000"/>
              <w:right w:val="single" w:sz="4" w:space="0" w:color="000000"/>
            </w:tcBorders>
          </w:tcPr>
          <w:p>
            <w:pPr/>
          </w:p>
        </w:tc>
        <w:tc>
          <w:tcPr>
            <w:tcW w:w="3355" w:type="dxa"/>
            <w:tcBorders>
              <w:top w:val="single" w:sz="4" w:space="0" w:color="000000"/>
              <w:left w:val="single" w:sz="4" w:space="0" w:color="000000"/>
              <w:bottom w:val="single" w:sz="6"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深圳市深运工贸企业有限公司</w:t>
            </w:r>
          </w:p>
        </w:tc>
        <w:tc>
          <w:tcPr>
            <w:tcW w:w="2405"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194"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16" w:hRule="exact"/>
        </w:trPr>
        <w:tc>
          <w:tcPr>
            <w:tcW w:w="879" w:type="dxa"/>
            <w:vMerge/>
            <w:tcBorders>
              <w:left w:val="single" w:sz="12" w:space="0" w:color="000000"/>
              <w:right w:val="single" w:sz="4" w:space="0" w:color="000000"/>
            </w:tcBorders>
          </w:tcPr>
          <w:p>
            <w:pPr/>
          </w:p>
        </w:tc>
        <w:tc>
          <w:tcPr>
            <w:tcW w:w="3355"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深圳市鸿基华辉运输有限公司</w:t>
            </w:r>
          </w:p>
        </w:tc>
        <w:tc>
          <w:tcPr>
            <w:tcW w:w="2405"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194"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14" w:hRule="exact"/>
        </w:trPr>
        <w:tc>
          <w:tcPr>
            <w:tcW w:w="879" w:type="dxa"/>
            <w:vMerge/>
            <w:tcBorders>
              <w:left w:val="single" w:sz="12" w:space="0" w:color="000000"/>
              <w:right w:val="single" w:sz="4" w:space="0" w:color="000000"/>
            </w:tcBorders>
          </w:tcPr>
          <w:p>
            <w:pPr/>
          </w:p>
        </w:tc>
        <w:tc>
          <w:tcPr>
            <w:tcW w:w="3355"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深圳市鸿基锦源运输有限公司</w:t>
            </w:r>
          </w:p>
        </w:tc>
        <w:tc>
          <w:tcPr>
            <w:tcW w:w="2405"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194"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16" w:hRule="exact"/>
        </w:trPr>
        <w:tc>
          <w:tcPr>
            <w:tcW w:w="879" w:type="dxa"/>
            <w:vMerge/>
            <w:tcBorders>
              <w:left w:val="single" w:sz="12" w:space="0" w:color="000000"/>
              <w:right w:val="single" w:sz="4" w:space="0" w:color="000000"/>
            </w:tcBorders>
          </w:tcPr>
          <w:p>
            <w:pPr/>
          </w:p>
        </w:tc>
        <w:tc>
          <w:tcPr>
            <w:tcW w:w="3355"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深圳市鸿基物流有限公司</w:t>
            </w:r>
          </w:p>
        </w:tc>
        <w:tc>
          <w:tcPr>
            <w:tcW w:w="2405"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194"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314" w:hRule="exact"/>
        </w:trPr>
        <w:tc>
          <w:tcPr>
            <w:tcW w:w="879" w:type="dxa"/>
            <w:vMerge/>
            <w:tcBorders>
              <w:left w:val="single" w:sz="12" w:space="0" w:color="000000"/>
              <w:right w:val="single" w:sz="4" w:space="0" w:color="000000"/>
            </w:tcBorders>
          </w:tcPr>
          <w:p>
            <w:pPr/>
          </w:p>
        </w:tc>
        <w:tc>
          <w:tcPr>
            <w:tcW w:w="3355"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深圳市鸿基房地产有限公司</w:t>
            </w:r>
          </w:p>
        </w:tc>
        <w:tc>
          <w:tcPr>
            <w:tcW w:w="2405"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194"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00" w:hRule="exact"/>
        </w:trPr>
        <w:tc>
          <w:tcPr>
            <w:tcW w:w="879" w:type="dxa"/>
            <w:vMerge/>
            <w:tcBorders>
              <w:left w:val="single" w:sz="12" w:space="0" w:color="000000"/>
              <w:right w:val="single" w:sz="4" w:space="0" w:color="000000"/>
            </w:tcBorders>
          </w:tcPr>
          <w:p>
            <w:pPr/>
          </w:p>
        </w:tc>
        <w:tc>
          <w:tcPr>
            <w:tcW w:w="3355"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深圳市鸿基装饰设计工程有限公司</w:t>
            </w:r>
          </w:p>
        </w:tc>
        <w:tc>
          <w:tcPr>
            <w:tcW w:w="2405"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194"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16" w:hRule="exact"/>
        </w:trPr>
        <w:tc>
          <w:tcPr>
            <w:tcW w:w="879" w:type="dxa"/>
            <w:vMerge/>
            <w:tcBorders>
              <w:left w:val="single" w:sz="12" w:space="0" w:color="000000"/>
              <w:right w:val="single" w:sz="4" w:space="0" w:color="000000"/>
            </w:tcBorders>
          </w:tcPr>
          <w:p>
            <w:pPr/>
          </w:p>
        </w:tc>
        <w:tc>
          <w:tcPr>
            <w:tcW w:w="3355"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深圳市凯方实业发展有限公司</w:t>
            </w:r>
          </w:p>
        </w:tc>
        <w:tc>
          <w:tcPr>
            <w:tcW w:w="2405"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194"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14" w:hRule="exact"/>
        </w:trPr>
        <w:tc>
          <w:tcPr>
            <w:tcW w:w="879" w:type="dxa"/>
            <w:vMerge/>
            <w:tcBorders>
              <w:left w:val="single" w:sz="12" w:space="0" w:color="000000"/>
              <w:right w:val="single" w:sz="4" w:space="0" w:color="000000"/>
            </w:tcBorders>
          </w:tcPr>
          <w:p>
            <w:pPr/>
          </w:p>
        </w:tc>
        <w:tc>
          <w:tcPr>
            <w:tcW w:w="3355"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深圳市龙岗鸿基房地产开发有限公司</w:t>
            </w:r>
          </w:p>
        </w:tc>
        <w:tc>
          <w:tcPr>
            <w:tcW w:w="2405"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194"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16" w:hRule="exact"/>
        </w:trPr>
        <w:tc>
          <w:tcPr>
            <w:tcW w:w="879" w:type="dxa"/>
            <w:vMerge/>
            <w:tcBorders>
              <w:left w:val="single" w:sz="12" w:space="0" w:color="000000"/>
              <w:right w:val="single" w:sz="4" w:space="0" w:color="000000"/>
            </w:tcBorders>
          </w:tcPr>
          <w:p>
            <w:pPr/>
          </w:p>
        </w:tc>
        <w:tc>
          <w:tcPr>
            <w:tcW w:w="3355"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深圳市鸿基物业管理有限公司</w:t>
            </w:r>
          </w:p>
        </w:tc>
        <w:tc>
          <w:tcPr>
            <w:tcW w:w="2405"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194"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14" w:hRule="exact"/>
        </w:trPr>
        <w:tc>
          <w:tcPr>
            <w:tcW w:w="879" w:type="dxa"/>
            <w:vMerge/>
            <w:tcBorders>
              <w:left w:val="single" w:sz="12" w:space="0" w:color="000000"/>
              <w:right w:val="single" w:sz="4" w:space="0" w:color="000000"/>
            </w:tcBorders>
          </w:tcPr>
          <w:p>
            <w:pPr/>
          </w:p>
        </w:tc>
        <w:tc>
          <w:tcPr>
            <w:tcW w:w="3355"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西安鸿基运输有限公司</w:t>
            </w:r>
          </w:p>
        </w:tc>
        <w:tc>
          <w:tcPr>
            <w:tcW w:w="2405"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194"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16" w:hRule="exact"/>
        </w:trPr>
        <w:tc>
          <w:tcPr>
            <w:tcW w:w="879" w:type="dxa"/>
            <w:vMerge/>
            <w:tcBorders>
              <w:left w:val="single" w:sz="12" w:space="0" w:color="000000"/>
              <w:bottom w:val="single" w:sz="6" w:space="0" w:color="000000"/>
              <w:right w:val="single" w:sz="4" w:space="0" w:color="000000"/>
            </w:tcBorders>
          </w:tcPr>
          <w:p>
            <w:pPr/>
          </w:p>
        </w:tc>
        <w:tc>
          <w:tcPr>
            <w:tcW w:w="3355"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福建东南广播电视网络有限公司</w:t>
            </w:r>
          </w:p>
        </w:tc>
        <w:tc>
          <w:tcPr>
            <w:tcW w:w="2405"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本公司参股企业</w:t>
            </w:r>
          </w:p>
        </w:tc>
        <w:tc>
          <w:tcPr>
            <w:tcW w:w="2194" w:type="dxa"/>
            <w:tcBorders>
              <w:top w:val="single" w:sz="6" w:space="0" w:color="000000"/>
              <w:left w:val="single" w:sz="6" w:space="0" w:color="000000"/>
              <w:bottom w:val="single" w:sz="6" w:space="0" w:color="000000"/>
              <w:right w:val="single" w:sz="12"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74" w:hRule="exact"/>
        </w:trPr>
        <w:tc>
          <w:tcPr>
            <w:tcW w:w="879"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right="131"/>
              <w:jc w:val="right"/>
              <w:rPr>
                <w:rFonts w:ascii="宋体" w:hAnsi="宋体" w:cs="宋体" w:eastAsia="宋体" w:hint="default"/>
                <w:sz w:val="18"/>
                <w:szCs w:val="18"/>
              </w:rPr>
            </w:pPr>
            <w:r>
              <w:rPr>
                <w:rFonts w:ascii="宋体" w:hAnsi="宋体" w:cs="宋体" w:eastAsia="宋体" w:hint="default"/>
                <w:sz w:val="18"/>
                <w:szCs w:val="18"/>
              </w:rPr>
              <w:t>李联添</w:t>
            </w:r>
          </w:p>
        </w:tc>
        <w:tc>
          <w:tcPr>
            <w:tcW w:w="3355"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西安深鸿基房地产开发有限公司</w:t>
            </w:r>
          </w:p>
        </w:tc>
        <w:tc>
          <w:tcPr>
            <w:tcW w:w="2405"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194"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82" w:hRule="exact"/>
        </w:trPr>
        <w:tc>
          <w:tcPr>
            <w:tcW w:w="8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right="161"/>
              <w:jc w:val="right"/>
              <w:rPr>
                <w:rFonts w:ascii="宋体" w:hAnsi="宋体" w:cs="宋体" w:eastAsia="宋体" w:hint="default"/>
                <w:sz w:val="18"/>
                <w:szCs w:val="18"/>
              </w:rPr>
            </w:pPr>
            <w:r>
              <w:rPr>
                <w:rFonts w:ascii="宋体" w:hAnsi="宋体" w:cs="宋体" w:eastAsia="宋体" w:hint="default"/>
                <w:sz w:val="18"/>
                <w:szCs w:val="18"/>
              </w:rPr>
              <w:t>张育新</w:t>
            </w:r>
          </w:p>
        </w:tc>
        <w:tc>
          <w:tcPr>
            <w:tcW w:w="335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sz w:val="18"/>
                <w:szCs w:val="18"/>
              </w:rPr>
              <w:t>中国宝安集团股份有限公司</w:t>
            </w:r>
          </w:p>
        </w:tc>
        <w:tc>
          <w:tcPr>
            <w:tcW w:w="240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9"/>
              <w:ind w:left="117" w:right="0"/>
              <w:jc w:val="left"/>
              <w:rPr>
                <w:rFonts w:ascii="宋体" w:hAnsi="宋体" w:cs="宋体" w:eastAsia="宋体" w:hint="default"/>
                <w:sz w:val="18"/>
                <w:szCs w:val="18"/>
              </w:rPr>
            </w:pPr>
            <w:r>
              <w:rPr>
                <w:rFonts w:ascii="宋体" w:hAnsi="宋体" w:cs="宋体" w:eastAsia="宋体" w:hint="default"/>
                <w:sz w:val="18"/>
                <w:szCs w:val="18"/>
              </w:rPr>
              <w:t>公司第一大股东的控股股东</w:t>
            </w:r>
          </w:p>
        </w:tc>
        <w:tc>
          <w:tcPr>
            <w:tcW w:w="2194" w:type="dxa"/>
            <w:tcBorders>
              <w:top w:val="single" w:sz="6" w:space="0" w:color="000000"/>
              <w:left w:val="single" w:sz="6" w:space="0" w:color="000000"/>
              <w:bottom w:val="single" w:sz="6" w:space="0" w:color="000000"/>
              <w:right w:val="single" w:sz="12"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党委副书记、纪委书记、</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工会主席、人力资源总监</w:t>
            </w:r>
          </w:p>
        </w:tc>
      </w:tr>
      <w:tr>
        <w:trPr>
          <w:trHeight w:val="483" w:hRule="exact"/>
        </w:trPr>
        <w:tc>
          <w:tcPr>
            <w:tcW w:w="8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right="161"/>
              <w:jc w:val="right"/>
              <w:rPr>
                <w:rFonts w:ascii="宋体" w:hAnsi="宋体" w:cs="宋体" w:eastAsia="宋体" w:hint="default"/>
                <w:sz w:val="18"/>
                <w:szCs w:val="18"/>
              </w:rPr>
            </w:pPr>
            <w:r>
              <w:rPr>
                <w:rFonts w:ascii="宋体" w:hAnsi="宋体" w:cs="宋体" w:eastAsia="宋体" w:hint="default"/>
                <w:sz w:val="18"/>
                <w:szCs w:val="18"/>
              </w:rPr>
              <w:t>陈昌华</w:t>
            </w:r>
          </w:p>
        </w:tc>
        <w:tc>
          <w:tcPr>
            <w:tcW w:w="335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sz w:val="18"/>
                <w:szCs w:val="18"/>
              </w:rPr>
              <w:t>中国宝安集团股份有限公司</w:t>
            </w:r>
          </w:p>
        </w:tc>
        <w:tc>
          <w:tcPr>
            <w:tcW w:w="240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公司第一大股东的控股股东</w:t>
            </w:r>
          </w:p>
        </w:tc>
        <w:tc>
          <w:tcPr>
            <w:tcW w:w="2194"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7"/>
                <w:sz w:val="18"/>
                <w:szCs w:val="18"/>
              </w:rPr>
              <w:t>办公室常务副主任兼品</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牌推广部部长</w:t>
            </w:r>
          </w:p>
        </w:tc>
      </w:tr>
      <w:tr>
        <w:trPr>
          <w:trHeight w:val="356" w:hRule="exact"/>
        </w:trPr>
        <w:tc>
          <w:tcPr>
            <w:tcW w:w="8833" w:type="dxa"/>
            <w:gridSpan w:val="4"/>
            <w:tcBorders>
              <w:top w:val="single" w:sz="6" w:space="0" w:color="000000"/>
              <w:left w:val="single" w:sz="12" w:space="0" w:color="000000"/>
              <w:bottom w:val="single" w:sz="4" w:space="0" w:color="000000"/>
              <w:right w:val="single" w:sz="12" w:space="0" w:color="000000"/>
            </w:tcBorders>
            <w:shd w:val="clear" w:color="auto" w:fill="B3B3B3"/>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高级管理人员</w:t>
            </w:r>
          </w:p>
        </w:tc>
      </w:tr>
      <w:tr>
        <w:trPr>
          <w:trHeight w:val="463" w:hRule="exact"/>
        </w:trPr>
        <w:tc>
          <w:tcPr>
            <w:tcW w:w="879" w:type="dxa"/>
            <w:tcBorders>
              <w:top w:val="single" w:sz="4" w:space="0" w:color="000000"/>
              <w:left w:val="single" w:sz="12" w:space="0" w:color="000000"/>
              <w:bottom w:val="single" w:sz="4" w:space="0" w:color="000000"/>
              <w:right w:val="single" w:sz="6" w:space="0" w:color="000000"/>
            </w:tcBorders>
            <w:shd w:val="clear" w:color="auto" w:fill="B3B3B3"/>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355" w:type="dxa"/>
            <w:tcBorders>
              <w:top w:val="single" w:sz="4" w:space="0" w:color="000000"/>
              <w:left w:val="single" w:sz="6" w:space="0" w:color="000000"/>
              <w:bottom w:val="single" w:sz="4" w:space="0" w:color="000000"/>
              <w:right w:val="single" w:sz="4" w:space="0" w:color="000000"/>
            </w:tcBorders>
            <w:shd w:val="clear" w:color="auto" w:fill="B3B3B3"/>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任职或兼职单位</w:t>
            </w:r>
          </w:p>
        </w:tc>
        <w:tc>
          <w:tcPr>
            <w:tcW w:w="2405" w:type="dxa"/>
            <w:tcBorders>
              <w:top w:val="single" w:sz="4" w:space="0" w:color="000000"/>
              <w:left w:val="single" w:sz="4" w:space="0" w:color="000000"/>
              <w:bottom w:val="single" w:sz="4" w:space="0" w:color="000000"/>
              <w:right w:val="single" w:sz="6" w:space="0" w:color="000000"/>
            </w:tcBorders>
            <w:shd w:val="clear" w:color="auto" w:fill="B3B3B3"/>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与本公司的关系</w:t>
            </w:r>
          </w:p>
        </w:tc>
        <w:tc>
          <w:tcPr>
            <w:tcW w:w="2194" w:type="dxa"/>
            <w:tcBorders>
              <w:top w:val="single" w:sz="4" w:space="0" w:color="000000"/>
              <w:left w:val="single" w:sz="6" w:space="0" w:color="000000"/>
              <w:bottom w:val="single" w:sz="4" w:space="0" w:color="000000"/>
              <w:right w:val="single" w:sz="12" w:space="0" w:color="000000"/>
            </w:tcBorders>
            <w:shd w:val="clear" w:color="auto" w:fill="B3B3B3"/>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职务</w:t>
            </w:r>
          </w:p>
        </w:tc>
      </w:tr>
      <w:tr>
        <w:trPr>
          <w:trHeight w:val="419" w:hRule="exact"/>
        </w:trPr>
        <w:tc>
          <w:tcPr>
            <w:tcW w:w="879" w:type="dxa"/>
            <w:vMerge w:val="restart"/>
            <w:tcBorders>
              <w:top w:val="single" w:sz="4" w:space="0" w:color="000000"/>
              <w:left w:val="single" w:sz="12"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邱圣凯</w:t>
            </w:r>
          </w:p>
        </w:tc>
        <w:tc>
          <w:tcPr>
            <w:tcW w:w="3355" w:type="dxa"/>
            <w:tcBorders>
              <w:top w:val="single" w:sz="4" w:space="0" w:color="000000"/>
              <w:left w:val="single" w:sz="6"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西安深鸿基房地产开发有限公司</w:t>
            </w:r>
          </w:p>
        </w:tc>
        <w:tc>
          <w:tcPr>
            <w:tcW w:w="2405" w:type="dxa"/>
            <w:tcBorders>
              <w:top w:val="single" w:sz="4"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194" w:type="dxa"/>
            <w:tcBorders>
              <w:top w:val="single" w:sz="4" w:space="0" w:color="000000"/>
              <w:left w:val="single" w:sz="6" w:space="0" w:color="000000"/>
              <w:bottom w:val="single" w:sz="4"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董事长、总经理</w:t>
            </w:r>
          </w:p>
        </w:tc>
      </w:tr>
      <w:tr>
        <w:trPr>
          <w:trHeight w:val="360" w:hRule="exact"/>
        </w:trPr>
        <w:tc>
          <w:tcPr>
            <w:tcW w:w="879" w:type="dxa"/>
            <w:vMerge/>
            <w:tcBorders>
              <w:left w:val="single" w:sz="12" w:space="0" w:color="000000"/>
              <w:bottom w:val="single" w:sz="6" w:space="0" w:color="000000"/>
              <w:right w:val="single" w:sz="6" w:space="0" w:color="000000"/>
            </w:tcBorders>
          </w:tcPr>
          <w:p>
            <w:pPr/>
          </w:p>
        </w:tc>
        <w:tc>
          <w:tcPr>
            <w:tcW w:w="3355" w:type="dxa"/>
            <w:tcBorders>
              <w:top w:val="single" w:sz="4" w:space="0" w:color="000000"/>
              <w:left w:val="single" w:sz="6"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香港鸿业发展有限公司</w:t>
            </w:r>
          </w:p>
        </w:tc>
        <w:tc>
          <w:tcPr>
            <w:tcW w:w="2405" w:type="dxa"/>
            <w:tcBorders>
              <w:top w:val="single" w:sz="4" w:space="0" w:color="000000"/>
              <w:left w:val="single" w:sz="4" w:space="0" w:color="000000"/>
              <w:bottom w:val="single" w:sz="4"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194" w:type="dxa"/>
            <w:tcBorders>
              <w:top w:val="single" w:sz="4" w:space="0" w:color="000000"/>
              <w:left w:val="single" w:sz="6" w:space="0" w:color="000000"/>
              <w:bottom w:val="single" w:sz="4" w:space="0" w:color="000000"/>
              <w:right w:val="single" w:sz="12"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法定代表人、董事长</w:t>
            </w:r>
          </w:p>
        </w:tc>
      </w:tr>
      <w:tr>
        <w:trPr>
          <w:trHeight w:val="415" w:hRule="exact"/>
        </w:trPr>
        <w:tc>
          <w:tcPr>
            <w:tcW w:w="879" w:type="dxa"/>
            <w:vMerge w:val="restart"/>
            <w:tcBorders>
              <w:top w:val="single" w:sz="6" w:space="0" w:color="000000"/>
              <w:left w:val="single" w:sz="12" w:space="0" w:color="000000"/>
              <w:right w:val="single" w:sz="6" w:space="0" w:color="000000"/>
            </w:tcBorders>
          </w:tcPr>
          <w:p>
            <w:pPr>
              <w:pStyle w:val="TableParagraph"/>
              <w:spacing w:line="209" w:lineRule="exact"/>
              <w:ind w:left="93" w:right="0"/>
              <w:jc w:val="left"/>
              <w:rPr>
                <w:rFonts w:ascii="宋体" w:hAnsi="宋体" w:cs="宋体" w:eastAsia="宋体" w:hint="default"/>
                <w:sz w:val="18"/>
                <w:szCs w:val="18"/>
              </w:rPr>
            </w:pPr>
            <w:r>
              <w:rPr>
                <w:rFonts w:ascii="宋体" w:hAnsi="宋体" w:cs="宋体" w:eastAsia="宋体" w:hint="default"/>
                <w:sz w:val="18"/>
                <w:szCs w:val="18"/>
              </w:rPr>
              <w:t>罗伟光</w:t>
            </w:r>
          </w:p>
        </w:tc>
        <w:tc>
          <w:tcPr>
            <w:tcW w:w="3355" w:type="dxa"/>
            <w:tcBorders>
              <w:top w:val="single" w:sz="4" w:space="0" w:color="000000"/>
              <w:left w:val="single" w:sz="6"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深圳市鸿基房地产有限公司</w:t>
            </w:r>
          </w:p>
        </w:tc>
        <w:tc>
          <w:tcPr>
            <w:tcW w:w="2405" w:type="dxa"/>
            <w:tcBorders>
              <w:top w:val="single" w:sz="4" w:space="0" w:color="000000"/>
              <w:left w:val="single" w:sz="4" w:space="0" w:color="000000"/>
              <w:bottom w:val="single" w:sz="4"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194" w:type="dxa"/>
            <w:tcBorders>
              <w:top w:val="single" w:sz="4" w:space="0" w:color="000000"/>
              <w:left w:val="single" w:sz="6" w:space="0" w:color="000000"/>
              <w:bottom w:val="single" w:sz="4" w:space="0" w:color="000000"/>
              <w:right w:val="single" w:sz="12"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董事长、总经理</w:t>
            </w:r>
          </w:p>
        </w:tc>
      </w:tr>
      <w:tr>
        <w:trPr>
          <w:trHeight w:val="462" w:hRule="exact"/>
        </w:trPr>
        <w:tc>
          <w:tcPr>
            <w:tcW w:w="879" w:type="dxa"/>
            <w:vMerge/>
            <w:tcBorders>
              <w:left w:val="single" w:sz="12" w:space="0" w:color="000000"/>
              <w:right w:val="single" w:sz="6" w:space="0" w:color="000000"/>
            </w:tcBorders>
          </w:tcPr>
          <w:p>
            <w:pPr/>
          </w:p>
        </w:tc>
        <w:tc>
          <w:tcPr>
            <w:tcW w:w="3355" w:type="dxa"/>
            <w:tcBorders>
              <w:top w:val="single" w:sz="4" w:space="0" w:color="000000"/>
              <w:left w:val="single" w:sz="6"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深圳市鸿基物业管理有限公司</w:t>
            </w:r>
          </w:p>
        </w:tc>
        <w:tc>
          <w:tcPr>
            <w:tcW w:w="2405" w:type="dxa"/>
            <w:tcBorders>
              <w:top w:val="single" w:sz="4" w:space="0" w:color="000000"/>
              <w:left w:val="single" w:sz="4" w:space="0" w:color="000000"/>
              <w:bottom w:val="single" w:sz="4"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194" w:type="dxa"/>
            <w:tcBorders>
              <w:top w:val="single" w:sz="4" w:space="0" w:color="000000"/>
              <w:left w:val="single" w:sz="6" w:space="0" w:color="000000"/>
              <w:bottom w:val="single" w:sz="4" w:space="0" w:color="000000"/>
              <w:right w:val="single" w:sz="12"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293" w:hRule="exact"/>
        </w:trPr>
        <w:tc>
          <w:tcPr>
            <w:tcW w:w="879" w:type="dxa"/>
            <w:vMerge/>
            <w:tcBorders>
              <w:left w:val="single" w:sz="12" w:space="0" w:color="000000"/>
              <w:right w:val="single" w:sz="6" w:space="0" w:color="000000"/>
            </w:tcBorders>
          </w:tcPr>
          <w:p>
            <w:pPr/>
          </w:p>
        </w:tc>
        <w:tc>
          <w:tcPr>
            <w:tcW w:w="3355" w:type="dxa"/>
            <w:tcBorders>
              <w:top w:val="single" w:sz="4" w:space="0" w:color="000000"/>
              <w:left w:val="single" w:sz="6"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深圳市龙岗鸿基房地产开发有限公司</w:t>
            </w:r>
          </w:p>
        </w:tc>
        <w:tc>
          <w:tcPr>
            <w:tcW w:w="2405" w:type="dxa"/>
            <w:tcBorders>
              <w:top w:val="single" w:sz="4" w:space="0" w:color="000000"/>
              <w:left w:val="single" w:sz="4" w:space="0" w:color="000000"/>
              <w:bottom w:val="single" w:sz="4"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194" w:type="dxa"/>
            <w:tcBorders>
              <w:top w:val="single" w:sz="4" w:space="0" w:color="000000"/>
              <w:left w:val="single" w:sz="6" w:space="0" w:color="000000"/>
              <w:bottom w:val="single" w:sz="4" w:space="0" w:color="000000"/>
              <w:right w:val="single" w:sz="12"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292" w:hRule="exact"/>
        </w:trPr>
        <w:tc>
          <w:tcPr>
            <w:tcW w:w="879" w:type="dxa"/>
            <w:vMerge/>
            <w:tcBorders>
              <w:left w:val="single" w:sz="12" w:space="0" w:color="000000"/>
              <w:right w:val="single" w:sz="6" w:space="0" w:color="000000"/>
            </w:tcBorders>
          </w:tcPr>
          <w:p>
            <w:pPr/>
          </w:p>
        </w:tc>
        <w:tc>
          <w:tcPr>
            <w:tcW w:w="3355" w:type="dxa"/>
            <w:tcBorders>
              <w:top w:val="single" w:sz="4" w:space="0" w:color="000000"/>
              <w:left w:val="single" w:sz="6"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深圳市鸿基装饰设计工程有限公司</w:t>
            </w:r>
          </w:p>
        </w:tc>
        <w:tc>
          <w:tcPr>
            <w:tcW w:w="2405" w:type="dxa"/>
            <w:tcBorders>
              <w:top w:val="single" w:sz="4" w:space="0" w:color="000000"/>
              <w:left w:val="single" w:sz="4" w:space="0" w:color="000000"/>
              <w:bottom w:val="single" w:sz="4"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194" w:type="dxa"/>
            <w:tcBorders>
              <w:top w:val="single" w:sz="4" w:space="0" w:color="000000"/>
              <w:left w:val="single" w:sz="6" w:space="0" w:color="000000"/>
              <w:bottom w:val="single" w:sz="4" w:space="0" w:color="000000"/>
              <w:right w:val="single" w:sz="12"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292" w:hRule="exact"/>
        </w:trPr>
        <w:tc>
          <w:tcPr>
            <w:tcW w:w="879" w:type="dxa"/>
            <w:vMerge/>
            <w:tcBorders>
              <w:left w:val="single" w:sz="12" w:space="0" w:color="000000"/>
              <w:right w:val="single" w:sz="6" w:space="0" w:color="000000"/>
            </w:tcBorders>
          </w:tcPr>
          <w:p>
            <w:pPr/>
          </w:p>
        </w:tc>
        <w:tc>
          <w:tcPr>
            <w:tcW w:w="3355" w:type="dxa"/>
            <w:tcBorders>
              <w:top w:val="single" w:sz="4" w:space="0" w:color="000000"/>
              <w:left w:val="single" w:sz="6"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深圳市深威驳运有限公司</w:t>
            </w:r>
          </w:p>
        </w:tc>
        <w:tc>
          <w:tcPr>
            <w:tcW w:w="2405" w:type="dxa"/>
            <w:tcBorders>
              <w:top w:val="single" w:sz="4" w:space="0" w:color="000000"/>
              <w:left w:val="single" w:sz="4" w:space="0" w:color="000000"/>
              <w:bottom w:val="single" w:sz="4"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本公司参股企业</w:t>
            </w:r>
          </w:p>
        </w:tc>
        <w:tc>
          <w:tcPr>
            <w:tcW w:w="2194" w:type="dxa"/>
            <w:tcBorders>
              <w:top w:val="single" w:sz="4" w:space="0" w:color="000000"/>
              <w:left w:val="single" w:sz="6" w:space="0" w:color="000000"/>
              <w:bottom w:val="single" w:sz="4" w:space="0" w:color="000000"/>
              <w:right w:val="single" w:sz="12"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293" w:hRule="exact"/>
        </w:trPr>
        <w:tc>
          <w:tcPr>
            <w:tcW w:w="879" w:type="dxa"/>
            <w:vMerge/>
            <w:tcBorders>
              <w:left w:val="single" w:sz="12" w:space="0" w:color="000000"/>
              <w:right w:val="single" w:sz="6" w:space="0" w:color="000000"/>
            </w:tcBorders>
          </w:tcPr>
          <w:p>
            <w:pPr/>
          </w:p>
        </w:tc>
        <w:tc>
          <w:tcPr>
            <w:tcW w:w="3355" w:type="dxa"/>
            <w:tcBorders>
              <w:top w:val="single" w:sz="4" w:space="0" w:color="000000"/>
              <w:left w:val="single" w:sz="6"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深圳市凯方实业发展有限公司</w:t>
            </w:r>
          </w:p>
        </w:tc>
        <w:tc>
          <w:tcPr>
            <w:tcW w:w="2405" w:type="dxa"/>
            <w:tcBorders>
              <w:top w:val="single" w:sz="4" w:space="0" w:color="000000"/>
              <w:left w:val="single" w:sz="4" w:space="0" w:color="000000"/>
              <w:bottom w:val="single" w:sz="4"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194" w:type="dxa"/>
            <w:tcBorders>
              <w:top w:val="single" w:sz="4" w:space="0" w:color="000000"/>
              <w:left w:val="single" w:sz="6" w:space="0" w:color="000000"/>
              <w:bottom w:val="single" w:sz="4" w:space="0" w:color="000000"/>
              <w:right w:val="single" w:sz="12"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292" w:hRule="exact"/>
        </w:trPr>
        <w:tc>
          <w:tcPr>
            <w:tcW w:w="879" w:type="dxa"/>
            <w:vMerge/>
            <w:tcBorders>
              <w:left w:val="single" w:sz="12" w:space="0" w:color="000000"/>
              <w:bottom w:val="single" w:sz="6" w:space="0" w:color="000000"/>
              <w:right w:val="single" w:sz="6" w:space="0" w:color="000000"/>
            </w:tcBorders>
          </w:tcPr>
          <w:p>
            <w:pPr/>
          </w:p>
        </w:tc>
        <w:tc>
          <w:tcPr>
            <w:tcW w:w="3355" w:type="dxa"/>
            <w:tcBorders>
              <w:top w:val="single" w:sz="4" w:space="0" w:color="000000"/>
              <w:left w:val="single" w:sz="6"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西安新鸿业投资发展有限公司</w:t>
            </w:r>
          </w:p>
        </w:tc>
        <w:tc>
          <w:tcPr>
            <w:tcW w:w="2405" w:type="dxa"/>
            <w:tcBorders>
              <w:top w:val="single" w:sz="4" w:space="0" w:color="000000"/>
              <w:left w:val="single" w:sz="4" w:space="0" w:color="000000"/>
              <w:bottom w:val="single" w:sz="4"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194" w:type="dxa"/>
            <w:tcBorders>
              <w:top w:val="single" w:sz="4" w:space="0" w:color="000000"/>
              <w:left w:val="single" w:sz="6" w:space="0" w:color="000000"/>
              <w:bottom w:val="single" w:sz="4" w:space="0" w:color="000000"/>
              <w:right w:val="single" w:sz="12"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292" w:hRule="exact"/>
        </w:trPr>
        <w:tc>
          <w:tcPr>
            <w:tcW w:w="879" w:type="dxa"/>
            <w:vMerge w:val="restart"/>
            <w:tcBorders>
              <w:top w:val="single" w:sz="6" w:space="0" w:color="000000"/>
              <w:left w:val="single" w:sz="12" w:space="0" w:color="000000"/>
              <w:right w:val="single" w:sz="6" w:space="0" w:color="000000"/>
            </w:tcBorders>
          </w:tcPr>
          <w:p>
            <w:pPr>
              <w:pStyle w:val="TableParagraph"/>
              <w:spacing w:line="209" w:lineRule="exact"/>
              <w:ind w:left="93" w:right="0"/>
              <w:jc w:val="left"/>
              <w:rPr>
                <w:rFonts w:ascii="宋体" w:hAnsi="宋体" w:cs="宋体" w:eastAsia="宋体" w:hint="default"/>
                <w:sz w:val="18"/>
                <w:szCs w:val="18"/>
              </w:rPr>
            </w:pPr>
            <w:r>
              <w:rPr>
                <w:rFonts w:ascii="宋体" w:hAnsi="宋体" w:cs="宋体" w:eastAsia="宋体" w:hint="default"/>
                <w:sz w:val="18"/>
                <w:szCs w:val="18"/>
              </w:rPr>
              <w:t>罗竣</w:t>
            </w:r>
          </w:p>
        </w:tc>
        <w:tc>
          <w:tcPr>
            <w:tcW w:w="3355" w:type="dxa"/>
            <w:tcBorders>
              <w:top w:val="single" w:sz="4" w:space="0" w:color="000000"/>
              <w:left w:val="single" w:sz="6"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深圳市鸿基物流有限公司</w:t>
            </w:r>
          </w:p>
        </w:tc>
        <w:tc>
          <w:tcPr>
            <w:tcW w:w="2405" w:type="dxa"/>
            <w:tcBorders>
              <w:top w:val="single" w:sz="4" w:space="0" w:color="000000"/>
              <w:left w:val="single" w:sz="4" w:space="0" w:color="000000"/>
              <w:bottom w:val="single" w:sz="4"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194" w:type="dxa"/>
            <w:tcBorders>
              <w:top w:val="single" w:sz="4" w:space="0" w:color="000000"/>
              <w:left w:val="single" w:sz="6" w:space="0" w:color="000000"/>
              <w:bottom w:val="single" w:sz="4" w:space="0" w:color="000000"/>
              <w:right w:val="single" w:sz="12"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293" w:hRule="exact"/>
        </w:trPr>
        <w:tc>
          <w:tcPr>
            <w:tcW w:w="879" w:type="dxa"/>
            <w:vMerge/>
            <w:tcBorders>
              <w:left w:val="single" w:sz="12" w:space="0" w:color="000000"/>
              <w:bottom w:val="single" w:sz="4" w:space="0" w:color="000000"/>
              <w:right w:val="single" w:sz="6" w:space="0" w:color="000000"/>
            </w:tcBorders>
          </w:tcPr>
          <w:p>
            <w:pPr/>
          </w:p>
        </w:tc>
        <w:tc>
          <w:tcPr>
            <w:tcW w:w="3355" w:type="dxa"/>
            <w:tcBorders>
              <w:top w:val="single" w:sz="4" w:space="0" w:color="000000"/>
              <w:left w:val="single" w:sz="6"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福建东南广播电视网络有限公司</w:t>
            </w:r>
          </w:p>
        </w:tc>
        <w:tc>
          <w:tcPr>
            <w:tcW w:w="2405" w:type="dxa"/>
            <w:tcBorders>
              <w:top w:val="single" w:sz="4" w:space="0" w:color="000000"/>
              <w:left w:val="single" w:sz="4" w:space="0" w:color="000000"/>
              <w:bottom w:val="single" w:sz="4"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本公司参股企业</w:t>
            </w:r>
          </w:p>
        </w:tc>
        <w:tc>
          <w:tcPr>
            <w:tcW w:w="2194" w:type="dxa"/>
            <w:tcBorders>
              <w:top w:val="single" w:sz="4" w:space="0" w:color="000000"/>
              <w:left w:val="single" w:sz="6" w:space="0" w:color="000000"/>
              <w:bottom w:val="single" w:sz="4" w:space="0" w:color="000000"/>
              <w:right w:val="single" w:sz="12"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295" w:hRule="exact"/>
        </w:trPr>
        <w:tc>
          <w:tcPr>
            <w:tcW w:w="879" w:type="dxa"/>
            <w:vMerge w:val="restart"/>
            <w:tcBorders>
              <w:top w:val="single" w:sz="4" w:space="0" w:color="000000"/>
              <w:left w:val="single" w:sz="12"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王迪新</w:t>
            </w:r>
          </w:p>
        </w:tc>
        <w:tc>
          <w:tcPr>
            <w:tcW w:w="3355" w:type="dxa"/>
            <w:tcBorders>
              <w:top w:val="single" w:sz="4" w:space="0" w:color="000000"/>
              <w:left w:val="single" w:sz="6"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西安新鸿业投资发展有限公司</w:t>
            </w:r>
          </w:p>
        </w:tc>
        <w:tc>
          <w:tcPr>
            <w:tcW w:w="2405" w:type="dxa"/>
            <w:tcBorders>
              <w:top w:val="single" w:sz="4"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194" w:type="dxa"/>
            <w:tcBorders>
              <w:top w:val="single" w:sz="4" w:space="0" w:color="000000"/>
              <w:left w:val="single" w:sz="6" w:space="0" w:color="000000"/>
              <w:bottom w:val="single" w:sz="4"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董事、总经理</w:t>
            </w:r>
          </w:p>
        </w:tc>
      </w:tr>
      <w:tr>
        <w:trPr>
          <w:trHeight w:val="344" w:hRule="exact"/>
        </w:trPr>
        <w:tc>
          <w:tcPr>
            <w:tcW w:w="879" w:type="dxa"/>
            <w:vMerge/>
            <w:tcBorders>
              <w:left w:val="single" w:sz="12" w:space="0" w:color="000000"/>
              <w:bottom w:val="single" w:sz="4" w:space="0" w:color="000000"/>
              <w:right w:val="single" w:sz="6" w:space="0" w:color="000000"/>
            </w:tcBorders>
          </w:tcPr>
          <w:p>
            <w:pPr/>
          </w:p>
        </w:tc>
        <w:tc>
          <w:tcPr>
            <w:tcW w:w="3355" w:type="dxa"/>
            <w:tcBorders>
              <w:top w:val="single" w:sz="4" w:space="0" w:color="000000"/>
              <w:left w:val="single" w:sz="6"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西安深鸿基房地产开发有限公司</w:t>
            </w:r>
          </w:p>
        </w:tc>
        <w:tc>
          <w:tcPr>
            <w:tcW w:w="2405" w:type="dxa"/>
            <w:tcBorders>
              <w:top w:val="single" w:sz="4" w:space="0" w:color="000000"/>
              <w:left w:val="single" w:sz="4" w:space="0" w:color="000000"/>
              <w:bottom w:val="single" w:sz="4"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194" w:type="dxa"/>
            <w:tcBorders>
              <w:top w:val="single" w:sz="4" w:space="0" w:color="000000"/>
              <w:left w:val="single" w:sz="6" w:space="0" w:color="000000"/>
              <w:bottom w:val="single" w:sz="4" w:space="0" w:color="000000"/>
              <w:right w:val="single" w:sz="12"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bl>
    <w:p>
      <w:pPr>
        <w:spacing w:after="0" w:line="211" w:lineRule="exact"/>
        <w:jc w:val="left"/>
        <w:rPr>
          <w:rFonts w:ascii="宋体" w:hAnsi="宋体" w:cs="宋体" w:eastAsia="宋体" w:hint="default"/>
          <w:sz w:val="18"/>
          <w:szCs w:val="18"/>
        </w:rPr>
        <w:sectPr>
          <w:pgSz w:w="11900" w:h="16840"/>
          <w:pgMar w:header="0" w:footer="939" w:top="1340" w:bottom="1160" w:left="1640" w:right="1160"/>
        </w:sectPr>
      </w:pPr>
    </w:p>
    <w:p>
      <w:pPr>
        <w:spacing w:line="240" w:lineRule="auto" w:before="11"/>
        <w:rPr>
          <w:rFonts w:ascii="Times New Roman" w:hAnsi="Times New Roman" w:cs="Times New Roman" w:eastAsia="Times New Roman"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879"/>
        <w:gridCol w:w="3355"/>
        <w:gridCol w:w="2405"/>
        <w:gridCol w:w="2194"/>
      </w:tblGrid>
      <w:tr>
        <w:trPr>
          <w:trHeight w:val="468" w:hRule="exact"/>
        </w:trPr>
        <w:tc>
          <w:tcPr>
            <w:tcW w:w="879" w:type="dxa"/>
            <w:vMerge w:val="restart"/>
            <w:tcBorders>
              <w:top w:val="single" w:sz="4" w:space="0" w:color="000000"/>
              <w:left w:val="single" w:sz="12"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余毓凡</w:t>
            </w:r>
          </w:p>
        </w:tc>
        <w:tc>
          <w:tcPr>
            <w:tcW w:w="3355" w:type="dxa"/>
            <w:tcBorders>
              <w:top w:val="single" w:sz="4" w:space="0" w:color="000000"/>
              <w:left w:val="single" w:sz="6"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福建东南广播电视网络有限公司</w:t>
            </w:r>
          </w:p>
        </w:tc>
        <w:tc>
          <w:tcPr>
            <w:tcW w:w="2405" w:type="dxa"/>
            <w:tcBorders>
              <w:top w:val="single" w:sz="4"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本公司参股企业</w:t>
            </w:r>
          </w:p>
        </w:tc>
        <w:tc>
          <w:tcPr>
            <w:tcW w:w="2194" w:type="dxa"/>
            <w:tcBorders>
              <w:top w:val="single" w:sz="4" w:space="0" w:color="000000"/>
              <w:left w:val="single" w:sz="6" w:space="0" w:color="000000"/>
              <w:bottom w:val="single" w:sz="4"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89" w:hRule="exact"/>
        </w:trPr>
        <w:tc>
          <w:tcPr>
            <w:tcW w:w="879" w:type="dxa"/>
            <w:vMerge/>
            <w:tcBorders>
              <w:left w:val="single" w:sz="12" w:space="0" w:color="000000"/>
              <w:bottom w:val="single" w:sz="12" w:space="0" w:color="000000"/>
              <w:right w:val="single" w:sz="6" w:space="0" w:color="000000"/>
            </w:tcBorders>
          </w:tcPr>
          <w:p>
            <w:pPr/>
          </w:p>
        </w:tc>
        <w:tc>
          <w:tcPr>
            <w:tcW w:w="3355" w:type="dxa"/>
            <w:tcBorders>
              <w:top w:val="single" w:sz="4" w:space="0" w:color="000000"/>
              <w:left w:val="single" w:sz="6"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深圳市鸿基物流有限公司</w:t>
            </w:r>
          </w:p>
        </w:tc>
        <w:tc>
          <w:tcPr>
            <w:tcW w:w="2405" w:type="dxa"/>
            <w:tcBorders>
              <w:top w:val="single" w:sz="4" w:space="0" w:color="000000"/>
              <w:left w:val="single" w:sz="4" w:space="0" w:color="000000"/>
              <w:bottom w:val="single" w:sz="4"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194" w:type="dxa"/>
            <w:tcBorders>
              <w:top w:val="single" w:sz="4" w:space="0" w:color="000000"/>
              <w:left w:val="single" w:sz="6" w:space="0" w:color="000000"/>
              <w:bottom w:val="single" w:sz="4" w:space="0" w:color="000000"/>
              <w:right w:val="single" w:sz="12"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bl>
    <w:p>
      <w:pPr>
        <w:spacing w:line="240" w:lineRule="auto" w:before="10"/>
        <w:rPr>
          <w:rFonts w:ascii="Times New Roman" w:hAnsi="Times New Roman" w:cs="Times New Roman" w:eastAsia="Times New Roman" w:hint="default"/>
          <w:sz w:val="21"/>
          <w:szCs w:val="21"/>
        </w:rPr>
      </w:pPr>
    </w:p>
    <w:p>
      <w:pPr>
        <w:spacing w:before="26"/>
        <w:ind w:left="230" w:right="0" w:firstLine="0"/>
        <w:jc w:val="both"/>
        <w:rPr>
          <w:rFonts w:ascii="黑体" w:hAnsi="黑体" w:cs="黑体" w:eastAsia="黑体" w:hint="default"/>
          <w:sz w:val="24"/>
          <w:szCs w:val="24"/>
        </w:rPr>
      </w:pPr>
      <w:r>
        <w:rPr>
          <w:rFonts w:ascii="黑体" w:hAnsi="黑体" w:cs="黑体" w:eastAsia="黑体" w:hint="default"/>
          <w:sz w:val="24"/>
          <w:szCs w:val="24"/>
        </w:rPr>
        <w:t>五、报告期内公司董事、监事、高级管理人员变动情况</w:t>
      </w:r>
    </w:p>
    <w:p>
      <w:pPr>
        <w:spacing w:line="240" w:lineRule="auto" w:before="6"/>
        <w:rPr>
          <w:rFonts w:ascii="黑体" w:hAnsi="黑体" w:cs="黑体" w:eastAsia="黑体" w:hint="default"/>
          <w:sz w:val="27"/>
          <w:szCs w:val="27"/>
        </w:rPr>
      </w:pPr>
    </w:p>
    <w:p>
      <w:pPr>
        <w:pStyle w:val="BodyText"/>
        <w:spacing w:line="316" w:lineRule="auto"/>
        <w:ind w:left="650" w:right="142" w:hanging="1"/>
        <w:jc w:val="left"/>
      </w:pPr>
      <w:r>
        <w:rPr>
          <w:rFonts w:ascii="Times New Roman" w:hAnsi="Times New Roman" w:cs="Times New Roman" w:eastAsia="Times New Roman" w:hint="default"/>
        </w:rPr>
        <w:t>1</w:t>
      </w:r>
      <w:r>
        <w:rPr/>
        <w:t>、董事局换届选举情况 </w:t>
      </w:r>
      <w:r>
        <w:rPr>
          <w:spacing w:val="-3"/>
        </w:rPr>
        <w:t>公司</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30</w:t>
      </w:r>
      <w:r>
        <w:rPr>
          <w:spacing w:val="-3"/>
        </w:rPr>
        <w:t>日召开的</w:t>
      </w:r>
      <w:r>
        <w:rPr>
          <w:rFonts w:ascii="Times New Roman" w:hAnsi="Times New Roman" w:cs="Times New Roman" w:eastAsia="Times New Roman" w:hint="default"/>
          <w:spacing w:val="-3"/>
        </w:rPr>
        <w:t>2005</w:t>
      </w:r>
      <w:r>
        <w:rPr>
          <w:spacing w:val="-3"/>
        </w:rPr>
        <w:t>年度（暨第十三届）股东大会选举产生的第五届董事局董事</w:t>
      </w:r>
    </w:p>
    <w:p>
      <w:pPr>
        <w:pStyle w:val="BodyText"/>
        <w:spacing w:line="316" w:lineRule="auto" w:before="19"/>
        <w:ind w:left="650" w:right="142" w:hanging="421"/>
        <w:jc w:val="left"/>
      </w:pPr>
      <w:r>
        <w:rPr/>
        <w:t>任期至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日届满。 </w:t>
      </w:r>
      <w:r>
        <w:rPr>
          <w:spacing w:val="-1"/>
        </w:rPr>
        <w:t>于</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日公司召开</w:t>
      </w:r>
      <w:r>
        <w:rPr>
          <w:rFonts w:ascii="Times New Roman" w:hAnsi="Times New Roman" w:cs="Times New Roman" w:eastAsia="Times New Roman" w:hint="default"/>
          <w:spacing w:val="-1"/>
        </w:rPr>
        <w:t>2008</w:t>
      </w:r>
      <w:r>
        <w:rPr>
          <w:spacing w:val="-1"/>
        </w:rPr>
        <w:t>年度（暨第十六届）股东大会选举陈泰泉、高文清、周非、</w:t>
      </w:r>
    </w:p>
    <w:p>
      <w:pPr>
        <w:pStyle w:val="BodyText"/>
        <w:spacing w:line="336" w:lineRule="auto" w:before="19"/>
        <w:ind w:left="230" w:right="257"/>
        <w:jc w:val="both"/>
      </w:pPr>
      <w:r>
        <w:rPr/>
        <w:t>贺雪琴、郭山清、钟征宇、庄伟鑫、何祥增、陈凤娇、徐志新、陈伟强等十一人为公司第六届 董事局董事，其中何祥增、陈凤娇、徐志新、陈伟强等四人为独立董事；职工代表董事颜金辉 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日经公司</w:t>
      </w:r>
      <w:r>
        <w:rPr>
          <w:rFonts w:ascii="Times New Roman" w:hAnsi="Times New Roman" w:cs="Times New Roman" w:eastAsia="Times New Roman" w:hint="default"/>
        </w:rPr>
        <w:t>2009</w:t>
      </w:r>
      <w:r>
        <w:rPr/>
        <w:t>年度职工代表大会选举产生。</w:t>
      </w:r>
    </w:p>
    <w:p>
      <w:pPr>
        <w:pStyle w:val="BodyText"/>
        <w:spacing w:line="316" w:lineRule="auto"/>
        <w:ind w:left="650" w:right="142" w:hanging="1"/>
        <w:jc w:val="left"/>
      </w:pPr>
      <w:r>
        <w:rPr>
          <w:rFonts w:ascii="Times New Roman" w:hAnsi="Times New Roman" w:cs="Times New Roman" w:eastAsia="Times New Roman" w:hint="default"/>
        </w:rPr>
        <w:t>2</w:t>
      </w:r>
      <w:r>
        <w:rPr/>
        <w:t>、监事会换届选举情况 </w:t>
      </w:r>
      <w:r>
        <w:rPr>
          <w:spacing w:val="-1"/>
        </w:rPr>
        <w:t>鉴于公司第五届监事会于</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日任期届满，根据《公司章程》，</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日召</w:t>
      </w:r>
    </w:p>
    <w:p>
      <w:pPr>
        <w:pStyle w:val="BodyText"/>
        <w:spacing w:line="316" w:lineRule="auto" w:before="19"/>
        <w:ind w:left="230" w:right="240"/>
        <w:jc w:val="left"/>
      </w:pPr>
      <w:r>
        <w:rPr/>
        <w:t>开的</w:t>
      </w:r>
      <w:r>
        <w:rPr>
          <w:rFonts w:ascii="Times New Roman" w:hAnsi="Times New Roman" w:cs="Times New Roman" w:eastAsia="Times New Roman" w:hint="default"/>
        </w:rPr>
        <w:t>2008</w:t>
      </w:r>
      <w:r>
        <w:rPr/>
        <w:t>年度股东大会选举尤明天、陈昌华、张育新为公司第六届监事会监事，职工代表监事 李联添于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日经公司</w:t>
      </w:r>
      <w:r>
        <w:rPr>
          <w:rFonts w:ascii="Times New Roman" w:hAnsi="Times New Roman" w:cs="Times New Roman" w:eastAsia="Times New Roman" w:hint="default"/>
        </w:rPr>
        <w:t>2009</w:t>
      </w:r>
      <w:r>
        <w:rPr/>
        <w:t>年度职工代表大会选举产生。</w:t>
      </w:r>
    </w:p>
    <w:p>
      <w:pPr>
        <w:pStyle w:val="BodyText"/>
        <w:spacing w:line="240" w:lineRule="auto" w:before="19"/>
        <w:ind w:left="650" w:right="142"/>
        <w:jc w:val="left"/>
      </w:pPr>
      <w:r>
        <w:rPr>
          <w:rFonts w:ascii="Times New Roman" w:hAnsi="Times New Roman" w:cs="Times New Roman" w:eastAsia="Times New Roman" w:hint="default"/>
        </w:rPr>
        <w:t>3</w:t>
      </w:r>
      <w:r>
        <w:rPr/>
        <w:t>、高管聘任情况</w:t>
      </w:r>
    </w:p>
    <w:p>
      <w:pPr>
        <w:pStyle w:val="BodyText"/>
        <w:spacing w:line="340" w:lineRule="auto" w:before="107"/>
        <w:ind w:left="230" w:right="139" w:firstLine="420"/>
        <w:jc w:val="left"/>
      </w:pPr>
      <w:r>
        <w:rPr/>
        <w:t>于</w:t>
      </w:r>
      <w:r>
        <w:rPr>
          <w:spacing w:val="-48"/>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spacing w:val="-1"/>
        </w:rPr>
        <w:t>30</w:t>
      </w:r>
      <w:r>
        <w:rPr>
          <w:rFonts w:ascii="Times New Roman" w:hAnsi="Times New Roman" w:cs="Times New Roman" w:eastAsia="Times New Roman" w:hint="default"/>
          <w:spacing w:val="5"/>
        </w:rPr>
        <w:t> </w:t>
      </w:r>
      <w:r>
        <w:rPr>
          <w:spacing w:val="-4"/>
        </w:rPr>
        <w:t>日公司第六届董事局第一次临时会议审议通过，聘任高文清为公司总裁；</w:t>
      </w:r>
      <w:r>
        <w:rPr/>
        <w:t> 聘任周非、颜金辉、罗伟光、邱圣凯、罗竣、陈汉忠、余毓凡、沈蜀江为公司副总裁；聘任沈 蜀江为董事局秘书；聘任钟民为公司财务总监兼财务经理；聘任王迪新、黄旭辉为总裁助理。</w:t>
      </w:r>
    </w:p>
    <w:p>
      <w:pPr>
        <w:spacing w:line="240" w:lineRule="auto" w:before="6"/>
        <w:rPr>
          <w:rFonts w:ascii="宋体" w:hAnsi="宋体" w:cs="宋体" w:eastAsia="宋体" w:hint="default"/>
          <w:sz w:val="17"/>
          <w:szCs w:val="17"/>
        </w:rPr>
      </w:pPr>
    </w:p>
    <w:p>
      <w:pPr>
        <w:pStyle w:val="Heading3"/>
        <w:spacing w:line="240" w:lineRule="auto"/>
        <w:ind w:left="230" w:right="0"/>
        <w:jc w:val="both"/>
      </w:pPr>
      <w:r>
        <w:rPr/>
        <w:t>六、员工情况</w:t>
      </w:r>
    </w:p>
    <w:p>
      <w:pPr>
        <w:spacing w:line="240" w:lineRule="auto" w:before="9"/>
        <w:rPr>
          <w:rFonts w:ascii="黑体" w:hAnsi="黑体" w:cs="黑体" w:eastAsia="黑体" w:hint="default"/>
          <w:sz w:val="28"/>
          <w:szCs w:val="28"/>
        </w:rPr>
      </w:pPr>
    </w:p>
    <w:p>
      <w:pPr>
        <w:pStyle w:val="BodyText"/>
        <w:spacing w:line="240" w:lineRule="auto"/>
        <w:ind w:left="650" w:right="142"/>
        <w:jc w:val="left"/>
      </w:pPr>
      <w:r>
        <w:rPr/>
        <w:t>截止报告期末，公司员工总数为</w:t>
      </w:r>
      <w:r>
        <w:rPr>
          <w:spacing w:val="-45"/>
        </w:rPr>
        <w:t> </w:t>
      </w:r>
      <w:r>
        <w:rPr>
          <w:rFonts w:ascii="Times New Roman" w:hAnsi="Times New Roman" w:cs="Times New Roman" w:eastAsia="Times New Roman" w:hint="default"/>
        </w:rPr>
        <w:t>3,380</w:t>
      </w:r>
      <w:r>
        <w:rPr>
          <w:rFonts w:ascii="Times New Roman" w:hAnsi="Times New Roman" w:cs="Times New Roman" w:eastAsia="Times New Roman" w:hint="default"/>
          <w:spacing w:val="8"/>
        </w:rPr>
        <w:t> </w:t>
      </w:r>
      <w:r>
        <w:rPr/>
        <w:t>人，其中管理人员</w:t>
      </w:r>
      <w:r>
        <w:rPr>
          <w:spacing w:val="-45"/>
        </w:rPr>
        <w:t> </w:t>
      </w:r>
      <w:r>
        <w:rPr>
          <w:rFonts w:ascii="Times New Roman" w:hAnsi="Times New Roman" w:cs="Times New Roman" w:eastAsia="Times New Roman" w:hint="default"/>
        </w:rPr>
        <w:t>570</w:t>
      </w:r>
      <w:r>
        <w:rPr>
          <w:rFonts w:ascii="Times New Roman" w:hAnsi="Times New Roman" w:cs="Times New Roman" w:eastAsia="Times New Roman" w:hint="default"/>
          <w:spacing w:val="8"/>
        </w:rPr>
        <w:t> </w:t>
      </w:r>
      <w:r>
        <w:rPr/>
        <w:t>人，专业技术人员</w:t>
      </w:r>
      <w:r>
        <w:rPr>
          <w:spacing w:val="-45"/>
        </w:rPr>
        <w:t> </w:t>
      </w:r>
      <w:r>
        <w:rPr>
          <w:rFonts w:ascii="Times New Roman" w:hAnsi="Times New Roman" w:cs="Times New Roman" w:eastAsia="Times New Roman" w:hint="default"/>
        </w:rPr>
        <w:t>152</w:t>
      </w:r>
      <w:r>
        <w:rPr>
          <w:rFonts w:ascii="Times New Roman" w:hAnsi="Times New Roman" w:cs="Times New Roman" w:eastAsia="Times New Roman" w:hint="default"/>
          <w:spacing w:val="7"/>
        </w:rPr>
        <w:t> </w:t>
      </w:r>
      <w:r>
        <w:rPr/>
        <w:t>人，</w:t>
      </w:r>
    </w:p>
    <w:p>
      <w:pPr>
        <w:pStyle w:val="BodyText"/>
        <w:spacing w:line="240" w:lineRule="auto" w:before="109"/>
        <w:ind w:left="230" w:right="0"/>
        <w:jc w:val="both"/>
      </w:pPr>
      <w:r>
        <w:rPr/>
        <w:t>生产一线员工</w:t>
      </w:r>
      <w:r>
        <w:rPr>
          <w:spacing w:val="-57"/>
        </w:rPr>
        <w:t> </w:t>
      </w:r>
      <w:r>
        <w:rPr>
          <w:rFonts w:ascii="Times New Roman" w:hAnsi="Times New Roman" w:cs="Times New Roman" w:eastAsia="Times New Roman" w:hint="default"/>
        </w:rPr>
        <w:t>1,148</w:t>
      </w:r>
      <w:r>
        <w:rPr>
          <w:rFonts w:ascii="Times New Roman" w:hAnsi="Times New Roman" w:cs="Times New Roman" w:eastAsia="Times New Roman" w:hint="default"/>
          <w:spacing w:val="-4"/>
        </w:rPr>
        <w:t> </w:t>
      </w:r>
      <w:r>
        <w:rPr/>
        <w:t>人；其中硕士以上学历</w:t>
      </w:r>
      <w:r>
        <w:rPr>
          <w:spacing w:val="-57"/>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人，大学本科学历</w:t>
      </w:r>
      <w:r>
        <w:rPr>
          <w:spacing w:val="-57"/>
        </w:rPr>
        <w:t> </w:t>
      </w:r>
      <w:r>
        <w:rPr>
          <w:rFonts w:ascii="Times New Roman" w:hAnsi="Times New Roman" w:cs="Times New Roman" w:eastAsia="Times New Roman" w:hint="default"/>
        </w:rPr>
        <w:t>104</w:t>
      </w:r>
      <w:r>
        <w:rPr>
          <w:rFonts w:ascii="Times New Roman" w:hAnsi="Times New Roman" w:cs="Times New Roman" w:eastAsia="Times New Roman" w:hint="default"/>
          <w:spacing w:val="-4"/>
        </w:rPr>
        <w:t> </w:t>
      </w:r>
      <w:r>
        <w:rPr>
          <w:spacing w:val="-3"/>
        </w:rPr>
        <w:t>人，大专学历</w:t>
      </w:r>
      <w:r>
        <w:rPr>
          <w:spacing w:val="-57"/>
        </w:rPr>
        <w:t> </w:t>
      </w:r>
      <w:r>
        <w:rPr>
          <w:rFonts w:ascii="Times New Roman" w:hAnsi="Times New Roman" w:cs="Times New Roman" w:eastAsia="Times New Roman" w:hint="default"/>
        </w:rPr>
        <w:t>229</w:t>
      </w:r>
      <w:r>
        <w:rPr>
          <w:rFonts w:ascii="Times New Roman" w:hAnsi="Times New Roman" w:cs="Times New Roman" w:eastAsia="Times New Roman" w:hint="default"/>
          <w:spacing w:val="-4"/>
        </w:rPr>
        <w:t> </w:t>
      </w:r>
      <w:r>
        <w:rPr>
          <w:spacing w:val="-5"/>
        </w:rPr>
        <w:t>人，中</w:t>
      </w:r>
    </w:p>
    <w:p>
      <w:pPr>
        <w:pStyle w:val="BodyText"/>
        <w:spacing w:line="240" w:lineRule="auto" w:before="109"/>
        <w:ind w:left="230" w:right="0"/>
        <w:jc w:val="both"/>
      </w:pPr>
      <w:r>
        <w:rPr/>
        <w:t>专学历</w:t>
      </w:r>
      <w:r>
        <w:rPr>
          <w:spacing w:val="-54"/>
        </w:rPr>
        <w:t> </w:t>
      </w:r>
      <w:r>
        <w:rPr>
          <w:rFonts w:ascii="Times New Roman" w:hAnsi="Times New Roman" w:cs="Times New Roman" w:eastAsia="Times New Roman" w:hint="default"/>
        </w:rPr>
        <w:t>297</w:t>
      </w:r>
      <w:r>
        <w:rPr>
          <w:rFonts w:ascii="Times New Roman" w:hAnsi="Times New Roman" w:cs="Times New Roman" w:eastAsia="Times New Roman" w:hint="default"/>
          <w:spacing w:val="-2"/>
        </w:rPr>
        <w:t> </w:t>
      </w:r>
      <w:r>
        <w:rPr/>
        <w:t>人，高中以下学历</w:t>
      </w:r>
      <w:r>
        <w:rPr>
          <w:spacing w:val="-54"/>
        </w:rPr>
        <w:t> </w:t>
      </w:r>
      <w:r>
        <w:rPr>
          <w:rFonts w:ascii="Times New Roman" w:hAnsi="Times New Roman" w:cs="Times New Roman" w:eastAsia="Times New Roman" w:hint="default"/>
        </w:rPr>
        <w:t>1,227</w:t>
      </w:r>
      <w:r>
        <w:rPr>
          <w:rFonts w:ascii="Times New Roman" w:hAnsi="Times New Roman" w:cs="Times New Roman" w:eastAsia="Times New Roman" w:hint="default"/>
          <w:spacing w:val="-2"/>
        </w:rPr>
        <w:t> </w:t>
      </w:r>
      <w:r>
        <w:rPr/>
        <w:t>人。离退休员工</w:t>
      </w:r>
      <w:r>
        <w:rPr>
          <w:spacing w:val="-54"/>
        </w:rPr>
        <w:t> </w:t>
      </w:r>
      <w:r>
        <w:rPr>
          <w:rFonts w:ascii="Times New Roman" w:hAnsi="Times New Roman" w:cs="Times New Roman" w:eastAsia="Times New Roman" w:hint="default"/>
        </w:rPr>
        <w:t>412</w:t>
      </w:r>
      <w:r>
        <w:rPr>
          <w:rFonts w:ascii="Times New Roman" w:hAnsi="Times New Roman" w:cs="Times New Roman" w:eastAsia="Times New Roman" w:hint="default"/>
          <w:spacing w:val="-1"/>
        </w:rPr>
        <w:t> </w:t>
      </w:r>
      <w:r>
        <w:rPr/>
        <w:t>人，费用由社保基金统筹解决。</w:t>
      </w:r>
    </w:p>
    <w:p>
      <w:pPr>
        <w:spacing w:line="240" w:lineRule="auto" w:before="8"/>
        <w:rPr>
          <w:rFonts w:ascii="宋体" w:hAnsi="宋体" w:cs="宋体" w:eastAsia="宋体" w:hint="default"/>
          <w:sz w:val="25"/>
          <w:szCs w:val="25"/>
        </w:rPr>
      </w:pPr>
    </w:p>
    <w:p>
      <w:pPr>
        <w:pStyle w:val="Heading2"/>
        <w:tabs>
          <w:tab w:pos="1119" w:val="left" w:leader="none"/>
        </w:tabs>
        <w:spacing w:line="240" w:lineRule="auto"/>
        <w:ind w:right="20"/>
        <w:jc w:val="center"/>
      </w:pPr>
      <w:r>
        <w:rPr>
          <w:w w:val="95"/>
        </w:rPr>
        <w:t>第六节</w:t>
        <w:tab/>
      </w:r>
      <w:r>
        <w:rPr/>
        <w:t>公司治理结构</w:t>
      </w:r>
    </w:p>
    <w:p>
      <w:pPr>
        <w:spacing w:line="240" w:lineRule="auto" w:before="3"/>
        <w:rPr>
          <w:rFonts w:ascii="黑体" w:hAnsi="黑体" w:cs="黑体" w:eastAsia="黑体" w:hint="default"/>
          <w:sz w:val="28"/>
          <w:szCs w:val="28"/>
        </w:rPr>
      </w:pPr>
    </w:p>
    <w:p>
      <w:pPr>
        <w:pStyle w:val="Heading3"/>
        <w:spacing w:line="240" w:lineRule="auto"/>
        <w:ind w:left="230" w:right="0"/>
        <w:jc w:val="both"/>
      </w:pPr>
      <w:r>
        <w:rPr/>
        <w:t>一、公司治理情况</w:t>
      </w:r>
    </w:p>
    <w:p>
      <w:pPr>
        <w:spacing w:line="240" w:lineRule="auto" w:before="9"/>
        <w:rPr>
          <w:rFonts w:ascii="黑体" w:hAnsi="黑体" w:cs="黑体" w:eastAsia="黑体" w:hint="default"/>
          <w:sz w:val="28"/>
          <w:szCs w:val="28"/>
        </w:rPr>
      </w:pPr>
    </w:p>
    <w:p>
      <w:pPr>
        <w:pStyle w:val="BodyText"/>
        <w:spacing w:line="336" w:lineRule="auto"/>
        <w:ind w:left="230" w:right="251" w:firstLine="403"/>
        <w:jc w:val="both"/>
      </w:pPr>
      <w:r>
        <w:rPr/>
        <w:t>报告期内，公司按照《公司法》、《证券法》、《股票上市规则》等法律法规及深圳证监 局《关于做好</w:t>
      </w:r>
      <w:r>
        <w:rPr>
          <w:rFonts w:ascii="Times New Roman" w:hAnsi="Times New Roman" w:cs="Times New Roman" w:eastAsia="Times New Roman" w:hint="default"/>
        </w:rPr>
        <w:t>2009</w:t>
      </w:r>
      <w:r>
        <w:rPr/>
        <w:t>年上市公司治理相关工作的通知》（深证局公司字〔</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65</w:t>
      </w:r>
      <w:r>
        <w:rPr/>
        <w:t>号）要求，认 真落实了中国证监会及深圳证监局关于</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spacing w:val="-4"/>
        </w:rPr>
        <w:t>年</w:t>
      </w:r>
      <w:r>
        <w:rPr>
          <w:rFonts w:ascii="Times New Roman" w:hAnsi="Times New Roman" w:cs="Times New Roman" w:eastAsia="Times New Roman" w:hint="default"/>
          <w:spacing w:val="-4"/>
        </w:rPr>
        <w:t>“</w:t>
      </w:r>
      <w:r>
        <w:rPr>
          <w:spacing w:val="-4"/>
        </w:rPr>
        <w:t>上市公司治理整改年</w:t>
      </w:r>
      <w:r>
        <w:rPr>
          <w:rFonts w:ascii="Times New Roman" w:hAnsi="Times New Roman" w:cs="Times New Roman" w:eastAsia="Times New Roman" w:hint="default"/>
          <w:spacing w:val="-4"/>
        </w:rPr>
        <w:t>”</w:t>
      </w:r>
      <w:r>
        <w:rPr>
          <w:spacing w:val="-4"/>
        </w:rPr>
        <w:t>的各项工作，全力推进公</w:t>
      </w:r>
      <w:r>
        <w:rPr/>
        <w:t> 司治理规范完善。具体情况如下：</w:t>
      </w:r>
    </w:p>
    <w:p>
      <w:pPr>
        <w:pStyle w:val="BodyText"/>
        <w:spacing w:line="240" w:lineRule="auto" w:before="41"/>
        <w:ind w:left="633" w:right="142"/>
        <w:jc w:val="left"/>
      </w:pPr>
      <w:r>
        <w:rPr>
          <w:rFonts w:ascii="Times New Roman" w:hAnsi="Times New Roman" w:cs="Times New Roman" w:eastAsia="Times New Roman" w:hint="default"/>
        </w:rPr>
        <w:t>1</w:t>
      </w:r>
      <w:r>
        <w:rPr/>
        <w:t>、</w:t>
      </w:r>
      <w:r>
        <w:rPr>
          <w:spacing w:val="-61"/>
        </w:rPr>
        <w:t> </w:t>
      </w:r>
      <w:r>
        <w:rPr/>
        <w:t>加强公司治理制度建设与完善</w:t>
      </w:r>
    </w:p>
    <w:p>
      <w:pPr>
        <w:pStyle w:val="BodyText"/>
        <w:spacing w:line="240" w:lineRule="auto" w:before="109"/>
        <w:ind w:left="633" w:right="142"/>
        <w:jc w:val="left"/>
      </w:pPr>
      <w:r>
        <w:rPr/>
        <w:t>（</w:t>
      </w:r>
      <w:r>
        <w:rPr>
          <w:rFonts w:ascii="Times New Roman" w:hAnsi="Times New Roman" w:cs="Times New Roman" w:eastAsia="Times New Roman" w:hint="default"/>
        </w:rPr>
        <w:t>1</w:t>
      </w:r>
      <w:r>
        <w:rPr/>
        <w:t>）对《公司章程》进行了修订，明确了公司现金分红政策。</w:t>
      </w:r>
    </w:p>
    <w:p>
      <w:pPr>
        <w:spacing w:after="0" w:line="240" w:lineRule="auto"/>
        <w:jc w:val="left"/>
        <w:sectPr>
          <w:pgSz w:w="11900" w:h="16840"/>
          <w:pgMar w:header="0" w:footer="939" w:top="1360" w:bottom="1160" w:left="1640" w:right="1160"/>
        </w:sectPr>
      </w:pPr>
    </w:p>
    <w:p>
      <w:pPr>
        <w:pStyle w:val="BodyText"/>
        <w:spacing w:line="328" w:lineRule="auto" w:before="15"/>
        <w:ind w:right="235" w:firstLine="403"/>
        <w:jc w:val="both"/>
      </w:pPr>
      <w:r>
        <w:rPr>
          <w:spacing w:val="-3"/>
        </w:rPr>
        <w:t>（</w:t>
      </w:r>
      <w:r>
        <w:rPr>
          <w:rFonts w:ascii="Times New Roman" w:hAnsi="Times New Roman" w:cs="Times New Roman" w:eastAsia="Times New Roman" w:hint="default"/>
          <w:spacing w:val="-3"/>
        </w:rPr>
        <w:t>2</w:t>
      </w:r>
      <w:r>
        <w:rPr>
          <w:spacing w:val="-3"/>
        </w:rPr>
        <w:t>）制定《会计师事务所选聘制度》，明确了选聘或解聘审计机构的工作制度、流程和职</w:t>
      </w:r>
      <w:r>
        <w:rPr/>
        <w:t> 责，充分发挥了审计委员会在选聘或解聘审计机构过程中的专业作用，保证了治理规范性。</w:t>
      </w:r>
    </w:p>
    <w:p>
      <w:pPr>
        <w:pStyle w:val="BodyText"/>
        <w:spacing w:line="338" w:lineRule="auto" w:before="48"/>
        <w:ind w:right="112" w:firstLine="403"/>
        <w:jc w:val="left"/>
      </w:pPr>
      <w:r>
        <w:rPr/>
        <w:t>（</w:t>
      </w:r>
      <w:r>
        <w:rPr>
          <w:rFonts w:ascii="Times New Roman" w:hAnsi="Times New Roman" w:cs="Times New Roman" w:eastAsia="Times New Roman" w:hint="default"/>
        </w:rPr>
        <w:t>3</w:t>
      </w:r>
      <w:r>
        <w:rPr/>
        <w:t>）建立公司《内幕信息知情人登记制度》，明确了内幕信息知情人及其关系人的范围； 对向特定对象报告内幕信息的管理规则及程序；内幕信息知情人的保密责任与保密措施；建立 了内幕信息知情人违反制度擅自泄露内幕信息的责任追究机制。</w:t>
      </w:r>
    </w:p>
    <w:p>
      <w:pPr>
        <w:pStyle w:val="BodyText"/>
        <w:spacing w:line="328" w:lineRule="auto" w:before="40"/>
        <w:ind w:left="594" w:right="216" w:hanging="1"/>
        <w:jc w:val="left"/>
      </w:pPr>
      <w:r>
        <w:rPr/>
        <w:t>（</w:t>
      </w:r>
      <w:r>
        <w:rPr>
          <w:rFonts w:ascii="Times New Roman" w:hAnsi="Times New Roman" w:cs="Times New Roman" w:eastAsia="Times New Roman" w:hint="default"/>
        </w:rPr>
        <w:t>4</w:t>
      </w:r>
      <w:r>
        <w:rPr/>
        <w:t>）建立公司《年报信息披露重大差错责任追究制度》 根据中国证监会和深圳证监局的监管要求，公司制定了《年报信息披露重大差错责任追究</w:t>
      </w:r>
    </w:p>
    <w:p>
      <w:pPr>
        <w:pStyle w:val="BodyText"/>
        <w:spacing w:line="350" w:lineRule="auto" w:before="47"/>
        <w:ind w:right="200"/>
        <w:jc w:val="left"/>
      </w:pPr>
      <w:r>
        <w:rPr/>
        <w:t>制度》，明确了出现年报信息披露重大差错的情形、认定标准、处理程序和责任追究机制，落 实年表信息披露的责任人，加大问责力度，提高公司年报信息编制与披露质量和透明度。</w:t>
      </w:r>
    </w:p>
    <w:p>
      <w:pPr>
        <w:pStyle w:val="BodyText"/>
        <w:spacing w:line="240" w:lineRule="auto" w:before="28"/>
        <w:ind w:left="594" w:right="0"/>
        <w:jc w:val="left"/>
      </w:pPr>
      <w:r>
        <w:rPr>
          <w:rFonts w:ascii="Times New Roman" w:hAnsi="Times New Roman" w:cs="Times New Roman" w:eastAsia="Times New Roman" w:hint="default"/>
        </w:rPr>
        <w:t>2</w:t>
      </w:r>
      <w:r>
        <w:rPr/>
        <w:t>、继续深入推进公司治理专项工作</w:t>
      </w:r>
    </w:p>
    <w:p>
      <w:pPr>
        <w:pStyle w:val="BodyText"/>
        <w:spacing w:line="331" w:lineRule="auto" w:before="109"/>
        <w:ind w:right="209" w:firstLine="403"/>
        <w:jc w:val="both"/>
      </w:pPr>
      <w:r>
        <w:rPr>
          <w:spacing w:val="-3"/>
        </w:rPr>
        <w:t>（</w:t>
      </w:r>
      <w:r>
        <w:rPr>
          <w:rFonts w:ascii="Times New Roman" w:hAnsi="Times New Roman" w:cs="Times New Roman" w:eastAsia="Times New Roman" w:hint="default"/>
          <w:spacing w:val="-3"/>
        </w:rPr>
        <w:t>1</w:t>
      </w:r>
      <w:r>
        <w:rPr>
          <w:spacing w:val="-3"/>
        </w:rPr>
        <w:t>）公司按照《关于做好深入推进公司治理专项活动相关工作的通知》要求，及时清查与</w:t>
      </w:r>
      <w:r>
        <w:rPr/>
        <w:t> 关联方的资金往来情况，按月向深圳证监局报送</w:t>
      </w:r>
      <w:r>
        <w:rPr>
          <w:rFonts w:ascii="Times New Roman" w:hAnsi="Times New Roman" w:cs="Times New Roman" w:eastAsia="Times New Roman" w:hint="default"/>
        </w:rPr>
        <w:t>“</w:t>
      </w:r>
      <w:r>
        <w:rPr/>
        <w:t>上市公司关联方资金往来情况统计表</w:t>
      </w:r>
      <w:r>
        <w:rPr>
          <w:rFonts w:ascii="Times New Roman" w:hAnsi="Times New Roman" w:cs="Times New Roman" w:eastAsia="Times New Roman" w:hint="default"/>
        </w:rPr>
        <w:t>”</w:t>
      </w:r>
      <w:r>
        <w:rPr/>
        <w:t>。</w:t>
      </w:r>
    </w:p>
    <w:p>
      <w:pPr>
        <w:pStyle w:val="BodyText"/>
        <w:spacing w:line="340" w:lineRule="auto" w:before="20"/>
        <w:ind w:right="211" w:firstLine="403"/>
        <w:jc w:val="both"/>
      </w:pPr>
      <w:r>
        <w:rPr>
          <w:spacing w:val="-3"/>
        </w:rPr>
        <w:t>（</w:t>
      </w:r>
      <w:r>
        <w:rPr>
          <w:rFonts w:ascii="Times New Roman" w:hAnsi="Times New Roman" w:cs="Times New Roman" w:eastAsia="Times New Roman" w:hint="default"/>
          <w:spacing w:val="-3"/>
        </w:rPr>
        <w:t>2</w:t>
      </w:r>
      <w:r>
        <w:rPr>
          <w:spacing w:val="-3"/>
        </w:rPr>
        <w:t>）在内部控制管理方面公司重点加强了以下几个方面工作：加强合同管理，规范合同审</w:t>
      </w:r>
      <w:r>
        <w:rPr/>
        <w:t> </w:t>
      </w:r>
      <w:r>
        <w:rPr>
          <w:spacing w:val="-5"/>
        </w:rPr>
        <w:t>批程序；修订完善《公司担保管理规定》，进一步明确了担保对象、担保范围、担保程序、反担</w:t>
      </w:r>
      <w:r>
        <w:rPr>
          <w:spacing w:val="-101"/>
        </w:rPr>
        <w:t> </w:t>
      </w:r>
      <w:r>
        <w:rPr>
          <w:spacing w:val="-101"/>
        </w:rPr>
      </w:r>
      <w:r>
        <w:rPr/>
        <w:t>保措施以及担保申请的审核程序等，加强对非全控股子公司提供担保的内部控制。</w:t>
      </w:r>
    </w:p>
    <w:p>
      <w:pPr>
        <w:pStyle w:val="BodyText"/>
        <w:spacing w:line="328" w:lineRule="auto" w:before="36"/>
        <w:ind w:left="594" w:right="216" w:hanging="1"/>
        <w:jc w:val="left"/>
      </w:pPr>
      <w:r>
        <w:rPr/>
        <w:t>（</w:t>
      </w:r>
      <w:r>
        <w:rPr>
          <w:rFonts w:ascii="Times New Roman" w:hAnsi="Times New Roman" w:cs="Times New Roman" w:eastAsia="Times New Roman" w:hint="default"/>
        </w:rPr>
        <w:t>3</w:t>
      </w:r>
      <w:r>
        <w:rPr/>
        <w:t>）原第五届董事局董事违规买卖股票事项落实整改 针对原第五届董事局董事违规买卖股票事项，公司于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日向第五届董事局董事、</w:t>
      </w:r>
    </w:p>
    <w:p>
      <w:pPr>
        <w:pStyle w:val="BodyText"/>
        <w:spacing w:line="343" w:lineRule="auto" w:before="24"/>
        <w:ind w:right="0"/>
        <w:jc w:val="left"/>
      </w:pPr>
      <w:r>
        <w:rPr/>
        <w:t>第五届监事会监事、其他高级管理人员及持股</w:t>
      </w:r>
      <w:r>
        <w:rPr>
          <w:rFonts w:ascii="Times New Roman" w:hAnsi="Times New Roman" w:cs="Times New Roman" w:eastAsia="Times New Roman" w:hint="default"/>
        </w:rPr>
        <w:t>5%</w:t>
      </w:r>
      <w:r>
        <w:rPr/>
        <w:t>以上股东转发了证监局《关于对深圳市特尔佳 </w:t>
      </w:r>
      <w:r>
        <w:rPr>
          <w:spacing w:val="-5"/>
        </w:rPr>
        <w:t>科技股份有限公司等公司相关人员违规买卖股票予以批评的决定》（深证局发〔</w:t>
      </w:r>
      <w:r>
        <w:rPr>
          <w:rFonts w:ascii="Times New Roman" w:hAnsi="Times New Roman" w:cs="Times New Roman" w:eastAsia="Times New Roman" w:hint="default"/>
          <w:spacing w:val="-5"/>
        </w:rPr>
        <w:t>2009</w:t>
      </w:r>
      <w:r>
        <w:rPr>
          <w:spacing w:val="-5"/>
        </w:rPr>
        <w:t>〕</w:t>
      </w:r>
      <w:r>
        <w:rPr>
          <w:rFonts w:ascii="Times New Roman" w:hAnsi="Times New Roman" w:cs="Times New Roman" w:eastAsia="Times New Roman" w:hint="default"/>
          <w:spacing w:val="-5"/>
        </w:rPr>
        <w:t>204</w:t>
      </w:r>
      <w:r>
        <w:rPr>
          <w:spacing w:val="-5"/>
        </w:rPr>
        <w:t>号），</w:t>
      </w:r>
      <w:r>
        <w:rPr>
          <w:spacing w:val="-92"/>
        </w:rPr>
        <w:t> </w:t>
      </w:r>
      <w:r>
        <w:rPr>
          <w:spacing w:val="-92"/>
        </w:rPr>
      </w:r>
      <w:r>
        <w:rPr>
          <w:spacing w:val="-10"/>
        </w:rPr>
        <w:t>加强对《证券法》、《公司法》、《上市公司董事、监事和高级管理人员所持本公司股份及其变动</w:t>
      </w:r>
      <w:r>
        <w:rPr>
          <w:spacing w:val="-99"/>
        </w:rPr>
        <w:t> </w:t>
      </w:r>
      <w:r>
        <w:rPr>
          <w:spacing w:val="-99"/>
        </w:rPr>
      </w:r>
      <w:r>
        <w:rPr>
          <w:spacing w:val="-6"/>
        </w:rPr>
        <w:t>管理规则》、《深圳证券交易所上市公司董事、监事和高级管理人员所持本公司股份及其变动管</w:t>
      </w:r>
      <w:r>
        <w:rPr>
          <w:spacing w:val="-64"/>
        </w:rPr>
        <w:t> </w:t>
      </w:r>
      <w:r>
        <w:rPr>
          <w:spacing w:val="-64"/>
        </w:rPr>
      </w:r>
      <w:r>
        <w:rPr/>
        <w:t>理业务指引》及《公司董事、监事、高级管理人员所持公司股份及其变动管理办法》等相关法 律、法规、指引的学习，强调严格执行；该董事买入的股票已按相关规定自动锁定。该董事于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w:t>
      </w:r>
      <w:r>
        <w:rPr/>
        <w:t>日就违规买入公司股票行为向投资者致歉。</w:t>
      </w:r>
    </w:p>
    <w:p>
      <w:pPr>
        <w:pStyle w:val="BodyText"/>
        <w:spacing w:line="350" w:lineRule="auto" w:before="9"/>
        <w:ind w:right="217" w:firstLine="403"/>
        <w:jc w:val="both"/>
      </w:pPr>
      <w:r>
        <w:rPr/>
        <w:t>随着公司专项治理活动的不断深入推进，公司及公司董事、监事、高级管理人员强化了规 范运作意识，公司治理水平得到了较大提升。公司将充分重视公司治理的长效性，强调内部控 制，不断改进和完善公司治理水平。</w:t>
      </w:r>
    </w:p>
    <w:p>
      <w:pPr>
        <w:pStyle w:val="BodyText"/>
        <w:spacing w:line="240" w:lineRule="auto" w:before="28"/>
        <w:ind w:left="610" w:right="0"/>
        <w:jc w:val="left"/>
      </w:pPr>
      <w:r>
        <w:rPr/>
        <w:t>报告期内，公司不存在违规向大股东提供未公开信息等公司治理非规范情况。</w:t>
      </w:r>
    </w:p>
    <w:p>
      <w:pPr>
        <w:spacing w:line="240" w:lineRule="auto" w:before="2"/>
        <w:rPr>
          <w:rFonts w:ascii="宋体" w:hAnsi="宋体" w:cs="宋体" w:eastAsia="宋体" w:hint="default"/>
          <w:sz w:val="24"/>
          <w:szCs w:val="24"/>
        </w:rPr>
      </w:pPr>
    </w:p>
    <w:p>
      <w:pPr>
        <w:pStyle w:val="Heading3"/>
        <w:spacing w:line="240" w:lineRule="auto"/>
        <w:ind w:right="0"/>
        <w:jc w:val="left"/>
      </w:pPr>
      <w:r>
        <w:rPr/>
        <w:t>二、公司独立董事履行职责情况</w:t>
      </w:r>
    </w:p>
    <w:p>
      <w:pPr>
        <w:spacing w:line="240" w:lineRule="auto" w:before="9"/>
        <w:rPr>
          <w:rFonts w:ascii="黑体" w:hAnsi="黑体" w:cs="黑体" w:eastAsia="黑体" w:hint="default"/>
          <w:sz w:val="28"/>
          <w:szCs w:val="28"/>
        </w:rPr>
      </w:pPr>
    </w:p>
    <w:p>
      <w:pPr>
        <w:pStyle w:val="BodyText"/>
        <w:spacing w:line="240" w:lineRule="auto"/>
        <w:ind w:left="610" w:right="0"/>
        <w:jc w:val="left"/>
      </w:pPr>
      <w:r>
        <w:rPr/>
        <w:t>报告期内</w:t>
      </w:r>
      <w:r>
        <w:rPr>
          <w:spacing w:val="-68"/>
        </w:rPr>
        <w:t>，</w:t>
      </w:r>
      <w:r>
        <w:rPr/>
        <w:t>公司独立董事根</w:t>
      </w:r>
      <w:r>
        <w:rPr>
          <w:spacing w:val="-68"/>
        </w:rPr>
        <w:t>据</w:t>
      </w:r>
      <w:r>
        <w:rPr/>
        <w:t>《公司法</w:t>
      </w:r>
      <w:r>
        <w:rPr>
          <w:spacing w:val="-105"/>
        </w:rPr>
        <w:t>》</w:t>
      </w:r>
      <w:r>
        <w:rPr>
          <w:spacing w:val="-172"/>
        </w:rPr>
        <w:t>、</w:t>
      </w:r>
      <w:r>
        <w:rPr/>
        <w:t>《关于在</w:t>
      </w:r>
      <w:r>
        <w:rPr>
          <w:spacing w:val="-2"/>
        </w:rPr>
        <w:t>上</w:t>
      </w:r>
      <w:r>
        <w:rPr/>
        <w:t>市公司建立独立董事制度的指导意见</w:t>
      </w:r>
      <w:r>
        <w:rPr>
          <w:spacing w:val="-105"/>
        </w:rPr>
        <w:t>》</w:t>
      </w:r>
      <w:r>
        <w:rPr/>
        <w:t>、</w:t>
      </w:r>
    </w:p>
    <w:p>
      <w:pPr>
        <w:pStyle w:val="BodyText"/>
        <w:spacing w:line="350" w:lineRule="auto" w:before="125"/>
        <w:ind w:right="208" w:hanging="1"/>
        <w:jc w:val="both"/>
      </w:pPr>
      <w:r>
        <w:rPr>
          <w:spacing w:val="-10"/>
        </w:rPr>
        <w:t>《公司章程》、《关于加强社会公众股股东权益保护的若干规定》、《公司独立董事制度》等相关</w:t>
      </w:r>
      <w:r>
        <w:rPr>
          <w:spacing w:val="-91"/>
        </w:rPr>
        <w:t> </w:t>
      </w:r>
      <w:r>
        <w:rPr>
          <w:spacing w:val="-91"/>
        </w:rPr>
      </w:r>
      <w:r>
        <w:rPr/>
        <w:t>法律法规和规章制度的规定和要求，忠实地履行了独立董事的职责，谨慎、认真、勤勉地行使</w:t>
      </w:r>
      <w:r>
        <w:rPr>
          <w:spacing w:val="-100"/>
        </w:rPr>
        <w:t> </w:t>
      </w:r>
      <w:r>
        <w:rPr>
          <w:spacing w:val="-100"/>
        </w:rPr>
      </w:r>
      <w:r>
        <w:rPr/>
        <w:t>公司所赋予独立董事的权利，积极出席了公司</w:t>
      </w:r>
      <w:r>
        <w:rPr>
          <w:spacing w:val="-6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4"/>
        </w:rPr>
        <w:t> </w:t>
      </w:r>
      <w:r>
        <w:rPr>
          <w:spacing w:val="-4"/>
        </w:rPr>
        <w:t>年度的相关会议，认真审议各项议案，对各</w:t>
      </w:r>
    </w:p>
    <w:p>
      <w:pPr>
        <w:spacing w:after="0" w:line="350" w:lineRule="auto"/>
        <w:jc w:val="both"/>
        <w:sectPr>
          <w:pgSz w:w="11900" w:h="16840"/>
          <w:pgMar w:header="0" w:footer="939" w:top="1500" w:bottom="1160" w:left="1680" w:right="1200"/>
        </w:sectPr>
      </w:pPr>
    </w:p>
    <w:p>
      <w:pPr>
        <w:pStyle w:val="BodyText"/>
        <w:spacing w:line="348" w:lineRule="auto" w:before="15"/>
        <w:ind w:left="390" w:right="380"/>
        <w:jc w:val="left"/>
      </w:pPr>
      <w:r>
        <w:rPr/>
        <w:t>项应由独立董事发表意见的事项均发表了独立意见，切实维护了公司和股东特别是社会公众股</w:t>
      </w:r>
      <w:r>
        <w:rPr>
          <w:spacing w:val="-99"/>
        </w:rPr>
        <w:t> </w:t>
      </w:r>
      <w:r>
        <w:rPr>
          <w:spacing w:val="-99"/>
        </w:rPr>
      </w:r>
      <w:r>
        <w:rPr/>
        <w:t>股东的利益，对完善公司治理，促进董事局发挥在公司治理中的核心作用起到了应有作用。</w:t>
      </w:r>
    </w:p>
    <w:p>
      <w:pPr>
        <w:pStyle w:val="BodyText"/>
        <w:spacing w:line="240" w:lineRule="auto" w:before="31"/>
        <w:ind w:left="810" w:right="380"/>
        <w:jc w:val="left"/>
      </w:pPr>
      <w:r>
        <w:rPr>
          <w:rFonts w:ascii="Times New Roman" w:hAnsi="Times New Roman" w:cs="Times New Roman" w:eastAsia="Times New Roman" w:hint="default"/>
        </w:rPr>
        <w:t>1</w:t>
      </w:r>
      <w:r>
        <w:rPr/>
        <w:t>、独立董事出席董事会情况</w:t>
      </w:r>
    </w:p>
    <w:p>
      <w:pPr>
        <w:spacing w:line="240" w:lineRule="auto" w:before="8"/>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535"/>
        <w:gridCol w:w="2340"/>
        <w:gridCol w:w="1562"/>
        <w:gridCol w:w="1662"/>
        <w:gridCol w:w="1135"/>
        <w:gridCol w:w="929"/>
      </w:tblGrid>
      <w:tr>
        <w:trPr>
          <w:trHeight w:val="395" w:hRule="exact"/>
        </w:trPr>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3"/>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4"/>
              <w:jc w:val="center"/>
              <w:rPr>
                <w:rFonts w:ascii="宋体" w:hAnsi="宋体" w:cs="宋体" w:eastAsia="宋体" w:hint="default"/>
                <w:sz w:val="21"/>
                <w:szCs w:val="21"/>
              </w:rPr>
            </w:pPr>
            <w:r>
              <w:rPr>
                <w:rFonts w:ascii="宋体" w:hAnsi="宋体" w:cs="宋体" w:eastAsia="宋体" w:hint="default"/>
                <w:sz w:val="21"/>
                <w:szCs w:val="21"/>
              </w:rPr>
              <w:t>本年应参加董事会次数</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亲自出席</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次</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委托出席</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次</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缺席</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次</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71" w:hRule="exact"/>
        </w:trPr>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周可添</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7</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6</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1"/>
                <w:szCs w:val="21"/>
              </w:rPr>
            </w:pPr>
            <w:r>
              <w:rPr>
                <w:rFonts w:ascii="Times New Roman"/>
                <w:sz w:val="21"/>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9" w:right="0"/>
              <w:jc w:val="left"/>
              <w:rPr>
                <w:rFonts w:ascii="宋体" w:hAnsi="宋体" w:cs="宋体" w:eastAsia="宋体" w:hint="default"/>
                <w:sz w:val="21"/>
                <w:szCs w:val="21"/>
              </w:rPr>
            </w:pPr>
            <w:r>
              <w:rPr>
                <w:rFonts w:ascii="宋体" w:hAnsi="宋体" w:cs="宋体" w:eastAsia="宋体" w:hint="default"/>
                <w:sz w:val="21"/>
                <w:szCs w:val="21"/>
              </w:rPr>
              <w:t>离任</w:t>
            </w:r>
          </w:p>
        </w:tc>
      </w:tr>
      <w:tr>
        <w:trPr>
          <w:trHeight w:val="370" w:hRule="exact"/>
        </w:trPr>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魏达志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Times New Roman" w:hAnsi="Times New Roman" w:cs="Times New Roman" w:eastAsia="Times New Roman" w:hint="default"/>
                <w:sz w:val="21"/>
                <w:szCs w:val="21"/>
              </w:rPr>
            </w:pPr>
            <w:r>
              <w:rPr>
                <w:rFonts w:ascii="Times New Roman"/>
                <w:sz w:val="21"/>
              </w:rPr>
              <w:t>7</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sz w:val="21"/>
              </w:rPr>
              <w:t>6</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21"/>
                <w:szCs w:val="21"/>
              </w:rPr>
            </w:pPr>
            <w:r>
              <w:rPr>
                <w:rFonts w:ascii="Times New Roman"/>
                <w:sz w:val="21"/>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sz w:val="21"/>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9" w:right="0"/>
              <w:jc w:val="left"/>
              <w:rPr>
                <w:rFonts w:ascii="宋体" w:hAnsi="宋体" w:cs="宋体" w:eastAsia="宋体" w:hint="default"/>
                <w:sz w:val="21"/>
                <w:szCs w:val="21"/>
              </w:rPr>
            </w:pPr>
            <w:r>
              <w:rPr>
                <w:rFonts w:ascii="宋体" w:hAnsi="宋体" w:cs="宋体" w:eastAsia="宋体" w:hint="default"/>
                <w:sz w:val="21"/>
                <w:szCs w:val="21"/>
              </w:rPr>
              <w:t>离任</w:t>
            </w:r>
          </w:p>
        </w:tc>
      </w:tr>
      <w:tr>
        <w:trPr>
          <w:trHeight w:val="370" w:hRule="exact"/>
        </w:trPr>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何祥增</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14</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14</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1"/>
                <w:szCs w:val="21"/>
              </w:rPr>
            </w:pPr>
            <w:r>
              <w:rPr>
                <w:rFonts w:ascii="Times New Roman"/>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9" w:right="0"/>
              <w:jc w:val="left"/>
              <w:rPr>
                <w:rFonts w:ascii="宋体" w:hAnsi="宋体" w:cs="宋体" w:eastAsia="宋体" w:hint="default"/>
                <w:sz w:val="21"/>
                <w:szCs w:val="21"/>
              </w:rPr>
            </w:pPr>
            <w:r>
              <w:rPr>
                <w:rFonts w:ascii="宋体" w:hAnsi="宋体" w:cs="宋体" w:eastAsia="宋体" w:hint="default"/>
                <w:sz w:val="21"/>
                <w:szCs w:val="21"/>
              </w:rPr>
              <w:t>连任</w:t>
            </w:r>
          </w:p>
        </w:tc>
      </w:tr>
      <w:tr>
        <w:trPr>
          <w:trHeight w:val="295" w:hRule="exact"/>
        </w:trPr>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陈凤娇</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14</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14</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9" w:right="0"/>
              <w:jc w:val="left"/>
              <w:rPr>
                <w:rFonts w:ascii="宋体" w:hAnsi="宋体" w:cs="宋体" w:eastAsia="宋体" w:hint="default"/>
                <w:sz w:val="21"/>
                <w:szCs w:val="21"/>
              </w:rPr>
            </w:pPr>
            <w:r>
              <w:rPr>
                <w:rFonts w:ascii="宋体" w:hAnsi="宋体" w:cs="宋体" w:eastAsia="宋体" w:hint="default"/>
                <w:sz w:val="21"/>
                <w:szCs w:val="21"/>
              </w:rPr>
              <w:t>连任</w:t>
            </w:r>
          </w:p>
        </w:tc>
      </w:tr>
      <w:tr>
        <w:trPr>
          <w:trHeight w:val="295" w:hRule="exact"/>
        </w:trPr>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陈伟强</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7</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7</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9" w:right="0"/>
              <w:jc w:val="left"/>
              <w:rPr>
                <w:rFonts w:ascii="宋体" w:hAnsi="宋体" w:cs="宋体" w:eastAsia="宋体" w:hint="default"/>
                <w:sz w:val="21"/>
                <w:szCs w:val="21"/>
              </w:rPr>
            </w:pPr>
            <w:r>
              <w:rPr>
                <w:rFonts w:ascii="宋体" w:hAnsi="宋体" w:cs="宋体" w:eastAsia="宋体" w:hint="default"/>
                <w:sz w:val="21"/>
                <w:szCs w:val="21"/>
              </w:rPr>
              <w:t>新任</w:t>
            </w:r>
          </w:p>
        </w:tc>
      </w:tr>
      <w:tr>
        <w:trPr>
          <w:trHeight w:val="295" w:hRule="exact"/>
        </w:trPr>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徐志新</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7</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7</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9" w:right="0"/>
              <w:jc w:val="left"/>
              <w:rPr>
                <w:rFonts w:ascii="宋体" w:hAnsi="宋体" w:cs="宋体" w:eastAsia="宋体" w:hint="default"/>
                <w:sz w:val="21"/>
                <w:szCs w:val="21"/>
              </w:rPr>
            </w:pPr>
            <w:r>
              <w:rPr>
                <w:rFonts w:ascii="宋体" w:hAnsi="宋体" w:cs="宋体" w:eastAsia="宋体" w:hint="default"/>
                <w:sz w:val="21"/>
                <w:szCs w:val="21"/>
              </w:rPr>
              <w:t>新任</w:t>
            </w:r>
          </w:p>
        </w:tc>
      </w:tr>
    </w:tbl>
    <w:p>
      <w:pPr>
        <w:pStyle w:val="BodyText"/>
        <w:spacing w:line="240" w:lineRule="auto" w:before="75"/>
        <w:ind w:left="810" w:right="380"/>
        <w:jc w:val="left"/>
      </w:pPr>
      <w:r>
        <w:rPr>
          <w:rFonts w:ascii="Times New Roman" w:hAnsi="Times New Roman" w:cs="Times New Roman" w:eastAsia="Times New Roman" w:hint="default"/>
        </w:rPr>
        <w:t>2</w:t>
      </w:r>
      <w:r>
        <w:rPr/>
        <w:t>、独立董事对公司事项提出异议的情况</w:t>
      </w:r>
    </w:p>
    <w:p>
      <w:pPr>
        <w:pStyle w:val="BodyText"/>
        <w:spacing w:line="336" w:lineRule="auto" w:before="109"/>
        <w:ind w:left="390" w:right="391" w:firstLine="419"/>
        <w:jc w:val="both"/>
      </w:pPr>
      <w:r>
        <w:rPr>
          <w:spacing w:val="-8"/>
        </w:rPr>
        <w:t>（</w:t>
      </w:r>
      <w:r>
        <w:rPr>
          <w:rFonts w:ascii="Times New Roman" w:hAnsi="Times New Roman" w:cs="Times New Roman" w:eastAsia="Times New Roman" w:hint="default"/>
          <w:spacing w:val="-8"/>
        </w:rPr>
        <w:t>1</w:t>
      </w:r>
      <w:r>
        <w:rPr>
          <w:spacing w:val="-8"/>
        </w:rPr>
        <w:t>）报告期内，第五届董事局独立董事魏达志就第五届董事局第二十二次临时会议审议《关</w:t>
      </w:r>
      <w:r>
        <w:rPr/>
        <w:t> </w:t>
      </w:r>
      <w:r>
        <w:rPr>
          <w:spacing w:val="-3"/>
        </w:rPr>
        <w:t>于公司为控股子公司西安深鸿基房地产开发有限公司贷款人民币</w:t>
      </w:r>
      <w:r>
        <w:rPr>
          <w:rFonts w:ascii="Times New Roman" w:hAnsi="Times New Roman" w:cs="Times New Roman" w:eastAsia="Times New Roman" w:hint="default"/>
          <w:spacing w:val="-3"/>
        </w:rPr>
        <w:t>9,000</w:t>
      </w:r>
      <w:r>
        <w:rPr>
          <w:spacing w:val="-3"/>
        </w:rPr>
        <w:t>万元提供担保的议案》、</w:t>
      </w:r>
      <w:r>
        <w:rPr>
          <w:spacing w:val="-80"/>
        </w:rPr>
        <w:t> </w:t>
      </w:r>
      <w:r>
        <w:rPr>
          <w:spacing w:val="-80"/>
        </w:rPr>
      </w:r>
      <w:r>
        <w:rPr>
          <w:spacing w:val="-6"/>
        </w:rPr>
        <w:t>第五届董事局第十二次会议审议《关于对东南网络股权转让及增资等事项的整改报告》、《关于</w:t>
      </w:r>
      <w:r>
        <w:rPr>
          <w:spacing w:val="-65"/>
        </w:rPr>
        <w:t> </w:t>
      </w:r>
      <w:r>
        <w:rPr>
          <w:spacing w:val="-65"/>
        </w:rPr>
      </w:r>
      <w:r>
        <w:rPr/>
        <w:t>重庆国投因转让东南网络</w:t>
      </w:r>
      <w:r>
        <w:rPr>
          <w:rFonts w:ascii="Times New Roman" w:hAnsi="Times New Roman" w:cs="Times New Roman" w:eastAsia="Times New Roman" w:hint="default"/>
        </w:rPr>
        <w:t>42%</w:t>
      </w:r>
      <w:r>
        <w:rPr/>
        <w:t>股权对公司</w:t>
      </w:r>
      <w:r>
        <w:rPr>
          <w:rFonts w:ascii="Times New Roman" w:hAnsi="Times New Roman" w:cs="Times New Roman" w:eastAsia="Times New Roman" w:hint="default"/>
        </w:rPr>
        <w:t>5,900</w:t>
      </w:r>
      <w:r>
        <w:rPr/>
        <w:t>万元债务转回中关村网络的议案》弃权。</w:t>
      </w:r>
    </w:p>
    <w:p>
      <w:pPr>
        <w:pStyle w:val="BodyText"/>
        <w:spacing w:line="328" w:lineRule="auto" w:before="17"/>
        <w:ind w:left="390" w:right="389" w:firstLine="420"/>
        <w:jc w:val="both"/>
      </w:pPr>
      <w:r>
        <w:rPr>
          <w:spacing w:val="-3"/>
        </w:rPr>
        <w:t>（</w:t>
      </w:r>
      <w:r>
        <w:rPr>
          <w:rFonts w:ascii="Times New Roman" w:hAnsi="Times New Roman" w:cs="Times New Roman" w:eastAsia="Times New Roman" w:hint="default"/>
          <w:spacing w:val="-3"/>
        </w:rPr>
        <w:t>2</w:t>
      </w:r>
      <w:r>
        <w:rPr>
          <w:spacing w:val="-3"/>
        </w:rPr>
        <w:t>）除上述外，报告期内，公司其他独立董事对公司董事局会议审议的议案及其它相关事</w:t>
      </w:r>
      <w:r>
        <w:rPr/>
        <w:t> 项均未提出异议。</w:t>
      </w:r>
    </w:p>
    <w:p>
      <w:pPr>
        <w:spacing w:line="240" w:lineRule="auto" w:before="3"/>
        <w:rPr>
          <w:rFonts w:ascii="宋体" w:hAnsi="宋体" w:cs="宋体" w:eastAsia="宋体" w:hint="default"/>
          <w:sz w:val="18"/>
          <w:szCs w:val="18"/>
        </w:rPr>
      </w:pPr>
    </w:p>
    <w:p>
      <w:pPr>
        <w:pStyle w:val="Heading3"/>
        <w:spacing w:line="240" w:lineRule="auto"/>
        <w:ind w:left="390" w:right="380"/>
        <w:jc w:val="left"/>
      </w:pPr>
      <w:r>
        <w:rPr/>
        <w:t>三、公司与第一大股东在业务、人员、资产、机构与财务等方面分开的情况</w:t>
      </w:r>
    </w:p>
    <w:p>
      <w:pPr>
        <w:spacing w:line="240" w:lineRule="auto" w:before="9"/>
        <w:rPr>
          <w:rFonts w:ascii="黑体" w:hAnsi="黑体" w:cs="黑体" w:eastAsia="黑体" w:hint="default"/>
          <w:sz w:val="28"/>
          <w:szCs w:val="28"/>
        </w:rPr>
      </w:pPr>
    </w:p>
    <w:p>
      <w:pPr>
        <w:pStyle w:val="BodyText"/>
        <w:spacing w:line="348" w:lineRule="auto"/>
        <w:ind w:left="390" w:right="388" w:firstLine="420"/>
        <w:jc w:val="both"/>
      </w:pPr>
      <w:r>
        <w:rPr/>
        <w:t>公司与第一大股东中国宝安集团控股有限公司在业务、人员、资产、机构与财务等方面均 实行分开，确保公司独立完整的业务及自主经营能力，其中：</w:t>
      </w:r>
    </w:p>
    <w:p>
      <w:pPr>
        <w:pStyle w:val="BodyText"/>
        <w:spacing w:line="240" w:lineRule="auto" w:before="30"/>
        <w:ind w:left="810" w:right="380"/>
        <w:jc w:val="left"/>
      </w:pPr>
      <w:r>
        <w:rPr>
          <w:rFonts w:ascii="Times New Roman" w:hAnsi="Times New Roman" w:cs="Times New Roman" w:eastAsia="Times New Roman" w:hint="default"/>
        </w:rPr>
        <w:t>1</w:t>
      </w:r>
      <w:r>
        <w:rPr/>
        <w:t>、资产独立：第一大股东未占用公司资金，公司亦未向第一大股东提供任何担保。</w:t>
      </w:r>
    </w:p>
    <w:p>
      <w:pPr>
        <w:pStyle w:val="BodyText"/>
        <w:spacing w:line="328" w:lineRule="auto" w:before="110"/>
        <w:ind w:left="390" w:right="389" w:firstLine="420"/>
        <w:jc w:val="both"/>
      </w:pPr>
      <w:r>
        <w:rPr>
          <w:rFonts w:ascii="Times New Roman" w:hAnsi="Times New Roman" w:cs="Times New Roman" w:eastAsia="Times New Roman" w:hint="default"/>
          <w:spacing w:val="-3"/>
        </w:rPr>
        <w:t>2</w:t>
      </w:r>
      <w:r>
        <w:rPr>
          <w:spacing w:val="-3"/>
        </w:rPr>
        <w:t>、人员分开</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21"/>
        </w:rPr>
        <w:t> </w:t>
      </w:r>
      <w:r>
        <w:rPr/>
        <w:t>公司高级管理人员未在第一大股东单位中担任除董事、监事之外的职务，同 时亦未在第一大股东单位领取薪酬。</w:t>
      </w:r>
    </w:p>
    <w:p>
      <w:pPr>
        <w:pStyle w:val="BodyText"/>
        <w:spacing w:line="240" w:lineRule="auto" w:before="47"/>
        <w:ind w:left="810" w:right="380"/>
        <w:jc w:val="left"/>
      </w:pPr>
      <w:r>
        <w:rPr>
          <w:rFonts w:ascii="Times New Roman" w:hAnsi="Times New Roman" w:cs="Times New Roman" w:eastAsia="Times New Roman" w:hint="default"/>
        </w:rPr>
        <w:t>3</w:t>
      </w:r>
      <w:r>
        <w:rPr/>
        <w:t>、业务独立：公司拥有自身独立完整的业务和自主经营权，不受第一大股东的制约。</w:t>
      </w:r>
    </w:p>
    <w:p>
      <w:pPr>
        <w:pStyle w:val="BodyText"/>
        <w:spacing w:line="328" w:lineRule="auto" w:before="110"/>
        <w:ind w:left="390" w:right="389" w:firstLine="420"/>
        <w:jc w:val="both"/>
      </w:pPr>
      <w:r>
        <w:rPr>
          <w:rFonts w:ascii="Times New Roman" w:hAnsi="Times New Roman" w:cs="Times New Roman" w:eastAsia="Times New Roman" w:hint="default"/>
          <w:spacing w:val="-3"/>
        </w:rPr>
        <w:t>4</w:t>
      </w:r>
      <w:r>
        <w:rPr>
          <w:spacing w:val="-3"/>
        </w:rPr>
        <w:t>、财务独立：公司按照有关法律法规的要求建立独立的会计核算体系和财务管理制度，与</w:t>
      </w:r>
      <w:r>
        <w:rPr/>
        <w:t> 第一大股东严格分开、独立核算。</w:t>
      </w:r>
    </w:p>
    <w:p>
      <w:pPr>
        <w:pStyle w:val="BodyText"/>
        <w:spacing w:line="340" w:lineRule="auto" w:before="47"/>
        <w:ind w:left="390" w:right="388" w:firstLine="420"/>
        <w:jc w:val="both"/>
      </w:pPr>
      <w:r>
        <w:rPr>
          <w:rFonts w:ascii="Times New Roman" w:hAnsi="Times New Roman" w:cs="Times New Roman" w:eastAsia="Times New Roman" w:hint="default"/>
          <w:spacing w:val="-3"/>
        </w:rPr>
        <w:t>5</w:t>
      </w:r>
      <w:r>
        <w:rPr>
          <w:spacing w:val="-3"/>
        </w:rPr>
        <w:t>、机构分开：公司董事局、监事会及职能机构的设置与运作完全独立于第一大股东。第一</w:t>
      </w:r>
      <w:r>
        <w:rPr/>
        <w:t> 大股东除通过股东大会和有关法定程序向公司推荐董事候选人及行使其股东权利外，不干预公</w:t>
      </w:r>
      <w:r>
        <w:rPr>
          <w:spacing w:val="-99"/>
        </w:rPr>
        <w:t> </w:t>
      </w:r>
      <w:r>
        <w:rPr>
          <w:spacing w:val="-99"/>
        </w:rPr>
      </w:r>
      <w:r>
        <w:rPr/>
        <w:t>司日常经营运作。</w:t>
      </w:r>
    </w:p>
    <w:p>
      <w:pPr>
        <w:spacing w:line="240" w:lineRule="auto" w:before="6"/>
        <w:rPr>
          <w:rFonts w:ascii="宋体" w:hAnsi="宋体" w:cs="宋体" w:eastAsia="宋体" w:hint="default"/>
          <w:sz w:val="17"/>
          <w:szCs w:val="17"/>
        </w:rPr>
      </w:pPr>
    </w:p>
    <w:p>
      <w:pPr>
        <w:pStyle w:val="Heading3"/>
        <w:spacing w:line="240" w:lineRule="auto"/>
        <w:ind w:left="390" w:right="380"/>
        <w:jc w:val="left"/>
      </w:pPr>
      <w:r>
        <w:rPr/>
        <w:t>四、公司内部控制自我评价</w:t>
      </w:r>
    </w:p>
    <w:p>
      <w:pPr>
        <w:spacing w:line="240" w:lineRule="auto" w:before="9"/>
        <w:rPr>
          <w:rFonts w:ascii="黑体" w:hAnsi="黑体" w:cs="黑体" w:eastAsia="黑体" w:hint="default"/>
          <w:sz w:val="28"/>
          <w:szCs w:val="28"/>
        </w:rPr>
      </w:pPr>
    </w:p>
    <w:p>
      <w:pPr>
        <w:pStyle w:val="BodyText"/>
        <w:spacing w:line="340" w:lineRule="auto"/>
        <w:ind w:left="390" w:right="397" w:firstLine="420"/>
        <w:jc w:val="both"/>
      </w:pPr>
      <w:r>
        <w:rPr>
          <w:rFonts w:ascii="Arial" w:hAnsi="Arial" w:cs="Arial" w:eastAsia="Arial" w:hint="default"/>
          <w:w w:val="95"/>
        </w:rPr>
        <w:t>2009</w:t>
      </w:r>
      <w:r>
        <w:rPr>
          <w:w w:val="95"/>
        </w:rPr>
        <w:t>年度，公司继续进一步健全和完善内部控制制度，确保公司生产经营管理等各项工作</w:t>
      </w:r>
      <w:r>
        <w:rPr/>
        <w:t> 都有章可循。各项制度得到了贯彻执行，保证了公司正常的生产经营，对公司规范的运作和健 康的发展起到了很好的支撑和促进作用。按照财政部、证监会等部门联合发布的《企业内部控</w:t>
      </w:r>
    </w:p>
    <w:p>
      <w:pPr>
        <w:spacing w:after="0" w:line="340" w:lineRule="auto"/>
        <w:jc w:val="both"/>
        <w:sectPr>
          <w:pgSz w:w="11900" w:h="16840"/>
          <w:pgMar w:header="0" w:footer="939" w:top="1500" w:bottom="1160" w:left="1480" w:right="1020"/>
        </w:sectPr>
      </w:pPr>
    </w:p>
    <w:p>
      <w:pPr>
        <w:pStyle w:val="BodyText"/>
        <w:spacing w:line="331" w:lineRule="auto" w:before="15"/>
        <w:ind w:left="770" w:right="1117"/>
        <w:jc w:val="both"/>
      </w:pPr>
      <w:r>
        <w:rPr>
          <w:w w:val="95"/>
        </w:rPr>
        <w:t>制基本规范》和深圳证券交易所《上市公司内部控制指引》的有关要求，公司对</w:t>
      </w:r>
      <w:r>
        <w:rPr>
          <w:rFonts w:ascii="Arial" w:hAnsi="Arial" w:cs="Arial" w:eastAsia="Arial" w:hint="default"/>
          <w:w w:val="95"/>
        </w:rPr>
        <w:t>2009</w:t>
      </w:r>
      <w:r>
        <w:rPr>
          <w:w w:val="95"/>
        </w:rPr>
        <w:t>年度公司</w:t>
      </w:r>
      <w:r>
        <w:rPr>
          <w:spacing w:val="84"/>
          <w:w w:val="95"/>
        </w:rPr>
        <w:t> </w:t>
      </w:r>
      <w:r>
        <w:rPr/>
        <w:t>的内部控制制度的建立和执行情况作出自我评价如下：</w:t>
      </w:r>
    </w:p>
    <w:p>
      <w:pPr>
        <w:pStyle w:val="BodyText"/>
        <w:spacing w:line="240" w:lineRule="auto" w:before="46"/>
        <w:ind w:left="1191" w:right="1100"/>
        <w:jc w:val="left"/>
      </w:pPr>
      <w:r>
        <w:rPr/>
        <w:t>一、公司内部控制综述</w:t>
      </w:r>
    </w:p>
    <w:p>
      <w:pPr>
        <w:pStyle w:val="BodyText"/>
        <w:spacing w:line="348" w:lineRule="auto" w:before="125"/>
        <w:ind w:left="1190" w:right="1100" w:hanging="209"/>
        <w:jc w:val="left"/>
      </w:pPr>
      <w:r>
        <w:rPr/>
        <w:t>（一）公司内部控制的组织架构</w:t>
      </w:r>
      <w:r>
        <w:rPr>
          <w:spacing w:val="-96"/>
        </w:rPr>
        <w:t> </w:t>
      </w:r>
      <w:r>
        <w:rPr>
          <w:spacing w:val="-96"/>
        </w:rPr>
      </w:r>
      <w:r>
        <w:rPr/>
        <w:t>公司已按照《公司法》、《上市公司章程指引》等相关法律法规的要求建立健全了法人治</w:t>
      </w:r>
    </w:p>
    <w:p>
      <w:pPr>
        <w:pStyle w:val="BodyText"/>
        <w:spacing w:line="348" w:lineRule="auto" w:before="31"/>
        <w:ind w:left="770" w:right="1108"/>
        <w:jc w:val="both"/>
      </w:pPr>
      <w:r>
        <w:rPr/>
        <w:t>理结构，设立了符合公司业务规模和经营管理需要的组织机构，根据不相容职务相分离的原则</w:t>
      </w:r>
      <w:r>
        <w:rPr>
          <w:spacing w:val="-99"/>
        </w:rPr>
        <w:t> </w:t>
      </w:r>
      <w:r>
        <w:rPr>
          <w:spacing w:val="-99"/>
        </w:rPr>
      </w:r>
      <w:r>
        <w:rPr/>
        <w:t>合理设置部门和岗位，科学划分职责和权限，形成各司其职、各负其责、相互配合、相互制约</w:t>
      </w:r>
      <w:r>
        <w:rPr>
          <w:spacing w:val="-99"/>
        </w:rPr>
        <w:t> </w:t>
      </w:r>
      <w:r>
        <w:rPr>
          <w:spacing w:val="-99"/>
        </w:rPr>
      </w:r>
      <w:r>
        <w:rPr/>
        <w:t>的内控组织架构体系。如下：</w:t>
      </w:r>
    </w:p>
    <w:p>
      <w:pPr>
        <w:spacing w:line="240" w:lineRule="auto" w:before="10"/>
        <w:rPr>
          <w:rFonts w:ascii="宋体" w:hAnsi="宋体" w:cs="宋体" w:eastAsia="宋体" w:hint="default"/>
          <w:sz w:val="19"/>
          <w:szCs w:val="19"/>
        </w:rPr>
      </w:pPr>
    </w:p>
    <w:p>
      <w:pPr>
        <w:pStyle w:val="Heading3"/>
        <w:spacing w:line="240" w:lineRule="auto" w:before="26"/>
        <w:ind w:left="3449" w:right="1100"/>
        <w:jc w:val="left"/>
        <w:rPr>
          <w:rFonts w:ascii="宋体" w:hAnsi="宋体" w:cs="宋体" w:eastAsia="宋体" w:hint="default"/>
        </w:rPr>
      </w:pPr>
      <w:r>
        <w:rPr/>
        <w:pict>
          <v:group style="position:absolute;margin-left:60.525002pt;margin-top:-1.139072pt;width:513.75pt;height:538.950pt;mso-position-horizontal-relative:page;mso-position-vertical-relative:paragraph;z-index:-810232" coordorigin="1211,-23" coordsize="10275,10779">
            <v:group style="position:absolute;left:6431;top:760;width:17;height:2" coordorigin="6431,760" coordsize="17,2">
              <v:shape style="position:absolute;left:6431;top:760;width:17;height:2" coordorigin="6431,760" coordsize="17,0" path="m6431,760l6447,760e" filled="false" stroked="true" strokeweight=".75pt" strokecolor="#000000">
                <v:path arrowok="t"/>
              </v:shape>
            </v:group>
            <v:group style="position:absolute;left:6439;top:1234;width:2;height:319" coordorigin="6439,1234" coordsize="2,319">
              <v:shape style="position:absolute;left:6439;top:1234;width:2;height:319" coordorigin="6439,1234" coordsize="0,319" path="m6439,1234l6439,1552e" filled="false" stroked="true" strokeweight=".75pt" strokecolor="#000000">
                <v:path arrowok="t"/>
              </v:shape>
            </v:group>
            <v:group style="position:absolute;left:5718;top:764;width:1442;height:471" coordorigin="5718,764" coordsize="1442,471">
              <v:shape style="position:absolute;left:5718;top:764;width:1442;height:471" coordorigin="5718,764" coordsize="1442,471" path="m5718,1234l7159,1234,7159,764,5718,764,5718,1234xe" filled="false" stroked="true" strokeweight=".75pt" strokecolor="#000000">
                <v:path arrowok="t"/>
              </v:shape>
            </v:group>
            <v:group style="position:absolute;left:6438;top:1700;width:9;height:626" coordorigin="6438,1700" coordsize="9,626">
              <v:shape style="position:absolute;left:6438;top:1700;width:9;height:626" coordorigin="6438,1700" coordsize="9,626" path="m6446,1700l6438,2325e" filled="false" stroked="true" strokeweight=".75pt" strokecolor="#000000">
                <v:path arrowok="t"/>
              </v:shape>
            </v:group>
            <v:group style="position:absolute;left:5718;top:1545;width:1442;height:468" coordorigin="5718,1545" coordsize="1442,468">
              <v:shape style="position:absolute;left:5718;top:1545;width:1442;height:468" coordorigin="5718,1545" coordsize="1442,468" path="m5718,1545l7159,1545,7159,2013,5718,2013,5718,1545xe" filled="true" fillcolor="#ffffff" stroked="false">
                <v:path arrowok="t"/>
                <v:fill type="solid"/>
              </v:shape>
            </v:group>
            <v:group style="position:absolute;left:5718;top:1545;width:1442;height:468" coordorigin="5718,1545" coordsize="1442,468">
              <v:shape style="position:absolute;left:5718;top:1545;width:1442;height:468" coordorigin="5718,1545" coordsize="1442,468" path="m5718,2013l7159,2013,7159,1545,5718,1545,5718,2013xe" filled="false" stroked="true" strokeweight=".75pt" strokecolor="#000000">
                <v:path arrowok="t"/>
              </v:shape>
            </v:group>
            <v:group style="position:absolute;left:6438;top:1389;width:2522;height:2" coordorigin="6438,1389" coordsize="2522,2">
              <v:shape style="position:absolute;left:6438;top:1389;width:2522;height:2" coordorigin="6438,1389" coordsize="2522,2" path="m6438,1389l8959,1390e" filled="false" stroked="true" strokeweight=".75pt" strokecolor="#000000">
                <v:path arrowok="t"/>
              </v:shape>
            </v:group>
            <v:group style="position:absolute;left:8957;top:1077;width:1439;height:467" coordorigin="8957,1077" coordsize="1439,467">
              <v:shape style="position:absolute;left:8957;top:1077;width:1439;height:467" coordorigin="8957,1077" coordsize="1439,467" path="m8957,1544l10396,1544,10396,1077,8957,1077,8957,1544xe" filled="false" stroked="true" strokeweight=".75pt" strokecolor="#000000">
                <v:path arrowok="t"/>
              </v:shape>
            </v:group>
            <v:group style="position:absolute;left:6438;top:2480;width:9;height:626" coordorigin="6438,2480" coordsize="9,626">
              <v:shape style="position:absolute;left:6438;top:2480;width:9;height:626" coordorigin="6438,2480" coordsize="9,626" path="m6446,2480l6438,3105e" filled="false" stroked="true" strokeweight=".75pt" strokecolor="#000000">
                <v:path arrowok="t"/>
              </v:shape>
            </v:group>
            <v:group style="position:absolute;left:5718;top:2325;width:1442;height:470" coordorigin="5718,2325" coordsize="1442,470">
              <v:shape style="position:absolute;left:5718;top:2325;width:1442;height:470" coordorigin="5718,2325" coordsize="1442,470" path="m5718,2325l7159,2325,7159,2794,5718,2794,5718,2325xe" filled="true" fillcolor="#ffffff" stroked="false">
                <v:path arrowok="t"/>
                <v:fill type="solid"/>
              </v:shape>
            </v:group>
            <v:group style="position:absolute;left:7151;top:1857;width:1629;height:2" coordorigin="7151,1857" coordsize="1629,2">
              <v:shape style="position:absolute;left:7151;top:1857;width:1629;height:2" coordorigin="7151,1857" coordsize="1629,0" path="m7151,1857l8779,1857e" filled="false" stroked="true" strokeweight=".75pt" strokecolor="#000000">
                <v:path arrowok="t"/>
              </v:shape>
            </v:group>
            <v:group style="position:absolute;left:8779;top:1701;width:1616;height:470" coordorigin="8779,1701" coordsize="1616,470">
              <v:shape style="position:absolute;left:8779;top:1701;width:1616;height:470" coordorigin="8779,1701" coordsize="1616,470" path="m8779,2170l10394,2170,10394,1701,8779,1701,8779,2170xe" filled="false" stroked="true" strokeweight=".75pt" strokecolor="#000000">
                <v:path arrowok="t"/>
              </v:shape>
            </v:group>
            <v:group style="position:absolute;left:5718;top:3105;width:1442;height:468" coordorigin="5718,3105" coordsize="1442,468">
              <v:shape style="position:absolute;left:5718;top:3105;width:1442;height:468" coordorigin="5718,3105" coordsize="1442,468" path="m5718,3573l7159,3573,7159,3105,5718,3105,5718,3573xe" filled="false" stroked="true" strokeweight=".75pt" strokecolor="#000000">
                <v:path arrowok="t"/>
              </v:shape>
            </v:group>
            <v:group style="position:absolute;left:7159;top:3254;width:2;height:15" coordorigin="7159,3254" coordsize="2,15">
              <v:shape style="position:absolute;left:7159;top:3254;width:2;height:15" coordorigin="7159,3254" coordsize="0,15" path="m7159,3254l7159,3269e" filled="false" stroked="true" strokeweight=".06pt" strokecolor="#000000">
                <v:path arrowok="t"/>
              </v:shape>
            </v:group>
            <v:group style="position:absolute;left:5358;top:1857;width:360;height:2" coordorigin="5358,1857" coordsize="360,2">
              <v:shape style="position:absolute;left:5358;top:1857;width:360;height:2" coordorigin="5358,1857" coordsize="360,2" path="m5718,1858l5358,1857e" filled="false" stroked="true" strokeweight=".75pt" strokecolor="#000000">
                <v:path arrowok="t"/>
              </v:shape>
            </v:group>
            <v:group style="position:absolute;left:2118;top:921;width:3069;height:468" coordorigin="2118,921" coordsize="3069,468">
              <v:shape style="position:absolute;left:2118;top:921;width:3069;height:468" coordorigin="2118,921" coordsize="3069,468" path="m2118,1389l5186,1389,5186,921,2118,921,2118,1389xe" filled="false" stroked="true" strokeweight=".75pt" strokecolor="#000000">
                <v:path arrowok="t"/>
              </v:shape>
            </v:group>
            <v:group style="position:absolute;left:5178;top:1234;width:189;height:933" coordorigin="5178,1234" coordsize="189,933">
              <v:shape style="position:absolute;left:5178;top:1234;width:189;height:933" coordorigin="5178,1234" coordsize="189,933" path="m5178,1234l5358,1234,5366,2166e" filled="false" stroked="true" strokeweight=".75pt" strokecolor="#000000">
                <v:path arrowok="t"/>
              </v:shape>
            </v:group>
            <v:group style="position:absolute;left:4998;top:2169;width:360;height:2" coordorigin="4998,2169" coordsize="360,2">
              <v:shape style="position:absolute;left:4998;top:2169;width:360;height:2" coordorigin="4998,2169" coordsize="360,2" path="m5358,2169l4998,2170e" filled="false" stroked="true" strokeweight=".75pt" strokecolor="#000000">
                <v:path arrowok="t"/>
              </v:shape>
            </v:group>
            <v:group style="position:absolute;left:2298;top:1857;width:2709;height:470" coordorigin="2298,1857" coordsize="2709,470">
              <v:shape style="position:absolute;left:2298;top:1857;width:2709;height:470" coordorigin="2298,1857" coordsize="2709,470" path="m2298,2326l5006,2326,5006,1857,2298,1857,2298,2326xe" filled="false" stroked="true" strokeweight=".75pt" strokecolor="#000000">
                <v:path arrowok="t"/>
              </v:shape>
            </v:group>
            <v:group style="position:absolute;left:10219;top:3254;width:2;height:15" coordorigin="10219,3254" coordsize="2,15">
              <v:shape style="position:absolute;left:10219;top:3254;width:2;height:15" coordorigin="10219,3254" coordsize="0,15" path="m10219,3254l10219,3269e" filled="false" stroked="true" strokeweight=".06pt" strokecolor="#000000">
                <v:path arrowok="t"/>
              </v:shape>
            </v:group>
            <v:group style="position:absolute;left:2658;top:2949;width:3;height:2" coordorigin="2658,2949" coordsize="3,2">
              <v:shape style="position:absolute;left:2658;top:2949;width:3;height:2" coordorigin="2658,2949" coordsize="3,2" path="m2660,2949l2658,2950e" filled="false" stroked="true" strokeweight=".75pt" strokecolor="#000000">
                <v:path arrowok="t"/>
              </v:shape>
            </v:group>
            <v:group style="position:absolute;left:1398;top:2169;width:900;height:2" coordorigin="1398,2169" coordsize="900,2">
              <v:shape style="position:absolute;left:1398;top:2169;width:900;height:2" coordorigin="1398,2169" coordsize="900,2" path="m1398,2169l2298,2170e" filled="false" stroked="true" strokeweight=".75pt" strokecolor="#000000">
                <v:path arrowok="t"/>
              </v:shape>
            </v:group>
            <v:group style="position:absolute;left:1398;top:2169;width:3;height:3746" coordorigin="1398,2169" coordsize="3,3746">
              <v:shape style="position:absolute;left:1398;top:2169;width:3;height:3746" coordorigin="1398,2169" coordsize="3,3746" path="m1398,2169l1400,5914e" filled="false" stroked="true" strokeweight=".75pt" strokecolor="#000000">
                <v:path arrowok="t"/>
              </v:shape>
            </v:group>
            <v:group style="position:absolute;left:3019;top:-15;width:6659;height:468" coordorigin="3019,-15" coordsize="6659,468">
              <v:shape style="position:absolute;left:3019;top:-15;width:6659;height:468" coordorigin="3019,-15" coordsize="6659,468" path="m3019,453l9678,453,9678,-15,3019,-15,3019,453xe" filled="false" stroked="true" strokeweight=".75pt" strokecolor="#000000">
                <v:path arrowok="t"/>
              </v:shape>
            </v:group>
            <v:group style="position:absolute;left:6438;top:453;width:2;height:311" coordorigin="6438,453" coordsize="2,311">
              <v:shape style="position:absolute;left:6438;top:453;width:2;height:311" coordorigin="6438,453" coordsize="0,311" path="m6438,453l6438,764e" filled="false" stroked="true" strokeweight=".75pt" strokecolor="#000000">
                <v:path arrowok="t"/>
              </v:shape>
            </v:group>
            <v:group style="position:absolute;left:1218;top:5913;width:540;height:1247" coordorigin="1218,5913" coordsize="540,1247">
              <v:shape style="position:absolute;left:1218;top:5913;width:540;height:1247" coordorigin="1218,5913" coordsize="540,1247" path="m1218,7160l1758,7160,1758,5913,1218,5913,1218,7160xe" filled="false" stroked="true" strokeweight=".75pt" strokecolor="#000000">
                <v:path arrowok="t"/>
              </v:shape>
            </v:group>
            <v:group style="position:absolute;left:6438;top:3885;width:2;height:2" coordorigin="6438,3885" coordsize="2,2">
              <v:shape style="position:absolute;left:6438;top:3885;width:2;height:2" coordorigin="6438,3885" coordsize="2,2" path="m6438,3886l6439,3885e" filled="false" stroked="true" strokeweight=".75pt" strokecolor="#000000">
                <v:path arrowok="t"/>
              </v:shape>
            </v:group>
            <v:group style="position:absolute;left:2478;top:3885;width:7200;height:2" coordorigin="2478,3885" coordsize="7200,2">
              <v:shape style="position:absolute;left:2478;top:3885;width:7200;height:2" coordorigin="2478,3885" coordsize="7200,2" path="m2478,3886l9678,3885e" filled="false" stroked="true" strokeweight=".75pt" strokecolor="#000000">
                <v:path arrowok="t"/>
              </v:shape>
            </v:group>
            <v:group style="position:absolute;left:4819;top:3877;width:2;height:164" coordorigin="4819,3877" coordsize="2,164">
              <v:shape style="position:absolute;left:4819;top:3877;width:2;height:164" coordorigin="4819,3877" coordsize="0,164" path="m4819,3877l4819,4041e" filled="false" stroked="true" strokeweight=".75pt" strokecolor="#000000">
                <v:path arrowok="t"/>
              </v:shape>
            </v:group>
            <v:group style="position:absolute;left:5898;top:3885;width:2;height:2" coordorigin="5898,3885" coordsize="2,2">
              <v:shape style="position:absolute;left:5898;top:3885;width:2;height:2" coordorigin="5898,3885" coordsize="2,2" path="m5898,3885l5899,3886e" filled="false" stroked="true" strokeweight=".75pt" strokecolor="#000000">
                <v:path arrowok="t"/>
              </v:shape>
            </v:group>
            <v:group style="position:absolute;left:6619;top:3877;width:2;height:164" coordorigin="6619,3877" coordsize="2,164">
              <v:shape style="position:absolute;left:6619;top:3877;width:2;height:164" coordorigin="6619,3877" coordsize="0,164" path="m6619,3877l6619,4041e" filled="false" stroked="true" strokeweight=".75pt" strokecolor="#000000">
                <v:path arrowok="t"/>
              </v:shape>
            </v:group>
            <v:group style="position:absolute;left:7518;top:3885;width:3;height:2" coordorigin="7518,3885" coordsize="3,2">
              <v:shape style="position:absolute;left:7518;top:3885;width:3;height:2" coordorigin="7518,3885" coordsize="3,2" path="m7518,3885l7520,3886e" filled="false" stroked="true" strokeweight=".75pt" strokecolor="#000000">
                <v:path arrowok="t"/>
              </v:shape>
            </v:group>
            <v:group style="position:absolute;left:8419;top:3885;width:2;height:2" coordorigin="8419,3885" coordsize="2,2">
              <v:shape style="position:absolute;left:8419;top:3885;width:2;height:2" coordorigin="8419,3885" coordsize="2,2" path="m8419,3885l8420,3886e" filled="false" stroked="true" strokeweight=".75pt" strokecolor="#000000">
                <v:path arrowok="t"/>
              </v:shape>
            </v:group>
            <v:group style="position:absolute;left:4458;top:4041;width:542;height:1250" coordorigin="4458,4041" coordsize="542,1250">
              <v:shape style="position:absolute;left:4458;top:4041;width:542;height:1250" coordorigin="4458,4041" coordsize="542,1250" path="m4458,5290l4999,5290,4999,4041,4458,4041,4458,5290xe" filled="false" stroked="true" strokeweight=".75pt" strokecolor="#000000">
                <v:path arrowok="t"/>
              </v:shape>
            </v:group>
            <v:group style="position:absolute;left:6438;top:3573;width:2;height:312" coordorigin="6438,3573" coordsize="2,312">
              <v:shape style="position:absolute;left:6438;top:3573;width:2;height:312" coordorigin="6438,3573" coordsize="0,312" path="m6438,3573l6438,3885e" filled="false" stroked="true" strokeweight=".75pt" strokecolor="#000000">
                <v:path arrowok="t"/>
              </v:shape>
            </v:group>
            <v:group style="position:absolute;left:3019;top:3885;width:2;height:2" coordorigin="3019,3885" coordsize="2,2">
              <v:shape style="position:absolute;left:3019;top:3885;width:2;height:2" coordorigin="3019,3885" coordsize="2,2" path="m3019,3885l3020,3886e" filled="false" stroked="true" strokeweight=".75pt" strokecolor="#000000">
                <v:path arrowok="t"/>
              </v:shape>
            </v:group>
            <v:group style="position:absolute;left:7518;top:3885;width:3;height:156" coordorigin="7518,3885" coordsize="3,156">
              <v:shape style="position:absolute;left:7518;top:3885;width:3;height:156" coordorigin="7518,3885" coordsize="3,156" path="m7518,3885l7520,4041e" filled="false" stroked="true" strokeweight=".75pt" strokecolor="#000000">
                <v:path arrowok="t"/>
              </v:shape>
            </v:group>
            <v:group style="position:absolute;left:2478;top:3885;width:3;height:156" coordorigin="2478,3885" coordsize="3,156">
              <v:shape style="position:absolute;left:2478;top:3885;width:3;height:156" coordorigin="2478,3885" coordsize="3,156" path="m2478,3885l2480,4041e" filled="false" stroked="true" strokeweight=".75pt" strokecolor="#000000">
                <v:path arrowok="t"/>
              </v:shape>
            </v:group>
            <v:group style="position:absolute;left:1398;top:3417;width:4320;height:2" coordorigin="1398,3417" coordsize="4320,2">
              <v:shape style="position:absolute;left:1398;top:3417;width:4320;height:2" coordorigin="1398,3417" coordsize="4320,2" path="m1398,3417l5718,3418e" filled="false" stroked="true" strokeweight=".75pt" strokecolor="#000000">
                <v:path arrowok="t"/>
              </v:shape>
            </v:group>
            <v:group style="position:absolute;left:4099;top:5601;width:2;height:2" coordorigin="4099,5601" coordsize="2,2">
              <v:shape style="position:absolute;left:4099;top:5601;width:2;height:2" coordorigin="4099,5601" coordsize="2,2" path="m4100,5601l4099,5602e" filled="false" stroked="true" strokeweight=".75pt" strokecolor="#000000">
                <v:path arrowok="t"/>
              </v:shape>
            </v:group>
            <v:group style="position:absolute;left:4818;top:5290;width:2;height:309" coordorigin="4818,5290" coordsize="2,309">
              <v:shape style="position:absolute;left:4818;top:5290;width:2;height:309" coordorigin="4818,5290" coordsize="2,309" path="m4818,5290l4819,5598e" filled="false" stroked="true" strokeweight=".75pt" strokecolor="#000000">
                <v:path arrowok="t"/>
              </v:shape>
            </v:group>
            <v:group style="position:absolute;left:3737;top:5601;width:2162;height:2" coordorigin="3737,5601" coordsize="2162,2">
              <v:shape style="position:absolute;left:3737;top:5601;width:2162;height:2" coordorigin="3737,5601" coordsize="2162,2" path="m3737,5601l5898,5602e" filled="false" stroked="true" strokeweight=".75pt" strokecolor="#000000">
                <v:path arrowok="t"/>
              </v:shape>
            </v:group>
            <v:group style="position:absolute;left:3737;top:5601;width:3;height:314" coordorigin="3737,5601" coordsize="3,314">
              <v:shape style="position:absolute;left:3737;top:5601;width:3;height:314" coordorigin="3737,5601" coordsize="3,314" path="m3737,5601l3739,5914e" filled="false" stroked="true" strokeweight=".75pt" strokecolor="#000000">
                <v:path arrowok="t"/>
              </v:shape>
            </v:group>
            <v:group style="position:absolute;left:4458;top:5601;width:2;height:314" coordorigin="4458,5601" coordsize="2,314">
              <v:shape style="position:absolute;left:4458;top:5601;width:2;height:314" coordorigin="4458,5601" coordsize="2,314" path="m4458,5601l4459,5914e" filled="false" stroked="true" strokeweight=".75pt" strokecolor="#000000">
                <v:path arrowok="t"/>
              </v:shape>
            </v:group>
            <v:group style="position:absolute;left:5178;top:5601;width:2;height:314" coordorigin="5178,5601" coordsize="2,314">
              <v:shape style="position:absolute;left:5178;top:5601;width:2;height:314" coordorigin="5178,5601" coordsize="2,314" path="m5178,5601l5179,5914e" filled="false" stroked="true" strokeweight=".75pt" strokecolor="#000000">
                <v:path arrowok="t"/>
              </v:shape>
            </v:group>
            <v:group style="position:absolute;left:3557;top:5913;width:542;height:1247" coordorigin="3557,5913" coordsize="542,1247">
              <v:shape style="position:absolute;left:3557;top:5913;width:542;height:1247" coordorigin="3557,5913" coordsize="542,1247" path="m3557,7160l4098,7160,4098,5913,3557,5913,3557,7160xe" filled="false" stroked="true" strokeweight=".75pt" strokecolor="#000000">
                <v:path arrowok="t"/>
              </v:shape>
            </v:group>
            <v:group style="position:absolute;left:4278;top:5913;width:540;height:1247" coordorigin="4278,5913" coordsize="540,1247">
              <v:shape style="position:absolute;left:4278;top:5913;width:540;height:1247" coordorigin="4278,5913" coordsize="540,1247" path="m4278,7160l4818,7160,4818,5913,4278,5913,4278,7160xe" filled="false" stroked="true" strokeweight=".75pt" strokecolor="#000000">
                <v:path arrowok="t"/>
              </v:shape>
            </v:group>
            <v:group style="position:absolute;left:4998;top:5913;width:540;height:1247" coordorigin="4998,5913" coordsize="540,1247">
              <v:shape style="position:absolute;left:4998;top:5913;width:540;height:1247" coordorigin="4998,5913" coordsize="540,1247" path="m4998,7160l5538,7160,5538,5913,4998,5913,4998,7160xe" filled="false" stroked="true" strokeweight=".75pt" strokecolor="#000000">
                <v:path arrowok="t"/>
              </v:shape>
            </v:group>
            <v:group style="position:absolute;left:6438;top:5913;width:542;height:1247" coordorigin="6438,5913" coordsize="542,1247">
              <v:shape style="position:absolute;left:6438;top:5913;width:542;height:1247" coordorigin="6438,5913" coordsize="542,1247" path="m6438,7160l6979,7160,6979,5913,6438,5913,6438,7160xe" filled="false" stroked="true" strokeweight=".75pt" strokecolor="#000000">
                <v:path arrowok="t"/>
              </v:shape>
            </v:group>
            <v:group style="position:absolute;left:10939;top:3409;width:2;height:632" coordorigin="10939,3409" coordsize="2,632">
              <v:shape style="position:absolute;left:10939;top:3409;width:2;height:632" coordorigin="10939,3409" coordsize="0,632" path="m10939,3409l10939,4041e" filled="false" stroked="true" strokeweight=".75pt" strokecolor="#000000">
                <v:path arrowok="t"/>
              </v:shape>
            </v:group>
            <v:group style="position:absolute;left:10578;top:4041;width:539;height:1250" coordorigin="10578,4041" coordsize="539,1250">
              <v:shape style="position:absolute;left:10578;top:4041;width:539;height:1250" coordorigin="10578,4041" coordsize="539,1250" path="m10578,5290l11117,5290,11117,4041,10578,4041,10578,5290xe" filled="false" stroked="true" strokeweight=".75pt" strokecolor="#000000">
                <v:path arrowok="t"/>
              </v:shape>
            </v:group>
            <v:group style="position:absolute;left:10938;top:5290;width:2;height:309" coordorigin="10938,5290" coordsize="2,309">
              <v:shape style="position:absolute;left:10938;top:5290;width:2;height:309" coordorigin="10938,5290" coordsize="2,309" path="m10938,5290l10939,5598e" filled="false" stroked="true" strokeweight=".75pt" strokecolor="#000000">
                <v:path arrowok="t"/>
              </v:shape>
            </v:group>
            <v:group style="position:absolute;left:10578;top:5601;width:719;height:2" coordorigin="10578,5601" coordsize="719,2">
              <v:shape style="position:absolute;left:10578;top:5601;width:719;height:2" coordorigin="10578,5601" coordsize="719,2" path="m10578,5601l11297,5602e" filled="false" stroked="true" strokeweight=".75pt" strokecolor="#000000">
                <v:path arrowok="t"/>
              </v:shape>
            </v:group>
            <v:group style="position:absolute;left:10578;top:5601;width:2;height:314" coordorigin="10578,5601" coordsize="2,314">
              <v:shape style="position:absolute;left:10578;top:5601;width:2;height:314" coordorigin="10578,5601" coordsize="2,314" path="m10578,5601l10579,5914e" filled="false" stroked="true" strokeweight=".75pt" strokecolor="#000000">
                <v:path arrowok="t"/>
              </v:shape>
            </v:group>
            <v:group style="position:absolute;left:11298;top:5601;width:2;height:314" coordorigin="11298,5601" coordsize="2,314">
              <v:shape style="position:absolute;left:11298;top:5601;width:2;height:314" coordorigin="11298,5601" coordsize="2,314" path="m11298,5601l11299,5914e" filled="false" stroked="true" strokeweight=".75pt" strokecolor="#000000">
                <v:path arrowok="t"/>
              </v:shape>
            </v:group>
            <v:group style="position:absolute;left:10218;top:5913;width:540;height:1247" coordorigin="10218,5913" coordsize="540,1247">
              <v:shape style="position:absolute;left:10218;top:5913;width:540;height:1247" coordorigin="10218,5913" coordsize="540,1247" path="m10218,7160l10758,7160,10758,5913,10218,5913,10218,7160xe" filled="false" stroked="true" strokeweight=".75pt" strokecolor="#000000">
                <v:path arrowok="t"/>
              </v:shape>
            </v:group>
            <v:group style="position:absolute;left:10938;top:5913;width:540;height:1247" coordorigin="10938,5913" coordsize="540,1247">
              <v:shape style="position:absolute;left:10938;top:5913;width:540;height:1247" coordorigin="10938,5913" coordsize="540,1247" path="m10938,7160l11478,7160,11478,5913,10938,5913,10938,7160xe" filled="false" stroked="true" strokeweight=".75pt" strokecolor="#000000">
                <v:path arrowok="t"/>
              </v:shape>
            </v:group>
            <v:group style="position:absolute;left:5718;top:5913;width:540;height:1247" coordorigin="5718,5913" coordsize="540,1247">
              <v:shape style="position:absolute;left:5718;top:5913;width:540;height:1247" coordorigin="5718,5913" coordsize="540,1247" path="m5718,7160l6258,7160,6258,5913,5718,5913,5718,7160xe" filled="false" stroked="true" strokeweight=".75pt" strokecolor="#000000">
                <v:path arrowok="t"/>
              </v:shape>
            </v:group>
            <v:group style="position:absolute;left:5898;top:5601;width:2;height:314" coordorigin="5898,5601" coordsize="2,314">
              <v:shape style="position:absolute;left:5898;top:5601;width:2;height:314" coordorigin="5898,5601" coordsize="2,314" path="m5898,5601l5899,5914e" filled="false" stroked="true" strokeweight=".75pt" strokecolor="#000000">
                <v:path arrowok="t"/>
              </v:shape>
            </v:group>
            <v:group style="position:absolute;left:7158;top:3417;width:3780;height:2" coordorigin="7158,3417" coordsize="3780,2">
              <v:shape style="position:absolute;left:7158;top:3417;width:3780;height:2" coordorigin="7158,3417" coordsize="3780,2" path="m7158,3417l10938,3418e" filled="false" stroked="true" strokeweight=".75pt" strokecolor="#000000">
                <v:path arrowok="t"/>
              </v:shape>
            </v:group>
            <v:group style="position:absolute;left:6438;top:4041;width:540;height:1250" coordorigin="6438,4041" coordsize="540,1250">
              <v:shape style="position:absolute;left:6438;top:4041;width:540;height:1250" coordorigin="6438,4041" coordsize="540,1250" path="m6438,5290l6978,5290,6978,4041,6438,4041,6438,5290xe" filled="false" stroked="true" strokeweight=".75pt" strokecolor="#000000">
                <v:path arrowok="t"/>
              </v:shape>
            </v:group>
            <v:group style="position:absolute;left:6798;top:5290;width:2;height:620" coordorigin="6798,5290" coordsize="2,620">
              <v:shape style="position:absolute;left:6798;top:5290;width:2;height:620" coordorigin="6798,5290" coordsize="2,620" path="m6798,5290l6799,5909e" filled="false" stroked="true" strokeweight=".75pt" strokecolor="#000000">
                <v:path arrowok="t"/>
              </v:shape>
            </v:group>
            <v:group style="position:absolute;left:6078;top:4665;width:360;height:2" coordorigin="6078,4665" coordsize="360,2">
              <v:shape style="position:absolute;left:6078;top:4665;width:360;height:2" coordorigin="6078,4665" coordsize="360,2" path="m6438,4665l6078,4666e" filled="false" stroked="true" strokeweight=".75pt" strokecolor="#000000">
                <v:path arrowok="t"/>
              </v:shape>
            </v:group>
            <v:group style="position:absolute;left:5538;top:4197;width:540;height:1094" coordorigin="5538,4197" coordsize="540,1094">
              <v:shape style="position:absolute;left:5538;top:4197;width:540;height:1094" coordorigin="5538,4197" coordsize="540,1094" path="m5538,5290l6078,5290,6078,4197,5538,4197,5538,5290xe" filled="false" stroked="true" strokeweight=".75pt" strokecolor="#000000">
                <v:path arrowok="t"/>
              </v:shape>
            </v:group>
            <v:group style="position:absolute;left:8419;top:3885;width:2;height:156" coordorigin="8419,3885" coordsize="2,156">
              <v:shape style="position:absolute;left:8419;top:3885;width:2;height:156" coordorigin="8419,3885" coordsize="2,156" path="m8419,3885l8420,4041e" filled="false" stroked="true" strokeweight=".75pt" strokecolor="#000000">
                <v:path arrowok="t"/>
              </v:shape>
            </v:group>
            <v:group style="position:absolute;left:8058;top:4041;width:538;height:1250" coordorigin="8058,4041" coordsize="538,1250">
              <v:shape style="position:absolute;left:8058;top:4041;width:538;height:1250" coordorigin="8058,4041" coordsize="538,1250" path="m8058,5290l8596,5290,8596,4041,8058,4041,8058,5290xe" filled="false" stroked="true" strokeweight=".75pt" strokecolor="#000000">
                <v:path arrowok="t"/>
              </v:shape>
            </v:group>
            <v:group style="position:absolute;left:8419;top:5290;width:2;height:618" coordorigin="8419,5290" coordsize="2,618">
              <v:shape style="position:absolute;left:8419;top:5290;width:2;height:618" coordorigin="8419,5290" coordsize="2,618" path="m8419,5290l8420,5908e" filled="false" stroked="true" strokeweight=".75pt" strokecolor="#000000">
                <v:path arrowok="t"/>
              </v:shape>
            </v:group>
            <v:group style="position:absolute;left:9137;top:3885;width:3;height:156" coordorigin="9137,3885" coordsize="3,156">
              <v:shape style="position:absolute;left:9137;top:3885;width:3;height:156" coordorigin="9137,3885" coordsize="3,156" path="m9137,3885l9139,4041e" filled="false" stroked="true" strokeweight=".75pt" strokecolor="#000000">
                <v:path arrowok="t"/>
              </v:shape>
            </v:group>
            <v:group style="position:absolute;left:8058;top:5913;width:537;height:4836" coordorigin="8058,5913" coordsize="537,4836">
              <v:shape style="position:absolute;left:8058;top:5913;width:537;height:4836" coordorigin="8058,5913" coordsize="537,4836" path="m8058,10749l8594,10749,8594,5913,8058,5913,8058,10749xe" filled="false" stroked="true" strokeweight=".75pt" strokecolor="#000000">
                <v:path arrowok="t"/>
              </v:shape>
            </v:group>
            <v:group style="position:absolute;left:9678;top:3885;width:2;height:156" coordorigin="9678,3885" coordsize="2,156">
              <v:shape style="position:absolute;left:9678;top:3885;width:2;height:156" coordorigin="9678,3885" coordsize="0,156" path="m9678,3885l9678,4041e" filled="false" stroked="true" strokeweight=".75pt" strokecolor="#000000">
                <v:path arrowok="t"/>
              </v:shape>
            </v:group>
            <v:group style="position:absolute;left:9498;top:4041;width:540;height:1250" coordorigin="9498,4041" coordsize="540,1250">
              <v:shape style="position:absolute;left:9498;top:4041;width:540;height:1250" coordorigin="9498,4041" coordsize="540,1250" path="m9498,5290l10038,5290,10038,4041,9498,4041,9498,5290xe" filled="false" stroked="true" strokeweight=".75pt" strokecolor="#000000">
                <v:path arrowok="t"/>
              </v:shape>
            </v:group>
            <v:group style="position:absolute;left:9858;top:5290;width:2;height:621" coordorigin="9858,5290" coordsize="2,621">
              <v:shape style="position:absolute;left:9858;top:5290;width:2;height:621" coordorigin="9858,5290" coordsize="2,621" path="m9858,5290l9859,5910e" filled="false" stroked="true" strokeweight=".75pt" strokecolor="#000000">
                <v:path arrowok="t"/>
              </v:shape>
            </v:group>
            <v:group style="position:absolute;left:9498;top:5913;width:540;height:4836" coordorigin="9498,5913" coordsize="540,4836">
              <v:shape style="position:absolute;left:9498;top:5913;width:540;height:4836" coordorigin="9498,5913" coordsize="540,4836" path="m9498,10749l10038,10749,10038,5913,9498,5913,9498,10749xe" filled="false" stroked="true" strokeweight=".75pt" strokecolor="#000000">
                <v:path arrowok="t"/>
              </v:shape>
            </v:group>
            <w10:wrap type="none"/>
          </v:group>
        </w:pict>
      </w:r>
      <w:r>
        <w:rPr>
          <w:rFonts w:ascii="宋体" w:hAnsi="宋体" w:cs="宋体" w:eastAsia="宋体" w:hint="default"/>
        </w:rPr>
        <w:t>深圳市鸿基（集团）股份有限公司</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0" w:footer="939" w:top="1500" w:bottom="1120" w:left="1100" w:right="300"/>
        </w:sectPr>
      </w:pPr>
    </w:p>
    <w:p>
      <w:pPr>
        <w:spacing w:line="240" w:lineRule="auto" w:before="6"/>
        <w:rPr>
          <w:rFonts w:ascii="宋体" w:hAnsi="宋体" w:cs="宋体" w:eastAsia="宋体" w:hint="default"/>
          <w:sz w:val="27"/>
          <w:szCs w:val="27"/>
        </w:rPr>
      </w:pPr>
    </w:p>
    <w:p>
      <w:pPr>
        <w:pStyle w:val="Heading3"/>
        <w:spacing w:line="715" w:lineRule="auto"/>
        <w:ind w:left="1592" w:right="-20" w:hanging="360"/>
        <w:jc w:val="left"/>
        <w:rPr>
          <w:rFonts w:ascii="宋体" w:hAnsi="宋体" w:cs="宋体" w:eastAsia="宋体" w:hint="default"/>
        </w:rPr>
      </w:pPr>
      <w:r>
        <w:rPr/>
        <w:pict>
          <v:shape style="position:absolute;margin-left:285.899994pt;margin-top:68.195938pt;width:72.1pt;height:23.5pt;mso-position-horizontal-relative:page;mso-position-vertical-relative:paragraph;z-index:1504" type="#_x0000_t202" filled="false" stroked="true" strokeweight=".75pt" strokecolor="#000000">
            <v:textbox inset="0,0,0,0">
              <w:txbxContent>
                <w:p>
                  <w:pPr>
                    <w:pStyle w:val="BodyText"/>
                    <w:spacing w:line="240" w:lineRule="auto" w:before="37"/>
                    <w:ind w:left="188" w:right="0"/>
                    <w:jc w:val="left"/>
                  </w:pPr>
                  <w:r>
                    <w:rPr/>
                    <w:t>董事局主席</w:t>
                  </w:r>
                </w:p>
              </w:txbxContent>
            </v:textbox>
            <w10:wrap type="none"/>
          </v:shape>
        </w:pict>
      </w:r>
      <w:r>
        <w:rPr>
          <w:rFonts w:ascii="宋体" w:hAnsi="宋体" w:cs="宋体" w:eastAsia="宋体" w:hint="default"/>
        </w:rPr>
        <w:t>董事局薪酬与考核委员会 董事局审计委员会</w:t>
      </w:r>
    </w:p>
    <w:p>
      <w:pPr>
        <w:spacing w:line="597" w:lineRule="auto" w:before="203"/>
        <w:ind w:left="1066" w:right="-20" w:hanging="120"/>
        <w:jc w:val="left"/>
        <w:rPr>
          <w:rFonts w:ascii="宋体" w:hAnsi="宋体" w:cs="宋体" w:eastAsia="宋体" w:hint="default"/>
          <w:sz w:val="24"/>
          <w:szCs w:val="24"/>
        </w:rPr>
      </w:pPr>
      <w:r>
        <w:rPr/>
        <w:br w:type="column"/>
      </w:r>
      <w:r>
        <w:rPr>
          <w:rFonts w:ascii="宋体" w:hAnsi="宋体" w:cs="宋体" w:eastAsia="宋体" w:hint="default"/>
          <w:sz w:val="24"/>
          <w:szCs w:val="24"/>
        </w:rPr>
        <w:t>股东大会 董事局</w:t>
      </w:r>
    </w:p>
    <w:p>
      <w:pPr>
        <w:spacing w:line="240" w:lineRule="auto" w:before="0"/>
        <w:rPr>
          <w:rFonts w:ascii="宋体" w:hAnsi="宋体" w:cs="宋体" w:eastAsia="宋体" w:hint="default"/>
          <w:sz w:val="24"/>
          <w:szCs w:val="24"/>
        </w:rPr>
      </w:pPr>
      <w:r>
        <w:rPr/>
        <w:br w:type="column"/>
      </w:r>
      <w:r>
        <w:rPr>
          <w:rFonts w:ascii="宋体"/>
          <w:sz w:val="24"/>
        </w:rPr>
      </w:r>
    </w:p>
    <w:p>
      <w:pPr>
        <w:spacing w:line="477" w:lineRule="auto" w:before="201"/>
        <w:ind w:left="1232" w:right="1449" w:firstLine="385"/>
        <w:jc w:val="left"/>
        <w:rPr>
          <w:rFonts w:ascii="宋体" w:hAnsi="宋体" w:cs="宋体" w:eastAsia="宋体" w:hint="default"/>
          <w:sz w:val="24"/>
          <w:szCs w:val="24"/>
        </w:rPr>
      </w:pPr>
      <w:r>
        <w:rPr>
          <w:rFonts w:ascii="宋体" w:hAnsi="宋体" w:cs="宋体" w:eastAsia="宋体" w:hint="default"/>
          <w:sz w:val="24"/>
          <w:szCs w:val="24"/>
        </w:rPr>
        <w:t>监事会 董事局秘书</w:t>
      </w:r>
    </w:p>
    <w:p>
      <w:pPr>
        <w:spacing w:after="0" w:line="477" w:lineRule="auto"/>
        <w:jc w:val="left"/>
        <w:rPr>
          <w:rFonts w:ascii="宋体" w:hAnsi="宋体" w:cs="宋体" w:eastAsia="宋体" w:hint="default"/>
          <w:sz w:val="24"/>
          <w:szCs w:val="24"/>
        </w:rPr>
        <w:sectPr>
          <w:type w:val="continuous"/>
          <w:pgSz w:w="11900" w:h="16840"/>
          <w:pgMar w:top="1600" w:bottom="280" w:left="1100" w:right="300"/>
          <w:cols w:num="3" w:equalWidth="0">
            <w:col w:w="3873" w:space="40"/>
            <w:col w:w="1907" w:space="779"/>
            <w:col w:w="3901"/>
          </w:cols>
        </w:sectPr>
      </w:pPr>
    </w:p>
    <w:p>
      <w:pPr>
        <w:spacing w:line="240" w:lineRule="auto" w:before="0"/>
        <w:rPr>
          <w:rFonts w:ascii="宋体" w:hAnsi="宋体" w:cs="宋体" w:eastAsia="宋体" w:hint="default"/>
          <w:sz w:val="20"/>
          <w:szCs w:val="20"/>
        </w:rPr>
      </w:pPr>
    </w:p>
    <w:p>
      <w:pPr>
        <w:spacing w:before="198"/>
        <w:ind w:left="5079" w:right="4901" w:firstLine="0"/>
        <w:jc w:val="center"/>
        <w:rPr>
          <w:rFonts w:ascii="宋体" w:hAnsi="宋体" w:cs="宋体" w:eastAsia="宋体" w:hint="default"/>
          <w:sz w:val="24"/>
          <w:szCs w:val="24"/>
        </w:rPr>
      </w:pPr>
      <w:r>
        <w:rPr>
          <w:rFonts w:ascii="宋体" w:hAnsi="宋体" w:cs="宋体" w:eastAsia="宋体" w:hint="default"/>
          <w:sz w:val="24"/>
          <w:szCs w:val="24"/>
        </w:rPr>
        <w:t>总裁</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00" w:h="16840"/>
          <w:pgMar w:top="1600" w:bottom="280" w:left="1100" w:right="300"/>
        </w:sectPr>
      </w:pPr>
    </w:p>
    <w:p>
      <w:pPr>
        <w:pStyle w:val="BodyText"/>
        <w:tabs>
          <w:tab w:pos="4590" w:val="left" w:leader="none"/>
          <w:tab w:pos="5490" w:val="left" w:leader="none"/>
        </w:tabs>
        <w:spacing w:line="334" w:lineRule="exact" w:before="35"/>
        <w:ind w:left="3510" w:right="-20"/>
        <w:jc w:val="left"/>
      </w:pPr>
      <w:r>
        <w:rPr/>
        <w:pict>
          <v:shape style="position:absolute;margin-left:96.525002pt;margin-top:-.821018pt;width:73.25pt;height:156.7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1"/>
                    <w:gridCol w:w="179"/>
                    <w:gridCol w:w="181"/>
                    <w:gridCol w:w="354"/>
                    <w:gridCol w:w="187"/>
                    <w:gridCol w:w="361"/>
                  </w:tblGrid>
                  <w:tr>
                    <w:trPr>
                      <w:trHeight w:val="1244" w:hRule="exact"/>
                    </w:trPr>
                    <w:tc>
                      <w:tcPr>
                        <w:tcW w:w="360" w:type="dxa"/>
                        <w:gridSpan w:val="2"/>
                        <w:tcBorders>
                          <w:top w:val="nil" w:sz="6" w:space="0" w:color="auto"/>
                          <w:left w:val="nil" w:sz="6" w:space="0" w:color="auto"/>
                          <w:bottom w:val="nil" w:sz="6" w:space="0" w:color="auto"/>
                          <w:right w:val="single" w:sz="6" w:space="0" w:color="000000"/>
                        </w:tcBorders>
                      </w:tcPr>
                      <w:p>
                        <w:pPr/>
                      </w:p>
                    </w:tc>
                    <w:tc>
                      <w:tcPr>
                        <w:tcW w:w="535" w:type="dxa"/>
                        <w:gridSpan w:val="2"/>
                        <w:tcBorders>
                          <w:top w:val="single" w:sz="6" w:space="0" w:color="000000"/>
                          <w:left w:val="single" w:sz="6" w:space="0" w:color="000000"/>
                          <w:bottom w:val="single" w:sz="6" w:space="0" w:color="000000"/>
                          <w:right w:val="single" w:sz="6" w:space="0" w:color="000000"/>
                        </w:tcBorders>
                      </w:tcPr>
                      <w:p>
                        <w:pPr>
                          <w:pStyle w:val="TableParagraph"/>
                          <w:spacing w:line="192" w:lineRule="auto" w:before="52"/>
                          <w:ind w:left="144" w:right="162"/>
                          <w:jc w:val="both"/>
                          <w:rPr>
                            <w:rFonts w:ascii="宋体" w:hAnsi="宋体" w:cs="宋体" w:eastAsia="宋体" w:hint="default"/>
                            <w:sz w:val="21"/>
                            <w:szCs w:val="21"/>
                          </w:rPr>
                        </w:pPr>
                        <w:r>
                          <w:rPr>
                            <w:rFonts w:ascii="宋体" w:hAnsi="宋体" w:cs="宋体" w:eastAsia="宋体" w:hint="default"/>
                            <w:sz w:val="21"/>
                            <w:szCs w:val="21"/>
                          </w:rPr>
                          <w:t>常 务 副 总 裁</w:t>
                        </w:r>
                      </w:p>
                    </w:tc>
                    <w:tc>
                      <w:tcPr>
                        <w:tcW w:w="548" w:type="dxa"/>
                        <w:gridSpan w:val="2"/>
                        <w:tcBorders>
                          <w:top w:val="nil" w:sz="6" w:space="0" w:color="auto"/>
                          <w:left w:val="single" w:sz="6" w:space="0" w:color="000000"/>
                          <w:bottom w:val="nil" w:sz="6" w:space="0" w:color="auto"/>
                          <w:right w:val="nil" w:sz="6" w:space="0" w:color="auto"/>
                        </w:tcBorders>
                      </w:tcPr>
                      <w:p>
                        <w:pPr/>
                      </w:p>
                    </w:tc>
                  </w:tr>
                  <w:tr>
                    <w:trPr>
                      <w:trHeight w:val="316" w:hRule="exact"/>
                    </w:trPr>
                    <w:tc>
                      <w:tcPr>
                        <w:tcW w:w="541" w:type="dxa"/>
                        <w:gridSpan w:val="3"/>
                        <w:tcBorders>
                          <w:top w:val="nil" w:sz="6" w:space="0" w:color="auto"/>
                          <w:left w:val="nil" w:sz="6" w:space="0" w:color="auto"/>
                          <w:bottom w:val="nil" w:sz="6" w:space="0" w:color="auto"/>
                          <w:right w:val="single" w:sz="7" w:space="0" w:color="000000"/>
                        </w:tcBorders>
                      </w:tcPr>
                      <w:p>
                        <w:pPr/>
                      </w:p>
                    </w:tc>
                    <w:tc>
                      <w:tcPr>
                        <w:tcW w:w="902" w:type="dxa"/>
                        <w:gridSpan w:val="3"/>
                        <w:tcBorders>
                          <w:top w:val="nil" w:sz="6" w:space="0" w:color="auto"/>
                          <w:left w:val="single" w:sz="7" w:space="0" w:color="000000"/>
                          <w:bottom w:val="nil" w:sz="6" w:space="0" w:color="auto"/>
                          <w:right w:val="nil" w:sz="6" w:space="0" w:color="auto"/>
                        </w:tcBorders>
                      </w:tcPr>
                      <w:p>
                        <w:pPr/>
                      </w:p>
                    </w:tc>
                  </w:tr>
                  <w:tr>
                    <w:trPr>
                      <w:trHeight w:val="311" w:hRule="exact"/>
                    </w:trPr>
                    <w:tc>
                      <w:tcPr>
                        <w:tcW w:w="181" w:type="dxa"/>
                        <w:tcBorders>
                          <w:top w:val="nil" w:sz="6" w:space="0" w:color="auto"/>
                          <w:left w:val="nil" w:sz="6" w:space="0" w:color="auto"/>
                          <w:bottom w:val="single" w:sz="6" w:space="0" w:color="000000"/>
                          <w:right w:val="single" w:sz="7" w:space="0" w:color="000000"/>
                        </w:tcBorders>
                      </w:tcPr>
                      <w:p>
                        <w:pPr/>
                      </w:p>
                    </w:tc>
                    <w:tc>
                      <w:tcPr>
                        <w:tcW w:w="901" w:type="dxa"/>
                        <w:gridSpan w:val="4"/>
                        <w:tcBorders>
                          <w:top w:val="single" w:sz="6" w:space="0" w:color="000000"/>
                          <w:left w:val="single" w:sz="7" w:space="0" w:color="000000"/>
                          <w:bottom w:val="single" w:sz="6" w:space="0" w:color="000000"/>
                          <w:right w:val="single" w:sz="6" w:space="0" w:color="000000"/>
                        </w:tcBorders>
                      </w:tcPr>
                      <w:p>
                        <w:pPr/>
                      </w:p>
                    </w:tc>
                    <w:tc>
                      <w:tcPr>
                        <w:tcW w:w="361" w:type="dxa"/>
                        <w:tcBorders>
                          <w:top w:val="nil" w:sz="6" w:space="0" w:color="auto"/>
                          <w:left w:val="single" w:sz="6" w:space="0" w:color="000000"/>
                          <w:bottom w:val="single" w:sz="6" w:space="0" w:color="000000"/>
                          <w:right w:val="nil" w:sz="6" w:space="0" w:color="auto"/>
                        </w:tcBorders>
                      </w:tcPr>
                      <w:p>
                        <w:pPr/>
                      </w:p>
                    </w:tc>
                  </w:tr>
                  <w:tr>
                    <w:trPr>
                      <w:trHeight w:val="1247" w:hRule="exact"/>
                    </w:trPr>
                    <w:tc>
                      <w:tcPr>
                        <w:tcW w:w="541" w:type="dxa"/>
                        <w:gridSpan w:val="3"/>
                        <w:tcBorders>
                          <w:top w:val="single" w:sz="6" w:space="0" w:color="000000"/>
                          <w:left w:val="single" w:sz="6" w:space="0" w:color="000000"/>
                          <w:bottom w:val="single" w:sz="6" w:space="0" w:color="000000"/>
                          <w:right w:val="single" w:sz="6" w:space="0" w:color="000000"/>
                        </w:tcBorders>
                      </w:tcPr>
                      <w:p>
                        <w:pPr>
                          <w:pStyle w:val="TableParagraph"/>
                          <w:spacing w:line="175" w:lineRule="auto" w:before="53"/>
                          <w:ind w:left="144" w:right="168"/>
                          <w:jc w:val="both"/>
                          <w:rPr>
                            <w:rFonts w:ascii="宋体" w:hAnsi="宋体" w:cs="宋体" w:eastAsia="宋体" w:hint="default"/>
                            <w:sz w:val="21"/>
                            <w:szCs w:val="21"/>
                          </w:rPr>
                        </w:pPr>
                        <w:r>
                          <w:rPr>
                            <w:rFonts w:ascii="宋体" w:hAnsi="宋体" w:cs="宋体" w:eastAsia="宋体" w:hint="default"/>
                            <w:sz w:val="21"/>
                            <w:szCs w:val="21"/>
                          </w:rPr>
                          <w:t>成 本 管 理 部</w:t>
                        </w:r>
                      </w:p>
                    </w:tc>
                    <w:tc>
                      <w:tcPr>
                        <w:tcW w:w="354" w:type="dxa"/>
                        <w:tcBorders>
                          <w:top w:val="nil" w:sz="6" w:space="0" w:color="auto"/>
                          <w:left w:val="single" w:sz="6" w:space="0" w:color="000000"/>
                          <w:bottom w:val="nil" w:sz="6" w:space="0" w:color="auto"/>
                          <w:right w:val="single" w:sz="6" w:space="0" w:color="000000"/>
                        </w:tcBorders>
                      </w:tcPr>
                      <w:p>
                        <w:pPr/>
                      </w:p>
                    </w:tc>
                    <w:tc>
                      <w:tcPr>
                        <w:tcW w:w="548" w:type="dxa"/>
                        <w:gridSpan w:val="2"/>
                        <w:tcBorders>
                          <w:top w:val="single" w:sz="6" w:space="0" w:color="000000"/>
                          <w:left w:val="single" w:sz="6" w:space="0" w:color="000000"/>
                          <w:bottom w:val="single" w:sz="6" w:space="0" w:color="000000"/>
                          <w:right w:val="single" w:sz="6" w:space="0" w:color="000000"/>
                        </w:tcBorders>
                      </w:tcPr>
                      <w:p>
                        <w:pPr>
                          <w:pStyle w:val="TableParagraph"/>
                          <w:spacing w:line="175" w:lineRule="auto" w:before="53"/>
                          <w:ind w:left="150" w:right="170"/>
                          <w:jc w:val="both"/>
                          <w:rPr>
                            <w:rFonts w:ascii="宋体" w:hAnsi="宋体" w:cs="宋体" w:eastAsia="宋体" w:hint="default"/>
                            <w:sz w:val="21"/>
                            <w:szCs w:val="21"/>
                          </w:rPr>
                        </w:pPr>
                        <w:r>
                          <w:rPr>
                            <w:rFonts w:ascii="宋体" w:hAnsi="宋体" w:cs="宋体" w:eastAsia="宋体" w:hint="default"/>
                            <w:sz w:val="21"/>
                            <w:szCs w:val="21"/>
                          </w:rPr>
                          <w:t>项 目 开 发 部</w:t>
                        </w:r>
                      </w:p>
                    </w:tc>
                  </w:tr>
                </w:tbl>
                <w:p>
                  <w:pPr/>
                </w:p>
              </w:txbxContent>
            </v:textbox>
            <w10:wrap type="none"/>
          </v:shape>
        </w:pict>
      </w:r>
      <w:r>
        <w:rPr/>
        <w:t>副</w:t>
        <w:tab/>
      </w:r>
      <w:r>
        <w:rPr>
          <w:position w:val="-11"/>
        </w:rPr>
        <w:t>总</w:t>
        <w:tab/>
      </w:r>
      <w:r>
        <w:rPr/>
        <w:t>副</w:t>
      </w:r>
    </w:p>
    <w:p>
      <w:pPr>
        <w:pStyle w:val="BodyText"/>
        <w:tabs>
          <w:tab w:pos="4590" w:val="left" w:leader="none"/>
          <w:tab w:pos="5490" w:val="left" w:leader="none"/>
        </w:tabs>
        <w:spacing w:line="246" w:lineRule="exact"/>
        <w:ind w:left="3510" w:right="-20"/>
        <w:jc w:val="left"/>
      </w:pPr>
      <w:r>
        <w:rPr/>
        <w:t>总</w:t>
        <w:tab/>
      </w:r>
      <w:r>
        <w:rPr>
          <w:position w:val="-6"/>
        </w:rPr>
        <w:t>裁</w:t>
        <w:tab/>
      </w:r>
      <w:r>
        <w:rPr/>
        <w:t>总</w:t>
      </w:r>
    </w:p>
    <w:p>
      <w:pPr>
        <w:pStyle w:val="BodyText"/>
        <w:tabs>
          <w:tab w:pos="4590" w:val="left" w:leader="none"/>
          <w:tab w:pos="5490" w:val="left" w:leader="none"/>
        </w:tabs>
        <w:spacing w:line="194" w:lineRule="auto" w:before="13"/>
        <w:ind w:left="4590" w:right="0" w:hanging="1080"/>
        <w:jc w:val="left"/>
      </w:pPr>
      <w:r>
        <w:rPr>
          <w:position w:val="2"/>
        </w:rPr>
        <w:t>裁</w:t>
        <w:tab/>
      </w:r>
      <w:r>
        <w:rPr/>
        <w:t>助</w:t>
        <w:tab/>
      </w:r>
      <w:r>
        <w:rPr>
          <w:position w:val="2"/>
        </w:rPr>
        <w:t>裁</w:t>
      </w:r>
      <w:r>
        <w:rPr>
          <w:position w:val="2"/>
        </w:rPr>
        <w:t> </w:t>
      </w:r>
      <w:r>
        <w:rPr/>
        <w:t>理</w:t>
      </w:r>
    </w:p>
    <w:p>
      <w:pPr>
        <w:pStyle w:val="BodyText"/>
        <w:tabs>
          <w:tab w:pos="2809" w:val="left" w:leader="none"/>
          <w:tab w:pos="3903" w:val="left" w:leader="none"/>
        </w:tabs>
        <w:spacing w:line="276" w:lineRule="exact" w:before="39"/>
        <w:ind w:left="1370" w:right="0"/>
        <w:jc w:val="left"/>
      </w:pPr>
      <w:r>
        <w:rPr/>
        <w:br w:type="column"/>
      </w:r>
      <w:r>
        <w:rPr>
          <w:position w:val="1"/>
        </w:rPr>
        <w:t>副</w:t>
        <w:tab/>
        <w:t>副</w:t>
        <w:tab/>
      </w:r>
      <w:r>
        <w:rPr/>
        <w:t>财</w:t>
      </w:r>
    </w:p>
    <w:p>
      <w:pPr>
        <w:pStyle w:val="BodyText"/>
        <w:tabs>
          <w:tab w:pos="2809" w:val="left" w:leader="none"/>
          <w:tab w:pos="3903" w:val="left" w:leader="none"/>
        </w:tabs>
        <w:spacing w:line="275" w:lineRule="exact"/>
        <w:ind w:left="1370" w:right="0"/>
        <w:jc w:val="left"/>
      </w:pPr>
      <w:r>
        <w:rPr/>
        <w:pict>
          <v:shape style="position:absolute;margin-left:366.524994pt;margin-top:-16.61092pt;width:28.15pt;height:336.1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1"/>
                    <w:gridCol w:w="179"/>
                  </w:tblGrid>
                  <w:tr>
                    <w:trPr>
                      <w:trHeight w:val="1249" w:hRule="exact"/>
                    </w:trPr>
                    <w:tc>
                      <w:tcPr>
                        <w:tcW w:w="5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before="64"/>
                          <w:ind w:left="144" w:right="168"/>
                          <w:jc w:val="both"/>
                          <w:rPr>
                            <w:rFonts w:ascii="宋体" w:hAnsi="宋体" w:cs="宋体" w:eastAsia="宋体" w:hint="default"/>
                            <w:sz w:val="21"/>
                            <w:szCs w:val="21"/>
                          </w:rPr>
                        </w:pPr>
                        <w:r>
                          <w:rPr>
                            <w:rFonts w:ascii="宋体" w:hAnsi="宋体" w:cs="宋体" w:eastAsia="宋体" w:hint="default"/>
                            <w:sz w:val="21"/>
                            <w:szCs w:val="21"/>
                          </w:rPr>
                          <w:t>副 总 裁</w:t>
                        </w:r>
                      </w:p>
                    </w:tc>
                  </w:tr>
                  <w:tr>
                    <w:trPr>
                      <w:trHeight w:val="623" w:hRule="exact"/>
                    </w:trPr>
                    <w:tc>
                      <w:tcPr>
                        <w:tcW w:w="361" w:type="dxa"/>
                        <w:tcBorders>
                          <w:top w:val="single" w:sz="6" w:space="0" w:color="000000"/>
                          <w:left w:val="nil" w:sz="6" w:space="0" w:color="auto"/>
                          <w:bottom w:val="single" w:sz="6" w:space="0" w:color="000000"/>
                          <w:right w:val="single" w:sz="7" w:space="0" w:color="000000"/>
                        </w:tcBorders>
                      </w:tcPr>
                      <w:p>
                        <w:pPr/>
                      </w:p>
                    </w:tc>
                    <w:tc>
                      <w:tcPr>
                        <w:tcW w:w="179" w:type="dxa"/>
                        <w:tcBorders>
                          <w:top w:val="single" w:sz="6" w:space="0" w:color="000000"/>
                          <w:left w:val="single" w:sz="7" w:space="0" w:color="000000"/>
                          <w:bottom w:val="single" w:sz="6" w:space="0" w:color="000000"/>
                          <w:right w:val="nil" w:sz="6" w:space="0" w:color="auto"/>
                        </w:tcBorders>
                      </w:tcPr>
                      <w:p>
                        <w:pPr/>
                      </w:p>
                    </w:tc>
                  </w:tr>
                  <w:tr>
                    <w:trPr>
                      <w:trHeight w:val="4836" w:hRule="exact"/>
                    </w:trPr>
                    <w:tc>
                      <w:tcPr>
                        <w:tcW w:w="540" w:type="dxa"/>
                        <w:gridSpan w:val="2"/>
                        <w:tcBorders>
                          <w:top w:val="single" w:sz="6" w:space="0" w:color="000000"/>
                          <w:left w:val="single" w:sz="6" w:space="0" w:color="000000"/>
                          <w:bottom w:val="single" w:sz="6" w:space="0" w:color="000000"/>
                          <w:right w:val="single" w:sz="6" w:space="0" w:color="000000"/>
                        </w:tcBorders>
                      </w:tcPr>
                      <w:p>
                        <w:pPr>
                          <w:pStyle w:val="TableParagraph"/>
                          <w:spacing w:line="175" w:lineRule="auto" w:before="53"/>
                          <w:ind w:left="144" w:right="168"/>
                          <w:jc w:val="both"/>
                          <w:rPr>
                            <w:rFonts w:ascii="宋体" w:hAnsi="宋体" w:cs="宋体" w:eastAsia="宋体" w:hint="default"/>
                            <w:sz w:val="21"/>
                            <w:szCs w:val="21"/>
                          </w:rPr>
                        </w:pPr>
                        <w:r>
                          <w:rPr>
                            <w:rFonts w:ascii="宋体" w:hAnsi="宋体" w:cs="宋体" w:eastAsia="宋体" w:hint="default"/>
                            <w:sz w:val="21"/>
                            <w:szCs w:val="21"/>
                          </w:rPr>
                          <w:t>深 圳 鸿 基 房 地 产 开 发 有 限 公 司 及 装 卸 运 输 业</w:t>
                        </w:r>
                      </w:p>
                    </w:tc>
                  </w:tr>
                </w:tbl>
                <w:p>
                  <w:pPr/>
                </w:p>
              </w:txbxContent>
            </v:textbox>
            <w10:wrap type="none"/>
          </v:shape>
        </w:pict>
      </w:r>
      <w:r>
        <w:rPr/>
        <w:pict>
          <v:shape style="position:absolute;margin-left:438.584991pt;margin-top:-16.61092pt;width:28.15pt;height:336.1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9"/>
                    <w:gridCol w:w="181"/>
                  </w:tblGrid>
                  <w:tr>
                    <w:trPr>
                      <w:trHeight w:val="1249" w:hRule="exact"/>
                    </w:trPr>
                    <w:tc>
                      <w:tcPr>
                        <w:tcW w:w="5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before="64"/>
                          <w:ind w:left="144" w:right="168"/>
                          <w:jc w:val="both"/>
                          <w:rPr>
                            <w:rFonts w:ascii="宋体" w:hAnsi="宋体" w:cs="宋体" w:eastAsia="宋体" w:hint="default"/>
                            <w:sz w:val="21"/>
                            <w:szCs w:val="21"/>
                          </w:rPr>
                        </w:pPr>
                        <w:r>
                          <w:rPr>
                            <w:rFonts w:ascii="宋体" w:hAnsi="宋体" w:cs="宋体" w:eastAsia="宋体" w:hint="default"/>
                            <w:sz w:val="21"/>
                            <w:szCs w:val="21"/>
                          </w:rPr>
                          <w:t>副 总 裁</w:t>
                        </w:r>
                      </w:p>
                    </w:tc>
                  </w:tr>
                  <w:tr>
                    <w:trPr>
                      <w:trHeight w:val="623" w:hRule="exact"/>
                    </w:trPr>
                    <w:tc>
                      <w:tcPr>
                        <w:tcW w:w="359" w:type="dxa"/>
                        <w:tcBorders>
                          <w:top w:val="single" w:sz="6" w:space="0" w:color="000000"/>
                          <w:left w:val="nil" w:sz="6" w:space="0" w:color="auto"/>
                          <w:bottom w:val="single" w:sz="6" w:space="0" w:color="000000"/>
                          <w:right w:val="single" w:sz="7" w:space="0" w:color="000000"/>
                        </w:tcBorders>
                      </w:tcPr>
                      <w:p>
                        <w:pPr/>
                      </w:p>
                    </w:tc>
                    <w:tc>
                      <w:tcPr>
                        <w:tcW w:w="181" w:type="dxa"/>
                        <w:tcBorders>
                          <w:top w:val="single" w:sz="6" w:space="0" w:color="000000"/>
                          <w:left w:val="single" w:sz="7" w:space="0" w:color="000000"/>
                          <w:bottom w:val="single" w:sz="6" w:space="0" w:color="000000"/>
                          <w:right w:val="nil" w:sz="6" w:space="0" w:color="auto"/>
                        </w:tcBorders>
                      </w:tcPr>
                      <w:p>
                        <w:pPr/>
                      </w:p>
                    </w:tc>
                  </w:tr>
                  <w:tr>
                    <w:trPr>
                      <w:trHeight w:val="4836" w:hRule="exact"/>
                    </w:trPr>
                    <w:tc>
                      <w:tcPr>
                        <w:tcW w:w="540" w:type="dxa"/>
                        <w:gridSpan w:val="2"/>
                        <w:tcBorders>
                          <w:top w:val="single" w:sz="6" w:space="0" w:color="000000"/>
                          <w:left w:val="single" w:sz="6" w:space="0" w:color="000000"/>
                          <w:bottom w:val="single" w:sz="6" w:space="0" w:color="000000"/>
                          <w:right w:val="single" w:sz="6" w:space="0" w:color="000000"/>
                        </w:tcBorders>
                      </w:tcPr>
                      <w:p>
                        <w:pPr>
                          <w:pStyle w:val="TableParagraph"/>
                          <w:spacing w:line="192" w:lineRule="auto" w:before="53"/>
                          <w:ind w:left="144" w:right="168"/>
                          <w:jc w:val="both"/>
                          <w:rPr>
                            <w:rFonts w:ascii="宋体" w:hAnsi="宋体" w:cs="宋体" w:eastAsia="宋体" w:hint="default"/>
                            <w:sz w:val="21"/>
                            <w:szCs w:val="21"/>
                          </w:rPr>
                        </w:pPr>
                        <w:r>
                          <w:rPr>
                            <w:rFonts w:ascii="宋体" w:hAnsi="宋体" w:cs="宋体" w:eastAsia="宋体" w:hint="default"/>
                            <w:sz w:val="21"/>
                            <w:szCs w:val="21"/>
                          </w:rPr>
                          <w:t>西 安 深 鸿 基 房 地 产 开 发 有 限 公 司</w:t>
                        </w:r>
                      </w:p>
                    </w:tc>
                  </w:tr>
                </w:tbl>
                <w:p>
                  <w:pPr/>
                </w:p>
              </w:txbxContent>
            </v:textbox>
            <w10:wrap type="none"/>
          </v:shape>
        </w:pict>
      </w:r>
      <w:r>
        <w:rPr/>
        <w:t>总</w:t>
        <w:tab/>
        <w:t>总</w:t>
        <w:tab/>
      </w:r>
      <w:r>
        <w:rPr>
          <w:position w:val="-1"/>
        </w:rPr>
        <w:t>务</w:t>
      </w:r>
      <w:r>
        <w:rPr/>
      </w:r>
    </w:p>
    <w:p>
      <w:pPr>
        <w:pStyle w:val="BodyText"/>
        <w:tabs>
          <w:tab w:pos="2809" w:val="left" w:leader="none"/>
          <w:tab w:pos="3903" w:val="left" w:leader="none"/>
        </w:tabs>
        <w:spacing w:line="244" w:lineRule="auto"/>
        <w:ind w:left="3903" w:right="644" w:hanging="2534"/>
        <w:jc w:val="right"/>
      </w:pPr>
      <w:r>
        <w:rPr/>
        <w:t>裁</w:t>
        <w:tab/>
        <w:t>裁</w:t>
        <w:tab/>
      </w:r>
      <w:r>
        <w:rPr>
          <w:position w:val="-2"/>
        </w:rPr>
        <w:t>总</w:t>
      </w:r>
      <w:r>
        <w:rPr>
          <w:position w:val="-2"/>
        </w:rPr>
        <w:t> </w:t>
      </w:r>
      <w:r>
        <w:rPr/>
        <w:t>监</w:t>
      </w:r>
    </w:p>
    <w:p>
      <w:pPr>
        <w:spacing w:after="0" w:line="244" w:lineRule="auto"/>
        <w:jc w:val="right"/>
        <w:sectPr>
          <w:type w:val="continuous"/>
          <w:pgSz w:w="11900" w:h="16840"/>
          <w:pgMar w:top="1600" w:bottom="280" w:left="1100" w:right="300"/>
          <w:cols w:num="2" w:equalWidth="0">
            <w:col w:w="5701" w:space="40"/>
            <w:col w:w="4759"/>
          </w:cols>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00" w:h="16840"/>
          <w:pgMar w:top="1600" w:bottom="280" w:left="1100" w:right="300"/>
        </w:sectPr>
      </w:pPr>
    </w:p>
    <w:p>
      <w:pPr>
        <w:pStyle w:val="BodyText"/>
        <w:tabs>
          <w:tab w:pos="2609" w:val="left" w:leader="none"/>
          <w:tab w:pos="3330" w:val="left" w:leader="none"/>
          <w:tab w:pos="4050" w:val="left" w:leader="none"/>
          <w:tab w:pos="4770" w:val="left" w:leader="none"/>
          <w:tab w:pos="5490" w:val="left" w:leader="none"/>
        </w:tabs>
        <w:spacing w:line="146" w:lineRule="auto" w:before="131"/>
        <w:ind w:left="2609" w:right="0" w:hanging="2339"/>
        <w:jc w:val="left"/>
      </w:pPr>
      <w:r>
        <w:rPr>
          <w:position w:val="-4"/>
        </w:rPr>
        <w:t>审</w:t>
        <w:tab/>
      </w:r>
      <w:r>
        <w:rPr/>
        <w:t>行</w:t>
        <w:tab/>
        <w:t>人</w:t>
        <w:tab/>
        <w:t>绩</w:t>
        <w:tab/>
        <w:t>法</w:t>
        <w:tab/>
        <w:t>资</w:t>
      </w:r>
      <w:r>
        <w:rPr/>
        <w:t> 政</w:t>
        <w:tab/>
        <w:t>力</w:t>
        <w:tab/>
        <w:t>效</w:t>
        <w:tab/>
        <w:t>律</w:t>
        <w:tab/>
        <w:t>产</w:t>
      </w:r>
    </w:p>
    <w:p>
      <w:pPr>
        <w:pStyle w:val="BodyText"/>
        <w:tabs>
          <w:tab w:pos="2609" w:val="left" w:leader="none"/>
          <w:tab w:pos="3330" w:val="left" w:leader="none"/>
          <w:tab w:pos="4050" w:val="left" w:leader="none"/>
          <w:tab w:pos="4770" w:val="left" w:leader="none"/>
          <w:tab w:pos="5490" w:val="left" w:leader="none"/>
        </w:tabs>
        <w:spacing w:line="170" w:lineRule="exact"/>
        <w:ind w:left="270" w:right="-20"/>
        <w:jc w:val="left"/>
      </w:pPr>
      <w:r>
        <w:rPr>
          <w:position w:val="8"/>
        </w:rPr>
        <w:t>计</w:t>
        <w:tab/>
      </w:r>
      <w:r>
        <w:rPr/>
        <w:t>办</w:t>
        <w:tab/>
        <w:t>资</w:t>
        <w:tab/>
        <w:t>管</w:t>
        <w:tab/>
        <w:t>事</w:t>
        <w:tab/>
        <w:t>管</w:t>
      </w:r>
    </w:p>
    <w:p>
      <w:pPr>
        <w:pStyle w:val="BodyText"/>
        <w:tabs>
          <w:tab w:pos="2609" w:val="left" w:leader="none"/>
          <w:tab w:pos="3330" w:val="left" w:leader="none"/>
          <w:tab w:pos="4050" w:val="left" w:leader="none"/>
          <w:tab w:pos="4770" w:val="left" w:leader="none"/>
          <w:tab w:pos="5490" w:val="left" w:leader="none"/>
        </w:tabs>
        <w:spacing w:line="175" w:lineRule="auto" w:before="26"/>
        <w:ind w:left="2609" w:right="0" w:hanging="2339"/>
        <w:jc w:val="left"/>
      </w:pPr>
      <w:r>
        <w:rPr>
          <w:position w:val="1"/>
        </w:rPr>
        <w:t>部</w:t>
        <w:tab/>
      </w:r>
      <w:r>
        <w:rPr/>
        <w:t>公</w:t>
        <w:tab/>
        <w:t>源</w:t>
        <w:tab/>
        <w:t>理</w:t>
        <w:tab/>
        <w:t>务</w:t>
        <w:tab/>
        <w:t>理</w:t>
      </w:r>
      <w:r>
        <w:rPr/>
        <w:t> 室</w:t>
        <w:tab/>
        <w:t>部</w:t>
        <w:tab/>
        <w:t>部</w:t>
        <w:tab/>
        <w:t>部</w:t>
        <w:tab/>
        <w:t>部</w:t>
      </w:r>
    </w:p>
    <w:p>
      <w:pPr>
        <w:pStyle w:val="BodyText"/>
        <w:tabs>
          <w:tab w:pos="1710" w:val="left" w:leader="none"/>
        </w:tabs>
        <w:spacing w:line="262" w:lineRule="exact" w:before="52"/>
        <w:ind w:left="270" w:right="0"/>
        <w:jc w:val="both"/>
      </w:pPr>
      <w:r>
        <w:rPr/>
        <w:br w:type="column"/>
      </w:r>
      <w:r>
        <w:rPr/>
        <w:t>深</w:t>
        <w:tab/>
        <w:t>福     </w:t>
      </w:r>
      <w:r>
        <w:rPr>
          <w:position w:val="-2"/>
        </w:rPr>
        <w:t>财   </w:t>
      </w:r>
      <w:r>
        <w:rPr>
          <w:spacing w:val="75"/>
          <w:position w:val="-2"/>
        </w:rPr>
        <w:t> </w:t>
      </w:r>
      <w:r>
        <w:rPr>
          <w:position w:val="-2"/>
        </w:rPr>
        <w:t>资</w:t>
      </w:r>
      <w:r>
        <w:rPr/>
      </w:r>
    </w:p>
    <w:p>
      <w:pPr>
        <w:pStyle w:val="BodyText"/>
        <w:tabs>
          <w:tab w:pos="1710" w:val="left" w:leader="none"/>
        </w:tabs>
        <w:spacing w:line="250" w:lineRule="exact"/>
        <w:ind w:left="270" w:right="0"/>
        <w:jc w:val="both"/>
      </w:pPr>
      <w:r>
        <w:rPr/>
        <w:t>圳</w:t>
        <w:tab/>
        <w:t>建     </w:t>
      </w:r>
      <w:r>
        <w:rPr>
          <w:position w:val="-8"/>
        </w:rPr>
        <w:t>务   </w:t>
      </w:r>
      <w:r>
        <w:rPr>
          <w:spacing w:val="75"/>
          <w:position w:val="-8"/>
        </w:rPr>
        <w:t> </w:t>
      </w:r>
      <w:r>
        <w:rPr>
          <w:position w:val="-8"/>
        </w:rPr>
        <w:t>金</w:t>
      </w:r>
      <w:r>
        <w:rPr/>
      </w:r>
    </w:p>
    <w:p>
      <w:pPr>
        <w:pStyle w:val="BodyText"/>
        <w:tabs>
          <w:tab w:pos="1710" w:val="left" w:leader="none"/>
        </w:tabs>
        <w:spacing w:line="135" w:lineRule="exact"/>
        <w:ind w:left="270" w:right="0"/>
        <w:jc w:val="both"/>
      </w:pPr>
      <w:r>
        <w:rPr/>
        <w:pict>
          <v:shape style="position:absolute;margin-left:518.520020pt;margin-top:6.509594pt;width:10.5pt;height:10.5pt;mso-position-horizontal-relative:page;mso-position-vertical-relative:paragraph;z-index:-810184" type="#_x0000_t202" filled="false" stroked="false">
            <v:textbox inset="0,0,0,0">
              <w:txbxContent>
                <w:p>
                  <w:pPr>
                    <w:pStyle w:val="BodyText"/>
                    <w:spacing w:line="210" w:lineRule="exact"/>
                    <w:ind w:left="0" w:right="0"/>
                    <w:jc w:val="left"/>
                  </w:pPr>
                  <w:r>
                    <w:rPr/>
                    <w:t>部</w:t>
                  </w:r>
                </w:p>
              </w:txbxContent>
            </v:textbox>
            <w10:wrap type="none"/>
          </v:shape>
        </w:pict>
      </w:r>
      <w:r>
        <w:rPr/>
        <w:t>深</w:t>
        <w:tab/>
        <w:t>江</w:t>
      </w:r>
    </w:p>
    <w:p>
      <w:pPr>
        <w:pStyle w:val="BodyText"/>
        <w:tabs>
          <w:tab w:pos="1710" w:val="left" w:leader="none"/>
          <w:tab w:pos="3150" w:val="left" w:leader="none"/>
        </w:tabs>
        <w:spacing w:line="260" w:lineRule="exact"/>
        <w:ind w:left="270" w:right="0"/>
        <w:jc w:val="both"/>
      </w:pPr>
      <w:r>
        <w:rPr/>
        <w:t>运</w:t>
        <w:tab/>
        <w:t>西</w:t>
        <w:tab/>
      </w:r>
      <w:r>
        <w:rPr>
          <w:position w:val="8"/>
        </w:rPr>
        <w:t>部</w:t>
      </w:r>
      <w:r>
        <w:rPr/>
      </w:r>
    </w:p>
    <w:p>
      <w:pPr>
        <w:pStyle w:val="BodyText"/>
        <w:tabs>
          <w:tab w:pos="1710" w:val="left" w:leader="none"/>
        </w:tabs>
        <w:spacing w:line="220" w:lineRule="exact"/>
        <w:ind w:left="270" w:right="0"/>
        <w:jc w:val="both"/>
      </w:pPr>
      <w:r>
        <w:rPr/>
        <w:t>工</w:t>
        <w:tab/>
        <w:t>房</w:t>
      </w:r>
    </w:p>
    <w:p>
      <w:pPr>
        <w:pStyle w:val="BodyText"/>
        <w:tabs>
          <w:tab w:pos="1710" w:val="left" w:leader="none"/>
        </w:tabs>
        <w:spacing w:line="220" w:lineRule="exact"/>
        <w:ind w:left="270" w:right="0"/>
        <w:jc w:val="both"/>
      </w:pPr>
      <w:r>
        <w:rPr/>
        <w:t>贸</w:t>
        <w:tab/>
        <w:t>地</w:t>
      </w:r>
    </w:p>
    <w:p>
      <w:pPr>
        <w:pStyle w:val="BodyText"/>
        <w:tabs>
          <w:tab w:pos="1710" w:val="left" w:leader="none"/>
        </w:tabs>
        <w:spacing w:line="220" w:lineRule="exact"/>
        <w:ind w:left="270" w:right="0"/>
        <w:jc w:val="both"/>
      </w:pPr>
      <w:r>
        <w:rPr/>
        <w:t>有</w:t>
        <w:tab/>
        <w:t>产</w:t>
      </w:r>
    </w:p>
    <w:p>
      <w:pPr>
        <w:pStyle w:val="BodyText"/>
        <w:tabs>
          <w:tab w:pos="1710" w:val="left" w:leader="none"/>
        </w:tabs>
        <w:spacing w:line="220" w:lineRule="exact"/>
        <w:ind w:left="270" w:right="0"/>
        <w:jc w:val="both"/>
      </w:pPr>
      <w:r>
        <w:rPr/>
        <w:t>限</w:t>
        <w:tab/>
        <w:t>项</w:t>
      </w:r>
    </w:p>
    <w:p>
      <w:pPr>
        <w:pStyle w:val="BodyText"/>
        <w:tabs>
          <w:tab w:pos="1710" w:val="left" w:leader="none"/>
        </w:tabs>
        <w:spacing w:line="220" w:lineRule="exact"/>
        <w:ind w:left="270" w:right="0"/>
        <w:jc w:val="both"/>
      </w:pPr>
      <w:r>
        <w:rPr/>
        <w:t>公</w:t>
        <w:tab/>
        <w:t>目</w:t>
      </w:r>
    </w:p>
    <w:p>
      <w:pPr>
        <w:pStyle w:val="BodyText"/>
        <w:tabs>
          <w:tab w:pos="1710" w:val="left" w:leader="none"/>
        </w:tabs>
        <w:spacing w:line="220" w:lineRule="exact"/>
        <w:ind w:left="270" w:right="0"/>
        <w:jc w:val="both"/>
      </w:pPr>
      <w:r>
        <w:rPr/>
        <w:t>司</w:t>
        <w:tab/>
        <w:t>拓</w:t>
      </w:r>
    </w:p>
    <w:p>
      <w:pPr>
        <w:pStyle w:val="BodyText"/>
        <w:tabs>
          <w:tab w:pos="1710" w:val="left" w:leader="none"/>
        </w:tabs>
        <w:spacing w:line="220" w:lineRule="exact"/>
        <w:ind w:left="270" w:right="0"/>
        <w:jc w:val="both"/>
      </w:pPr>
      <w:r>
        <w:rPr/>
        <w:t>及</w:t>
        <w:tab/>
        <w:t>展</w:t>
      </w:r>
    </w:p>
    <w:p>
      <w:pPr>
        <w:pStyle w:val="BodyText"/>
        <w:spacing w:line="192" w:lineRule="auto" w:before="21"/>
        <w:ind w:left="270" w:right="3177"/>
        <w:jc w:val="both"/>
      </w:pPr>
      <w:r>
        <w:rPr/>
        <w:t>酒 店 业</w:t>
      </w:r>
    </w:p>
    <w:p>
      <w:pPr>
        <w:spacing w:after="0" w:line="192" w:lineRule="auto"/>
        <w:jc w:val="both"/>
        <w:sectPr>
          <w:type w:val="continuous"/>
          <w:pgSz w:w="11900" w:h="16840"/>
          <w:pgMar w:top="1600" w:bottom="280" w:left="1100" w:right="300"/>
          <w:cols w:num="2" w:equalWidth="0">
            <w:col w:w="5701" w:space="1139"/>
            <w:col w:w="3660"/>
          </w:cols>
        </w:sectPr>
      </w:pPr>
    </w:p>
    <w:p>
      <w:pPr>
        <w:pStyle w:val="BodyText"/>
        <w:spacing w:line="348" w:lineRule="auto" w:before="15"/>
        <w:ind w:left="610" w:right="200" w:hanging="214"/>
        <w:jc w:val="left"/>
      </w:pPr>
      <w:r>
        <w:rPr/>
        <w:t>（二）公司内部控制制度建设情况</w:t>
      </w:r>
      <w:r>
        <w:rPr>
          <w:spacing w:val="-97"/>
        </w:rPr>
        <w:t> </w:t>
      </w:r>
      <w:r>
        <w:rPr>
          <w:spacing w:val="-97"/>
        </w:rPr>
      </w:r>
      <w:r>
        <w:rPr/>
        <w:t>为加强公司内部控制，提高公司内部控制管理水平，促进公司规范运作和健康发展，保护</w:t>
      </w:r>
    </w:p>
    <w:p>
      <w:pPr>
        <w:pStyle w:val="BodyText"/>
        <w:spacing w:line="240" w:lineRule="auto" w:before="31"/>
        <w:ind w:right="0"/>
        <w:jc w:val="both"/>
      </w:pPr>
      <w:r>
        <w:rPr/>
        <w:t>投资者合法权益，保障公司资产的安全和完整，防范和控制公司风险，公司按照《公司法》、</w:t>
      </w:r>
    </w:p>
    <w:p>
      <w:pPr>
        <w:pStyle w:val="BodyText"/>
        <w:spacing w:line="350" w:lineRule="auto" w:before="125"/>
        <w:ind w:right="208"/>
        <w:jc w:val="both"/>
      </w:pPr>
      <w:r>
        <w:rPr/>
        <w:t>《证券法》、《上市公司治理准则》、《上市公司内部控制指引》等法律法规和规范性文件的</w:t>
      </w:r>
      <w:r>
        <w:rPr>
          <w:spacing w:val="-99"/>
        </w:rPr>
        <w:t> </w:t>
      </w:r>
      <w:r>
        <w:rPr>
          <w:spacing w:val="-99"/>
        </w:rPr>
      </w:r>
      <w:r>
        <w:rPr/>
        <w:t>要求，根据公司实际情况，公司建立了较为完善的内部控制制度管理体系，内控制度贯穿于公</w:t>
      </w:r>
      <w:r>
        <w:rPr>
          <w:spacing w:val="-99"/>
        </w:rPr>
        <w:t> </w:t>
      </w:r>
      <w:r>
        <w:rPr>
          <w:spacing w:val="-99"/>
        </w:rPr>
      </w:r>
      <w:r>
        <w:rPr>
          <w:spacing w:val="-5"/>
        </w:rPr>
        <w:t>司生产经营管理活动的各层面和各个环节。主要有《公司章程》、《股东大会议事规则》、《董</w:t>
      </w:r>
      <w:r>
        <w:rPr>
          <w:spacing w:val="-101"/>
        </w:rPr>
        <w:t> </w:t>
      </w:r>
      <w:r>
        <w:rPr>
          <w:spacing w:val="-101"/>
        </w:rPr>
      </w:r>
      <w:r>
        <w:rPr/>
        <w:t>事局议事规则》、《监事会议事规则》《财务管理制度》、《会计核算制度》、《固定资产管</w:t>
      </w:r>
      <w:r>
        <w:rPr>
          <w:spacing w:val="-99"/>
        </w:rPr>
        <w:t> </w:t>
      </w:r>
      <w:r>
        <w:rPr>
          <w:spacing w:val="-99"/>
        </w:rPr>
      </w:r>
      <w:r>
        <w:rPr>
          <w:spacing w:val="-5"/>
        </w:rPr>
        <w:t>理制度》《信息披露及管理制度》、《募集资金管理制度》、《重大信息内部报告制度》、《内</w:t>
      </w:r>
      <w:r>
        <w:rPr>
          <w:spacing w:val="-99"/>
        </w:rPr>
        <w:t> </w:t>
      </w:r>
      <w:r>
        <w:rPr>
          <w:spacing w:val="-99"/>
        </w:rPr>
      </w:r>
      <w:r>
        <w:rPr/>
        <w:t>部控制制度》、《融资管理规定》、《担保管理规定》、《项目投资管理制度》、《全资及控</w:t>
      </w:r>
      <w:r>
        <w:rPr>
          <w:spacing w:val="-99"/>
        </w:rPr>
        <w:t> </w:t>
      </w:r>
      <w:r>
        <w:rPr>
          <w:spacing w:val="-99"/>
        </w:rPr>
      </w:r>
      <w:r>
        <w:rPr/>
        <w:t>股子公司管理制度》、《全资及控股子公司经营管理目标责任制度》、《安全生产管理制度》</w:t>
      </w:r>
      <w:r>
        <w:rPr>
          <w:spacing w:val="-99"/>
        </w:rPr>
        <w:t> </w:t>
      </w:r>
      <w:r>
        <w:rPr>
          <w:spacing w:val="-99"/>
        </w:rPr>
      </w:r>
      <w:r>
        <w:rPr/>
        <w:t>等与生产经营活动有关的相关制度。</w:t>
      </w:r>
    </w:p>
    <w:p>
      <w:pPr>
        <w:pStyle w:val="BodyText"/>
        <w:spacing w:line="240" w:lineRule="auto" w:before="29"/>
        <w:ind w:left="610" w:right="0"/>
        <w:jc w:val="left"/>
      </w:pPr>
      <w:r>
        <w:rPr>
          <w:spacing w:val="-8"/>
        </w:rPr>
        <w:t>报告期内，公司为进一步完善相关管理制度，制订了《公司内幕信息知情人登记管理制度》、</w:t>
      </w:r>
    </w:p>
    <w:p>
      <w:pPr>
        <w:pStyle w:val="BodyText"/>
        <w:spacing w:line="350" w:lineRule="auto" w:before="125"/>
        <w:ind w:right="208"/>
        <w:jc w:val="both"/>
      </w:pPr>
      <w:r>
        <w:rPr/>
        <w:t>《公司会计师事务所选聘制度》、《房地产成本管理办法》、《房地产项目三项目标管理实施</w:t>
      </w:r>
      <w:r>
        <w:rPr>
          <w:spacing w:val="-99"/>
        </w:rPr>
        <w:t> </w:t>
      </w:r>
      <w:r>
        <w:rPr>
          <w:spacing w:val="-99"/>
        </w:rPr>
      </w:r>
      <w:r>
        <w:rPr/>
        <w:t>办法》，修订了《公司章程》、《公司对外担保管理规定》等，这些制度的制定和修订，进一</w:t>
      </w:r>
      <w:r>
        <w:rPr>
          <w:spacing w:val="-99"/>
        </w:rPr>
        <w:t> </w:t>
      </w:r>
      <w:r>
        <w:rPr>
          <w:spacing w:val="-99"/>
        </w:rPr>
      </w:r>
      <w:r>
        <w:rPr/>
        <w:t>步明确了股东大会、董事局、监事会和管理层的相关职权及相互关系，明确了股东、董事、监</w:t>
      </w:r>
      <w:r>
        <w:rPr>
          <w:spacing w:val="-99"/>
        </w:rPr>
        <w:t> </w:t>
      </w:r>
      <w:r>
        <w:rPr>
          <w:spacing w:val="-99"/>
        </w:rPr>
      </w:r>
      <w:r>
        <w:rPr/>
        <w:t>事和高级管理人员的权利义务及与三会的关系，从而为公司不断加强内部控制管理和监督，提</w:t>
      </w:r>
      <w:r>
        <w:rPr>
          <w:spacing w:val="-99"/>
        </w:rPr>
        <w:t> </w:t>
      </w:r>
      <w:r>
        <w:rPr>
          <w:spacing w:val="-99"/>
        </w:rPr>
      </w:r>
      <w:r>
        <w:rPr/>
        <w:t>高和规范公司运作水平提供了保证。</w:t>
      </w:r>
    </w:p>
    <w:p>
      <w:pPr>
        <w:pStyle w:val="BodyText"/>
        <w:spacing w:line="348" w:lineRule="auto" w:before="29"/>
        <w:ind w:left="610" w:right="200" w:firstLine="2"/>
        <w:jc w:val="left"/>
      </w:pPr>
      <w:r>
        <w:rPr/>
        <w:t>（三）公司内部控制职能部门设置情况</w:t>
      </w:r>
      <w:r>
        <w:rPr>
          <w:spacing w:val="-98"/>
        </w:rPr>
        <w:t> </w:t>
      </w:r>
      <w:r>
        <w:rPr>
          <w:spacing w:val="-98"/>
        </w:rPr>
      </w:r>
      <w:r>
        <w:rPr/>
        <w:t>董事局审计委员会及独立董事负责审查企业内部控制，监督内部控制的有效实施和内部控</w:t>
      </w:r>
    </w:p>
    <w:p>
      <w:pPr>
        <w:pStyle w:val="BodyText"/>
        <w:spacing w:line="350" w:lineRule="auto" w:before="30"/>
        <w:ind w:right="208"/>
        <w:jc w:val="both"/>
      </w:pPr>
      <w:r>
        <w:rPr/>
        <w:t>制自我评价情况，协调内部控制审计及其他相关事宜等。公司为加强内部审计工作，专门设立</w:t>
      </w:r>
      <w:r>
        <w:rPr>
          <w:spacing w:val="-99"/>
        </w:rPr>
        <w:t> </w:t>
      </w:r>
      <w:r>
        <w:rPr>
          <w:spacing w:val="-99"/>
        </w:rPr>
      </w:r>
      <w:r>
        <w:rPr/>
        <w:t>了审计部，并配备了专职审计人员，从而为各项审计工作的顺利开展提供了保证，审计部门负</w:t>
      </w:r>
      <w:r>
        <w:rPr>
          <w:spacing w:val="-99"/>
        </w:rPr>
        <w:t> </w:t>
      </w:r>
      <w:r>
        <w:rPr>
          <w:spacing w:val="-99"/>
        </w:rPr>
      </w:r>
      <w:r>
        <w:rPr/>
        <w:t>责对内部控制的有效性进行监督检查，对监督检查中发现的重大缺陷，有权直接向监事会、董</w:t>
      </w:r>
      <w:r>
        <w:rPr>
          <w:spacing w:val="-99"/>
        </w:rPr>
        <w:t> </w:t>
      </w:r>
      <w:r>
        <w:rPr>
          <w:spacing w:val="-99"/>
        </w:rPr>
      </w:r>
      <w:r>
        <w:rPr/>
        <w:t>事局及其审计委员会报告。</w:t>
      </w:r>
    </w:p>
    <w:p>
      <w:pPr>
        <w:pStyle w:val="BodyText"/>
        <w:spacing w:line="240" w:lineRule="auto" w:before="29"/>
        <w:ind w:left="613" w:right="0"/>
        <w:jc w:val="left"/>
      </w:pPr>
      <w:r>
        <w:rPr/>
        <w:t>二、重点控制活动</w:t>
      </w:r>
    </w:p>
    <w:p>
      <w:pPr>
        <w:pStyle w:val="BodyText"/>
        <w:spacing w:line="348" w:lineRule="auto" w:before="125"/>
        <w:ind w:left="716" w:right="0" w:hanging="104"/>
        <w:jc w:val="left"/>
      </w:pPr>
      <w:r>
        <w:rPr/>
        <w:t>（一）对控股子公司的内部控制情况</w:t>
      </w:r>
      <w:r>
        <w:rPr>
          <w:spacing w:val="-97"/>
        </w:rPr>
        <w:t> </w:t>
      </w:r>
      <w:r>
        <w:rPr>
          <w:spacing w:val="-97"/>
        </w:rPr>
      </w:r>
      <w:r>
        <w:rPr>
          <w:spacing w:val="-3"/>
        </w:rPr>
        <w:t>公司严格依据《内部控制制度》、《全资及控股子公司管理制度》及《信息披露及管理制</w:t>
      </w:r>
    </w:p>
    <w:p>
      <w:pPr>
        <w:pStyle w:val="BodyText"/>
        <w:spacing w:line="350" w:lineRule="auto" w:before="31"/>
        <w:ind w:right="0"/>
        <w:jc w:val="left"/>
      </w:pPr>
      <w:r>
        <w:rPr/>
        <w:t>度》对各控股子公司的经营、财务、投资、抵押担保等活动进行监督管理。控股子公司必须按 时报送财务报表和各项内部管理报表，并对子公司实施定期或不定期的审计监督，通过监督和 检查，保证了控股子公司规范运作和依法经营，积极地促进了控股子公司经营管理行为与公司 保持一致；控股子公司的主要负责人和财务负责人由本公司委派或推荐的人选担任，其股东大 会或董事会做出的决议及时向本公司报告；公司年初与控股子公司签订经营管理目标责任制合 </w:t>
      </w:r>
      <w:r>
        <w:rPr>
          <w:spacing w:val="-3"/>
        </w:rPr>
        <w:t>同，下达年度经营考核指标，并要求控股子公司每月结束后将财务报表和经营情况向公司汇报，</w:t>
      </w:r>
      <w:r>
        <w:rPr>
          <w:spacing w:val="-79"/>
        </w:rPr>
        <w:t> </w:t>
      </w:r>
      <w:r>
        <w:rPr>
          <w:spacing w:val="-79"/>
        </w:rPr>
      </w:r>
      <w:r>
        <w:rPr/>
        <w:t>公司绩效管理部门对相关数据进行统计、分析，对签订了合同的企业履行合同情况进行跟踪， 同时还通过到各企业走访、直接与企业管理者沟通的方式了解企业实际经营管理情况，并对问</w:t>
      </w:r>
    </w:p>
    <w:p>
      <w:pPr>
        <w:spacing w:after="0" w:line="350" w:lineRule="auto"/>
        <w:jc w:val="left"/>
        <w:sectPr>
          <w:pgSz w:w="11900" w:h="16840"/>
          <w:pgMar w:header="0" w:footer="939" w:top="1500" w:bottom="1120" w:left="1680" w:right="1200"/>
        </w:sectPr>
      </w:pPr>
    </w:p>
    <w:p>
      <w:pPr>
        <w:pStyle w:val="BodyText"/>
        <w:spacing w:line="350" w:lineRule="auto" w:before="15"/>
        <w:ind w:right="217"/>
        <w:jc w:val="both"/>
      </w:pPr>
      <w:r>
        <w:rPr/>
        <w:t>题较多或较突出的企业责令改正，同时，要求下属企业的财务人员一定要服从集团公司财务部 门的监督和管理。公司还组织相关职能部门人员组成检查小组，对公司各二级企业年度经营管 理目标的执行情况进行了初审和检查，为搞好各企业年度考核和制订下一年经营目标计划做好 准备；控股子公司应公司董事局秘书办公室或财务部的临时要求，提供相应时段的经营情况报 告及财务报表；控股子公司的对外担保、对外投资由公司审批。</w:t>
      </w:r>
    </w:p>
    <w:p>
      <w:pPr>
        <w:pStyle w:val="BodyText"/>
        <w:spacing w:line="240" w:lineRule="auto" w:before="29"/>
        <w:ind w:left="610" w:right="0"/>
        <w:jc w:val="left"/>
      </w:pPr>
      <w:r>
        <w:rPr/>
        <w:t>报告期内，公司对控股子公司的监督和管控得到了有效的加强，控制力进一步提升。</w:t>
      </w:r>
    </w:p>
    <w:p>
      <w:pPr>
        <w:pStyle w:val="BodyText"/>
        <w:spacing w:line="348" w:lineRule="auto" w:before="125"/>
        <w:ind w:left="610" w:right="200" w:firstLine="2"/>
        <w:jc w:val="left"/>
      </w:pPr>
      <w:r>
        <w:rPr/>
        <w:t>（二）公司对关联交易的内部控制情况</w:t>
      </w:r>
      <w:r>
        <w:rPr>
          <w:spacing w:val="-98"/>
        </w:rPr>
        <w:t> </w:t>
      </w:r>
      <w:r>
        <w:rPr>
          <w:spacing w:val="-98"/>
        </w:rPr>
      </w:r>
      <w:r>
        <w:rPr/>
        <w:t>报告期内，公司严格按照《深圳证券交易所股票上市规则》和公司《关联交易实施细则》</w:t>
      </w:r>
    </w:p>
    <w:p>
      <w:pPr>
        <w:pStyle w:val="BodyText"/>
        <w:spacing w:line="350" w:lineRule="auto" w:before="31"/>
        <w:ind w:right="208"/>
        <w:jc w:val="both"/>
      </w:pPr>
      <w:r>
        <w:rPr/>
        <w:t>的规定执行，保证公司与关联方之间订立的关联交易合同符合公平、公开、公正的原则，并对</w:t>
      </w:r>
      <w:r>
        <w:rPr>
          <w:spacing w:val="-99"/>
        </w:rPr>
        <w:t> </w:t>
      </w:r>
      <w:r>
        <w:rPr>
          <w:spacing w:val="-99"/>
        </w:rPr>
      </w:r>
      <w:r>
        <w:rPr/>
        <w:t>关联交易及时履行信息披露义务。公司在履行关联交易的董事局和股东大会决策程序时，关联</w:t>
      </w:r>
      <w:r>
        <w:rPr>
          <w:spacing w:val="-99"/>
        </w:rPr>
        <w:t> </w:t>
      </w:r>
      <w:r>
        <w:rPr>
          <w:spacing w:val="-99"/>
        </w:rPr>
      </w:r>
      <w:r>
        <w:rPr/>
        <w:t>董事、关联股东均执行了回避制度，独立董事亦对关联交易决策和审批程序发表了独立意见。</w:t>
      </w:r>
      <w:r>
        <w:rPr>
          <w:spacing w:val="-99"/>
        </w:rPr>
        <w:t> </w:t>
      </w:r>
      <w:r>
        <w:rPr>
          <w:spacing w:val="-99"/>
        </w:rPr>
      </w:r>
      <w:r>
        <w:rPr/>
        <w:t>公司对关联交易审议决策程序和信息披露符合《深圳证券交易所股票上市规则》和《上市公司</w:t>
      </w:r>
      <w:r>
        <w:rPr>
          <w:spacing w:val="-99"/>
        </w:rPr>
        <w:t> </w:t>
      </w:r>
      <w:r>
        <w:rPr>
          <w:spacing w:val="-99"/>
        </w:rPr>
      </w:r>
      <w:r>
        <w:rPr/>
        <w:t>内部控制指引》的要求。</w:t>
      </w:r>
    </w:p>
    <w:p>
      <w:pPr>
        <w:pStyle w:val="BodyText"/>
        <w:spacing w:line="350" w:lineRule="auto" w:before="28"/>
        <w:ind w:left="610" w:right="200" w:firstLine="2"/>
        <w:jc w:val="left"/>
      </w:pPr>
      <w:r>
        <w:rPr/>
        <w:t>（三）公司对外担保的内部控制情况</w:t>
      </w:r>
      <w:r>
        <w:rPr>
          <w:spacing w:val="-99"/>
        </w:rPr>
        <w:t> </w:t>
      </w:r>
      <w:r>
        <w:rPr>
          <w:spacing w:val="-99"/>
        </w:rPr>
      </w:r>
      <w:r>
        <w:rPr/>
        <w:t>报告期内，公司严格执行公司制订的《担保管理规定》和证监会下发的有关对外担保问题</w:t>
      </w:r>
    </w:p>
    <w:p>
      <w:pPr>
        <w:pStyle w:val="BodyText"/>
        <w:spacing w:line="345" w:lineRule="auto" w:before="28"/>
        <w:ind w:right="217"/>
        <w:jc w:val="both"/>
      </w:pPr>
      <w:r>
        <w:rPr/>
        <w:t>的规定，对发生的每笔贷款担保都履行了有效的审批决策程序和信息披露义务，并严格控制对 外担保风险，没有损害公司及其他股东利益的情况发生，不存在违规担保的行为。公司为资产 负债率超过</w:t>
      </w:r>
      <w:r>
        <w:rPr>
          <w:rFonts w:ascii="Times New Roman" w:hAnsi="Times New Roman" w:cs="Times New Roman" w:eastAsia="Times New Roman" w:hint="default"/>
        </w:rPr>
        <w:t>70</w:t>
      </w:r>
      <w:r>
        <w:rPr/>
        <w:t>％的控股子公司提供担保都按规定严格履行有效的审批决策程序，通过股东大会 最终审批通过，公司对控股子公司的担保均由于该公司主营业务的经营需要而提供，公司要求 控股子公司通过其业务收入逐步偿还银行贷款。</w:t>
      </w:r>
    </w:p>
    <w:p>
      <w:pPr>
        <w:pStyle w:val="BodyText"/>
        <w:spacing w:line="331" w:lineRule="auto" w:before="33"/>
        <w:ind w:right="0" w:firstLine="420"/>
        <w:jc w:val="left"/>
      </w:pPr>
      <w:r>
        <w:rPr>
          <w:w w:val="95"/>
        </w:rPr>
        <w:t>截止</w:t>
      </w:r>
      <w:r>
        <w:rPr>
          <w:rFonts w:ascii="Arial" w:hAnsi="Arial" w:cs="Arial" w:eastAsia="Arial" w:hint="default"/>
          <w:w w:val="95"/>
        </w:rPr>
        <w:t>2009</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日，公司对外担保余额合计人民币</w:t>
      </w:r>
      <w:r>
        <w:rPr>
          <w:rFonts w:ascii="Arial" w:hAnsi="Arial" w:cs="Arial" w:eastAsia="Arial" w:hint="default"/>
          <w:w w:val="95"/>
        </w:rPr>
        <w:t>34 , </w:t>
      </w:r>
      <w:r>
        <w:rPr>
          <w:rFonts w:ascii="Arial" w:hAnsi="Arial" w:cs="Arial" w:eastAsia="Arial" w:hint="default"/>
          <w:spacing w:val="-5"/>
          <w:w w:val="95"/>
        </w:rPr>
        <w:t>500</w:t>
      </w:r>
      <w:r>
        <w:rPr>
          <w:spacing w:val="-5"/>
          <w:w w:val="95"/>
        </w:rPr>
        <w:t>万元，较年初增加</w:t>
      </w:r>
      <w:r>
        <w:rPr>
          <w:rFonts w:ascii="Arial" w:hAnsi="Arial" w:cs="Arial" w:eastAsia="Arial" w:hint="default"/>
          <w:spacing w:val="-5"/>
          <w:w w:val="95"/>
        </w:rPr>
        <w:t>18 </w:t>
      </w:r>
      <w:r>
        <w:rPr>
          <w:rFonts w:ascii="Arial" w:hAnsi="Arial" w:cs="Arial" w:eastAsia="Arial" w:hint="default"/>
          <w:w w:val="95"/>
        </w:rPr>
        <w:t>,</w:t>
      </w:r>
      <w:r>
        <w:rPr>
          <w:rFonts w:ascii="Arial" w:hAnsi="Arial" w:cs="Arial" w:eastAsia="Arial" w:hint="default"/>
          <w:spacing w:val="19"/>
          <w:w w:val="95"/>
        </w:rPr>
        <w:t> </w:t>
      </w:r>
      <w:r>
        <w:rPr>
          <w:rFonts w:ascii="Arial" w:hAnsi="Arial" w:cs="Arial" w:eastAsia="Arial" w:hint="default"/>
          <w:w w:val="95"/>
        </w:rPr>
        <w:t>680</w:t>
      </w:r>
      <w:r>
        <w:rPr>
          <w:w w:val="95"/>
        </w:rPr>
        <w:t>万元，</w:t>
      </w:r>
      <w:r>
        <w:rPr/>
        <w:t> 全部为对控股子公司的担保，没有为非控股子公司和对外提供担保的情况。</w:t>
      </w:r>
    </w:p>
    <w:p>
      <w:pPr>
        <w:pStyle w:val="BodyText"/>
        <w:spacing w:line="350" w:lineRule="auto" w:before="45"/>
        <w:ind w:left="610" w:right="200" w:firstLine="2"/>
        <w:jc w:val="left"/>
      </w:pPr>
      <w:r>
        <w:rPr/>
        <w:t>（四）公司对募集资金使用的内部控制情况</w:t>
      </w:r>
      <w:r>
        <w:rPr>
          <w:spacing w:val="-95"/>
        </w:rPr>
        <w:t> </w:t>
      </w:r>
      <w:r>
        <w:rPr>
          <w:spacing w:val="-95"/>
        </w:rPr>
      </w:r>
      <w:r>
        <w:rPr/>
        <w:t>公司制定了《募集资金使用管理制度》，对募集资金投向及审批程序都作出了明确规定；</w:t>
      </w:r>
    </w:p>
    <w:p>
      <w:pPr>
        <w:pStyle w:val="BodyText"/>
        <w:spacing w:line="348" w:lineRule="auto" w:before="28"/>
        <w:ind w:right="217"/>
        <w:jc w:val="both"/>
      </w:pPr>
      <w:r>
        <w:rPr/>
        <w:t>本报告期内，公司没有募集资金投资项目或以前年度募集资金投资项目延续到本报告期内使用 的情况。</w:t>
      </w:r>
    </w:p>
    <w:p>
      <w:pPr>
        <w:pStyle w:val="BodyText"/>
        <w:spacing w:line="348" w:lineRule="auto" w:before="31"/>
        <w:ind w:left="610" w:right="200" w:firstLine="2"/>
        <w:jc w:val="left"/>
      </w:pPr>
      <w:r>
        <w:rPr/>
        <w:t>（五）公司对重大投资的内部控制情况</w:t>
      </w:r>
      <w:r>
        <w:rPr>
          <w:spacing w:val="-98"/>
        </w:rPr>
        <w:t> </w:t>
      </w:r>
      <w:r>
        <w:rPr>
          <w:spacing w:val="-98"/>
        </w:rPr>
      </w:r>
      <w:r>
        <w:rPr/>
        <w:t>报告期内，公司没有重大的对外投资事项，公司的其他投资事项已按照公司《项目投资管</w:t>
      </w:r>
    </w:p>
    <w:p>
      <w:pPr>
        <w:pStyle w:val="BodyText"/>
        <w:spacing w:line="240" w:lineRule="auto" w:before="30"/>
        <w:ind w:right="0"/>
        <w:jc w:val="both"/>
      </w:pPr>
      <w:r>
        <w:rPr/>
        <w:t>理制度》履行了所有的审批程序。</w:t>
      </w:r>
    </w:p>
    <w:p>
      <w:pPr>
        <w:pStyle w:val="BodyText"/>
        <w:spacing w:line="348" w:lineRule="auto" w:before="126"/>
        <w:ind w:left="610" w:right="0" w:firstLine="2"/>
        <w:jc w:val="left"/>
      </w:pPr>
      <w:r>
        <w:rPr/>
        <w:t>（六）公司对信息披露的内部控制情况</w:t>
      </w:r>
      <w:r>
        <w:rPr>
          <w:spacing w:val="-98"/>
        </w:rPr>
        <w:t> </w:t>
      </w:r>
      <w:r>
        <w:rPr>
          <w:spacing w:val="-98"/>
        </w:rPr>
      </w:r>
      <w:r>
        <w:rPr>
          <w:spacing w:val="-16"/>
        </w:rPr>
        <w:t>报告期内，公司继续严格按照《公司法》、《证券法》、《上市规则》、《深交所上市公司内部</w:t>
      </w:r>
    </w:p>
    <w:p>
      <w:pPr>
        <w:pStyle w:val="BodyText"/>
        <w:spacing w:line="350" w:lineRule="auto" w:before="30"/>
        <w:ind w:right="218" w:hanging="1"/>
        <w:jc w:val="both"/>
      </w:pPr>
      <w:r>
        <w:rPr>
          <w:spacing w:val="-10"/>
        </w:rPr>
        <w:t>控制指引》及公司《信息披露及管理制度》、《重大信息内部报告制度》、《内幕信息知情人登记</w:t>
      </w:r>
      <w:r>
        <w:rPr>
          <w:spacing w:val="-100"/>
        </w:rPr>
        <w:t> </w:t>
      </w:r>
      <w:r>
        <w:rPr>
          <w:spacing w:val="-100"/>
        </w:rPr>
      </w:r>
      <w:r>
        <w:rPr/>
        <w:t>制度》等相关法律、法规和规章制度的要求，做好公司信息披露及管理工作。</w:t>
      </w:r>
    </w:p>
    <w:p>
      <w:pPr>
        <w:pStyle w:val="BodyText"/>
        <w:spacing w:line="240" w:lineRule="auto" w:before="28"/>
        <w:ind w:left="716" w:right="0"/>
        <w:jc w:val="left"/>
      </w:pPr>
      <w:r>
        <w:rPr>
          <w:spacing w:val="-3"/>
        </w:rPr>
        <w:t>公司自</w:t>
      </w:r>
      <w:r>
        <w:rPr>
          <w:rFonts w:ascii="Arial" w:hAnsi="Arial" w:cs="Arial" w:eastAsia="Arial" w:hint="default"/>
          <w:spacing w:val="-3"/>
        </w:rPr>
        <w:t>2007</w:t>
      </w:r>
      <w:r>
        <w:rPr>
          <w:spacing w:val="-3"/>
        </w:rPr>
        <w:t>年起改进了信息披露工作流程管理，通过《公司重大信息内部报告暨信息披露</w:t>
      </w:r>
    </w:p>
    <w:p>
      <w:pPr>
        <w:spacing w:after="0" w:line="240" w:lineRule="auto"/>
        <w:jc w:val="left"/>
        <w:sectPr>
          <w:pgSz w:w="11900" w:h="16840"/>
          <w:pgMar w:header="0" w:footer="939" w:top="1500" w:bottom="1120" w:left="1680" w:right="1200"/>
        </w:sectPr>
      </w:pPr>
    </w:p>
    <w:p>
      <w:pPr>
        <w:pStyle w:val="BodyText"/>
        <w:spacing w:line="350" w:lineRule="auto" w:before="15"/>
        <w:ind w:right="0"/>
        <w:jc w:val="left"/>
      </w:pPr>
      <w:r>
        <w:rPr/>
        <w:t>呈递表》的形式，尽力确保内部重大信息的传递、归集、审批、披露等各环节留痕，当出现重 </w:t>
      </w:r>
      <w:r>
        <w:rPr>
          <w:spacing w:val="-3"/>
        </w:rPr>
        <w:t>大事项时，由相关部门填写《公司重大信息内部报告暨信息披露呈递表》，并加具负责人签名，</w:t>
      </w:r>
      <w:r>
        <w:rPr>
          <w:spacing w:val="-77"/>
        </w:rPr>
        <w:t> </w:t>
      </w:r>
      <w:r>
        <w:rPr>
          <w:spacing w:val="-77"/>
        </w:rPr>
      </w:r>
      <w:r>
        <w:rPr/>
        <w:t>然后由董办对相关信息进行合规性审查，并视具体情况，拟定信息披露文本，经相关领导和董 事局主席对文本格式及内容审批后，</w:t>
      </w:r>
      <w:r>
        <w:rPr>
          <w:spacing w:val="-42"/>
        </w:rPr>
        <w:t> </w:t>
      </w:r>
      <w:r>
        <w:rPr>
          <w:spacing w:val="-3"/>
        </w:rPr>
        <w:t>依程序办理对外披露工作。此种方式使信息披露工作的全</w:t>
      </w:r>
      <w:r>
        <w:rPr>
          <w:spacing w:val="-90"/>
        </w:rPr>
        <w:t> </w:t>
      </w:r>
      <w:r>
        <w:rPr>
          <w:spacing w:val="-90"/>
        </w:rPr>
      </w:r>
      <w:r>
        <w:rPr/>
        <w:t>过程更加清晰，有利于信息披露相关管理制度落实到位、责任落实到人。</w:t>
      </w:r>
    </w:p>
    <w:p>
      <w:pPr>
        <w:pStyle w:val="BodyText"/>
        <w:spacing w:line="345" w:lineRule="auto" w:before="29"/>
        <w:ind w:right="217" w:firstLine="420"/>
        <w:jc w:val="both"/>
      </w:pPr>
      <w:r>
        <w:rPr>
          <w:spacing w:val="-1"/>
        </w:rPr>
        <w:t>报告期公司共披露公告</w:t>
      </w:r>
      <w:r>
        <w:rPr>
          <w:rFonts w:ascii="Times New Roman" w:hAnsi="Times New Roman" w:cs="Times New Roman" w:eastAsia="Times New Roman" w:hint="default"/>
          <w:spacing w:val="-1"/>
        </w:rPr>
        <w:t>80</w:t>
      </w:r>
      <w:r>
        <w:rPr>
          <w:spacing w:val="-1"/>
        </w:rPr>
        <w:t>个，其中定期报告</w:t>
      </w:r>
      <w:r>
        <w:rPr>
          <w:rFonts w:ascii="Times New Roman" w:hAnsi="Times New Roman" w:cs="Times New Roman" w:eastAsia="Times New Roman" w:hint="default"/>
          <w:spacing w:val="-1"/>
        </w:rPr>
        <w:t>11</w:t>
      </w:r>
      <w:r>
        <w:rPr>
          <w:spacing w:val="-1"/>
        </w:rPr>
        <w:t>个，临时报告</w:t>
      </w:r>
      <w:r>
        <w:rPr>
          <w:rFonts w:ascii="Times New Roman" w:hAnsi="Times New Roman" w:cs="Times New Roman" w:eastAsia="Times New Roman" w:hint="default"/>
          <w:spacing w:val="-1"/>
        </w:rPr>
        <w:t>47</w:t>
      </w:r>
      <w:r>
        <w:rPr>
          <w:spacing w:val="-1"/>
        </w:rPr>
        <w:t>个，其他相关报告</w:t>
      </w:r>
      <w:r>
        <w:rPr>
          <w:rFonts w:ascii="Times New Roman" w:hAnsi="Times New Roman" w:cs="Times New Roman" w:eastAsia="Times New Roman" w:hint="default"/>
          <w:spacing w:val="-1"/>
        </w:rPr>
        <w:t>22</w:t>
      </w:r>
      <w:r>
        <w:rPr>
          <w:spacing w:val="-1"/>
        </w:rPr>
        <w:t>个，信</w:t>
      </w:r>
      <w:r>
        <w:rPr/>
        <w:t> 息披露内容涉及定期报告、对外担保、业绩预告、股东增持股份权益变动公告、偿还股改代垫 </w:t>
      </w:r>
      <w:r>
        <w:rPr>
          <w:spacing w:val="-6"/>
        </w:rPr>
        <w:t>对价公告、股东涉诉事项、资产置换公告等。公司历次公告均刊登于《中国证券报》、《证券时</w:t>
      </w:r>
      <w:r>
        <w:rPr>
          <w:spacing w:val="-65"/>
        </w:rPr>
        <w:t> </w:t>
      </w:r>
      <w:r>
        <w:rPr>
          <w:spacing w:val="-65"/>
        </w:rPr>
      </w:r>
      <w:r>
        <w:rPr/>
        <w:t>报》及巨潮网，公告文稿置备于董事局办公室供查阅。通过不断强化信息披露流程管理，公司 信息披露质量也不断提高，报告期公司各项信息披露做到了及时、准确、全面、完整，公司信 息披露工作总体情况良好。</w:t>
      </w:r>
    </w:p>
    <w:p>
      <w:pPr>
        <w:pStyle w:val="BodyText"/>
        <w:spacing w:line="348" w:lineRule="auto" w:before="33"/>
        <w:ind w:left="612" w:right="0" w:firstLine="1"/>
        <w:jc w:val="left"/>
      </w:pPr>
      <w:r>
        <w:rPr/>
        <w:t>（七）公司对财务管理的内部控制情况</w:t>
      </w:r>
      <w:r>
        <w:rPr>
          <w:spacing w:val="-97"/>
        </w:rPr>
        <w:t> </w:t>
      </w:r>
      <w:r>
        <w:rPr>
          <w:spacing w:val="-97"/>
        </w:rPr>
      </w:r>
      <w:r>
        <w:rPr>
          <w:spacing w:val="-16"/>
        </w:rPr>
        <w:t>报告期公司按照《公司法》、《证券法》、《深圳证券交易所股票上市规则》、《深圳证券交易</w:t>
      </w:r>
    </w:p>
    <w:p>
      <w:pPr>
        <w:pStyle w:val="BodyText"/>
        <w:spacing w:line="350" w:lineRule="auto" w:before="30"/>
        <w:ind w:right="0" w:hanging="1"/>
        <w:jc w:val="left"/>
      </w:pPr>
      <w:r>
        <w:rPr>
          <w:spacing w:val="-8"/>
        </w:rPr>
        <w:t>所上市公司内部控制指引》、《企业会计准则》等相关法律、法规和规章制度的要求，积极健全、</w:t>
      </w:r>
      <w:r>
        <w:rPr>
          <w:spacing w:val="-69"/>
        </w:rPr>
        <w:t> </w:t>
      </w:r>
      <w:r>
        <w:rPr>
          <w:spacing w:val="-69"/>
        </w:rPr>
      </w:r>
      <w:r>
        <w:rPr/>
        <w:t>完善公司财务管理内部控制体系，做好财务管理工作。</w:t>
      </w:r>
    </w:p>
    <w:p>
      <w:pPr>
        <w:pStyle w:val="BodyText"/>
        <w:spacing w:line="348" w:lineRule="auto" w:before="28"/>
        <w:ind w:right="208" w:firstLine="525"/>
        <w:jc w:val="both"/>
      </w:pPr>
      <w:r>
        <w:rPr>
          <w:rFonts w:ascii="Arial" w:hAnsi="Arial" w:cs="Arial" w:eastAsia="Arial" w:hint="default"/>
          <w:w w:val="95"/>
        </w:rPr>
        <w:t>1</w:t>
      </w:r>
      <w:r>
        <w:rPr>
          <w:w w:val="95"/>
        </w:rPr>
        <w:t>、随着燃料等各项经营成本的上涨，公司对加强各种经营成本和费用的控制尤其重视，</w:t>
      </w:r>
      <w:r>
        <w:rPr/>
        <w:t> 开展了“企业成本控制管理年”活动，规范了成本费用管理的各项基础工作，严格控制各项行</w:t>
      </w:r>
      <w:r>
        <w:rPr>
          <w:spacing w:val="-99"/>
        </w:rPr>
        <w:t> </w:t>
      </w:r>
      <w:r>
        <w:rPr>
          <w:spacing w:val="-99"/>
        </w:rPr>
      </w:r>
      <w:r>
        <w:rPr/>
        <w:t>政办公费用开支，减少不必要的出差、考察和对外接待费用，进一步加强了成本费用的控制。</w:t>
      </w:r>
      <w:r>
        <w:rPr>
          <w:spacing w:val="-99"/>
        </w:rPr>
        <w:t> </w:t>
      </w:r>
      <w:r>
        <w:rPr>
          <w:spacing w:val="-99"/>
        </w:rPr>
      </w:r>
      <w:r>
        <w:rPr/>
        <w:t>在应收款项管理方面，加强了对历史欠款和各种债权债务的追收工作，达到了盘活资产和提高</w:t>
      </w:r>
      <w:r>
        <w:rPr>
          <w:spacing w:val="-99"/>
        </w:rPr>
        <w:t> </w:t>
      </w:r>
      <w:r>
        <w:rPr>
          <w:spacing w:val="-99"/>
        </w:rPr>
      </w:r>
      <w:r>
        <w:rPr/>
        <w:t>应收账款周转率目的。公司根据产业结构向房地产业转型要求，编制下发了《房地产成本管理</w:t>
      </w:r>
      <w:r>
        <w:rPr>
          <w:spacing w:val="-99"/>
        </w:rPr>
        <w:t> </w:t>
      </w:r>
      <w:r>
        <w:rPr>
          <w:spacing w:val="-99"/>
        </w:rPr>
      </w:r>
      <w:r>
        <w:rPr/>
        <w:t>办法》、《房地产项目三项目标管理实施办法》，对公司房地产行业成本管理工作起到了指导</w:t>
      </w:r>
      <w:r>
        <w:rPr>
          <w:spacing w:val="-99"/>
        </w:rPr>
        <w:t> </w:t>
      </w:r>
      <w:r>
        <w:rPr>
          <w:spacing w:val="-99"/>
        </w:rPr>
      </w:r>
      <w:r>
        <w:rPr/>
        <w:t>和规范作用；公司对在建的房地产项目实施了目标成本和动态成本管理，形成项目动态成本季</w:t>
      </w:r>
      <w:r>
        <w:rPr>
          <w:spacing w:val="-99"/>
        </w:rPr>
        <w:t> </w:t>
      </w:r>
      <w:r>
        <w:rPr>
          <w:spacing w:val="-99"/>
        </w:rPr>
      </w:r>
      <w:r>
        <w:rPr/>
        <w:t>度上报制度，要求各房地产项目公司每季度将项目成本数据上报到公司总部，公司通过收集、</w:t>
      </w:r>
      <w:r>
        <w:rPr>
          <w:spacing w:val="-99"/>
        </w:rPr>
        <w:t> </w:t>
      </w:r>
      <w:r>
        <w:rPr>
          <w:spacing w:val="-99"/>
        </w:rPr>
      </w:r>
      <w:r>
        <w:rPr/>
        <w:t>整理、分析和比较各项目成本数据，及时掌握各项目的成本动态发生情况，为后续房地产项目</w:t>
      </w:r>
      <w:r>
        <w:rPr>
          <w:spacing w:val="-99"/>
        </w:rPr>
        <w:t> </w:t>
      </w:r>
      <w:r>
        <w:rPr>
          <w:spacing w:val="-99"/>
        </w:rPr>
      </w:r>
      <w:r>
        <w:rPr/>
        <w:t>的成本控制及目标成本的制定提供了保障。</w:t>
      </w:r>
    </w:p>
    <w:p>
      <w:pPr>
        <w:pStyle w:val="BodyText"/>
        <w:spacing w:line="343" w:lineRule="auto" w:before="30"/>
        <w:ind w:right="217" w:firstLine="525"/>
        <w:jc w:val="both"/>
      </w:pPr>
      <w:r>
        <w:rPr>
          <w:rFonts w:ascii="Arial" w:hAnsi="Arial" w:cs="Arial" w:eastAsia="Arial" w:hint="default"/>
          <w:w w:val="95"/>
        </w:rPr>
        <w:t>2</w:t>
      </w:r>
      <w:r>
        <w:rPr>
          <w:w w:val="95"/>
        </w:rPr>
        <w:t>、继续加强对下属控股子公司的财务控制和实行财务人员例会制度，各控股子公司财务</w:t>
      </w:r>
      <w:r>
        <w:rPr/>
        <w:t> 人员定期提供所在公司的财务报告，使公司能够及时掌握下属控股子公司经济活动情况、财务 状况、重大业务及财务事项和其他可能对公司产生重大影响的事项等重要信息，从而提高了公 司财务管理的时效性和针对性，加强了公司管理层实施风险控制管理的及时性。</w:t>
      </w:r>
    </w:p>
    <w:p>
      <w:pPr>
        <w:pStyle w:val="BodyText"/>
        <w:spacing w:line="345" w:lineRule="auto" w:before="35"/>
        <w:ind w:right="217" w:firstLine="525"/>
        <w:jc w:val="both"/>
      </w:pPr>
      <w:r>
        <w:rPr>
          <w:rFonts w:ascii="Arial" w:hAnsi="Arial" w:cs="Arial" w:eastAsia="Arial" w:hint="default"/>
          <w:w w:val="95"/>
        </w:rPr>
        <w:t>3</w:t>
      </w:r>
      <w:r>
        <w:rPr>
          <w:w w:val="95"/>
        </w:rPr>
        <w:t>、为切实加强财务会计基础工作，提升财务会计核算水平和提高财务信息披露质量，公</w:t>
      </w:r>
      <w:r>
        <w:rPr/>
        <w:t> 司继续加强对公司财务人员的培训和考核工作，并按照深圳证监局关于财务基础工作调查通知 的要求，填写了公司财务会计基础工作的问卷调查。调查问卷的主要内容包括财务人员和机构 设置基本情况、会计核算基础工作规范性、资金管理和控制情况、财务管理制度建设和执行情 况、财务信息系统使用和控制情况、母公司对子公司的财务基础管理和控制情况等，对调查及</w:t>
      </w:r>
    </w:p>
    <w:p>
      <w:pPr>
        <w:spacing w:after="0" w:line="345" w:lineRule="auto"/>
        <w:jc w:val="both"/>
        <w:sectPr>
          <w:pgSz w:w="11900" w:h="16840"/>
          <w:pgMar w:header="0" w:footer="939" w:top="1500" w:bottom="1120" w:left="1680" w:right="1200"/>
        </w:sectPr>
      </w:pPr>
    </w:p>
    <w:p>
      <w:pPr>
        <w:pStyle w:val="BodyText"/>
        <w:spacing w:line="348" w:lineRule="auto" w:before="15"/>
        <w:ind w:right="217"/>
        <w:jc w:val="both"/>
      </w:pPr>
      <w:r>
        <w:rPr/>
        <w:t>自查的过程中发现的不足及问题，及时做好分析并总结经验，从而推动公司财务会计基础工作 得不断提高。</w:t>
      </w:r>
    </w:p>
    <w:p>
      <w:pPr>
        <w:pStyle w:val="BodyText"/>
        <w:spacing w:line="348" w:lineRule="auto" w:before="31"/>
        <w:ind w:left="610" w:right="200" w:firstLine="106"/>
        <w:jc w:val="left"/>
      </w:pPr>
      <w:r>
        <w:rPr/>
        <w:t>（八）公司对法律事务的内部控制情况 报告期内，公司为进一步加强对各种法律文件起草、审核、签订及存档等方面的管理和监</w:t>
      </w:r>
    </w:p>
    <w:p>
      <w:pPr>
        <w:pStyle w:val="BodyText"/>
        <w:spacing w:line="240" w:lineRule="auto" w:before="30"/>
        <w:ind w:right="0"/>
        <w:jc w:val="both"/>
      </w:pPr>
      <w:r>
        <w:rPr/>
        <w:t>督，主要从以下方面加强了对法律事务的内部控制：</w:t>
      </w:r>
    </w:p>
    <w:p>
      <w:pPr>
        <w:pStyle w:val="BodyText"/>
        <w:spacing w:line="343" w:lineRule="auto" w:before="126"/>
        <w:ind w:right="208" w:firstLine="420"/>
        <w:jc w:val="both"/>
      </w:pPr>
      <w:r>
        <w:rPr>
          <w:rFonts w:ascii="Times New Roman" w:hAnsi="Times New Roman" w:cs="Times New Roman" w:eastAsia="Times New Roman" w:hint="default"/>
          <w:spacing w:val="-3"/>
        </w:rPr>
        <w:t>1</w:t>
      </w:r>
      <w:r>
        <w:rPr>
          <w:spacing w:val="-3"/>
        </w:rPr>
        <w:t>、加强档案管理。为加强对公司各类合同及诉讼案件等相关资料的管理和存档工作，公司</w:t>
      </w:r>
      <w:r>
        <w:rPr/>
        <w:t> 法律部门对各种历史合同和诉讼资料集中进行了彻底的梳理，建立了详细的台帐及编号，并按</w:t>
      </w:r>
      <w:r>
        <w:rPr>
          <w:spacing w:val="-99"/>
        </w:rPr>
        <w:t> </w:t>
      </w:r>
      <w:r>
        <w:rPr>
          <w:spacing w:val="-99"/>
        </w:rPr>
      </w:r>
      <w:r>
        <w:rPr/>
        <w:t>照时间和内容做了分类，并对公司重点项目的相关资料进行独立归档和专项管理，同时集中将</w:t>
      </w:r>
      <w:r>
        <w:rPr>
          <w:spacing w:val="-99"/>
        </w:rPr>
        <w:t> </w:t>
      </w:r>
      <w:r>
        <w:rPr>
          <w:spacing w:val="-99"/>
        </w:rPr>
      </w:r>
      <w:r>
        <w:rPr/>
        <w:t>所有法律文件的原件交由总办档案室留存，法律部门只留复印件备查。</w:t>
      </w:r>
    </w:p>
    <w:p>
      <w:pPr>
        <w:pStyle w:val="BodyText"/>
        <w:spacing w:line="345" w:lineRule="auto" w:before="34"/>
        <w:ind w:right="0" w:firstLine="525"/>
        <w:jc w:val="left"/>
      </w:pPr>
      <w:r>
        <w:rPr>
          <w:rFonts w:ascii="Times New Roman" w:hAnsi="Times New Roman" w:cs="Times New Roman" w:eastAsia="Times New Roman" w:hint="default"/>
        </w:rPr>
        <w:t>2</w:t>
      </w:r>
      <w:r>
        <w:rPr/>
        <w:t>、规范各种法律文件签订的审批程序。为进一步规范公司对各种法律文件的审批程序， 公司要求所有职能部门起草的文件，包括法律意见、合同草本、内部规则等，一律填写审批流</w:t>
      </w:r>
      <w:r>
        <w:rPr>
          <w:spacing w:val="-99"/>
        </w:rPr>
        <w:t> </w:t>
      </w:r>
      <w:r>
        <w:rPr>
          <w:spacing w:val="-99"/>
        </w:rPr>
      </w:r>
      <w:r>
        <w:rPr/>
        <w:t>程，由各部门负责人、主管领导及高管签署意见；法律事务部门移交总办档案室、人事部、财</w:t>
      </w:r>
      <w:r>
        <w:rPr>
          <w:spacing w:val="-99"/>
        </w:rPr>
        <w:t> </w:t>
      </w:r>
      <w:r>
        <w:rPr>
          <w:spacing w:val="-99"/>
        </w:rPr>
      </w:r>
      <w:r>
        <w:rPr/>
        <w:t>务部或其他部门及企业的文件，填写移交文件登记表，明确时间和交接人；从法律事务部门借</w:t>
      </w:r>
      <w:r>
        <w:rPr>
          <w:spacing w:val="-99"/>
        </w:rPr>
        <w:t> </w:t>
      </w:r>
      <w:r>
        <w:rPr>
          <w:spacing w:val="-99"/>
        </w:rPr>
      </w:r>
      <w:r>
        <w:rPr>
          <w:spacing w:val="-3"/>
        </w:rPr>
        <w:t>阅任何合同、协议、案卷材料等都必须填写文件借阅登记表，明确借出及归还时间、当事人等，</w:t>
      </w:r>
      <w:r>
        <w:rPr>
          <w:spacing w:val="-77"/>
        </w:rPr>
        <w:t> </w:t>
      </w:r>
      <w:r>
        <w:rPr>
          <w:spacing w:val="-77"/>
        </w:rPr>
      </w:r>
      <w:r>
        <w:rPr/>
        <w:t>以保证公司法律事务工作井然有序，责任到人，将错漏减少到最低。</w:t>
      </w:r>
    </w:p>
    <w:p>
      <w:pPr>
        <w:pStyle w:val="BodyText"/>
        <w:spacing w:line="348" w:lineRule="auto" w:before="32"/>
        <w:ind w:left="610" w:right="200" w:firstLine="106"/>
        <w:jc w:val="left"/>
      </w:pPr>
      <w:r>
        <w:rPr/>
        <w:t>（九）公司对人力资源的内部控制情况 公司根据制定的发展战略，对公司的人力资源管理进行统一管理和规划，严格监控下属二</w:t>
      </w:r>
    </w:p>
    <w:p>
      <w:pPr>
        <w:pStyle w:val="BodyText"/>
        <w:spacing w:line="348" w:lineRule="auto" w:before="31"/>
        <w:ind w:right="217"/>
        <w:jc w:val="both"/>
      </w:pPr>
      <w:r>
        <w:rPr/>
        <w:t>级企业人力资源的规划与实施。公司在执行原有人力资源制度的基础上，根据实际情况制定了 员工入职和离职的审批制度，公司本着节约用人成本和人力资源效率最大化的原则，对公司二 级企业特别是房地产企业相关人员的入职招聘流程进行严格监控把关。</w:t>
      </w:r>
    </w:p>
    <w:p>
      <w:pPr>
        <w:pStyle w:val="BodyText"/>
        <w:spacing w:line="348" w:lineRule="auto" w:before="31"/>
        <w:ind w:left="612" w:right="0" w:firstLine="1"/>
        <w:jc w:val="left"/>
      </w:pPr>
      <w:r>
        <w:rPr/>
        <w:t>（十）公司对绩效管理的内部控制情况</w:t>
      </w:r>
      <w:r>
        <w:rPr>
          <w:spacing w:val="-97"/>
        </w:rPr>
        <w:t> </w:t>
      </w:r>
      <w:r>
        <w:rPr>
          <w:spacing w:val="-97"/>
        </w:rPr>
      </w:r>
      <w:r>
        <w:rPr>
          <w:spacing w:val="-1"/>
        </w:rPr>
        <w:t>为促进公司战略规划和年度经营管理目标的实现，公司将目标任务层层分解到各企业和员</w:t>
      </w:r>
    </w:p>
    <w:p>
      <w:pPr>
        <w:pStyle w:val="BodyText"/>
        <w:spacing w:line="350" w:lineRule="auto" w:before="30"/>
        <w:ind w:right="217"/>
        <w:jc w:val="both"/>
      </w:pPr>
      <w:r>
        <w:rPr/>
        <w:t>工，形成企业和员工个人的年度绩效目标，根据绩效管理制度严格组织各企业和员工年度绩效 目标的制订、跟踪促进、绩效考核和实施奖罚工作，有效促进绩效考核质量的提高。</w:t>
      </w:r>
    </w:p>
    <w:p>
      <w:pPr>
        <w:pStyle w:val="BodyText"/>
        <w:spacing w:line="350" w:lineRule="auto" w:before="28"/>
        <w:ind w:right="217" w:firstLine="420"/>
        <w:jc w:val="both"/>
      </w:pPr>
      <w:r>
        <w:rPr/>
        <w:t>结合公司实施新的战略发展规划需要及实际情况，公司还对现有的绩效管理制度进行补充 和完善，特别是对房地产企业的绩效管理办法进行了探讨和摸索，并根据实际需要起草了针对 房地产企业的绩效管理方案。</w:t>
      </w:r>
    </w:p>
    <w:p>
      <w:pPr>
        <w:pStyle w:val="BodyText"/>
        <w:spacing w:line="348" w:lineRule="auto" w:before="28"/>
        <w:ind w:left="610" w:right="200" w:firstLine="2"/>
        <w:jc w:val="left"/>
      </w:pPr>
      <w:r>
        <w:rPr/>
        <w:t>（十一）公司对安全生产工作的内部控制情况</w:t>
      </w:r>
      <w:r>
        <w:rPr>
          <w:spacing w:val="-96"/>
        </w:rPr>
        <w:t> </w:t>
      </w:r>
      <w:r>
        <w:rPr>
          <w:spacing w:val="-96"/>
        </w:rPr>
      </w:r>
      <w:r>
        <w:rPr/>
        <w:t>报告期内，为加强对安全生产管理工作的计划、组织、督导和检查考核，全面贯彻“安全</w:t>
      </w:r>
    </w:p>
    <w:p>
      <w:pPr>
        <w:pStyle w:val="BodyText"/>
        <w:spacing w:line="350" w:lineRule="auto" w:before="31"/>
        <w:ind w:right="217"/>
        <w:jc w:val="both"/>
      </w:pPr>
      <w:r>
        <w:rPr/>
        <w:t>第一、预防为主、综合治理”的安全生产管理方针和安全生产法规，公司建立了相对完善和有 效的安全生产管理组织体系：即公司总部成立安全生产管理委员会，负责组织和督促公司安全 生产管理工作；各控股子公司也成立以企业主要负责人为主要责任人的安全管理小组，负责各 企业的安全生产组织工作；并通过与各控股子公司签订《安全生产目标管理责任书》和将安全 生产管理纳入企业经济责任考核范围来加强对各控股子公司安全生产管理工作的检查考核。</w:t>
      </w:r>
    </w:p>
    <w:p>
      <w:pPr>
        <w:spacing w:after="0" w:line="350" w:lineRule="auto"/>
        <w:jc w:val="both"/>
        <w:sectPr>
          <w:pgSz w:w="11900" w:h="16840"/>
          <w:pgMar w:header="0" w:footer="939" w:top="1500" w:bottom="1120" w:left="1680" w:right="1200"/>
        </w:sectPr>
      </w:pPr>
    </w:p>
    <w:p>
      <w:pPr>
        <w:pStyle w:val="BodyText"/>
        <w:spacing w:line="350" w:lineRule="auto" w:before="15"/>
        <w:ind w:right="217" w:firstLine="420"/>
        <w:jc w:val="both"/>
      </w:pPr>
      <w:r>
        <w:rPr/>
        <w:t>报告期内，公司根据政府和行业的具体要求以及各阶段形势特征，积极组织安全生产专项 活动，要求各企业认真制订和落实国庆中秋等重大节日期间的安全管理工作方案，在加强对主 要经营业务现场日常安全巡查监督的同时，积极开展安全生产大检查，并对发现的安全隐患及 时整改，经过大家的共同努力，没有发生任何一起重大以上安全生产事故，取得了良好效果， 从而维护了生产经营稳定，保障了生产安全。</w:t>
      </w:r>
    </w:p>
    <w:p>
      <w:pPr>
        <w:pStyle w:val="BodyText"/>
        <w:spacing w:line="348" w:lineRule="auto" w:before="29"/>
        <w:ind w:left="610" w:right="203" w:firstLine="2"/>
        <w:jc w:val="left"/>
      </w:pPr>
      <w:r>
        <w:rPr/>
        <w:t>三、公司完善内部控制活动的措施</w:t>
      </w:r>
      <w:r>
        <w:rPr>
          <w:spacing w:val="-99"/>
        </w:rPr>
        <w:t> </w:t>
      </w:r>
      <w:r>
        <w:rPr>
          <w:spacing w:val="-99"/>
        </w:rPr>
      </w:r>
      <w:r>
        <w:rPr/>
        <w:t>结合公司内部控制的执行情况，公司将从以下方面加强和完善内部控制：</w:t>
      </w:r>
      <w:r>
        <w:rPr/>
        <w:t> </w:t>
      </w:r>
      <w:r>
        <w:rPr>
          <w:rFonts w:ascii="Arial" w:hAnsi="Arial" w:cs="Arial" w:eastAsia="Arial" w:hint="default"/>
          <w:spacing w:val="-3"/>
        </w:rPr>
        <w:t>1</w:t>
      </w:r>
      <w:r>
        <w:rPr>
          <w:spacing w:val="-3"/>
        </w:rPr>
        <w:t>、继续加强相关人员对公司治理等法律法规、规章制度的学习，并不断对公司内部控制制</w:t>
      </w:r>
    </w:p>
    <w:p>
      <w:pPr>
        <w:pStyle w:val="BodyText"/>
        <w:spacing w:line="348" w:lineRule="auto" w:before="5"/>
        <w:ind w:right="217"/>
        <w:jc w:val="both"/>
      </w:pPr>
      <w:r>
        <w:rPr/>
        <w:t>度加以完善，特别是为了适应公司今后专一发展房地产业的实际需要，制订一系列与房地产项 目开发、规划、成本管理等工作相关的管理制度，并在此基础上逐步推进房地产项目管理过程 中的标准化和规范化的体系建设。</w:t>
      </w:r>
    </w:p>
    <w:p>
      <w:pPr>
        <w:pStyle w:val="BodyText"/>
        <w:spacing w:line="340" w:lineRule="auto" w:before="31"/>
        <w:ind w:right="0" w:firstLine="570"/>
        <w:jc w:val="left"/>
      </w:pPr>
      <w:r>
        <w:rPr>
          <w:rFonts w:ascii="Arial" w:hAnsi="Arial" w:cs="Arial" w:eastAsia="Arial" w:hint="default"/>
          <w:spacing w:val="-4"/>
          <w:w w:val="99"/>
        </w:rPr>
        <w:t>2</w:t>
      </w:r>
      <w:r>
        <w:rPr>
          <w:spacing w:val="-4"/>
          <w:w w:val="99"/>
        </w:rPr>
        <w:t>、认真落实公司《内幕信息知情人登记制度》，做好相关信息披露知情人登记备案工作，</w:t>
      </w:r>
      <w:r>
        <w:rPr/>
        <w:t> 严格控制内幕信息知情人范围，避免违规对外提供未公开信息的行为；继续强化重大信息内部 报告工作，避免因内部信息传递不准确、不及时、不到位而导致的信息披露错漏。</w:t>
      </w:r>
    </w:p>
    <w:p>
      <w:pPr>
        <w:pStyle w:val="BodyText"/>
        <w:spacing w:line="331" w:lineRule="auto" w:before="38"/>
        <w:ind w:right="208" w:firstLine="420"/>
        <w:jc w:val="both"/>
      </w:pPr>
      <w:r>
        <w:rPr>
          <w:rFonts w:ascii="Arial" w:hAnsi="Arial" w:cs="Arial" w:eastAsia="Arial" w:hint="default"/>
          <w:spacing w:val="-3"/>
        </w:rPr>
        <w:t>3</w:t>
      </w:r>
      <w:r>
        <w:rPr>
          <w:spacing w:val="-3"/>
        </w:rPr>
        <w:t>、加强对控股子公司的财务监管，重点关注货币资金、对外投资、关联交易、对外担保的</w:t>
      </w:r>
      <w:r>
        <w:rPr/>
        <w:t> 内部控制，防止产生漏洞和防范财务风险。</w:t>
      </w:r>
    </w:p>
    <w:p>
      <w:pPr>
        <w:pStyle w:val="BodyText"/>
        <w:spacing w:line="331" w:lineRule="auto" w:before="45"/>
        <w:ind w:right="210" w:firstLine="420"/>
        <w:jc w:val="both"/>
      </w:pPr>
      <w:r>
        <w:rPr>
          <w:rFonts w:ascii="Arial" w:hAnsi="Arial" w:cs="Arial" w:eastAsia="Arial" w:hint="default"/>
          <w:spacing w:val="-3"/>
        </w:rPr>
        <w:t>4</w:t>
      </w:r>
      <w:r>
        <w:rPr>
          <w:spacing w:val="-3"/>
        </w:rPr>
        <w:t>、加强内部审计工作，充分发挥审计委员会和内部审计部门的监督职能，确保各项制度得</w:t>
      </w:r>
      <w:r>
        <w:rPr/>
        <w:t> 到有效执行。</w:t>
      </w:r>
    </w:p>
    <w:p>
      <w:pPr>
        <w:pStyle w:val="BodyText"/>
        <w:spacing w:line="240" w:lineRule="auto" w:before="45"/>
        <w:ind w:left="610" w:right="0"/>
        <w:jc w:val="left"/>
      </w:pPr>
      <w:r>
        <w:rPr>
          <w:rFonts w:ascii="Arial" w:hAnsi="Arial" w:cs="Arial" w:eastAsia="Arial" w:hint="default"/>
        </w:rPr>
        <w:t>5</w:t>
      </w:r>
      <w:r>
        <w:rPr/>
        <w:t>、进一步加强公司法律文件档案的监督和管理工作，防止产生法律风险。</w:t>
      </w:r>
    </w:p>
    <w:p>
      <w:pPr>
        <w:pStyle w:val="BodyText"/>
        <w:spacing w:line="343" w:lineRule="auto" w:before="110"/>
        <w:ind w:right="211" w:firstLine="420"/>
        <w:jc w:val="both"/>
      </w:pPr>
      <w:r>
        <w:rPr>
          <w:rFonts w:ascii="Arial" w:hAnsi="Arial" w:cs="Arial" w:eastAsia="Arial" w:hint="default"/>
          <w:spacing w:val="-3"/>
        </w:rPr>
        <w:t>6</w:t>
      </w:r>
      <w:r>
        <w:rPr>
          <w:spacing w:val="-3"/>
        </w:rPr>
        <w:t>、人力资源管理方面，为了适应公司今后发展房地产业的需要，每年人力资源部门要制定</w:t>
      </w:r>
      <w:r>
        <w:rPr/>
        <w:t> 相关培训计划，组织各类培训活动，切实加强员工培训和继续教育，不断提升员工素质。同时 要大力引进与房地产开发相关的专业人才，如预结算、营销、规划设计及成本管理等方面的专 业人才，为公司房地产业的可持续发展储备充足的人力资源。</w:t>
      </w:r>
    </w:p>
    <w:p>
      <w:pPr>
        <w:pStyle w:val="BodyText"/>
        <w:spacing w:line="331" w:lineRule="auto" w:before="35"/>
        <w:ind w:right="211" w:firstLine="420"/>
        <w:jc w:val="both"/>
      </w:pPr>
      <w:r>
        <w:rPr>
          <w:rFonts w:ascii="Arial" w:hAnsi="Arial" w:cs="Arial" w:eastAsia="Arial" w:hint="default"/>
          <w:spacing w:val="-3"/>
        </w:rPr>
        <w:t>7</w:t>
      </w:r>
      <w:r>
        <w:rPr>
          <w:spacing w:val="-3"/>
        </w:rPr>
        <w:t>、为了适应公司今后发展房地产业的需要，要不断完善公司现有房地产开发企业的组织管</w:t>
      </w:r>
      <w:r>
        <w:rPr/>
        <w:t> 理架构，优化人员配置，努力打造一支专业、高效的房地产管理团队。</w:t>
      </w:r>
    </w:p>
    <w:p>
      <w:pPr>
        <w:pStyle w:val="BodyText"/>
        <w:spacing w:line="331" w:lineRule="auto" w:before="45"/>
        <w:ind w:right="211" w:firstLine="420"/>
        <w:jc w:val="both"/>
      </w:pPr>
      <w:r>
        <w:rPr>
          <w:rFonts w:ascii="Arial" w:hAnsi="Arial" w:cs="Arial" w:eastAsia="Arial" w:hint="default"/>
          <w:spacing w:val="-3"/>
        </w:rPr>
        <w:t>8</w:t>
      </w:r>
      <w:r>
        <w:rPr>
          <w:spacing w:val="-3"/>
        </w:rPr>
        <w:t>、为适应公司发展需要，须加强对公司薪酬和绩效管理的调研、培训及相关制度的建立和</w:t>
      </w:r>
      <w:r>
        <w:rPr/>
        <w:t> 完善工作，为公司今后的绩效考核管理工作打好基础。</w:t>
      </w:r>
    </w:p>
    <w:p>
      <w:pPr>
        <w:pStyle w:val="BodyText"/>
        <w:spacing w:line="348" w:lineRule="auto" w:before="45"/>
        <w:ind w:left="610" w:right="200" w:firstLine="2"/>
        <w:jc w:val="left"/>
      </w:pPr>
      <w:r>
        <w:rPr/>
        <w:t>四、总体评价 报告期内公司按照《深圳证券交易所上市公司内部控制指引》对公司进行管理和控制，没</w:t>
      </w:r>
    </w:p>
    <w:p>
      <w:pPr>
        <w:pStyle w:val="BodyText"/>
        <w:spacing w:line="350" w:lineRule="auto" w:before="31"/>
        <w:ind w:right="217"/>
        <w:jc w:val="both"/>
      </w:pPr>
      <w:r>
        <w:rPr/>
        <w:t>有重大问题和异常事项发生。我们认为：公司的内部控制制度不存在重大缺陷；公司现有内部 控制制度能得到贯彻执行，公司的内控体系与相关制度能够对编制真实公允的财务报表提供合 理的保证、能够对公司各项业务的健康运行及公司经营风险的控制提供保证。公司内部控制的 实际情况与《深圳证券交易所上市公司内部控制指引》等规范性文件的规定和要求基本相符。 随着公司未来经营发展的需要，公司将不断深化管理，进一步完善内部控制制度，使之始终适</w:t>
      </w:r>
    </w:p>
    <w:p>
      <w:pPr>
        <w:spacing w:after="0" w:line="350" w:lineRule="auto"/>
        <w:jc w:val="both"/>
        <w:sectPr>
          <w:pgSz w:w="11900" w:h="16840"/>
          <w:pgMar w:header="0" w:footer="939" w:top="1500" w:bottom="1120" w:left="1680" w:right="1200"/>
        </w:sectPr>
      </w:pPr>
    </w:p>
    <w:p>
      <w:pPr>
        <w:pStyle w:val="BodyText"/>
        <w:spacing w:line="348" w:lineRule="auto" w:before="15"/>
        <w:ind w:left="610" w:right="100" w:hanging="420"/>
        <w:jc w:val="left"/>
      </w:pPr>
      <w:r>
        <w:rPr/>
        <w:t>应公司发展的需要和国家有关法律法规的要求。 独立董事意见：公司内部控制制度体系符合深圳证券交易所《上市公司内部控制指引》的</w:t>
      </w:r>
    </w:p>
    <w:p>
      <w:pPr>
        <w:pStyle w:val="BodyText"/>
        <w:spacing w:line="350" w:lineRule="auto" w:before="31"/>
        <w:ind w:right="117"/>
        <w:jc w:val="both"/>
      </w:pPr>
      <w:r>
        <w:rPr/>
        <w:t>要求，总体符合当前公司生产经营实际情况需要，不存在重大缺陷。公司应进一步强化内部控 制各项管理制度的有效执行，完善内部控制流程管理；同时为了适应公司今后发展房地产业的 需要，公司必须尽快完善公司组织管理架构、优化人员配置，打造专业、高效的房地产管理团 队，更好地防范和化解经营风险，确保公司经营稳健发展。</w:t>
      </w:r>
    </w:p>
    <w:p>
      <w:pPr>
        <w:pStyle w:val="BodyText"/>
        <w:spacing w:line="340" w:lineRule="auto" w:before="28"/>
        <w:ind w:right="117" w:firstLine="420"/>
        <w:jc w:val="both"/>
      </w:pPr>
      <w:r>
        <w:rPr/>
        <w:t>监事会结论意见：公司内部控制自我评价报告较为全面地反映了公司内部控制实际情况及 </w:t>
      </w:r>
      <w:r>
        <w:rPr>
          <w:w w:val="95"/>
        </w:rPr>
        <w:t>在</w:t>
      </w:r>
      <w:r>
        <w:rPr>
          <w:rFonts w:ascii="Arial" w:hAnsi="Arial" w:cs="Arial" w:eastAsia="Arial" w:hint="default"/>
          <w:w w:val="95"/>
        </w:rPr>
        <w:t>2009</w:t>
      </w:r>
      <w:r>
        <w:rPr>
          <w:w w:val="95"/>
        </w:rPr>
        <w:t>年度所做的主要工作，公司建立比较全面的内部控制制度和内部控制组织架构，内控体</w:t>
      </w:r>
      <w:r>
        <w:rPr>
          <w:spacing w:val="83"/>
          <w:w w:val="95"/>
        </w:rPr>
        <w:t> </w:t>
      </w:r>
      <w:r>
        <w:rPr>
          <w:spacing w:val="83"/>
          <w:w w:val="95"/>
        </w:rPr>
      </w:r>
      <w:r>
        <w:rPr/>
        <w:t>系不存在重大缺陷，公司应增强内部控制体系执行力，保证对内控制度重点活动的监督。</w:t>
      </w:r>
    </w:p>
    <w:p>
      <w:pPr>
        <w:spacing w:line="240" w:lineRule="auto" w:before="6"/>
        <w:rPr>
          <w:rFonts w:ascii="宋体" w:hAnsi="宋体" w:cs="宋体" w:eastAsia="宋体" w:hint="default"/>
          <w:sz w:val="17"/>
          <w:szCs w:val="17"/>
        </w:rPr>
      </w:pPr>
    </w:p>
    <w:p>
      <w:pPr>
        <w:pStyle w:val="Heading3"/>
        <w:spacing w:line="240" w:lineRule="auto"/>
        <w:ind w:right="0"/>
        <w:jc w:val="both"/>
      </w:pPr>
      <w:r>
        <w:rPr/>
        <w:t>五、报告期内，公司对高级管理人员的考评及激励机制、相关奖励制度</w:t>
      </w:r>
    </w:p>
    <w:p>
      <w:pPr>
        <w:spacing w:line="240" w:lineRule="auto" w:before="7"/>
        <w:rPr>
          <w:rFonts w:ascii="黑体" w:hAnsi="黑体" w:cs="黑体" w:eastAsia="黑体" w:hint="default"/>
          <w:sz w:val="28"/>
          <w:szCs w:val="28"/>
        </w:rPr>
      </w:pPr>
    </w:p>
    <w:p>
      <w:pPr>
        <w:pStyle w:val="BodyText"/>
        <w:spacing w:line="331" w:lineRule="auto"/>
        <w:ind w:right="111" w:firstLine="419"/>
        <w:jc w:val="both"/>
      </w:pPr>
      <w:r>
        <w:rPr>
          <w:rFonts w:ascii="Times New Roman" w:hAnsi="Times New Roman" w:cs="Times New Roman" w:eastAsia="Times New Roman" w:hint="default"/>
          <w:spacing w:val="-8"/>
        </w:rPr>
        <w:t>1</w:t>
      </w:r>
      <w:r>
        <w:rPr>
          <w:spacing w:val="-8"/>
        </w:rPr>
        <w:t>、根据公司《薪酬制度》、《绩效考核制度》及《董事局薪酬与考核委员会工作规程》，由</w:t>
      </w:r>
      <w:r>
        <w:rPr/>
        <w:t> 董事局薪酬与考核委员会负责组织实施对高级管理人员的绩效考核。</w:t>
      </w:r>
    </w:p>
    <w:p>
      <w:pPr>
        <w:pStyle w:val="BodyText"/>
        <w:spacing w:line="343" w:lineRule="auto" w:before="45"/>
        <w:ind w:right="108" w:firstLine="420"/>
        <w:jc w:val="both"/>
      </w:pPr>
      <w:r>
        <w:rPr/>
        <w:t>公司高级管理人员考核分为半年小结和年度考核，半年小结以书面方式报董事局薪酬与考 核委员会备案，作为年度考核的参考依据。年度考核：根据《董事局薪酬与考核委员会工作规</w:t>
      </w:r>
      <w:r>
        <w:rPr>
          <w:spacing w:val="-99"/>
        </w:rPr>
        <w:t> </w:t>
      </w:r>
      <w:r>
        <w:rPr>
          <w:spacing w:val="-99"/>
        </w:rPr>
      </w:r>
      <w:r>
        <w:rPr/>
        <w:t>程》规定，高级管理人员于年初依据公司的经营策略和经营计划，在</w:t>
      </w:r>
      <w:r>
        <w:rPr>
          <w:rFonts w:ascii="Times New Roman" w:hAnsi="Times New Roman" w:cs="Times New Roman" w:eastAsia="Times New Roman" w:hint="default"/>
        </w:rPr>
        <w:t>“</w:t>
      </w:r>
      <w:r>
        <w:rPr/>
        <w:t>工作目标计划表</w:t>
      </w:r>
      <w:r>
        <w:rPr>
          <w:rFonts w:ascii="Times New Roman" w:hAnsi="Times New Roman" w:cs="Times New Roman" w:eastAsia="Times New Roman" w:hint="default"/>
        </w:rPr>
        <w:t>”</w:t>
      </w:r>
      <w:r>
        <w:rPr/>
        <w:t>中提出</w:t>
      </w:r>
      <w:r>
        <w:rPr>
          <w:spacing w:val="-80"/>
        </w:rPr>
        <w:t> </w:t>
      </w:r>
      <w:r>
        <w:rPr/>
        <w:t>年度工作重点、执行方式、相关指标及管理改进计划等，提交董事局薪酬与考核委员会汇总后</w:t>
      </w:r>
      <w:r>
        <w:rPr>
          <w:spacing w:val="-99"/>
        </w:rPr>
        <w:t> </w:t>
      </w:r>
      <w:r>
        <w:rPr>
          <w:spacing w:val="-99"/>
        </w:rPr>
      </w:r>
      <w:r>
        <w:rPr/>
        <w:t>由董事局核定。考核阶段，高级管理人员就</w:t>
      </w:r>
      <w:r>
        <w:rPr>
          <w:rFonts w:ascii="Times New Roman" w:hAnsi="Times New Roman" w:cs="Times New Roman" w:eastAsia="Times New Roman" w:hint="default"/>
        </w:rPr>
        <w:t>“</w:t>
      </w:r>
      <w:r>
        <w:rPr/>
        <w:t>工作目标计划表</w:t>
      </w:r>
      <w:r>
        <w:rPr>
          <w:rFonts w:ascii="Times New Roman" w:hAnsi="Times New Roman" w:cs="Times New Roman" w:eastAsia="Times New Roman" w:hint="default"/>
        </w:rPr>
        <w:t>”</w:t>
      </w:r>
      <w:r>
        <w:rPr/>
        <w:t>内容的完成情况进行自我评分，</w:t>
      </w:r>
      <w:r>
        <w:rPr>
          <w:spacing w:val="-81"/>
        </w:rPr>
        <w:t> </w:t>
      </w:r>
      <w:r>
        <w:rPr>
          <w:spacing w:val="-81"/>
        </w:rPr>
      </w:r>
      <w:r>
        <w:rPr/>
        <w:t>年底结束后同时结合董事对高级管理人员的考核，得出综合评分，以此确定绩效考核系数，考</w:t>
      </w:r>
      <w:r>
        <w:rPr>
          <w:spacing w:val="-99"/>
        </w:rPr>
        <w:t> </w:t>
      </w:r>
      <w:r>
        <w:rPr>
          <w:spacing w:val="-99"/>
        </w:rPr>
      </w:r>
      <w:r>
        <w:rPr/>
        <w:t>核结果作为高级管理人员年终绩效年薪的发放依据。</w:t>
      </w:r>
    </w:p>
    <w:p>
      <w:pPr>
        <w:pStyle w:val="BodyText"/>
        <w:spacing w:line="240" w:lineRule="auto" w:before="34"/>
        <w:ind w:left="610" w:right="100"/>
        <w:jc w:val="left"/>
      </w:pPr>
      <w:r>
        <w:rPr>
          <w:rFonts w:ascii="Times New Roman" w:hAnsi="Times New Roman" w:cs="Times New Roman" w:eastAsia="Times New Roman" w:hint="default"/>
        </w:rPr>
        <w:t>2</w:t>
      </w:r>
      <w:r>
        <w:rPr/>
        <w:t>、报告期内公司尚未建立高级管理人员薪酬以外的其他激励机制和相关奖励制度。</w:t>
      </w:r>
    </w:p>
    <w:p>
      <w:pPr>
        <w:spacing w:line="240" w:lineRule="auto" w:before="8"/>
        <w:rPr>
          <w:rFonts w:ascii="宋体" w:hAnsi="宋体" w:cs="宋体" w:eastAsia="宋体" w:hint="default"/>
          <w:sz w:val="25"/>
          <w:szCs w:val="25"/>
        </w:rPr>
      </w:pPr>
    </w:p>
    <w:p>
      <w:pPr>
        <w:pStyle w:val="Heading2"/>
        <w:tabs>
          <w:tab w:pos="1197" w:val="left" w:leader="none"/>
        </w:tabs>
        <w:spacing w:line="240" w:lineRule="auto"/>
        <w:ind w:left="77" w:right="0"/>
        <w:jc w:val="center"/>
      </w:pPr>
      <w:r>
        <w:rPr>
          <w:w w:val="95"/>
        </w:rPr>
        <w:t>第七节</w:t>
        <w:tab/>
      </w:r>
      <w:r>
        <w:rPr/>
        <w:t>股东大会情况简介</w:t>
      </w:r>
    </w:p>
    <w:p>
      <w:pPr>
        <w:spacing w:line="240" w:lineRule="auto" w:before="6"/>
        <w:rPr>
          <w:rFonts w:ascii="黑体" w:hAnsi="黑体" w:cs="黑体" w:eastAsia="黑体" w:hint="default"/>
          <w:sz w:val="33"/>
          <w:szCs w:val="33"/>
        </w:rPr>
      </w:pPr>
    </w:p>
    <w:p>
      <w:pPr>
        <w:pStyle w:val="BodyText"/>
        <w:spacing w:line="328" w:lineRule="auto"/>
        <w:ind w:right="111" w:firstLine="480"/>
        <w:jc w:val="both"/>
      </w:pPr>
      <w:r>
        <w:rPr>
          <w:spacing w:val="-2"/>
        </w:rPr>
        <w:t>报告期内，公司召开了</w:t>
      </w:r>
      <w:r>
        <w:rPr>
          <w:rFonts w:ascii="Times New Roman" w:hAnsi="Times New Roman" w:cs="Times New Roman" w:eastAsia="Times New Roman" w:hint="default"/>
          <w:spacing w:val="-2"/>
        </w:rPr>
        <w:t>2008</w:t>
      </w:r>
      <w:r>
        <w:rPr>
          <w:spacing w:val="-2"/>
        </w:rPr>
        <w:t>年年度股东大会、</w:t>
      </w:r>
      <w:r>
        <w:rPr>
          <w:rFonts w:ascii="Times New Roman" w:hAnsi="Times New Roman" w:cs="Times New Roman" w:eastAsia="Times New Roman" w:hint="default"/>
          <w:spacing w:val="-2"/>
        </w:rPr>
        <w:t>2009</w:t>
      </w:r>
      <w:r>
        <w:rPr>
          <w:spacing w:val="-2"/>
        </w:rPr>
        <w:t>年度第一次临时股东大会。会议召开及</w:t>
      </w:r>
      <w:r>
        <w:rPr/>
        <w:t> 信息披露情况如下：</w:t>
      </w:r>
    </w:p>
    <w:p>
      <w:pPr>
        <w:pStyle w:val="BodyText"/>
        <w:spacing w:line="328" w:lineRule="auto" w:before="48"/>
        <w:ind w:left="610" w:right="115" w:firstLine="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2008</w:t>
      </w:r>
      <w:r>
        <w:rPr/>
        <w:t>年年度股东大会 </w:t>
      </w:r>
      <w:r>
        <w:rPr>
          <w:spacing w:val="-5"/>
        </w:rPr>
        <w:t>公司分别于于</w:t>
      </w:r>
      <w:r>
        <w:rPr>
          <w:rFonts w:ascii="Times New Roman" w:hAnsi="Times New Roman" w:cs="Times New Roman" w:eastAsia="Times New Roman" w:hint="default"/>
          <w:spacing w:val="-5"/>
        </w:rPr>
        <w:t>2009</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10</w:t>
      </w:r>
      <w:r>
        <w:rPr>
          <w:spacing w:val="-5"/>
        </w:rPr>
        <w:t>日、</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19</w:t>
      </w:r>
      <w:r>
        <w:rPr>
          <w:spacing w:val="-5"/>
        </w:rPr>
        <w:t>日在《中国证券报》、《证券时报》及巨潮资讯网上刊</w:t>
      </w:r>
    </w:p>
    <w:p>
      <w:pPr>
        <w:pStyle w:val="BodyText"/>
        <w:spacing w:line="331" w:lineRule="auto" w:before="23"/>
        <w:ind w:right="109"/>
        <w:jc w:val="both"/>
      </w:pPr>
      <w:r>
        <w:rPr>
          <w:spacing w:val="-13"/>
        </w:rPr>
        <w:t>登了《关于召开</w:t>
      </w:r>
      <w:r>
        <w:rPr>
          <w:rFonts w:ascii="Times New Roman" w:hAnsi="Times New Roman" w:cs="Times New Roman" w:eastAsia="Times New Roman" w:hint="default"/>
          <w:spacing w:val="-13"/>
        </w:rPr>
        <w:t>2008</w:t>
      </w:r>
      <w:r>
        <w:rPr>
          <w:spacing w:val="-13"/>
        </w:rPr>
        <w:t>年年度股东大会的通知》、《关于召开</w:t>
      </w:r>
      <w:r>
        <w:rPr>
          <w:rFonts w:ascii="Times New Roman" w:hAnsi="Times New Roman" w:cs="Times New Roman" w:eastAsia="Times New Roman" w:hint="default"/>
          <w:spacing w:val="-13"/>
        </w:rPr>
        <w:t>2008</w:t>
      </w:r>
      <w:r>
        <w:rPr>
          <w:spacing w:val="-13"/>
        </w:rPr>
        <w:t>年年度股东大会的补充通知》。</w:t>
      </w:r>
      <w:r>
        <w:rPr>
          <w:rFonts w:ascii="Times New Roman" w:hAnsi="Times New Roman" w:cs="Times New Roman" w:eastAsia="Times New Roman" w:hint="default"/>
          <w:spacing w:val="-13"/>
        </w:rPr>
        <w:t>2009</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日上午</w:t>
      </w:r>
      <w:r>
        <w:rPr>
          <w:rFonts w:ascii="Times New Roman" w:hAnsi="Times New Roman" w:cs="Times New Roman" w:eastAsia="Times New Roman" w:hint="default"/>
        </w:rPr>
        <w:t>9</w:t>
      </w:r>
      <w:r>
        <w:rPr/>
        <w:t>：</w:t>
      </w:r>
      <w:r>
        <w:rPr>
          <w:rFonts w:ascii="Times New Roman" w:hAnsi="Times New Roman" w:cs="Times New Roman" w:eastAsia="Times New Roman" w:hint="default"/>
        </w:rPr>
        <w:t>00</w:t>
      </w:r>
      <w:r>
        <w:rPr/>
        <w:t>，公司</w:t>
      </w:r>
      <w:r>
        <w:rPr>
          <w:rFonts w:ascii="Times New Roman" w:hAnsi="Times New Roman" w:cs="Times New Roman" w:eastAsia="Times New Roman" w:hint="default"/>
        </w:rPr>
        <w:t>2008</w:t>
      </w:r>
      <w:r>
        <w:rPr/>
        <w:t>年年度股东大会在深圳市南山区西丽湖路</w:t>
      </w:r>
      <w:r>
        <w:rPr>
          <w:rFonts w:ascii="Times New Roman" w:hAnsi="Times New Roman" w:cs="Times New Roman" w:eastAsia="Times New Roman" w:hint="default"/>
        </w:rPr>
        <w:t>4038</w:t>
      </w:r>
      <w:r>
        <w:rPr/>
        <w:t>号中国人民银行 深圳金融培训中心（金百合大酒店）</w:t>
      </w:r>
      <w:r>
        <w:rPr>
          <w:rFonts w:ascii="Times New Roman" w:hAnsi="Times New Roman" w:cs="Times New Roman" w:eastAsia="Times New Roman" w:hint="default"/>
        </w:rPr>
        <w:t>7</w:t>
      </w:r>
      <w:r>
        <w:rPr>
          <w:rFonts w:ascii="Times New Roman" w:hAnsi="Times New Roman" w:cs="Times New Roman" w:eastAsia="Times New Roman" w:hint="default"/>
          <w:spacing w:val="47"/>
        </w:rPr>
        <w:t> </w:t>
      </w:r>
      <w:r>
        <w:rPr/>
        <w:t>楼多功能厅召开，会议决议公告刊登于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日的</w:t>
      </w:r>
    </w:p>
    <w:p>
      <w:pPr>
        <w:pStyle w:val="BodyText"/>
        <w:spacing w:line="240" w:lineRule="auto" w:before="20"/>
        <w:ind w:right="0"/>
        <w:jc w:val="both"/>
      </w:pPr>
      <w:r>
        <w:rPr/>
        <w:t>《中国证券报</w:t>
      </w:r>
      <w:r>
        <w:rPr>
          <w:spacing w:val="-105"/>
        </w:rPr>
        <w:t>》、</w:t>
      </w:r>
      <w:r>
        <w:rPr/>
        <w:t>《证</w:t>
      </w:r>
      <w:r>
        <w:rPr>
          <w:spacing w:val="-2"/>
        </w:rPr>
        <w:t>券</w:t>
      </w:r>
      <w:r>
        <w:rPr/>
        <w:t>时报》及巨潮资讯网。</w:t>
      </w:r>
    </w:p>
    <w:p>
      <w:pPr>
        <w:pStyle w:val="BodyText"/>
        <w:spacing w:line="328" w:lineRule="auto" w:before="126"/>
        <w:ind w:left="670" w:right="100" w:hanging="1"/>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2009</w:t>
      </w:r>
      <w:r>
        <w:rPr/>
        <w:t>年度第一次临时股东大会 </w:t>
      </w:r>
      <w:r>
        <w:rPr>
          <w:spacing w:val="-7"/>
        </w:rPr>
        <w:t>公司于</w:t>
      </w:r>
      <w:r>
        <w:rPr>
          <w:rFonts w:ascii="Times New Roman" w:hAnsi="Times New Roman" w:cs="Times New Roman" w:eastAsia="Times New Roman" w:hint="default"/>
          <w:spacing w:val="-7"/>
        </w:rPr>
        <w:t>2009</w:t>
      </w:r>
      <w:r>
        <w:rPr>
          <w:spacing w:val="-7"/>
        </w:rPr>
        <w:t>年</w:t>
      </w:r>
      <w:r>
        <w:rPr>
          <w:rFonts w:ascii="Times New Roman" w:hAnsi="Times New Roman" w:cs="Times New Roman" w:eastAsia="Times New Roman" w:hint="default"/>
          <w:spacing w:val="-7"/>
        </w:rPr>
        <w:t>10</w:t>
      </w:r>
      <w:r>
        <w:rPr>
          <w:spacing w:val="-7"/>
        </w:rPr>
        <w:t>月</w:t>
      </w:r>
      <w:r>
        <w:rPr>
          <w:rFonts w:ascii="Times New Roman" w:hAnsi="Times New Roman" w:cs="Times New Roman" w:eastAsia="Times New Roman" w:hint="default"/>
          <w:spacing w:val="-7"/>
        </w:rPr>
        <w:t>29</w:t>
      </w:r>
      <w:r>
        <w:rPr>
          <w:spacing w:val="-7"/>
        </w:rPr>
        <w:t>日在《中国证券报》、《证券时报》及巨潮资讯网上刊登了《关于召开</w:t>
      </w:r>
    </w:p>
    <w:p>
      <w:pPr>
        <w:pStyle w:val="BodyText"/>
        <w:spacing w:line="240" w:lineRule="auto" w:before="23"/>
        <w:ind w:right="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t>年度第一次临</w:t>
      </w:r>
      <w:r>
        <w:rPr>
          <w:spacing w:val="1"/>
        </w:rPr>
        <w:t>时股</w:t>
      </w:r>
      <w:r>
        <w:rPr/>
        <w:t>东大会</w:t>
      </w:r>
      <w:r>
        <w:rPr>
          <w:spacing w:val="1"/>
        </w:rPr>
        <w:t>的通</w:t>
      </w:r>
      <w:r>
        <w:rPr/>
        <w:t>知</w:t>
      </w:r>
      <w:r>
        <w:rPr>
          <w:spacing w:val="-105"/>
        </w:rPr>
        <w:t>》</w:t>
      </w:r>
      <w:r>
        <w:rPr/>
        <w:t>，</w:t>
      </w:r>
      <w:r>
        <w:rPr>
          <w:rFonts w:ascii="Times New Roman" w:hAnsi="Times New Roman" w:cs="Times New Roman" w:eastAsia="Times New Roman" w:hint="default"/>
        </w:rPr>
        <w:t>2009</w:t>
      </w:r>
      <w:r>
        <w:rPr>
          <w:spacing w:val="-2"/>
        </w:rPr>
        <w:t>年</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t>月</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t>日上午</w:t>
      </w:r>
      <w:r>
        <w:rPr>
          <w:rFonts w:ascii="Times New Roman" w:hAnsi="Times New Roman" w:cs="Times New Roman" w:eastAsia="Times New Roman" w:hint="default"/>
        </w:rPr>
        <w:t>9</w:t>
      </w:r>
      <w:r>
        <w:rPr/>
        <w:t>：</w:t>
      </w:r>
      <w:r>
        <w:rPr>
          <w:rFonts w:ascii="Times New Roman" w:hAnsi="Times New Roman" w:cs="Times New Roman" w:eastAsia="Times New Roman" w:hint="default"/>
        </w:rPr>
        <w:t>30</w:t>
      </w:r>
      <w:r>
        <w:rPr/>
        <w:t>，公司</w:t>
      </w:r>
      <w:r>
        <w:rPr>
          <w:rFonts w:ascii="Times New Roman" w:hAnsi="Times New Roman" w:cs="Times New Roman" w:eastAsia="Times New Roman" w:hint="default"/>
        </w:rPr>
        <w:t>2009</w:t>
      </w:r>
      <w:r>
        <w:rPr/>
        <w:t>年</w:t>
      </w:r>
      <w:r>
        <w:rPr>
          <w:spacing w:val="-2"/>
        </w:rPr>
        <w:t>度</w:t>
      </w:r>
      <w:r>
        <w:rPr/>
        <w:t>第一次临时</w:t>
      </w:r>
    </w:p>
    <w:p>
      <w:pPr>
        <w:spacing w:after="0" w:line="240" w:lineRule="auto"/>
        <w:jc w:val="both"/>
        <w:sectPr>
          <w:pgSz w:w="11900" w:h="16840"/>
          <w:pgMar w:header="0" w:footer="939" w:top="1500" w:bottom="1120" w:left="1680" w:right="1300"/>
        </w:sectPr>
      </w:pPr>
    </w:p>
    <w:p>
      <w:pPr>
        <w:pStyle w:val="BodyText"/>
        <w:spacing w:line="328" w:lineRule="auto" w:before="15"/>
        <w:ind w:left="370" w:right="116"/>
        <w:jc w:val="left"/>
      </w:pPr>
      <w:r>
        <w:rPr>
          <w:spacing w:val="-9"/>
        </w:rPr>
        <w:t>股东大会在鸿基大厦</w:t>
      </w:r>
      <w:r>
        <w:rPr>
          <w:rFonts w:ascii="Times New Roman" w:hAnsi="Times New Roman" w:cs="Times New Roman" w:eastAsia="Times New Roman" w:hint="default"/>
          <w:spacing w:val="-9"/>
        </w:rPr>
        <w:t>25</w:t>
      </w:r>
      <w:r>
        <w:rPr>
          <w:spacing w:val="-9"/>
        </w:rPr>
        <w:t>楼会议厅召开，会议决议公告刊登于</w:t>
      </w:r>
      <w:r>
        <w:rPr>
          <w:rFonts w:ascii="Times New Roman" w:hAnsi="Times New Roman" w:cs="Times New Roman" w:eastAsia="Times New Roman" w:hint="default"/>
          <w:spacing w:val="-9"/>
        </w:rPr>
        <w:t>2009</w:t>
      </w:r>
      <w:r>
        <w:rPr>
          <w:spacing w:val="-9"/>
        </w:rPr>
        <w:t>年</w:t>
      </w:r>
      <w:r>
        <w:rPr>
          <w:rFonts w:ascii="Times New Roman" w:hAnsi="Times New Roman" w:cs="Times New Roman" w:eastAsia="Times New Roman" w:hint="default"/>
          <w:spacing w:val="-9"/>
        </w:rPr>
        <w:t>11</w:t>
      </w:r>
      <w:r>
        <w:rPr>
          <w:spacing w:val="-9"/>
        </w:rPr>
        <w:t>月</w:t>
      </w:r>
      <w:r>
        <w:rPr>
          <w:rFonts w:ascii="Times New Roman" w:hAnsi="Times New Roman" w:cs="Times New Roman" w:eastAsia="Times New Roman" w:hint="default"/>
          <w:spacing w:val="-9"/>
        </w:rPr>
        <w:t>17</w:t>
      </w:r>
      <w:r>
        <w:rPr>
          <w:spacing w:val="-9"/>
        </w:rPr>
        <w:t>日的《证券时报》、《中</w:t>
      </w:r>
      <w:r>
        <w:rPr>
          <w:spacing w:val="-93"/>
        </w:rPr>
        <w:t> </w:t>
      </w:r>
      <w:r>
        <w:rPr>
          <w:spacing w:val="-93"/>
        </w:rPr>
      </w:r>
      <w:r>
        <w:rPr/>
        <w:t>国证券报》及巨潮资讯网。</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Heading2"/>
        <w:tabs>
          <w:tab w:pos="1119" w:val="left" w:leader="none"/>
        </w:tabs>
        <w:spacing w:line="240" w:lineRule="auto"/>
        <w:ind w:right="18"/>
        <w:jc w:val="center"/>
      </w:pPr>
      <w:r>
        <w:rPr>
          <w:w w:val="95"/>
        </w:rPr>
        <w:t>第八节</w:t>
        <w:tab/>
      </w:r>
      <w:r>
        <w:rPr/>
        <w:t>董事局报告</w:t>
      </w:r>
    </w:p>
    <w:p>
      <w:pPr>
        <w:spacing w:line="240" w:lineRule="auto" w:before="3"/>
        <w:rPr>
          <w:rFonts w:ascii="黑体" w:hAnsi="黑体" w:cs="黑体" w:eastAsia="黑体" w:hint="default"/>
          <w:sz w:val="28"/>
          <w:szCs w:val="28"/>
        </w:rPr>
      </w:pPr>
    </w:p>
    <w:p>
      <w:pPr>
        <w:pStyle w:val="Heading3"/>
        <w:spacing w:line="240" w:lineRule="auto"/>
        <w:ind w:left="370" w:right="116"/>
        <w:jc w:val="left"/>
      </w:pPr>
      <w:r>
        <w:rPr/>
        <w:t>一、报告期内公司经营情况</w:t>
      </w:r>
    </w:p>
    <w:p>
      <w:pPr>
        <w:spacing w:line="240" w:lineRule="auto" w:before="2"/>
        <w:rPr>
          <w:rFonts w:ascii="黑体" w:hAnsi="黑体" w:cs="黑体" w:eastAsia="黑体" w:hint="default"/>
          <w:sz w:val="26"/>
          <w:szCs w:val="26"/>
        </w:rPr>
      </w:pPr>
    </w:p>
    <w:p>
      <w:pPr>
        <w:pStyle w:val="BodyText"/>
        <w:spacing w:line="240" w:lineRule="auto"/>
        <w:ind w:left="370" w:right="116"/>
        <w:jc w:val="left"/>
        <w:rPr>
          <w:rFonts w:ascii="黑体" w:hAnsi="黑体" w:cs="黑体" w:eastAsia="黑体" w:hint="default"/>
        </w:rPr>
      </w:pPr>
      <w:r>
        <w:rPr>
          <w:rFonts w:ascii="黑体" w:hAnsi="黑体" w:cs="黑体" w:eastAsia="黑体" w:hint="default"/>
        </w:rPr>
        <w:t>（一）主营业务范围及其经营状况</w:t>
      </w:r>
    </w:p>
    <w:p>
      <w:pPr>
        <w:pStyle w:val="BodyText"/>
        <w:spacing w:line="240" w:lineRule="auto" w:before="117"/>
        <w:ind w:left="790" w:right="116"/>
        <w:jc w:val="left"/>
      </w:pPr>
      <w:r>
        <w:rPr>
          <w:rFonts w:ascii="Times New Roman" w:hAnsi="Times New Roman" w:cs="Times New Roman" w:eastAsia="Times New Roman" w:hint="default"/>
        </w:rPr>
        <w:t>1</w:t>
      </w:r>
      <w:r>
        <w:rPr/>
        <w:t>、主营业务范围：房地产开发及物业管理、出租车运输、物流及运输、酒店管理</w:t>
      </w:r>
    </w:p>
    <w:p>
      <w:pPr>
        <w:pStyle w:val="BodyText"/>
        <w:spacing w:line="240" w:lineRule="auto" w:before="109"/>
        <w:ind w:left="790" w:right="116"/>
        <w:jc w:val="left"/>
      </w:pPr>
      <w:r>
        <w:rPr>
          <w:rFonts w:ascii="Times New Roman" w:hAnsi="Times New Roman" w:cs="Times New Roman" w:eastAsia="Times New Roman" w:hint="default"/>
        </w:rPr>
        <w:t>2</w:t>
      </w:r>
      <w:r>
        <w:rPr/>
        <w:t>、各业务板块收入及其构成情况</w:t>
      </w:r>
    </w:p>
    <w:p>
      <w:pPr>
        <w:pStyle w:val="BodyText"/>
        <w:spacing w:line="240" w:lineRule="auto" w:before="110"/>
        <w:ind w:left="0" w:right="389"/>
        <w:jc w:val="right"/>
        <w:rPr>
          <w:rFonts w:ascii="黑体" w:hAnsi="黑体" w:cs="黑体" w:eastAsia="黑体" w:hint="default"/>
        </w:rPr>
      </w:pPr>
      <w:r>
        <w:rPr/>
        <w:pict>
          <v:shape style="position:absolute;margin-left:320.160614pt;margin-top:36.302944pt;width:70.350pt;height:18.8pt;mso-position-horizontal-relative:page;mso-position-vertical-relative:paragraph;z-index:-810088" type="#_x0000_t202" filled="false" stroked="false">
            <v:textbox inset="0,0,0,0">
              <w:txbxContent>
                <w:p>
                  <w:pPr>
                    <w:pStyle w:val="BodyText"/>
                    <w:spacing w:line="240" w:lineRule="auto" w:before="100"/>
                    <w:ind w:left="0" w:right="0"/>
                    <w:jc w:val="left"/>
                  </w:pPr>
                  <w:r>
                    <w:rPr/>
                    <w:t>）</w:t>
                  </w:r>
                </w:p>
              </w:txbxContent>
            </v:textbox>
            <w10:wrap type="none"/>
          </v:shape>
        </w:pict>
      </w:r>
      <w:r>
        <w:rPr/>
        <w:pict>
          <v:shape style="position:absolute;margin-left:385.200439pt;margin-top:49.922943pt;width:70.3pt;height:13.65pt;mso-position-horizontal-relative:page;mso-position-vertical-relative:paragraph;z-index:-810064" type="#_x0000_t202" filled="false" stroked="false">
            <v:textbox inset="0,0,0,0">
              <w:txbxContent>
                <w:p>
                  <w:pPr>
                    <w:pStyle w:val="BodyText"/>
                    <w:spacing w:line="240" w:lineRule="exact"/>
                    <w:ind w:left="0" w:right="0"/>
                    <w:jc w:val="left"/>
                  </w:pPr>
                  <w:r>
                    <w:rPr/>
                    <w:t>）</w:t>
                  </w:r>
                </w:p>
              </w:txbxContent>
            </v:textbox>
            <w10:wrap type="none"/>
          </v:shape>
        </w:pict>
      </w:r>
      <w:r>
        <w:rPr/>
        <w:pict>
          <v:shape style="position:absolute;margin-left:450.18045pt;margin-top:49.922943pt;width:86pt;height:13.65pt;mso-position-horizontal-relative:page;mso-position-vertical-relative:paragraph;z-index:-810040" type="#_x0000_t202" filled="false" stroked="false">
            <v:textbox inset="0,0,0,0">
              <w:txbxContent>
                <w:p>
                  <w:pPr>
                    <w:pStyle w:val="BodyText"/>
                    <w:spacing w:line="240" w:lineRule="exact"/>
                    <w:ind w:left="0" w:right="0"/>
                    <w:jc w:val="left"/>
                  </w:pPr>
                  <w:r>
                    <w:rPr/>
                    <w:t>）</w:t>
                  </w:r>
                </w:p>
              </w:txbxContent>
            </v:textbox>
            <w10:wrap type="none"/>
          </v:shape>
        </w:pict>
      </w:r>
      <w:r>
        <w:rPr>
          <w:rFonts w:ascii="黑体" w:hAnsi="黑体" w:cs="黑体" w:eastAsia="黑体" w:hint="default"/>
        </w:rPr>
        <w:t>单位</w:t>
      </w:r>
      <w:r>
        <w:rPr>
          <w:rFonts w:ascii="黑体" w:hAnsi="黑体" w:cs="黑体" w:eastAsia="黑体" w:hint="default"/>
          <w:spacing w:val="-99"/>
        </w:rPr>
        <w:t>：</w:t>
      </w:r>
      <w:r>
        <w:rPr>
          <w:rFonts w:ascii="黑体" w:hAnsi="黑体" w:cs="黑体" w:eastAsia="黑体" w:hint="default"/>
        </w:rPr>
        <w:t>万元</w:t>
      </w:r>
    </w:p>
    <w:p>
      <w:pPr>
        <w:spacing w:line="240" w:lineRule="auto" w:before="10"/>
        <w:rPr>
          <w:rFonts w:ascii="黑体" w:hAnsi="黑体" w:cs="黑体" w:eastAsia="黑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654"/>
        <w:gridCol w:w="1170"/>
        <w:gridCol w:w="1034"/>
        <w:gridCol w:w="1072"/>
        <w:gridCol w:w="1301"/>
        <w:gridCol w:w="1300"/>
        <w:gridCol w:w="1615"/>
      </w:tblGrid>
      <w:tr>
        <w:trPr>
          <w:trHeight w:val="282" w:hRule="exact"/>
        </w:trPr>
        <w:tc>
          <w:tcPr>
            <w:tcW w:w="914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554" w:hRule="exact"/>
        </w:trPr>
        <w:tc>
          <w:tcPr>
            <w:tcW w:w="16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400" w:right="0"/>
              <w:jc w:val="left"/>
              <w:rPr>
                <w:rFonts w:ascii="宋体" w:hAnsi="宋体" w:cs="宋体" w:eastAsia="宋体" w:hint="default"/>
                <w:sz w:val="21"/>
                <w:szCs w:val="21"/>
              </w:rPr>
            </w:pPr>
            <w:r>
              <w:rPr>
                <w:rFonts w:ascii="宋体" w:hAnsi="宋体" w:cs="宋体" w:eastAsia="宋体" w:hint="default"/>
                <w:sz w:val="21"/>
                <w:szCs w:val="21"/>
              </w:rPr>
              <w:t>业务类别</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15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90"/>
              <w:jc w:val="right"/>
              <w:rPr>
                <w:rFonts w:ascii="宋体" w:hAnsi="宋体" w:cs="宋体" w:eastAsia="宋体" w:hint="default"/>
                <w:sz w:val="21"/>
                <w:szCs w:val="21"/>
              </w:rPr>
            </w:pPr>
            <w:r>
              <w:rPr>
                <w:rFonts w:ascii="宋体" w:hAnsi="宋体" w:cs="宋体" w:eastAsia="宋体" w:hint="default"/>
                <w:sz w:val="21"/>
                <w:szCs w:val="21"/>
              </w:rPr>
              <w:t>营业成本</w:t>
            </w:r>
          </w:p>
        </w:tc>
        <w:tc>
          <w:tcPr>
            <w:tcW w:w="10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毛利</w:t>
            </w:r>
            <w:r>
              <w:rPr>
                <w:rFonts w:ascii="宋体" w:hAnsi="宋体" w:cs="宋体" w:eastAsia="宋体" w:hint="default"/>
                <w:spacing w:val="-105"/>
                <w:sz w:val="21"/>
                <w:szCs w:val="21"/>
              </w:rPr>
              <w:t>率</w:t>
            </w:r>
            <w:r>
              <w:rPr>
                <w:rFonts w:ascii="宋体" w:hAnsi="宋体" w:cs="宋体" w:eastAsia="宋体" w:hint="default"/>
                <w:sz w:val="21"/>
                <w:szCs w:val="21"/>
              </w:rPr>
              <w:t>（</w:t>
            </w:r>
            <w:r>
              <w:rPr>
                <w:rFonts w:ascii="Times New Roman" w:hAnsi="Times New Roman" w:cs="Times New Roman" w:eastAsia="Times New Roman" w:hint="default"/>
                <w:sz w:val="21"/>
                <w:szCs w:val="21"/>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3" w:right="0" w:firstLine="97"/>
              <w:jc w:val="left"/>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89"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上年增</w:t>
            </w:r>
            <w:r>
              <w:rPr>
                <w:rFonts w:ascii="宋体" w:hAnsi="宋体" w:cs="宋体" w:eastAsia="宋体" w:hint="default"/>
                <w:spacing w:val="-87"/>
                <w:sz w:val="21"/>
                <w:szCs w:val="21"/>
              </w:rPr>
              <w:t>减</w:t>
            </w:r>
            <w:r>
              <w:rPr>
                <w:rFonts w:ascii="宋体" w:hAnsi="宋体" w:cs="宋体" w:eastAsia="宋体" w:hint="default"/>
                <w:sz w:val="21"/>
                <w:szCs w:val="21"/>
              </w:rPr>
              <w:t>（</w:t>
            </w:r>
            <w:r>
              <w:rPr>
                <w:rFonts w:ascii="Times New Roman" w:hAnsi="Times New Roman" w:cs="Times New Roman" w:eastAsia="Times New Roman" w:hint="default"/>
                <w:sz w:val="21"/>
                <w:szCs w:val="21"/>
              </w:rPr>
              <w:t>%</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 w:right="0" w:firstLine="97"/>
              <w:jc w:val="left"/>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89"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上年增</w:t>
            </w:r>
            <w:r>
              <w:rPr>
                <w:rFonts w:ascii="宋体" w:hAnsi="宋体" w:cs="宋体" w:eastAsia="宋体" w:hint="default"/>
                <w:spacing w:val="-87"/>
                <w:sz w:val="21"/>
                <w:szCs w:val="21"/>
              </w:rPr>
              <w:t>减</w:t>
            </w:r>
            <w:r>
              <w:rPr>
                <w:rFonts w:ascii="宋体" w:hAnsi="宋体" w:cs="宋体" w:eastAsia="宋体" w:hint="default"/>
                <w:sz w:val="21"/>
                <w:szCs w:val="21"/>
              </w:rPr>
              <w:t>（</w:t>
            </w:r>
            <w:r>
              <w:rPr>
                <w:rFonts w:ascii="Times New Roman" w:hAnsi="Times New Roman" w:cs="Times New Roman" w:eastAsia="Times New Roman" w:hint="default"/>
                <w:sz w:val="21"/>
                <w:szCs w:val="21"/>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毛利率比上年增</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减（百分点）</w:t>
            </w:r>
          </w:p>
        </w:tc>
      </w:tr>
      <w:tr>
        <w:trPr>
          <w:trHeight w:val="556"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房地产开发及物</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业管理</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45,369.73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31,259.16</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31.10%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604.45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168.51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368"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21"/>
                <w:szCs w:val="21"/>
              </w:rPr>
            </w:pPr>
            <w:r>
              <w:rPr>
                <w:rFonts w:ascii="宋体" w:hAnsi="宋体" w:cs="宋体" w:eastAsia="宋体" w:hint="default"/>
                <w:sz w:val="21"/>
                <w:szCs w:val="21"/>
              </w:rPr>
              <w:t>出租车运输</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2"/>
              <w:jc w:val="right"/>
              <w:rPr>
                <w:rFonts w:ascii="Times New Roman" w:hAnsi="Times New Roman" w:cs="Times New Roman" w:eastAsia="Times New Roman" w:hint="default"/>
                <w:sz w:val="21"/>
                <w:szCs w:val="21"/>
              </w:rPr>
            </w:pPr>
            <w:r>
              <w:rPr>
                <w:rFonts w:ascii="Times New Roman"/>
                <w:spacing w:val="-1"/>
                <w:sz w:val="21"/>
              </w:rPr>
              <w:t>9,677.78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1"/>
              <w:jc w:val="right"/>
              <w:rPr>
                <w:rFonts w:ascii="Times New Roman" w:hAnsi="Times New Roman" w:cs="Times New Roman" w:eastAsia="Times New Roman" w:hint="default"/>
                <w:sz w:val="21"/>
                <w:szCs w:val="21"/>
              </w:rPr>
            </w:pPr>
            <w:r>
              <w:rPr>
                <w:rFonts w:ascii="Times New Roman"/>
                <w:spacing w:val="-1"/>
                <w:sz w:val="21"/>
              </w:rPr>
              <w:t>4,828.06</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1"/>
              <w:jc w:val="right"/>
              <w:rPr>
                <w:rFonts w:ascii="Times New Roman" w:hAnsi="Times New Roman" w:cs="Times New Roman" w:eastAsia="Times New Roman" w:hint="default"/>
                <w:sz w:val="21"/>
                <w:szCs w:val="21"/>
              </w:rPr>
            </w:pPr>
            <w:r>
              <w:rPr>
                <w:rFonts w:ascii="Times New Roman"/>
                <w:spacing w:val="-2"/>
                <w:sz w:val="21"/>
              </w:rPr>
              <w:t>50.11%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1"/>
              <w:jc w:val="right"/>
              <w:rPr>
                <w:rFonts w:ascii="Times New Roman" w:hAnsi="Times New Roman" w:cs="Times New Roman" w:eastAsia="Times New Roman" w:hint="default"/>
                <w:sz w:val="21"/>
                <w:szCs w:val="21"/>
              </w:rPr>
            </w:pPr>
            <w:r>
              <w:rPr>
                <w:rFonts w:ascii="Times New Roman"/>
                <w:spacing w:val="-1"/>
                <w:sz w:val="21"/>
              </w:rPr>
              <w:t>-0.83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21"/>
                <w:szCs w:val="21"/>
              </w:rPr>
            </w:pPr>
            <w:r>
              <w:rPr>
                <w:rFonts w:ascii="Times New Roman"/>
                <w:sz w:val="21"/>
              </w:rPr>
              <w:t>-4.75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372"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21"/>
                <w:szCs w:val="21"/>
              </w:rPr>
            </w:pPr>
            <w:r>
              <w:rPr>
                <w:rFonts w:ascii="宋体" w:hAnsi="宋体" w:cs="宋体" w:eastAsia="宋体" w:hint="default"/>
                <w:sz w:val="21"/>
                <w:szCs w:val="21"/>
              </w:rPr>
              <w:t>物流及运输</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1"/>
                <w:szCs w:val="21"/>
              </w:rPr>
            </w:pPr>
            <w:r>
              <w:rPr>
                <w:rFonts w:ascii="Times New Roman"/>
                <w:spacing w:val="-1"/>
                <w:sz w:val="21"/>
              </w:rPr>
              <w:t>10,668.23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1"/>
                <w:szCs w:val="21"/>
              </w:rPr>
            </w:pPr>
            <w:r>
              <w:rPr>
                <w:rFonts w:ascii="Times New Roman"/>
                <w:spacing w:val="-1"/>
                <w:sz w:val="21"/>
              </w:rPr>
              <w:t>7,714.95</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1"/>
                <w:szCs w:val="21"/>
              </w:rPr>
            </w:pPr>
            <w:r>
              <w:rPr>
                <w:rFonts w:ascii="Times New Roman"/>
                <w:spacing w:val="-1"/>
                <w:sz w:val="21"/>
              </w:rPr>
              <w:t>27.68%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1"/>
                <w:szCs w:val="21"/>
              </w:rPr>
            </w:pPr>
            <w:r>
              <w:rPr>
                <w:rFonts w:ascii="Times New Roman"/>
                <w:spacing w:val="-1"/>
                <w:sz w:val="21"/>
              </w:rPr>
              <w:t>-10.08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1"/>
                <w:szCs w:val="21"/>
              </w:rPr>
            </w:pPr>
            <w:r>
              <w:rPr>
                <w:rFonts w:ascii="Times New Roman"/>
                <w:sz w:val="21"/>
              </w:rPr>
              <w:t>-2.42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283"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酒店及餐饮</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4,974.05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3,184.81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35.97%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2"/>
                <w:sz w:val="21"/>
              </w:rPr>
              <w:t>-11.45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-10.30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3"/>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bl>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1"/>
          <w:szCs w:val="11"/>
        </w:rPr>
      </w:pPr>
    </w:p>
    <w:tbl>
      <w:tblPr>
        <w:tblW w:w="0" w:type="auto"/>
        <w:jc w:val="left"/>
        <w:tblInd w:w="1563" w:type="dxa"/>
        <w:tblLayout w:type="fixed"/>
        <w:tblCellMar>
          <w:top w:w="0" w:type="dxa"/>
          <w:left w:w="0" w:type="dxa"/>
          <w:bottom w:w="0" w:type="dxa"/>
          <w:right w:w="0" w:type="dxa"/>
        </w:tblCellMar>
        <w:tblLook w:val="01E0"/>
      </w:tblPr>
      <w:tblGrid>
        <w:gridCol w:w="1126"/>
        <w:gridCol w:w="1124"/>
        <w:gridCol w:w="1076"/>
        <w:gridCol w:w="1447"/>
        <w:gridCol w:w="1447"/>
      </w:tblGrid>
      <w:tr>
        <w:trPr>
          <w:trHeight w:val="385" w:hRule="exact"/>
        </w:trPr>
        <w:tc>
          <w:tcPr>
            <w:tcW w:w="6221"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left="1"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1086" w:hRule="exact"/>
        </w:trPr>
        <w:tc>
          <w:tcPr>
            <w:tcW w:w="11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黑体" w:hAnsi="黑体" w:cs="黑体" w:eastAsia="黑体" w:hint="default"/>
                <w:sz w:val="28"/>
                <w:szCs w:val="28"/>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地区</w:t>
            </w:r>
          </w:p>
        </w:tc>
        <w:tc>
          <w:tcPr>
            <w:tcW w:w="11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黑体" w:hAnsi="黑体" w:cs="黑体" w:eastAsia="黑体" w:hint="default"/>
                <w:sz w:val="28"/>
                <w:szCs w:val="28"/>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黑体" w:hAnsi="黑体" w:cs="黑体" w:eastAsia="黑体" w:hint="default"/>
                <w:sz w:val="28"/>
                <w:szCs w:val="28"/>
              </w:rPr>
            </w:pPr>
          </w:p>
          <w:p>
            <w:pPr>
              <w:pStyle w:val="TableParagraph"/>
              <w:spacing w:line="240" w:lineRule="auto"/>
              <w:ind w:left="11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4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黑体" w:hAnsi="黑体" w:cs="黑体" w:eastAsia="黑体" w:hint="default"/>
                <w:sz w:val="19"/>
                <w:szCs w:val="19"/>
              </w:rPr>
            </w:pPr>
          </w:p>
          <w:p>
            <w:pPr>
              <w:pStyle w:val="TableParagraph"/>
              <w:spacing w:line="272" w:lineRule="exact"/>
              <w:ind w:left="105" w:right="88" w:hanging="18"/>
              <w:jc w:val="left"/>
              <w:rPr>
                <w:rFonts w:ascii="宋体" w:hAnsi="宋体" w:cs="宋体" w:eastAsia="宋体" w:hint="default"/>
                <w:sz w:val="21"/>
                <w:szCs w:val="21"/>
              </w:rPr>
            </w:pPr>
            <w:r>
              <w:rPr>
                <w:rFonts w:ascii="宋体" w:hAnsi="宋体" w:cs="宋体" w:eastAsia="宋体" w:hint="default"/>
                <w:sz w:val="21"/>
                <w:szCs w:val="21"/>
              </w:rPr>
              <w:t>营业收入比上 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黑体" w:hAnsi="黑体" w:cs="黑体" w:eastAsia="黑体" w:hint="default"/>
                <w:sz w:val="19"/>
                <w:szCs w:val="19"/>
              </w:rPr>
            </w:pPr>
          </w:p>
          <w:p>
            <w:pPr>
              <w:pStyle w:val="TableParagraph"/>
              <w:spacing w:line="272" w:lineRule="exact"/>
              <w:ind w:left="105" w:right="88" w:hanging="18"/>
              <w:jc w:val="left"/>
              <w:rPr>
                <w:rFonts w:ascii="宋体" w:hAnsi="宋体" w:cs="宋体" w:eastAsia="宋体" w:hint="default"/>
                <w:sz w:val="21"/>
                <w:szCs w:val="21"/>
              </w:rPr>
            </w:pPr>
            <w:r>
              <w:rPr>
                <w:rFonts w:ascii="宋体" w:hAnsi="宋体" w:cs="宋体" w:eastAsia="宋体" w:hint="default"/>
                <w:sz w:val="21"/>
                <w:szCs w:val="21"/>
              </w:rPr>
              <w:t>营业成本比上 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31"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 w:right="0"/>
              <w:jc w:val="left"/>
              <w:rPr>
                <w:rFonts w:ascii="宋体" w:hAnsi="宋体" w:cs="宋体" w:eastAsia="宋体" w:hint="default"/>
                <w:sz w:val="21"/>
                <w:szCs w:val="21"/>
              </w:rPr>
            </w:pPr>
            <w:r>
              <w:rPr>
                <w:rFonts w:ascii="宋体" w:hAnsi="宋体" w:cs="宋体" w:eastAsia="宋体" w:hint="default"/>
                <w:sz w:val="21"/>
                <w:szCs w:val="21"/>
              </w:rPr>
              <w:t>广东地区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21"/>
                <w:szCs w:val="21"/>
              </w:rPr>
            </w:pPr>
            <w:r>
              <w:rPr>
                <w:rFonts w:ascii="Times New Roman"/>
                <w:spacing w:val="-1"/>
                <w:sz w:val="21"/>
              </w:rPr>
              <w:t>63,617.48</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21"/>
                <w:szCs w:val="21"/>
              </w:rPr>
            </w:pPr>
            <w:r>
              <w:rPr>
                <w:rFonts w:ascii="Times New Roman"/>
                <w:spacing w:val="-1"/>
                <w:sz w:val="21"/>
              </w:rPr>
              <w:t>43,090.94</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Times New Roman" w:hAnsi="Times New Roman" w:cs="Times New Roman" w:eastAsia="Times New Roman" w:hint="default"/>
                <w:sz w:val="21"/>
                <w:szCs w:val="21"/>
              </w:rPr>
            </w:pPr>
            <w:r>
              <w:rPr>
                <w:rFonts w:ascii="Times New Roman"/>
                <w:spacing w:val="-1"/>
                <w:sz w:val="21"/>
              </w:rPr>
              <w:t>153.41</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Times New Roman" w:hAnsi="Times New Roman" w:cs="Times New Roman" w:eastAsia="Times New Roman" w:hint="default"/>
                <w:sz w:val="21"/>
                <w:szCs w:val="21"/>
              </w:rPr>
            </w:pPr>
            <w:r>
              <w:rPr>
                <w:rFonts w:ascii="Times New Roman"/>
                <w:spacing w:val="-1"/>
                <w:sz w:val="21"/>
              </w:rPr>
              <w:t>169.26</w:t>
            </w:r>
          </w:p>
        </w:tc>
      </w:tr>
      <w:tr>
        <w:trPr>
          <w:trHeight w:val="431"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 w:right="0"/>
              <w:jc w:val="left"/>
              <w:rPr>
                <w:rFonts w:ascii="宋体" w:hAnsi="宋体" w:cs="宋体" w:eastAsia="宋体" w:hint="default"/>
                <w:sz w:val="21"/>
                <w:szCs w:val="21"/>
              </w:rPr>
            </w:pPr>
            <w:r>
              <w:rPr>
                <w:rFonts w:ascii="宋体" w:hAnsi="宋体" w:cs="宋体" w:eastAsia="宋体" w:hint="default"/>
                <w:sz w:val="21"/>
                <w:szCs w:val="21"/>
              </w:rPr>
              <w:t>湖南地区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21"/>
                <w:szCs w:val="21"/>
              </w:rPr>
            </w:pPr>
            <w:r>
              <w:rPr>
                <w:rFonts w:ascii="Times New Roman"/>
                <w:spacing w:val="-1"/>
                <w:sz w:val="21"/>
              </w:rPr>
              <w:t>2,013.60</w:t>
            </w:r>
            <w:r>
              <w:rPr>
                <w:rFonts w:ascii="Times New Roman"/>
                <w:sz w:val="21"/>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21"/>
                <w:szCs w:val="21"/>
              </w:rPr>
            </w:pPr>
            <w:r>
              <w:rPr>
                <w:rFonts w:ascii="Times New Roman"/>
                <w:spacing w:val="-1"/>
                <w:sz w:val="21"/>
              </w:rPr>
              <w:t>1,094.27</w:t>
            </w:r>
            <w:r>
              <w:rPr>
                <w:rFonts w:ascii="Times New Roman"/>
                <w:sz w:val="21"/>
              </w:rPr>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21"/>
                <w:szCs w:val="21"/>
              </w:rPr>
            </w:pPr>
            <w:r>
              <w:rPr>
                <w:rFonts w:ascii="Times New Roman"/>
                <w:sz w:val="21"/>
              </w:rPr>
              <w:t>-3.88</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Times New Roman" w:hAnsi="Times New Roman" w:cs="Times New Roman" w:eastAsia="Times New Roman" w:hint="default"/>
                <w:sz w:val="21"/>
                <w:szCs w:val="21"/>
              </w:rPr>
            </w:pPr>
            <w:r>
              <w:rPr>
                <w:rFonts w:ascii="Times New Roman"/>
                <w:spacing w:val="-1"/>
                <w:sz w:val="21"/>
              </w:rPr>
              <w:t>-16.23</w:t>
            </w:r>
          </w:p>
        </w:tc>
      </w:tr>
      <w:tr>
        <w:trPr>
          <w:trHeight w:val="432"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 w:right="0"/>
              <w:jc w:val="left"/>
              <w:rPr>
                <w:rFonts w:ascii="宋体" w:hAnsi="宋体" w:cs="宋体" w:eastAsia="宋体" w:hint="default"/>
                <w:sz w:val="21"/>
                <w:szCs w:val="21"/>
              </w:rPr>
            </w:pPr>
            <w:r>
              <w:rPr>
                <w:rFonts w:ascii="宋体" w:hAnsi="宋体" w:cs="宋体" w:eastAsia="宋体" w:hint="default"/>
                <w:sz w:val="21"/>
                <w:szCs w:val="21"/>
              </w:rPr>
              <w:t>西安地区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21"/>
                <w:szCs w:val="21"/>
              </w:rPr>
            </w:pPr>
            <w:r>
              <w:rPr>
                <w:rFonts w:ascii="Times New Roman"/>
                <w:spacing w:val="-1"/>
                <w:sz w:val="21"/>
              </w:rPr>
              <w:t>4,018.25</w:t>
            </w:r>
            <w:r>
              <w:rPr>
                <w:rFonts w:ascii="Times New Roman"/>
                <w:sz w:val="21"/>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21"/>
                <w:szCs w:val="21"/>
              </w:rPr>
            </w:pPr>
            <w:r>
              <w:rPr>
                <w:rFonts w:ascii="Times New Roman"/>
                <w:spacing w:val="-1"/>
                <w:sz w:val="21"/>
              </w:rPr>
              <w:t>2,324.72</w:t>
            </w:r>
            <w:r>
              <w:rPr>
                <w:rFonts w:ascii="Times New Roman"/>
                <w:sz w:val="21"/>
              </w:rPr>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Times New Roman" w:hAnsi="Times New Roman" w:cs="Times New Roman" w:eastAsia="Times New Roman" w:hint="default"/>
                <w:sz w:val="21"/>
                <w:szCs w:val="21"/>
              </w:rPr>
            </w:pPr>
            <w:r>
              <w:rPr>
                <w:rFonts w:ascii="Times New Roman"/>
                <w:spacing w:val="-1"/>
                <w:sz w:val="21"/>
              </w:rPr>
              <w:t>-14.01</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Times New Roman" w:hAnsi="Times New Roman" w:cs="Times New Roman" w:eastAsia="Times New Roman" w:hint="default"/>
                <w:sz w:val="21"/>
                <w:szCs w:val="21"/>
              </w:rPr>
            </w:pPr>
            <w:r>
              <w:rPr>
                <w:rFonts w:ascii="Times New Roman"/>
                <w:spacing w:val="-1"/>
                <w:sz w:val="21"/>
              </w:rPr>
              <w:t>-10.57</w:t>
            </w:r>
          </w:p>
        </w:tc>
      </w:tr>
    </w:tbl>
    <w:p>
      <w:pPr>
        <w:pStyle w:val="BodyText"/>
        <w:spacing w:line="240" w:lineRule="auto" w:before="75"/>
        <w:ind w:left="790" w:right="116"/>
        <w:jc w:val="left"/>
      </w:pPr>
      <w:r>
        <w:rPr>
          <w:rFonts w:ascii="Times New Roman" w:hAnsi="Times New Roman" w:cs="Times New Roman" w:eastAsia="Times New Roman" w:hint="default"/>
        </w:rPr>
        <w:t>3</w:t>
      </w:r>
      <w:r>
        <w:rPr/>
        <w:t>、总体经营状况</w:t>
      </w:r>
    </w:p>
    <w:p>
      <w:pPr>
        <w:pStyle w:val="BodyText"/>
        <w:spacing w:line="340" w:lineRule="auto" w:before="109"/>
        <w:ind w:left="370" w:right="327" w:firstLine="525"/>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17"/>
        </w:rPr>
        <w:t> </w:t>
      </w:r>
      <w:r>
        <w:rPr/>
        <w:t>年度，公司完成股权结构调整、董事局和经营班子换届，发展战略由</w:t>
      </w:r>
      <w:r>
        <w:rPr>
          <w:rFonts w:ascii="Times New Roman" w:hAnsi="Times New Roman" w:cs="Times New Roman" w:eastAsia="Times New Roman" w:hint="default"/>
        </w:rPr>
        <w:t>“</w:t>
      </w:r>
      <w:r>
        <w:rPr/>
        <w:t>四业并举、突 出发展房地产</w:t>
      </w:r>
      <w:r>
        <w:rPr>
          <w:rFonts w:ascii="Times New Roman" w:hAnsi="Times New Roman" w:cs="Times New Roman" w:eastAsia="Times New Roman" w:hint="default"/>
        </w:rPr>
        <w:t>”</w:t>
      </w:r>
      <w:r>
        <w:rPr/>
        <w:t>转为</w:t>
      </w:r>
      <w:r>
        <w:rPr>
          <w:rFonts w:ascii="Times New Roman" w:hAnsi="Times New Roman" w:cs="Times New Roman" w:eastAsia="Times New Roman" w:hint="default"/>
        </w:rPr>
        <w:t>“</w:t>
      </w:r>
      <w:r>
        <w:rPr/>
        <w:t>加快产业结构调整、集中资源发展房地产业，打造专业房地产上市公司</w:t>
      </w:r>
      <w:r>
        <w:rPr>
          <w:rFonts w:ascii="Times New Roman" w:hAnsi="Times New Roman" w:cs="Times New Roman" w:eastAsia="Times New Roman" w:hint="default"/>
        </w:rPr>
        <w:t>”</w:t>
      </w:r>
      <w:r>
        <w:rPr/>
        <w:t>。 本年度，公司克服全球金融危机、甲流传播等给企业经营带来的困难，积极采取应对措施，强</w:t>
      </w:r>
      <w:r>
        <w:rPr>
          <w:spacing w:val="-99"/>
        </w:rPr>
        <w:t> </w:t>
      </w:r>
      <w:r>
        <w:rPr>
          <w:spacing w:val="-99"/>
        </w:rPr>
      </w:r>
      <w:r>
        <w:rPr/>
        <w:t>化公司内部控制，优化管理，同时公司按计划分步骤逐步剥离非房地产业务的传统企业，集中</w:t>
      </w:r>
      <w:r>
        <w:rPr>
          <w:spacing w:val="-99"/>
        </w:rPr>
        <w:t> </w:t>
      </w:r>
      <w:r>
        <w:rPr>
          <w:spacing w:val="-99"/>
        </w:rPr>
      </w:r>
      <w:r>
        <w:rPr/>
        <w:t>资源加快房地产项目开发进度及营销力度。报告期内，公司实现营业总收入</w:t>
      </w:r>
      <w:r>
        <w:rPr>
          <w:spacing w:val="-69"/>
        </w:rPr>
        <w:t> </w:t>
      </w:r>
      <w:r>
        <w:rPr>
          <w:rFonts w:ascii="Times New Roman" w:hAnsi="Times New Roman" w:cs="Times New Roman" w:eastAsia="Times New Roman" w:hint="default"/>
        </w:rPr>
        <w:t>69,672</w:t>
      </w:r>
      <w:r>
        <w:rPr>
          <w:rFonts w:ascii="Times New Roman" w:hAnsi="Times New Roman" w:cs="Times New Roman" w:eastAsia="Times New Roman" w:hint="default"/>
          <w:spacing w:val="-16"/>
        </w:rPr>
        <w:t> </w:t>
      </w:r>
      <w:r>
        <w:rPr>
          <w:spacing w:val="-4"/>
        </w:rPr>
        <w:t>万元，营业</w:t>
      </w:r>
    </w:p>
    <w:p>
      <w:pPr>
        <w:pStyle w:val="BodyText"/>
        <w:spacing w:line="240" w:lineRule="auto" w:before="12"/>
        <w:ind w:left="370" w:right="116"/>
        <w:jc w:val="left"/>
      </w:pPr>
      <w:r>
        <w:rPr/>
        <w:t>利润</w:t>
      </w:r>
      <w:r>
        <w:rPr>
          <w:spacing w:val="-55"/>
        </w:rPr>
        <w:t> </w:t>
      </w:r>
      <w:r>
        <w:rPr>
          <w:rFonts w:ascii="Times New Roman" w:hAnsi="Times New Roman" w:cs="Times New Roman" w:eastAsia="Times New Roman" w:hint="default"/>
        </w:rPr>
        <w:t>6,696</w:t>
      </w:r>
      <w:r>
        <w:rPr>
          <w:rFonts w:ascii="Times New Roman" w:hAnsi="Times New Roman" w:cs="Times New Roman" w:eastAsia="Times New Roman" w:hint="default"/>
          <w:spacing w:val="-2"/>
        </w:rPr>
        <w:t> </w:t>
      </w:r>
      <w:r>
        <w:rPr/>
        <w:t>万元，累计净利润</w:t>
      </w:r>
      <w:r>
        <w:rPr>
          <w:spacing w:val="-55"/>
        </w:rPr>
        <w:t> </w:t>
      </w:r>
      <w:r>
        <w:rPr>
          <w:rFonts w:ascii="Times New Roman" w:hAnsi="Times New Roman" w:cs="Times New Roman" w:eastAsia="Times New Roman" w:hint="default"/>
        </w:rPr>
        <w:t>6,436</w:t>
      </w:r>
      <w:r>
        <w:rPr>
          <w:rFonts w:ascii="Times New Roman" w:hAnsi="Times New Roman" w:cs="Times New Roman" w:eastAsia="Times New Roman" w:hint="default"/>
          <w:spacing w:val="-2"/>
        </w:rPr>
        <w:t> </w:t>
      </w:r>
      <w:r>
        <w:rPr/>
        <w:t>万元，每股收益</w:t>
      </w:r>
      <w:r>
        <w:rPr>
          <w:spacing w:val="-55"/>
        </w:rPr>
        <w:t> </w:t>
      </w:r>
      <w:r>
        <w:rPr>
          <w:rFonts w:ascii="Times New Roman" w:hAnsi="Times New Roman" w:cs="Times New Roman" w:eastAsia="Times New Roman" w:hint="default"/>
        </w:rPr>
        <w:t>0.14</w:t>
      </w:r>
      <w:r>
        <w:rPr>
          <w:rFonts w:ascii="Times New Roman" w:hAnsi="Times New Roman" w:cs="Times New Roman" w:eastAsia="Times New Roman" w:hint="default"/>
          <w:spacing w:val="-2"/>
        </w:rPr>
        <w:t> </w:t>
      </w:r>
      <w:r>
        <w:rPr/>
        <w:t>元。</w:t>
      </w:r>
    </w:p>
    <w:p>
      <w:pPr>
        <w:pStyle w:val="BodyText"/>
        <w:spacing w:line="240" w:lineRule="auto" w:before="109"/>
        <w:ind w:left="790" w:right="116"/>
        <w:jc w:val="left"/>
      </w:pPr>
      <w:r>
        <w:rPr>
          <w:rFonts w:ascii="Times New Roman" w:hAnsi="Times New Roman" w:cs="Times New Roman" w:eastAsia="Times New Roman" w:hint="default"/>
        </w:rPr>
        <w:t>4</w:t>
      </w:r>
      <w:r>
        <w:rPr/>
        <w:t>、主营业务经营情况</w:t>
      </w:r>
    </w:p>
    <w:p>
      <w:pPr>
        <w:pStyle w:val="BodyText"/>
        <w:spacing w:line="240" w:lineRule="auto" w:before="109"/>
        <w:ind w:left="790" w:right="116"/>
        <w:jc w:val="left"/>
      </w:pPr>
      <w:r>
        <w:rPr/>
        <w:t>（</w:t>
      </w:r>
      <w:r>
        <w:rPr>
          <w:rFonts w:ascii="Times New Roman" w:hAnsi="Times New Roman" w:cs="Times New Roman" w:eastAsia="Times New Roman" w:hint="default"/>
        </w:rPr>
        <w:t>1</w:t>
      </w:r>
      <w:r>
        <w:rPr/>
        <w:t>）</w:t>
      </w:r>
      <w:r>
        <w:rPr>
          <w:spacing w:val="89"/>
        </w:rPr>
        <w:t> </w:t>
      </w:r>
      <w:r>
        <w:rPr/>
        <w:t>房地产开发及物业管理</w:t>
      </w:r>
    </w:p>
    <w:p>
      <w:pPr>
        <w:spacing w:after="0" w:line="240" w:lineRule="auto"/>
        <w:jc w:val="left"/>
        <w:sectPr>
          <w:pgSz w:w="11900" w:h="16840"/>
          <w:pgMar w:header="0" w:footer="939" w:top="1500" w:bottom="1120" w:left="1500" w:right="1020"/>
        </w:sectPr>
      </w:pPr>
    </w:p>
    <w:p>
      <w:pPr>
        <w:pStyle w:val="BodyText"/>
        <w:spacing w:line="240" w:lineRule="auto" w:before="15"/>
        <w:ind w:left="610" w:right="0"/>
        <w:jc w:val="left"/>
      </w:pPr>
      <w:r>
        <w:rPr/>
        <w:t>报告期内公司房地产项目进展情况：</w:t>
      </w:r>
    </w:p>
    <w:p>
      <w:pPr>
        <w:pStyle w:val="BodyText"/>
        <w:spacing w:line="240" w:lineRule="auto" w:before="125"/>
        <w:ind w:left="610" w:right="0"/>
        <w:jc w:val="left"/>
      </w:pPr>
      <w:r>
        <w:rPr>
          <w:rFonts w:ascii="新宋体" w:hAnsi="新宋体" w:cs="新宋体" w:eastAsia="新宋体" w:hint="default"/>
        </w:rPr>
        <w:t>①</w:t>
      </w:r>
      <w:r>
        <w:rPr/>
        <w:t>草埔鸿基花园二期</w:t>
      </w:r>
      <w:r>
        <w:rPr>
          <w:rFonts w:ascii="Times New Roman" w:hAnsi="Times New Roman" w:cs="Times New Roman" w:eastAsia="Times New Roman" w:hint="default"/>
        </w:rPr>
        <w:t>“</w:t>
      </w:r>
      <w:r>
        <w:rPr/>
        <w:t>鸿翠苑</w:t>
      </w:r>
      <w:r>
        <w:rPr>
          <w:rFonts w:ascii="Times New Roman" w:hAnsi="Times New Roman" w:cs="Times New Roman" w:eastAsia="Times New Roman" w:hint="default"/>
        </w:rPr>
        <w:t>”</w:t>
      </w:r>
      <w:r>
        <w:rPr/>
        <w:t>项目：该项目占地</w:t>
      </w:r>
      <w:r>
        <w:rPr>
          <w:spacing w:val="-47"/>
        </w:rPr>
        <w:t> </w:t>
      </w:r>
      <w:r>
        <w:rPr>
          <w:rFonts w:ascii="Times New Roman" w:hAnsi="Times New Roman" w:cs="Times New Roman" w:eastAsia="Times New Roman" w:hint="default"/>
        </w:rPr>
        <w:t>8,581</w:t>
      </w:r>
      <w:r>
        <w:rPr>
          <w:rFonts w:ascii="Times New Roman" w:hAnsi="Times New Roman" w:cs="Times New Roman" w:eastAsia="Times New Roman" w:hint="default"/>
          <w:spacing w:val="6"/>
        </w:rPr>
        <w:t> </w:t>
      </w:r>
      <w:r>
        <w:rPr/>
        <w:t>平米，建筑面积</w:t>
      </w:r>
      <w:r>
        <w:rPr>
          <w:spacing w:val="-47"/>
        </w:rPr>
        <w:t> </w:t>
      </w:r>
      <w:r>
        <w:rPr>
          <w:rFonts w:ascii="Times New Roman" w:hAnsi="Times New Roman" w:cs="Times New Roman" w:eastAsia="Times New Roman" w:hint="default"/>
        </w:rPr>
        <w:t>42,395</w:t>
      </w:r>
      <w:r>
        <w:rPr>
          <w:rFonts w:ascii="Times New Roman" w:hAnsi="Times New Roman" w:cs="Times New Roman" w:eastAsia="Times New Roman" w:hint="default"/>
          <w:spacing w:val="6"/>
        </w:rPr>
        <w:t> </w:t>
      </w:r>
      <w:r>
        <w:rPr/>
        <w:t>平方米，自</w:t>
      </w:r>
    </w:p>
    <w:p>
      <w:pPr>
        <w:pStyle w:val="BodyText"/>
        <w:spacing w:line="240" w:lineRule="auto" w:before="110"/>
        <w:ind w:right="0"/>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月份起销售，截止期末已经基本售罄</w:t>
      </w:r>
      <w:r>
        <w:rPr>
          <w:rFonts w:ascii="Times New Roman" w:hAnsi="Times New Roman" w:cs="Times New Roman" w:eastAsia="Times New Roman" w:hint="default"/>
        </w:rPr>
        <w:t>,</w:t>
      </w:r>
      <w:r>
        <w:rPr/>
        <w:t>并于</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月交付使用。</w:t>
      </w:r>
    </w:p>
    <w:p>
      <w:pPr>
        <w:pStyle w:val="BodyText"/>
        <w:spacing w:line="240" w:lineRule="auto" w:before="109"/>
        <w:ind w:left="610" w:right="0"/>
        <w:jc w:val="left"/>
      </w:pPr>
      <w:r>
        <w:rPr>
          <w:rFonts w:ascii="新宋体" w:hAnsi="新宋体" w:cs="新宋体" w:eastAsia="新宋体" w:hint="default"/>
        </w:rPr>
        <w:t>②</w:t>
      </w:r>
      <w:r>
        <w:rPr/>
        <w:t>西安</w:t>
      </w:r>
      <w:r>
        <w:rPr>
          <w:rFonts w:ascii="Times New Roman" w:hAnsi="Times New Roman" w:cs="Times New Roman" w:eastAsia="Times New Roman" w:hint="default"/>
        </w:rPr>
        <w:t>“</w:t>
      </w:r>
      <w:r>
        <w:rPr/>
        <w:t>鸿基新城</w:t>
      </w:r>
      <w:r>
        <w:rPr>
          <w:rFonts w:ascii="Times New Roman" w:hAnsi="Times New Roman" w:cs="Times New Roman" w:eastAsia="Times New Roman" w:hint="default"/>
        </w:rPr>
        <w:t>”</w:t>
      </w:r>
      <w:r>
        <w:rPr/>
        <w:t>经济适用房一期项目：该项目占地 </w:t>
      </w:r>
      <w:r>
        <w:rPr>
          <w:rFonts w:ascii="Times New Roman" w:hAnsi="Times New Roman" w:cs="Times New Roman" w:eastAsia="Times New Roman" w:hint="default"/>
        </w:rPr>
        <w:t>1,053 </w:t>
      </w:r>
      <w:r>
        <w:rPr/>
        <w:t>亩，总建筑面积 </w:t>
      </w:r>
      <w:r>
        <w:rPr>
          <w:rFonts w:ascii="Times New Roman" w:hAnsi="Times New Roman" w:cs="Times New Roman" w:eastAsia="Times New Roman" w:hint="default"/>
        </w:rPr>
        <w:t>118</w:t>
      </w:r>
      <w:r>
        <w:rPr>
          <w:rFonts w:ascii="Times New Roman" w:hAnsi="Times New Roman" w:cs="Times New Roman" w:eastAsia="Times New Roman" w:hint="default"/>
          <w:spacing w:val="-29"/>
        </w:rPr>
        <w:t> </w:t>
      </w:r>
      <w:r>
        <w:rPr/>
        <w:t>万平米。</w:t>
      </w:r>
    </w:p>
    <w:p>
      <w:pPr>
        <w:pStyle w:val="BodyText"/>
        <w:spacing w:line="240" w:lineRule="auto" w:before="109"/>
        <w:ind w:right="0"/>
        <w:jc w:val="both"/>
        <w:rPr>
          <w:rFonts w:ascii="Times New Roman" w:hAnsi="Times New Roman" w:cs="Times New Roman" w:eastAsia="Times New Roman" w:hint="default"/>
        </w:rPr>
      </w:pPr>
      <w:r>
        <w:rPr/>
        <w:t>报告期内，该项目</w:t>
      </w:r>
      <w:r>
        <w:rPr>
          <w:spacing w:val="-61"/>
        </w:rPr>
        <w:t> </w:t>
      </w:r>
      <w:r>
        <w:rPr>
          <w:rFonts w:ascii="Times New Roman" w:hAnsi="Times New Roman" w:cs="Times New Roman" w:eastAsia="Times New Roman" w:hint="default"/>
        </w:rPr>
        <w:t>26</w:t>
      </w:r>
      <w:r>
        <w:rPr>
          <w:rFonts w:ascii="Times New Roman" w:hAnsi="Times New Roman" w:cs="Times New Roman" w:eastAsia="Times New Roman" w:hint="default"/>
          <w:spacing w:val="37"/>
        </w:rPr>
        <w:t> </w:t>
      </w:r>
      <w:r>
        <w:rPr/>
        <w:t>号地块一、二期工程已全面动工，开工建筑</w:t>
      </w:r>
      <w:r>
        <w:rPr>
          <w:spacing w:val="-61"/>
        </w:rPr>
        <w:t> </w:t>
      </w:r>
      <w:r>
        <w:rPr>
          <w:rFonts w:ascii="Times New Roman" w:hAnsi="Times New Roman" w:cs="Times New Roman" w:eastAsia="Times New Roman" w:hint="default"/>
        </w:rPr>
        <w:t>41</w:t>
      </w:r>
      <w:r>
        <w:rPr>
          <w:rFonts w:ascii="Times New Roman" w:hAnsi="Times New Roman" w:cs="Times New Roman" w:eastAsia="Times New Roman" w:hint="default"/>
          <w:spacing w:val="-8"/>
        </w:rPr>
        <w:t> </w:t>
      </w:r>
      <w:r>
        <w:rPr/>
        <w:t>栋</w:t>
      </w:r>
      <w:r>
        <w:rPr>
          <w:rFonts w:ascii="Times New Roman" w:hAnsi="Times New Roman" w:cs="Times New Roman" w:eastAsia="Times New Roman" w:hint="default"/>
        </w:rPr>
        <w:t>,</w:t>
      </w:r>
      <w:r>
        <w:rPr/>
        <w:t>建筑面积</w:t>
      </w:r>
      <w:r>
        <w:rPr>
          <w:spacing w:val="-61"/>
        </w:rPr>
        <w:t> </w:t>
      </w:r>
      <w:r>
        <w:rPr>
          <w:rFonts w:ascii="Times New Roman" w:hAnsi="Times New Roman" w:cs="Times New Roman" w:eastAsia="Times New Roman" w:hint="default"/>
        </w:rPr>
        <w:t>23</w:t>
      </w:r>
      <w:r>
        <w:rPr>
          <w:rFonts w:ascii="Times New Roman" w:hAnsi="Times New Roman" w:cs="Times New Roman" w:eastAsia="Times New Roman" w:hint="default"/>
          <w:spacing w:val="-9"/>
        </w:rPr>
        <w:t> </w:t>
      </w:r>
      <w:r>
        <w:rPr/>
        <w:t>万平方米</w:t>
      </w:r>
      <w:r>
        <w:rPr>
          <w:rFonts w:ascii="Times New Roman" w:hAnsi="Times New Roman" w:cs="Times New Roman" w:eastAsia="Times New Roman" w:hint="default"/>
        </w:rPr>
        <w:t>,</w:t>
      </w:r>
    </w:p>
    <w:p>
      <w:pPr>
        <w:pStyle w:val="BodyText"/>
        <w:spacing w:line="240" w:lineRule="auto" w:before="110"/>
        <w:ind w:right="0"/>
        <w:jc w:val="both"/>
      </w:pPr>
      <w:r>
        <w:rPr/>
        <w:t>其中</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栋已经封顶，销售面积约</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万平方米。</w:t>
      </w:r>
    </w:p>
    <w:p>
      <w:pPr>
        <w:pStyle w:val="BodyText"/>
        <w:spacing w:line="331" w:lineRule="auto" w:before="109"/>
        <w:ind w:right="198" w:firstLine="420"/>
        <w:jc w:val="left"/>
      </w:pPr>
      <w:r>
        <w:rPr>
          <w:rFonts w:ascii="新宋体" w:hAnsi="新宋体" w:cs="新宋体" w:eastAsia="新宋体" w:hint="default"/>
        </w:rPr>
        <w:t>③</w:t>
      </w:r>
      <w:r>
        <w:rPr/>
        <w:t>西安</w:t>
      </w:r>
      <w:r>
        <w:rPr>
          <w:rFonts w:ascii="Times New Roman" w:hAnsi="Times New Roman" w:cs="Times New Roman" w:eastAsia="Times New Roman" w:hint="default"/>
        </w:rPr>
        <w:t>“</w:t>
      </w:r>
      <w:r>
        <w:rPr/>
        <w:t>鸿基</w:t>
      </w:r>
      <w:r>
        <w:rPr>
          <w:rFonts w:ascii="Times New Roman" w:hAnsi="Times New Roman" w:cs="Times New Roman" w:eastAsia="Times New Roman" w:hint="default"/>
        </w:rPr>
        <w:t>·</w:t>
      </w:r>
      <w:r>
        <w:rPr/>
        <w:t>紫韵</w:t>
      </w:r>
      <w:r>
        <w:rPr>
          <w:rFonts w:ascii="Times New Roman" w:hAnsi="Times New Roman" w:cs="Times New Roman" w:eastAsia="Times New Roman" w:hint="default"/>
        </w:rPr>
        <w:t>”</w:t>
      </w:r>
      <w:r>
        <w:rPr/>
        <w:t>项目：该项目占地面积</w:t>
      </w:r>
      <w:r>
        <w:rPr>
          <w:rFonts w:ascii="Times New Roman" w:hAnsi="Times New Roman" w:cs="Times New Roman" w:eastAsia="Times New Roman" w:hint="default"/>
        </w:rPr>
        <w:t>102,099</w:t>
      </w:r>
      <w:r>
        <w:rPr/>
        <w:t>平方米，总建筑面积</w:t>
      </w:r>
      <w:r>
        <w:rPr>
          <w:rFonts w:ascii="Times New Roman" w:hAnsi="Times New Roman" w:cs="Times New Roman" w:eastAsia="Times New Roman" w:hint="default"/>
        </w:rPr>
        <w:t>249,517</w:t>
      </w:r>
      <w:r>
        <w:rPr/>
        <w:t>平方米，项 目分南北两期开发。</w:t>
      </w:r>
      <w:r>
        <w:rPr>
          <w:rFonts w:ascii="Times New Roman" w:hAnsi="Times New Roman" w:cs="Times New Roman" w:eastAsia="Times New Roman" w:hint="default"/>
        </w:rPr>
        <w:t>2009</w:t>
      </w:r>
      <w:r>
        <w:rPr/>
        <w:t>年开工面积共</w:t>
      </w:r>
      <w:r>
        <w:rPr>
          <w:rFonts w:ascii="Times New Roman" w:hAnsi="Times New Roman" w:cs="Times New Roman" w:eastAsia="Times New Roman" w:hint="default"/>
        </w:rPr>
        <w:t>81,698</w:t>
      </w:r>
      <w:r>
        <w:rPr/>
        <w:t>平方米，报告期内，一期工程</w:t>
      </w:r>
      <w:r>
        <w:rPr>
          <w:rFonts w:ascii="Times New Roman" w:hAnsi="Times New Roman" w:cs="Times New Roman" w:eastAsia="Times New Roman" w:hint="default"/>
        </w:rPr>
        <w:t>31</w:t>
      </w:r>
      <w:r>
        <w:rPr/>
        <w:t>栋别墅其中</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栋 别墅已封顶，销售面积近</w:t>
      </w:r>
      <w:r>
        <w:rPr>
          <w:rFonts w:ascii="Times New Roman" w:hAnsi="Times New Roman" w:cs="Times New Roman" w:eastAsia="Times New Roman" w:hint="default"/>
        </w:rPr>
        <w:t>8</w:t>
      </w:r>
      <w:r>
        <w:rPr/>
        <w:t>万平方米。</w:t>
      </w:r>
    </w:p>
    <w:p>
      <w:pPr>
        <w:pStyle w:val="BodyText"/>
        <w:spacing w:line="340" w:lineRule="auto" w:before="20"/>
        <w:ind w:right="217" w:firstLine="420"/>
        <w:jc w:val="both"/>
      </w:pPr>
      <w:r>
        <w:rPr/>
        <w:t>物业管理业务：努力确保物业租赁收益，拓展外部市场。物业租赁基本保持稳定，上半年 商场物业平均出租率达到</w:t>
      </w:r>
      <w:r>
        <w:rPr>
          <w:rFonts w:ascii="Times New Roman" w:hAnsi="Times New Roman" w:cs="Times New Roman" w:eastAsia="Times New Roman" w:hint="default"/>
        </w:rPr>
        <w:t>97%</w:t>
      </w:r>
      <w:r>
        <w:rPr/>
        <w:t>；物管业务方面，成功中标并顺利进驻了深圳市农村商业银行龙 岗爱都综合大楼的物业管理，同时还获得龙岗土地中心新增托管近百万平方米土地。</w:t>
      </w:r>
    </w:p>
    <w:p>
      <w:pPr>
        <w:pStyle w:val="BodyText"/>
        <w:spacing w:line="328" w:lineRule="auto" w:before="36"/>
        <w:ind w:right="203" w:firstLine="420"/>
        <w:jc w:val="left"/>
      </w:pPr>
      <w:r>
        <w:rPr>
          <w:spacing w:val="-3"/>
        </w:rPr>
        <w:t>报告期内，因新楼盘开始销售，房地产开发及物业管理实现营业收入</w:t>
      </w:r>
      <w:r>
        <w:rPr>
          <w:spacing w:val="-45"/>
        </w:rPr>
        <w:t> </w:t>
      </w:r>
      <w:r>
        <w:rPr>
          <w:rFonts w:ascii="Times New Roman" w:hAnsi="Times New Roman" w:cs="Times New Roman" w:eastAsia="Times New Roman" w:hint="default"/>
        </w:rPr>
        <w:t>45,369.73</w:t>
      </w:r>
      <w:r>
        <w:rPr>
          <w:rFonts w:ascii="Times New Roman" w:hAnsi="Times New Roman" w:cs="Times New Roman" w:eastAsia="Times New Roman" w:hint="default"/>
          <w:spacing w:val="9"/>
        </w:rPr>
        <w:t> </w:t>
      </w:r>
      <w:r>
        <w:rPr>
          <w:spacing w:val="-7"/>
        </w:rPr>
        <w:t>万元，较上</w:t>
      </w:r>
      <w:r>
        <w:rPr/>
        <w:t> 年度大幅上升。</w:t>
      </w:r>
    </w:p>
    <w:p>
      <w:pPr>
        <w:pStyle w:val="BodyText"/>
        <w:spacing w:line="328" w:lineRule="auto" w:before="48"/>
        <w:ind w:left="610" w:right="200" w:hanging="1"/>
        <w:jc w:val="left"/>
      </w:pPr>
      <w:r>
        <w:rPr/>
        <w:t>（</w:t>
      </w:r>
      <w:r>
        <w:rPr>
          <w:rFonts w:ascii="Times New Roman" w:hAnsi="Times New Roman" w:cs="Times New Roman" w:eastAsia="Times New Roman" w:hint="default"/>
        </w:rPr>
        <w:t>2</w:t>
      </w:r>
      <w:r>
        <w:rPr/>
        <w:t>）出租车运输业 报告期内，由于上半年受金融海啸影响出租车市场客源减少，同时因公司转让西安鸿基运</w:t>
      </w:r>
    </w:p>
    <w:p>
      <w:pPr>
        <w:pStyle w:val="BodyText"/>
        <w:spacing w:line="340" w:lineRule="auto" w:before="47"/>
        <w:ind w:right="217"/>
        <w:jc w:val="both"/>
      </w:pPr>
      <w:r>
        <w:rPr/>
        <w:t>输公司，出租车运输业务收入有所下降；但公司通过积极开展</w:t>
      </w:r>
      <w:r>
        <w:rPr>
          <w:rFonts w:ascii="Times New Roman" w:hAnsi="Times New Roman" w:cs="Times New Roman" w:eastAsia="Times New Roman" w:hint="default"/>
        </w:rPr>
        <w:t>“</w:t>
      </w:r>
      <w:r>
        <w:rPr/>
        <w:t>开源节流、节能降耗</w:t>
      </w:r>
      <w:r>
        <w:rPr>
          <w:rFonts w:ascii="Times New Roman" w:hAnsi="Times New Roman" w:cs="Times New Roman" w:eastAsia="Times New Roman" w:hint="default"/>
        </w:rPr>
        <w:t>”</w:t>
      </w:r>
      <w:r>
        <w:rPr/>
        <w:t>工作，进 一步控制运营成本，克服了油价上涨及新投入运营的车辆成本费用较高不利因素，毛利率小幅 增加。</w:t>
      </w:r>
    </w:p>
    <w:p>
      <w:pPr>
        <w:pStyle w:val="BodyText"/>
        <w:spacing w:line="240" w:lineRule="auto" w:before="36"/>
        <w:ind w:left="610" w:right="0"/>
        <w:jc w:val="left"/>
      </w:pPr>
      <w:r>
        <w:rPr/>
        <w:t>报告期内，出租车运输业实现营业收入</w:t>
      </w:r>
      <w:r>
        <w:rPr>
          <w:spacing w:val="-56"/>
        </w:rPr>
        <w:t> </w:t>
      </w:r>
      <w:r>
        <w:rPr>
          <w:rFonts w:ascii="Times New Roman" w:hAnsi="Times New Roman" w:cs="Times New Roman" w:eastAsia="Times New Roman" w:hint="default"/>
        </w:rPr>
        <w:t>9,677.78</w:t>
      </w:r>
      <w:r>
        <w:rPr>
          <w:rFonts w:ascii="Times New Roman" w:hAnsi="Times New Roman" w:cs="Times New Roman" w:eastAsia="Times New Roman" w:hint="default"/>
          <w:spacing w:val="-3"/>
        </w:rPr>
        <w:t> </w:t>
      </w:r>
      <w:r>
        <w:rPr/>
        <w:t>万元，较上年减少</w:t>
      </w:r>
      <w:r>
        <w:rPr>
          <w:spacing w:val="-56"/>
        </w:rPr>
        <w:t> </w:t>
      </w:r>
      <w:r>
        <w:rPr>
          <w:rFonts w:ascii="Times New Roman" w:hAnsi="Times New Roman" w:cs="Times New Roman" w:eastAsia="Times New Roman" w:hint="default"/>
        </w:rPr>
        <w:t>0.83%</w:t>
      </w:r>
      <w:r>
        <w:rPr/>
        <w:t>。</w:t>
      </w:r>
    </w:p>
    <w:p>
      <w:pPr>
        <w:pStyle w:val="BodyText"/>
        <w:spacing w:line="328" w:lineRule="auto" w:before="110"/>
        <w:ind w:left="610" w:right="200" w:hanging="1"/>
        <w:jc w:val="left"/>
      </w:pPr>
      <w:r>
        <w:rPr/>
        <w:t>（</w:t>
      </w:r>
      <w:r>
        <w:rPr>
          <w:rFonts w:ascii="Times New Roman" w:hAnsi="Times New Roman" w:cs="Times New Roman" w:eastAsia="Times New Roman" w:hint="default"/>
        </w:rPr>
        <w:t>3</w:t>
      </w:r>
      <w:r>
        <w:rPr/>
        <w:t>）物流、运输业务： 报告期内，由于金融海啸的影响，出口业务量减少，公司保税仓库总体来货量下降，公司</w:t>
      </w:r>
    </w:p>
    <w:p>
      <w:pPr>
        <w:pStyle w:val="BodyText"/>
        <w:spacing w:line="350" w:lineRule="auto" w:before="47"/>
        <w:ind w:right="217"/>
        <w:jc w:val="both"/>
      </w:pPr>
      <w:r>
        <w:rPr/>
        <w:t>物流行业除裕泰出口监管仓公司能保持盈利以外，其余货代、报关、集装箱堆场经营仍然处于 亏损状态。</w:t>
      </w:r>
    </w:p>
    <w:p>
      <w:pPr>
        <w:pStyle w:val="BodyText"/>
        <w:spacing w:line="350" w:lineRule="auto" w:before="28"/>
        <w:ind w:right="0" w:firstLine="420"/>
        <w:jc w:val="left"/>
      </w:pPr>
      <w:r>
        <w:rPr>
          <w:spacing w:val="-3"/>
        </w:rPr>
        <w:t>装卸运输业，金融风暴的影响使装卸和接车业务收入均有下降，但公司通过抓好内部管理，</w:t>
      </w:r>
      <w:r>
        <w:rPr/>
        <w:t> 业务拓展、安全生产管理和优质服务，同时做好成本控制，提高企业效益，克服了成本大幅上 升的压力。</w:t>
      </w:r>
    </w:p>
    <w:p>
      <w:pPr>
        <w:pStyle w:val="BodyText"/>
        <w:spacing w:line="328" w:lineRule="auto" w:before="28"/>
        <w:ind w:right="0" w:firstLine="420"/>
        <w:jc w:val="left"/>
      </w:pPr>
      <w:r>
        <w:rPr>
          <w:spacing w:val="-5"/>
        </w:rPr>
        <w:t>报告期内，物流及运输业整体实现营业收入</w:t>
      </w:r>
      <w:r>
        <w:rPr>
          <w:spacing w:val="-50"/>
        </w:rPr>
        <w:t> </w:t>
      </w:r>
      <w:r>
        <w:rPr>
          <w:rFonts w:ascii="Times New Roman" w:hAnsi="Times New Roman" w:cs="Times New Roman" w:eastAsia="Times New Roman" w:hint="default"/>
        </w:rPr>
        <w:t>10,668</w:t>
      </w:r>
      <w:r>
        <w:rPr>
          <w:rFonts w:ascii="Times New Roman" w:hAnsi="Times New Roman" w:cs="Times New Roman" w:eastAsia="Times New Roman" w:hint="default"/>
          <w:spacing w:val="4"/>
        </w:rPr>
        <w:t> </w:t>
      </w:r>
      <w:r>
        <w:rPr>
          <w:spacing w:val="-11"/>
        </w:rPr>
        <w:t>万元，较上年减少</w:t>
      </w:r>
      <w:r>
        <w:rPr>
          <w:spacing w:val="-50"/>
        </w:rPr>
        <w:t> </w:t>
      </w:r>
      <w:r>
        <w:rPr>
          <w:rFonts w:ascii="Times New Roman" w:hAnsi="Times New Roman" w:cs="Times New Roman" w:eastAsia="Times New Roman" w:hint="default"/>
          <w:spacing w:val="-12"/>
        </w:rPr>
        <w:t>10%</w:t>
      </w:r>
      <w:r>
        <w:rPr>
          <w:spacing w:val="-12"/>
        </w:rPr>
        <w:t>，毛利率</w:t>
      </w:r>
      <w:r>
        <w:rPr>
          <w:spacing w:val="-50"/>
        </w:rPr>
        <w:t> </w:t>
      </w:r>
      <w:r>
        <w:rPr>
          <w:rFonts w:ascii="Times New Roman" w:hAnsi="Times New Roman" w:cs="Times New Roman" w:eastAsia="Times New Roman" w:hint="default"/>
        </w:rPr>
        <w:t>27.68%</w:t>
      </w:r>
      <w:r>
        <w:rPr/>
        <w:t>， 较上年减少</w:t>
      </w:r>
      <w:r>
        <w:rPr>
          <w:spacing w:val="-56"/>
        </w:rPr>
        <w:t> </w:t>
      </w:r>
      <w:r>
        <w:rPr>
          <w:rFonts w:ascii="Times New Roman" w:hAnsi="Times New Roman" w:cs="Times New Roman" w:eastAsia="Times New Roman" w:hint="default"/>
        </w:rPr>
        <w:t>5.68</w:t>
      </w:r>
      <w:r>
        <w:rPr>
          <w:rFonts w:ascii="Times New Roman" w:hAnsi="Times New Roman" w:cs="Times New Roman" w:eastAsia="Times New Roman" w:hint="default"/>
          <w:spacing w:val="-2"/>
        </w:rPr>
        <w:t> </w:t>
      </w:r>
      <w:r>
        <w:rPr/>
        <w:t>个百分点。</w:t>
      </w:r>
    </w:p>
    <w:p>
      <w:pPr>
        <w:pStyle w:val="BodyText"/>
        <w:spacing w:line="240" w:lineRule="auto" w:before="24"/>
        <w:ind w:left="610" w:right="0"/>
        <w:jc w:val="left"/>
      </w:pPr>
      <w:r>
        <w:rPr/>
        <w:t>（</w:t>
      </w:r>
      <w:r>
        <w:rPr>
          <w:rFonts w:ascii="Times New Roman" w:hAnsi="Times New Roman" w:cs="Times New Roman" w:eastAsia="Times New Roman" w:hint="default"/>
        </w:rPr>
        <w:t>4</w:t>
      </w:r>
      <w:r>
        <w:rPr/>
        <w:t>）酒店及餐饮业务</w:t>
      </w:r>
    </w:p>
    <w:p>
      <w:pPr>
        <w:pStyle w:val="BodyText"/>
        <w:spacing w:line="343" w:lineRule="auto" w:before="109"/>
        <w:ind w:right="208" w:firstLine="420"/>
        <w:jc w:val="both"/>
      </w:pPr>
      <w:r>
        <w:rPr>
          <w:spacing w:val="-3"/>
        </w:rPr>
        <w:t>公司连锁酒店经营业务面临日趋激烈的行业竞争，加上 </w:t>
      </w:r>
      <w:r>
        <w:rPr>
          <w:rFonts w:ascii="Times New Roman" w:hAnsi="Times New Roman" w:cs="Times New Roman" w:eastAsia="Times New Roman" w:hint="default"/>
        </w:rPr>
        <w:t>2009</w:t>
      </w:r>
      <w:r>
        <w:rPr>
          <w:rFonts w:ascii="Times New Roman" w:hAnsi="Times New Roman" w:cs="Times New Roman" w:eastAsia="Times New Roman" w:hint="default"/>
          <w:spacing w:val="-32"/>
        </w:rPr>
        <w:t> </w:t>
      </w:r>
      <w:r>
        <w:rPr>
          <w:spacing w:val="-4"/>
        </w:rPr>
        <w:t>年酒店业受金融危机冲击、东</w:t>
      </w:r>
      <w:r>
        <w:rPr/>
        <w:t> 南亚地区政局动荡、甲流蔓延等因素影响，客流明显减少，收入下降；公司通过改善酒店硬件</w:t>
      </w:r>
      <w:r>
        <w:rPr>
          <w:spacing w:val="-99"/>
        </w:rPr>
        <w:t> </w:t>
      </w:r>
      <w:r>
        <w:rPr>
          <w:spacing w:val="-99"/>
        </w:rPr>
      </w:r>
      <w:r>
        <w:rPr/>
        <w:t>设施，不断提高服务水平，加大营销力度，控制成本。报告期内，酒店及餐饮业实现营业收入</w:t>
      </w:r>
      <w:r>
        <w:rPr>
          <w:spacing w:val="-99"/>
        </w:rPr>
        <w:t> </w:t>
      </w:r>
      <w:r>
        <w:rPr>
          <w:spacing w:val="-99"/>
        </w:rPr>
      </w:r>
      <w:r>
        <w:rPr>
          <w:rFonts w:ascii="Times New Roman" w:hAnsi="Times New Roman" w:cs="Times New Roman" w:eastAsia="Times New Roman" w:hint="default"/>
        </w:rPr>
        <w:t>4,974</w:t>
      </w:r>
      <w:r>
        <w:rPr>
          <w:rFonts w:ascii="Times New Roman" w:hAnsi="Times New Roman" w:cs="Times New Roman" w:eastAsia="Times New Roman" w:hint="default"/>
          <w:spacing w:val="-5"/>
        </w:rPr>
        <w:t> </w:t>
      </w:r>
      <w:r>
        <w:rPr/>
        <w:t>万元，较上年减少</w:t>
      </w:r>
      <w:r>
        <w:rPr>
          <w:spacing w:val="-58"/>
        </w:rPr>
        <w:t> </w:t>
      </w:r>
      <w:r>
        <w:rPr>
          <w:rFonts w:ascii="Times New Roman" w:hAnsi="Times New Roman" w:cs="Times New Roman" w:eastAsia="Times New Roman" w:hint="default"/>
        </w:rPr>
        <w:t>11.45%</w:t>
      </w:r>
      <w:r>
        <w:rPr/>
        <w:t>，毛利率</w:t>
      </w:r>
      <w:r>
        <w:rPr>
          <w:spacing w:val="-58"/>
        </w:rPr>
        <w:t> </w:t>
      </w:r>
      <w:r>
        <w:rPr>
          <w:rFonts w:ascii="Times New Roman" w:hAnsi="Times New Roman" w:cs="Times New Roman" w:eastAsia="Times New Roman" w:hint="default"/>
        </w:rPr>
        <w:t>35.97%</w:t>
      </w:r>
      <w:r>
        <w:rPr/>
        <w:t>，与上年持平。</w:t>
      </w:r>
    </w:p>
    <w:p>
      <w:pPr>
        <w:spacing w:after="0" w:line="343" w:lineRule="auto"/>
        <w:jc w:val="both"/>
        <w:sectPr>
          <w:pgSz w:w="11900" w:h="16840"/>
          <w:pgMar w:header="0" w:footer="939" w:top="1500" w:bottom="1120" w:left="1680" w:right="1200"/>
        </w:sectPr>
      </w:pPr>
    </w:p>
    <w:p>
      <w:pPr>
        <w:pStyle w:val="BodyText"/>
        <w:spacing w:line="240" w:lineRule="auto" w:before="22"/>
        <w:ind w:right="0"/>
        <w:jc w:val="left"/>
        <w:rPr>
          <w:rFonts w:ascii="黑体" w:hAnsi="黑体" w:cs="黑体" w:eastAsia="黑体" w:hint="default"/>
        </w:rPr>
      </w:pPr>
      <w:r>
        <w:rPr>
          <w:rFonts w:ascii="黑体" w:hAnsi="黑体" w:cs="黑体" w:eastAsia="黑体" w:hint="default"/>
        </w:rPr>
        <w:t>（二）主要控股公司及参股公司的经营情况及业绩</w:t>
      </w:r>
    </w:p>
    <w:p>
      <w:pPr>
        <w:pStyle w:val="BodyText"/>
        <w:spacing w:line="240" w:lineRule="auto" w:before="101"/>
        <w:ind w:left="613" w:right="0"/>
        <w:jc w:val="left"/>
      </w:pPr>
      <w:r>
        <w:rPr/>
        <w:t>主要控股公司</w:t>
      </w:r>
    </w:p>
    <w:p>
      <w:pPr>
        <w:pStyle w:val="BodyText"/>
        <w:spacing w:line="328" w:lineRule="auto" w:before="122"/>
        <w:ind w:right="0" w:firstLine="315"/>
        <w:jc w:val="left"/>
      </w:pPr>
      <w:r>
        <w:rPr/>
        <w:t>（</w:t>
      </w:r>
      <w:r>
        <w:rPr>
          <w:rFonts w:ascii="Times New Roman" w:hAnsi="Times New Roman" w:cs="Times New Roman" w:eastAsia="Times New Roman" w:hint="default"/>
        </w:rPr>
        <w:t>1</w:t>
      </w:r>
      <w:r>
        <w:rPr/>
        <w:t>）深圳市鸿基房地产有限公司，为公司拥有</w:t>
      </w:r>
      <w:r>
        <w:rPr>
          <w:spacing w:val="-55"/>
        </w:rPr>
        <w:t> </w:t>
      </w:r>
      <w:r>
        <w:rPr>
          <w:rFonts w:ascii="Times New Roman" w:hAnsi="Times New Roman" w:cs="Times New Roman" w:eastAsia="Times New Roman" w:hint="default"/>
        </w:rPr>
        <w:t>90%</w:t>
      </w:r>
      <w:r>
        <w:rPr/>
        <w:t>权益的控股子公司，于</w:t>
      </w:r>
      <w:r>
        <w:rPr>
          <w:spacing w:val="-55"/>
        </w:rPr>
        <w:t> </w:t>
      </w:r>
      <w:r>
        <w:rPr>
          <w:rFonts w:ascii="Times New Roman" w:hAnsi="Times New Roman" w:cs="Times New Roman" w:eastAsia="Times New Roman" w:hint="default"/>
        </w:rPr>
        <w:t>1998</w:t>
      </w:r>
      <w:r>
        <w:rPr>
          <w:rFonts w:ascii="Times New Roman" w:hAnsi="Times New Roman" w:cs="Times New Roman" w:eastAsia="Times New Roman" w:hint="default"/>
          <w:spacing w:val="-2"/>
        </w:rPr>
        <w:t> </w:t>
      </w:r>
      <w:r>
        <w:rPr/>
        <w:t>年成立， 注册资本为人民币</w:t>
      </w:r>
      <w:r>
        <w:rPr>
          <w:spacing w:val="-55"/>
        </w:rPr>
        <w:t> </w:t>
      </w:r>
      <w:r>
        <w:rPr>
          <w:rFonts w:ascii="Times New Roman" w:hAnsi="Times New Roman" w:cs="Times New Roman" w:eastAsia="Times New Roman" w:hint="default"/>
        </w:rPr>
        <w:t>5,000</w:t>
      </w:r>
      <w:r>
        <w:rPr>
          <w:rFonts w:ascii="Times New Roman" w:hAnsi="Times New Roman" w:cs="Times New Roman" w:eastAsia="Times New Roman" w:hint="default"/>
          <w:spacing w:val="-3"/>
        </w:rPr>
        <w:t> </w:t>
      </w:r>
      <w:r>
        <w:rPr/>
        <w:t>万元，</w:t>
      </w:r>
      <w:r>
        <w:rPr>
          <w:spacing w:val="-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年末总资产为</w:t>
      </w:r>
      <w:r>
        <w:rPr>
          <w:spacing w:val="-55"/>
        </w:rPr>
        <w:t> </w:t>
      </w:r>
      <w:r>
        <w:rPr>
          <w:rFonts w:ascii="Times New Roman" w:hAnsi="Times New Roman" w:cs="Times New Roman" w:eastAsia="Times New Roman" w:hint="default"/>
        </w:rPr>
        <w:t>16,749</w:t>
      </w:r>
      <w:r>
        <w:rPr>
          <w:rFonts w:ascii="Times New Roman" w:hAnsi="Times New Roman" w:cs="Times New Roman" w:eastAsia="Times New Roman" w:hint="default"/>
          <w:spacing w:val="49"/>
        </w:rPr>
        <w:t> </w:t>
      </w:r>
      <w:r>
        <w:rPr/>
        <w:t>万元，净资产</w:t>
      </w:r>
      <w:r>
        <w:rPr>
          <w:spacing w:val="-55"/>
        </w:rPr>
        <w:t> </w:t>
      </w:r>
      <w:r>
        <w:rPr>
          <w:rFonts w:ascii="Times New Roman" w:hAnsi="Times New Roman" w:cs="Times New Roman" w:eastAsia="Times New Roman" w:hint="default"/>
        </w:rPr>
        <w:t>7,734</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p>
    <w:p>
      <w:pPr>
        <w:pStyle w:val="BodyText"/>
        <w:spacing w:line="240" w:lineRule="auto" w:before="23"/>
        <w:ind w:right="0"/>
        <w:jc w:val="left"/>
      </w:pPr>
      <w:r>
        <w:rPr/>
        <w:t>度，实现营业收入</w:t>
      </w:r>
      <w:r>
        <w:rPr>
          <w:spacing w:val="-58"/>
        </w:rPr>
        <w:t> </w:t>
      </w:r>
      <w:r>
        <w:rPr>
          <w:rFonts w:ascii="Times New Roman" w:hAnsi="Times New Roman" w:cs="Times New Roman" w:eastAsia="Times New Roman" w:hint="default"/>
        </w:rPr>
        <w:t>424</w:t>
      </w:r>
      <w:r>
        <w:rPr>
          <w:rFonts w:ascii="Times New Roman" w:hAnsi="Times New Roman" w:cs="Times New Roman" w:eastAsia="Times New Roman" w:hint="default"/>
          <w:spacing w:val="43"/>
        </w:rPr>
        <w:t> </w:t>
      </w:r>
      <w:r>
        <w:rPr/>
        <w:t>万元，比上年度</w:t>
      </w:r>
      <w:r>
        <w:rPr>
          <w:spacing w:val="-58"/>
        </w:rPr>
        <w:t> </w:t>
      </w:r>
      <w:r>
        <w:rPr>
          <w:rFonts w:ascii="Times New Roman" w:hAnsi="Times New Roman" w:cs="Times New Roman" w:eastAsia="Times New Roman" w:hint="default"/>
        </w:rPr>
        <w:t>584</w:t>
      </w:r>
      <w:r>
        <w:rPr>
          <w:rFonts w:ascii="Times New Roman" w:hAnsi="Times New Roman" w:cs="Times New Roman" w:eastAsia="Times New Roman" w:hint="default"/>
          <w:spacing w:val="44"/>
        </w:rPr>
        <w:t> </w:t>
      </w:r>
      <w:r>
        <w:rPr/>
        <w:t>万元减少</w:t>
      </w:r>
      <w:r>
        <w:rPr>
          <w:spacing w:val="-58"/>
        </w:rPr>
        <w:t> </w:t>
      </w:r>
      <w:r>
        <w:rPr>
          <w:rFonts w:ascii="Times New Roman" w:hAnsi="Times New Roman" w:cs="Times New Roman" w:eastAsia="Times New Roman" w:hint="default"/>
        </w:rPr>
        <w:t>27.40%</w:t>
      </w:r>
      <w:r>
        <w:rPr/>
        <w:t>，净利润</w:t>
      </w:r>
      <w:r>
        <w:rPr>
          <w:spacing w:val="-9"/>
        </w:rPr>
        <w:t> </w:t>
      </w:r>
      <w:r>
        <w:rPr>
          <w:rFonts w:ascii="Times New Roman" w:hAnsi="Times New Roman" w:cs="Times New Roman" w:eastAsia="Times New Roman" w:hint="default"/>
        </w:rPr>
        <w:t>-1,963</w:t>
      </w:r>
      <w:r>
        <w:rPr>
          <w:rFonts w:ascii="Times New Roman" w:hAnsi="Times New Roman" w:cs="Times New Roman" w:eastAsia="Times New Roman" w:hint="default"/>
          <w:spacing w:val="-4"/>
        </w:rPr>
        <w:t> </w:t>
      </w:r>
      <w:r>
        <w:rPr/>
        <w:t>万元，比上年度</w:t>
      </w:r>
    </w:p>
    <w:p>
      <w:pPr>
        <w:pStyle w:val="BodyText"/>
        <w:spacing w:line="240" w:lineRule="auto" w:before="110"/>
        <w:ind w:right="0"/>
        <w:jc w:val="left"/>
      </w:pPr>
      <w:r>
        <w:rPr>
          <w:rFonts w:ascii="Times New Roman" w:hAnsi="Times New Roman" w:cs="Times New Roman" w:eastAsia="Times New Roman" w:hint="default"/>
        </w:rPr>
        <w:t>-1,242</w:t>
      </w:r>
      <w:r>
        <w:rPr>
          <w:rFonts w:ascii="Times New Roman" w:hAnsi="Times New Roman" w:cs="Times New Roman" w:eastAsia="Times New Roman" w:hint="default"/>
          <w:spacing w:val="-2"/>
        </w:rPr>
        <w:t> </w:t>
      </w:r>
      <w:r>
        <w:rPr/>
        <w:t>万元减少</w:t>
      </w:r>
      <w:r>
        <w:rPr>
          <w:spacing w:val="-56"/>
        </w:rPr>
        <w:t> </w:t>
      </w:r>
      <w:r>
        <w:rPr>
          <w:rFonts w:ascii="Times New Roman" w:hAnsi="Times New Roman" w:cs="Times New Roman" w:eastAsia="Times New Roman" w:hint="default"/>
        </w:rPr>
        <w:t>58.05</w:t>
      </w:r>
      <w:r>
        <w:rPr>
          <w:rFonts w:ascii="Times New Roman" w:hAnsi="Times New Roman" w:cs="Times New Roman" w:eastAsia="Times New Roman" w:hint="default"/>
          <w:spacing w:val="-3"/>
        </w:rPr>
        <w:t> </w:t>
      </w:r>
      <w:r>
        <w:rPr>
          <w:rFonts w:ascii="Times New Roman" w:hAnsi="Times New Roman" w:cs="Times New Roman" w:eastAsia="Times New Roman" w:hint="default"/>
        </w:rPr>
        <w:t>%</w:t>
      </w:r>
      <w:r>
        <w:rPr/>
        <w:t>。该公司本年度负责草埔鸿基花园二期</w:t>
      </w:r>
      <w:r>
        <w:rPr>
          <w:rFonts w:ascii="Times New Roman" w:hAnsi="Times New Roman" w:cs="Times New Roman" w:eastAsia="Times New Roman" w:hint="default"/>
        </w:rPr>
        <w:t>“</w:t>
      </w:r>
      <w:r>
        <w:rPr/>
        <w:t>鸿翠苑</w:t>
      </w:r>
      <w:r>
        <w:rPr>
          <w:rFonts w:ascii="Times New Roman" w:hAnsi="Times New Roman" w:cs="Times New Roman" w:eastAsia="Times New Roman" w:hint="default"/>
        </w:rPr>
        <w:t>”</w:t>
      </w:r>
      <w:r>
        <w:rPr/>
        <w:t>项目的经营开发工作，</w:t>
      </w:r>
    </w:p>
    <w:p>
      <w:pPr>
        <w:pStyle w:val="BodyText"/>
        <w:spacing w:line="240" w:lineRule="auto" w:before="109"/>
        <w:ind w:right="0"/>
        <w:jc w:val="left"/>
      </w:pPr>
      <w:r>
        <w:rPr/>
        <w:t>该项目</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年度实现营业收入</w:t>
      </w:r>
      <w:r>
        <w:rPr>
          <w:spacing w:val="-55"/>
        </w:rPr>
        <w:t> </w:t>
      </w:r>
      <w:r>
        <w:rPr>
          <w:rFonts w:ascii="Times New Roman" w:hAnsi="Times New Roman" w:cs="Times New Roman" w:eastAsia="Times New Roman" w:hint="default"/>
        </w:rPr>
        <w:t>37,597</w:t>
      </w:r>
      <w:r>
        <w:rPr>
          <w:rFonts w:ascii="Times New Roman" w:hAnsi="Times New Roman" w:cs="Times New Roman" w:eastAsia="Times New Roman" w:hint="default"/>
          <w:spacing w:val="-2"/>
        </w:rPr>
        <w:t> </w:t>
      </w:r>
      <w:r>
        <w:rPr/>
        <w:t>万元，净利润</w:t>
      </w:r>
      <w:r>
        <w:rPr>
          <w:spacing w:val="-55"/>
        </w:rPr>
        <w:t> </w:t>
      </w:r>
      <w:r>
        <w:rPr>
          <w:rFonts w:ascii="Times New Roman" w:hAnsi="Times New Roman" w:cs="Times New Roman" w:eastAsia="Times New Roman" w:hint="default"/>
        </w:rPr>
        <w:t>6,187</w:t>
      </w:r>
      <w:r>
        <w:rPr>
          <w:rFonts w:ascii="Times New Roman" w:hAnsi="Times New Roman" w:cs="Times New Roman" w:eastAsia="Times New Roman" w:hint="default"/>
          <w:spacing w:val="-2"/>
        </w:rPr>
        <w:t> </w:t>
      </w:r>
      <w:r>
        <w:rPr/>
        <w:t>万元。</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pStyle w:val="BodyText"/>
        <w:spacing w:line="331" w:lineRule="auto"/>
        <w:ind w:right="100" w:firstLine="210"/>
        <w:jc w:val="left"/>
      </w:pPr>
      <w:r>
        <w:rPr>
          <w:spacing w:val="-4"/>
        </w:rPr>
        <w:t>（</w:t>
      </w:r>
      <w:r>
        <w:rPr>
          <w:rFonts w:ascii="Times New Roman" w:hAnsi="Times New Roman" w:cs="Times New Roman" w:eastAsia="Times New Roman" w:hint="default"/>
          <w:spacing w:val="-4"/>
        </w:rPr>
        <w:t>2</w:t>
      </w:r>
      <w:r>
        <w:rPr>
          <w:spacing w:val="-4"/>
        </w:rPr>
        <w:t>）深圳市龙岗鸿基房地产有限公司，为公司拥有</w:t>
      </w:r>
      <w:r>
        <w:rPr>
          <w:spacing w:val="-47"/>
        </w:rPr>
        <w:t> </w:t>
      </w:r>
      <w:r>
        <w:rPr>
          <w:rFonts w:ascii="Times New Roman" w:hAnsi="Times New Roman" w:cs="Times New Roman" w:eastAsia="Times New Roman" w:hint="default"/>
          <w:spacing w:val="-4"/>
        </w:rPr>
        <w:t>95%</w:t>
      </w:r>
      <w:r>
        <w:rPr>
          <w:spacing w:val="-4"/>
        </w:rPr>
        <w:t>权益的控股子公司，于</w:t>
      </w:r>
      <w:r>
        <w:rPr>
          <w:spacing w:val="-47"/>
        </w:rPr>
        <w:t> </w:t>
      </w:r>
      <w:r>
        <w:rPr>
          <w:rFonts w:ascii="Times New Roman" w:hAnsi="Times New Roman" w:cs="Times New Roman" w:eastAsia="Times New Roman" w:hint="default"/>
        </w:rPr>
        <w:t>1993</w:t>
      </w:r>
      <w:r>
        <w:rPr>
          <w:rFonts w:ascii="Times New Roman" w:hAnsi="Times New Roman" w:cs="Times New Roman" w:eastAsia="Times New Roman" w:hint="default"/>
          <w:spacing w:val="5"/>
        </w:rPr>
        <w:t> </w:t>
      </w:r>
      <w:r>
        <w:rPr/>
        <w:t>年成立， 注册资本为人民币</w:t>
      </w:r>
      <w:r>
        <w:rPr>
          <w:spacing w:val="-59"/>
        </w:rPr>
        <w:t> </w:t>
      </w:r>
      <w:r>
        <w:rPr>
          <w:rFonts w:ascii="Times New Roman" w:hAnsi="Times New Roman" w:cs="Times New Roman" w:eastAsia="Times New Roman" w:hint="default"/>
        </w:rPr>
        <w:t>3,168</w:t>
      </w:r>
      <w:r>
        <w:rPr>
          <w:rFonts w:ascii="Times New Roman" w:hAnsi="Times New Roman" w:cs="Times New Roman" w:eastAsia="Times New Roman" w:hint="default"/>
          <w:spacing w:val="-7"/>
        </w:rPr>
        <w:t> </w:t>
      </w:r>
      <w:r>
        <w:rPr>
          <w:spacing w:val="-4"/>
        </w:rPr>
        <w:t>万元，自</w:t>
      </w:r>
      <w:r>
        <w:rPr>
          <w:spacing w:val="-59"/>
        </w:rPr>
        <w:t> </w:t>
      </w:r>
      <w:r>
        <w:rPr>
          <w:rFonts w:ascii="Times New Roman" w:hAnsi="Times New Roman" w:cs="Times New Roman" w:eastAsia="Times New Roman" w:hint="default"/>
        </w:rPr>
        <w:t>1999</w:t>
      </w:r>
      <w:r>
        <w:rPr>
          <w:rFonts w:ascii="Times New Roman" w:hAnsi="Times New Roman" w:cs="Times New Roman" w:eastAsia="Times New Roman" w:hint="default"/>
          <w:spacing w:val="-7"/>
        </w:rPr>
        <w:t> </w:t>
      </w:r>
      <w:r>
        <w:rPr/>
        <w:t>年始，开发龙岗</w:t>
      </w:r>
      <w:r>
        <w:rPr>
          <w:rFonts w:ascii="Times New Roman" w:hAnsi="Times New Roman" w:cs="Times New Roman" w:eastAsia="Times New Roman" w:hint="default"/>
        </w:rPr>
        <w:t>“</w:t>
      </w:r>
      <w:r>
        <w:rPr/>
        <w:t>鸿基新城</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俪景鸿都</w:t>
      </w:r>
      <w:r>
        <w:rPr>
          <w:rFonts w:ascii="Times New Roman" w:hAnsi="Times New Roman" w:cs="Times New Roman" w:eastAsia="Times New Roman" w:hint="default"/>
        </w:rPr>
        <w:t>”</w:t>
      </w:r>
      <w:r>
        <w:rPr/>
        <w:t>项目。</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 末总资产为 </w:t>
      </w:r>
      <w:r>
        <w:rPr>
          <w:rFonts w:ascii="Times New Roman" w:hAnsi="Times New Roman" w:cs="Times New Roman" w:eastAsia="Times New Roman" w:hint="default"/>
        </w:rPr>
        <w:t>18,027 </w:t>
      </w:r>
      <w:r>
        <w:rPr/>
        <w:t>万元，净资产</w:t>
      </w:r>
      <w:r>
        <w:rPr>
          <w:rFonts w:ascii="Times New Roman" w:hAnsi="Times New Roman" w:cs="Times New Roman" w:eastAsia="Times New Roman" w:hint="default"/>
        </w:rPr>
        <w:t>-1,862 </w:t>
      </w:r>
      <w:r>
        <w:rPr/>
        <w:t>万元。</w:t>
      </w:r>
      <w:r>
        <w:rPr>
          <w:rFonts w:ascii="Times New Roman" w:hAnsi="Times New Roman" w:cs="Times New Roman" w:eastAsia="Times New Roman" w:hint="default"/>
        </w:rPr>
        <w:t>2009 </w:t>
      </w:r>
      <w:r>
        <w:rPr/>
        <w:t>年度，实现营业收入 </w:t>
      </w:r>
      <w:r>
        <w:rPr>
          <w:rFonts w:ascii="Times New Roman" w:hAnsi="Times New Roman" w:cs="Times New Roman" w:eastAsia="Times New Roman" w:hint="default"/>
        </w:rPr>
        <w:t>341</w:t>
      </w:r>
      <w:r>
        <w:rPr>
          <w:rFonts w:ascii="Times New Roman" w:hAnsi="Times New Roman" w:cs="Times New Roman" w:eastAsia="Times New Roman" w:hint="default"/>
          <w:spacing w:val="32"/>
        </w:rPr>
        <w:t> </w:t>
      </w:r>
      <w:r>
        <w:rPr/>
        <w:t>万元，比上年度 </w:t>
      </w:r>
      <w:r>
        <w:rPr>
          <w:rFonts w:ascii="Times New Roman" w:hAnsi="Times New Roman" w:cs="Times New Roman" w:eastAsia="Times New Roman" w:hint="default"/>
        </w:rPr>
        <w:t>1,815</w:t>
      </w:r>
      <w:r>
        <w:rPr>
          <w:rFonts w:ascii="Times New Roman" w:hAnsi="Times New Roman" w:cs="Times New Roman" w:eastAsia="Times New Roman" w:hint="default"/>
          <w:spacing w:val="-2"/>
        </w:rPr>
        <w:t> </w:t>
      </w:r>
      <w:r>
        <w:rPr/>
        <w:t>万元减少</w:t>
      </w:r>
      <w:r>
        <w:rPr>
          <w:spacing w:val="-55"/>
        </w:rPr>
        <w:t> </w:t>
      </w:r>
      <w:r>
        <w:rPr>
          <w:rFonts w:ascii="Times New Roman" w:hAnsi="Times New Roman" w:cs="Times New Roman" w:eastAsia="Times New Roman" w:hint="default"/>
        </w:rPr>
        <w:t>81.21%</w:t>
      </w:r>
      <w:r>
        <w:rPr/>
        <w:t>，净利润</w:t>
      </w:r>
      <w:r>
        <w:rPr>
          <w:spacing w:val="-4"/>
        </w:rPr>
        <w:t> </w:t>
      </w:r>
      <w:r>
        <w:rPr>
          <w:rFonts w:ascii="Times New Roman" w:hAnsi="Times New Roman" w:cs="Times New Roman" w:eastAsia="Times New Roman" w:hint="default"/>
        </w:rPr>
        <w:t>-251</w:t>
      </w:r>
      <w:r>
        <w:rPr>
          <w:rFonts w:ascii="Times New Roman" w:hAnsi="Times New Roman" w:cs="Times New Roman" w:eastAsia="Times New Roman" w:hint="default"/>
          <w:spacing w:val="-2"/>
        </w:rPr>
        <w:t> </w:t>
      </w:r>
      <w:r>
        <w:rPr/>
        <w:t>万元，比上年度</w:t>
      </w:r>
      <w:r>
        <w:rPr>
          <w:spacing w:val="-4"/>
        </w:rPr>
        <w:t> </w:t>
      </w:r>
      <w:r>
        <w:rPr>
          <w:rFonts w:ascii="Times New Roman" w:hAnsi="Times New Roman" w:cs="Times New Roman" w:eastAsia="Times New Roman" w:hint="default"/>
        </w:rPr>
        <w:t>-271</w:t>
      </w:r>
      <w:r>
        <w:rPr>
          <w:rFonts w:ascii="Times New Roman" w:hAnsi="Times New Roman" w:cs="Times New Roman" w:eastAsia="Times New Roman" w:hint="default"/>
          <w:spacing w:val="-1"/>
        </w:rPr>
        <w:t> </w:t>
      </w:r>
      <w:r>
        <w:rPr/>
        <w:t>万元减少亏损</w:t>
      </w:r>
      <w:r>
        <w:rPr>
          <w:spacing w:val="-55"/>
        </w:rPr>
        <w:t> </w:t>
      </w:r>
      <w:r>
        <w:rPr>
          <w:rFonts w:ascii="Times New Roman" w:hAnsi="Times New Roman" w:cs="Times New Roman" w:eastAsia="Times New Roman" w:hint="default"/>
        </w:rPr>
        <w:t>7.38%</w:t>
      </w:r>
      <w:r>
        <w:rPr/>
        <w:t>。</w:t>
      </w:r>
    </w:p>
    <w:p>
      <w:pPr>
        <w:spacing w:line="240" w:lineRule="auto" w:before="1"/>
        <w:rPr>
          <w:rFonts w:ascii="宋体" w:hAnsi="宋体" w:cs="宋体" w:eastAsia="宋体" w:hint="default"/>
          <w:sz w:val="32"/>
          <w:szCs w:val="32"/>
        </w:rPr>
      </w:pPr>
    </w:p>
    <w:p>
      <w:pPr>
        <w:pStyle w:val="BodyText"/>
        <w:spacing w:line="331" w:lineRule="auto"/>
        <w:ind w:right="104" w:firstLine="315"/>
        <w:jc w:val="both"/>
      </w:pPr>
      <w:r>
        <w:rPr/>
        <w:t>（</w:t>
      </w:r>
      <w:r>
        <w:rPr>
          <w:rFonts w:ascii="Times New Roman" w:hAnsi="Times New Roman" w:cs="Times New Roman" w:eastAsia="Times New Roman" w:hint="default"/>
        </w:rPr>
        <w:t>3</w:t>
      </w:r>
      <w:r>
        <w:rPr/>
        <w:t>）深圳市凯方实业发展有限公司，为公司拥有</w:t>
      </w:r>
      <w:r>
        <w:rPr>
          <w:spacing w:val="-58"/>
        </w:rPr>
        <w:t> </w:t>
      </w:r>
      <w:r>
        <w:rPr>
          <w:rFonts w:ascii="Times New Roman" w:hAnsi="Times New Roman" w:cs="Times New Roman" w:eastAsia="Times New Roman" w:hint="default"/>
        </w:rPr>
        <w:t>70%</w:t>
      </w:r>
      <w:r>
        <w:rPr/>
        <w:t>权益的控股子公司，于</w:t>
      </w:r>
      <w:r>
        <w:rPr>
          <w:spacing w:val="-58"/>
        </w:rPr>
        <w:t> </w:t>
      </w:r>
      <w:r>
        <w:rPr>
          <w:rFonts w:ascii="Times New Roman" w:hAnsi="Times New Roman" w:cs="Times New Roman" w:eastAsia="Times New Roman" w:hint="default"/>
        </w:rPr>
        <w:t>1995</w:t>
      </w:r>
      <w:r>
        <w:rPr>
          <w:rFonts w:ascii="Times New Roman" w:hAnsi="Times New Roman" w:cs="Times New Roman" w:eastAsia="Times New Roman" w:hint="default"/>
          <w:spacing w:val="-6"/>
        </w:rPr>
        <w:t> </w:t>
      </w:r>
      <w:r>
        <w:rPr/>
        <w:t>年成立， 注册资本为人民币</w:t>
      </w:r>
      <w:r>
        <w:rPr>
          <w:spacing w:val="-53"/>
        </w:rPr>
        <w:t> </w:t>
      </w:r>
      <w:r>
        <w:rPr>
          <w:rFonts w:ascii="Times New Roman" w:hAnsi="Times New Roman" w:cs="Times New Roman" w:eastAsia="Times New Roman" w:hint="default"/>
        </w:rPr>
        <w:t>1,500</w:t>
      </w:r>
      <w:r>
        <w:rPr>
          <w:rFonts w:ascii="Times New Roman" w:hAnsi="Times New Roman" w:cs="Times New Roman" w:eastAsia="Times New Roman" w:hint="default"/>
          <w:spacing w:val="-1"/>
        </w:rPr>
        <w:t> </w:t>
      </w:r>
      <w:r>
        <w:rPr>
          <w:spacing w:val="-6"/>
        </w:rPr>
        <w:t>万元。</w:t>
      </w:r>
      <w:r>
        <w:rPr>
          <w:rFonts w:ascii="Times New Roman" w:hAnsi="Times New Roman" w:cs="Times New Roman" w:eastAsia="Times New Roman" w:hint="default"/>
          <w:spacing w:val="-6"/>
        </w:rPr>
        <w:t>2009</w:t>
      </w:r>
      <w:r>
        <w:rPr>
          <w:rFonts w:ascii="Times New Roman" w:hAnsi="Times New Roman" w:cs="Times New Roman" w:eastAsia="Times New Roman" w:hint="default"/>
          <w:spacing w:val="-1"/>
        </w:rPr>
        <w:t> </w:t>
      </w:r>
      <w:r>
        <w:rPr/>
        <w:t>年末总资产为 </w:t>
      </w:r>
      <w:r>
        <w:rPr>
          <w:rFonts w:ascii="Times New Roman" w:hAnsi="Times New Roman" w:cs="Times New Roman" w:eastAsia="Times New Roman" w:hint="default"/>
        </w:rPr>
        <w:t>6,868 </w:t>
      </w:r>
      <w:r>
        <w:rPr>
          <w:spacing w:val="-4"/>
        </w:rPr>
        <w:t>万元，净资产</w:t>
      </w:r>
      <w:r>
        <w:rPr>
          <w:rFonts w:ascii="Times New Roman" w:hAnsi="Times New Roman" w:cs="Times New Roman" w:eastAsia="Times New Roman" w:hint="default"/>
          <w:spacing w:val="-4"/>
        </w:rPr>
        <w:t>-2,420</w:t>
      </w:r>
      <w:r>
        <w:rPr>
          <w:rFonts w:ascii="Times New Roman" w:hAnsi="Times New Roman" w:cs="Times New Roman" w:eastAsia="Times New Roman" w:hint="default"/>
          <w:spacing w:val="1"/>
        </w:rPr>
        <w:t> </w:t>
      </w:r>
      <w:r>
        <w:rPr>
          <w:spacing w:val="-6"/>
        </w:rPr>
        <w:t>万元。</w:t>
      </w:r>
      <w:r>
        <w:rPr>
          <w:rFonts w:ascii="Times New Roman" w:hAnsi="Times New Roman" w:cs="Times New Roman" w:eastAsia="Times New Roman" w:hint="default"/>
          <w:spacing w:val="-6"/>
        </w:rPr>
        <w:t>2009</w:t>
      </w:r>
      <w:r>
        <w:rPr>
          <w:rFonts w:ascii="Times New Roman" w:hAnsi="Times New Roman" w:cs="Times New Roman" w:eastAsia="Times New Roman" w:hint="default"/>
        </w:rPr>
        <w:t> </w:t>
      </w:r>
      <w:r>
        <w:rPr/>
        <w:t>年度， 实现净利润</w:t>
      </w:r>
      <w:r>
        <w:rPr>
          <w:spacing w:val="-5"/>
        </w:rPr>
        <w:t> </w:t>
      </w:r>
      <w:r>
        <w:rPr>
          <w:rFonts w:ascii="Times New Roman" w:hAnsi="Times New Roman" w:cs="Times New Roman" w:eastAsia="Times New Roman" w:hint="default"/>
        </w:rPr>
        <w:t>-2,024</w:t>
      </w:r>
      <w:r>
        <w:rPr>
          <w:rFonts w:ascii="Times New Roman" w:hAnsi="Times New Roman" w:cs="Times New Roman" w:eastAsia="Times New Roman" w:hint="default"/>
          <w:spacing w:val="-2"/>
        </w:rPr>
        <w:t> </w:t>
      </w:r>
      <w:r>
        <w:rPr/>
        <w:t>万元，比上年度</w:t>
      </w:r>
      <w:r>
        <w:rPr>
          <w:rFonts w:ascii="Times New Roman" w:hAnsi="Times New Roman" w:cs="Times New Roman" w:eastAsia="Times New Roman" w:hint="default"/>
        </w:rPr>
        <w:t>-999</w:t>
      </w:r>
      <w:r>
        <w:rPr>
          <w:rFonts w:ascii="Times New Roman" w:hAnsi="Times New Roman" w:cs="Times New Roman" w:eastAsia="Times New Roman" w:hint="default"/>
          <w:spacing w:val="-2"/>
        </w:rPr>
        <w:t> </w:t>
      </w:r>
      <w:r>
        <w:rPr/>
        <w:t>万元增加亏损</w:t>
      </w:r>
      <w:r>
        <w:rPr>
          <w:spacing w:val="-56"/>
        </w:rPr>
        <w:t> </w:t>
      </w:r>
      <w:r>
        <w:rPr>
          <w:rFonts w:ascii="Times New Roman" w:hAnsi="Times New Roman" w:cs="Times New Roman" w:eastAsia="Times New Roman" w:hint="default"/>
        </w:rPr>
        <w:t>102.6</w:t>
      </w:r>
      <w:r>
        <w:rPr>
          <w:rFonts w:ascii="Times New Roman" w:hAnsi="Times New Roman" w:cs="Times New Roman" w:eastAsia="Times New Roman" w:hint="default"/>
          <w:spacing w:val="-3"/>
        </w:rPr>
        <w:t> </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32"/>
          <w:szCs w:val="32"/>
        </w:rPr>
      </w:pPr>
    </w:p>
    <w:p>
      <w:pPr>
        <w:pStyle w:val="BodyText"/>
        <w:spacing w:line="328" w:lineRule="auto"/>
        <w:ind w:right="99" w:firstLine="315"/>
        <w:jc w:val="left"/>
      </w:pPr>
      <w:r>
        <w:rPr>
          <w:spacing w:val="-8"/>
        </w:rPr>
        <w:t>（</w:t>
      </w:r>
      <w:r>
        <w:rPr>
          <w:rFonts w:ascii="Times New Roman" w:hAnsi="Times New Roman" w:cs="Times New Roman" w:eastAsia="Times New Roman" w:hint="default"/>
          <w:spacing w:val="-8"/>
        </w:rPr>
        <w:t>4</w:t>
      </w:r>
      <w:r>
        <w:rPr>
          <w:spacing w:val="-8"/>
        </w:rPr>
        <w:t>）西安新鸿业投资发展有限公司，于</w:t>
      </w:r>
      <w:r>
        <w:rPr>
          <w:spacing w:val="-52"/>
        </w:rPr>
        <w:t> </w:t>
      </w:r>
      <w:r>
        <w:rPr>
          <w:rFonts w:ascii="Times New Roman" w:hAnsi="Times New Roman" w:cs="Times New Roman" w:eastAsia="Times New Roman" w:hint="default"/>
        </w:rPr>
        <w:t>2003</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6 </w:t>
      </w:r>
      <w:r>
        <w:rPr>
          <w:spacing w:val="-8"/>
        </w:rPr>
        <w:t>月成立，为公司持股</w:t>
      </w:r>
      <w:r>
        <w:rPr>
          <w:spacing w:val="-52"/>
        </w:rPr>
        <w:t> </w:t>
      </w:r>
      <w:r>
        <w:rPr>
          <w:rFonts w:ascii="Times New Roman" w:hAnsi="Times New Roman" w:cs="Times New Roman" w:eastAsia="Times New Roman" w:hint="default"/>
        </w:rPr>
        <w:t>66.5</w:t>
      </w:r>
      <w:r>
        <w:rPr/>
        <w:t>％的控股子公司， 主要经营房地产投资业务，负责公司西安</w:t>
      </w:r>
      <w:r>
        <w:rPr>
          <w:rFonts w:ascii="Times New Roman" w:hAnsi="Times New Roman" w:cs="Times New Roman" w:eastAsia="Times New Roman" w:hint="default"/>
        </w:rPr>
        <w:t>“</w:t>
      </w:r>
      <w:r>
        <w:rPr/>
        <w:t>鸿基新城</w:t>
      </w:r>
      <w:r>
        <w:rPr>
          <w:rFonts w:ascii="Times New Roman" w:hAnsi="Times New Roman" w:cs="Times New Roman" w:eastAsia="Times New Roman" w:hint="default"/>
        </w:rPr>
        <w:t>“</w:t>
      </w:r>
      <w:r>
        <w:rPr/>
        <w:t>经济适用房项目的筹建开发工作。</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 末总资产为 </w:t>
      </w:r>
      <w:r>
        <w:rPr>
          <w:rFonts w:ascii="Times New Roman" w:hAnsi="Times New Roman" w:cs="Times New Roman" w:eastAsia="Times New Roman" w:hint="default"/>
        </w:rPr>
        <w:t>66,473 </w:t>
      </w:r>
      <w:r>
        <w:rPr/>
        <w:t>万元，净资产 </w:t>
      </w:r>
      <w:r>
        <w:rPr>
          <w:rFonts w:ascii="Times New Roman" w:hAnsi="Times New Roman" w:cs="Times New Roman" w:eastAsia="Times New Roman" w:hint="default"/>
        </w:rPr>
        <w:t>13,321 </w:t>
      </w:r>
      <w:r>
        <w:rPr/>
        <w:t>万元。</w:t>
      </w:r>
      <w:r>
        <w:rPr>
          <w:rFonts w:ascii="Times New Roman" w:hAnsi="Times New Roman" w:cs="Times New Roman" w:eastAsia="Times New Roman" w:hint="default"/>
        </w:rPr>
        <w:t>2009 </w:t>
      </w:r>
      <w:r>
        <w:rPr/>
        <w:t>年度，实现净利润</w:t>
      </w:r>
      <w:r>
        <w:rPr>
          <w:rFonts w:ascii="Times New Roman" w:hAnsi="Times New Roman" w:cs="Times New Roman" w:eastAsia="Times New Roman" w:hint="default"/>
        </w:rPr>
        <w:t>-1,516</w:t>
      </w:r>
      <w:r>
        <w:rPr>
          <w:rFonts w:ascii="Times New Roman" w:hAnsi="Times New Roman" w:cs="Times New Roman" w:eastAsia="Times New Roman" w:hint="default"/>
          <w:spacing w:val="-23"/>
        </w:rPr>
        <w:t> </w:t>
      </w:r>
      <w:r>
        <w:rPr/>
        <w:t>万元，比上年度</w:t>
      </w:r>
    </w:p>
    <w:p>
      <w:pPr>
        <w:pStyle w:val="BodyText"/>
        <w:spacing w:line="240" w:lineRule="auto" w:before="24"/>
        <w:ind w:right="0"/>
        <w:jc w:val="left"/>
      </w:pPr>
      <w:r>
        <w:rPr>
          <w:rFonts w:ascii="Times New Roman" w:hAnsi="Times New Roman" w:cs="Times New Roman" w:eastAsia="Times New Roman" w:hint="default"/>
        </w:rPr>
        <w:t>-1,316 </w:t>
      </w:r>
      <w:r>
        <w:rPr/>
        <w:t>万元增加亏损</w:t>
      </w:r>
      <w:r>
        <w:rPr>
          <w:spacing w:val="-56"/>
        </w:rPr>
        <w:t> </w:t>
      </w:r>
      <w:r>
        <w:rPr>
          <w:rFonts w:ascii="Times New Roman" w:hAnsi="Times New Roman" w:cs="Times New Roman" w:eastAsia="Times New Roman" w:hint="default"/>
        </w:rPr>
        <w:t>15.2%</w:t>
      </w:r>
      <w:r>
        <w:rPr/>
        <w:t>。</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BodyText"/>
        <w:spacing w:line="331" w:lineRule="auto"/>
        <w:ind w:right="209" w:firstLine="420"/>
        <w:jc w:val="both"/>
      </w:pPr>
      <w:r>
        <w:rPr/>
        <w:t>（</w:t>
      </w:r>
      <w:r>
        <w:rPr>
          <w:rFonts w:ascii="Times New Roman" w:hAnsi="Times New Roman" w:cs="Times New Roman" w:eastAsia="Times New Roman" w:hint="default"/>
        </w:rPr>
        <w:t>5</w:t>
      </w:r>
      <w:r>
        <w:rPr/>
        <w:t>）西安深鸿基房地产开发有限公司，为公司持股</w:t>
      </w:r>
      <w:r>
        <w:rPr>
          <w:spacing w:val="-57"/>
        </w:rPr>
        <w:t> </w:t>
      </w:r>
      <w:r>
        <w:rPr>
          <w:rFonts w:ascii="Times New Roman" w:hAnsi="Times New Roman" w:cs="Times New Roman" w:eastAsia="Times New Roman" w:hint="default"/>
        </w:rPr>
        <w:t>60%</w:t>
      </w:r>
      <w:r>
        <w:rPr/>
        <w:t>的控股子公司，于</w:t>
      </w:r>
      <w:r>
        <w:rPr>
          <w:spacing w:val="-57"/>
        </w:rPr>
        <w:t> </w:t>
      </w:r>
      <w:r>
        <w:rPr>
          <w:rFonts w:ascii="Times New Roman" w:hAnsi="Times New Roman" w:cs="Times New Roman" w:eastAsia="Times New Roman" w:hint="default"/>
        </w:rPr>
        <w:t>2003</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月成 </w:t>
      </w:r>
      <w:r>
        <w:rPr>
          <w:spacing w:val="-7"/>
        </w:rPr>
        <w:t>立，注册资本为人民币</w:t>
      </w:r>
      <w:r>
        <w:rPr>
          <w:spacing w:val="-50"/>
        </w:rPr>
        <w:t> </w:t>
      </w:r>
      <w:r>
        <w:rPr>
          <w:rFonts w:ascii="Times New Roman" w:hAnsi="Times New Roman" w:cs="Times New Roman" w:eastAsia="Times New Roman" w:hint="default"/>
        </w:rPr>
        <w:t>15,000</w:t>
      </w:r>
      <w:r>
        <w:rPr>
          <w:rFonts w:ascii="Times New Roman" w:hAnsi="Times New Roman" w:cs="Times New Roman" w:eastAsia="Times New Roman" w:hint="default"/>
          <w:spacing w:val="3"/>
        </w:rPr>
        <w:t> </w:t>
      </w:r>
      <w:r>
        <w:rPr>
          <w:spacing w:val="-5"/>
        </w:rPr>
        <w:t>万元。主要经营房地产投资业务，负责公司西安曲江新区</w:t>
      </w:r>
      <w:r>
        <w:rPr>
          <w:rFonts w:ascii="Times New Roman" w:hAnsi="Times New Roman" w:cs="Times New Roman" w:eastAsia="Times New Roman" w:hint="default"/>
          <w:spacing w:val="-5"/>
        </w:rPr>
        <w:t>“</w:t>
      </w:r>
      <w:r>
        <w:rPr>
          <w:spacing w:val="-5"/>
        </w:rPr>
        <w:t>鸿基</w:t>
      </w:r>
      <w:r>
        <w:rPr>
          <w:rFonts w:ascii="Times New Roman" w:hAnsi="Times New Roman" w:cs="Times New Roman" w:eastAsia="Times New Roman" w:hint="default"/>
          <w:spacing w:val="-5"/>
        </w:rPr>
        <w:t>·</w:t>
      </w:r>
      <w:r>
        <w:rPr>
          <w:spacing w:val="-5"/>
        </w:rPr>
        <w:t>紫</w:t>
      </w:r>
      <w:r>
        <w:rPr/>
        <w:t> </w:t>
      </w:r>
      <w:r>
        <w:rPr>
          <w:spacing w:val="-10"/>
        </w:rPr>
        <w:t>韵</w:t>
      </w:r>
      <w:r>
        <w:rPr>
          <w:rFonts w:ascii="Times New Roman" w:hAnsi="Times New Roman" w:cs="Times New Roman" w:eastAsia="Times New Roman" w:hint="default"/>
          <w:spacing w:val="-10"/>
        </w:rPr>
        <w:t>”</w:t>
      </w:r>
      <w:r>
        <w:rPr>
          <w:spacing w:val="-10"/>
        </w:rPr>
        <w:t>项目开发。</w:t>
      </w:r>
      <w:r>
        <w:rPr>
          <w:rFonts w:ascii="Times New Roman" w:hAnsi="Times New Roman" w:cs="Times New Roman" w:eastAsia="Times New Roman" w:hint="default"/>
          <w:spacing w:val="-10"/>
        </w:rPr>
        <w:t>2009</w:t>
      </w:r>
      <w:r>
        <w:rPr>
          <w:rFonts w:ascii="Times New Roman" w:hAnsi="Times New Roman" w:cs="Times New Roman" w:eastAsia="Times New Roman" w:hint="default"/>
          <w:spacing w:val="4"/>
        </w:rPr>
        <w:t> </w:t>
      </w:r>
      <w:r>
        <w:rPr>
          <w:spacing w:val="-1"/>
        </w:rPr>
        <w:t>年末总资产为</w:t>
      </w:r>
      <w:r>
        <w:rPr>
          <w:spacing w:val="-49"/>
        </w:rPr>
        <w:t> </w:t>
      </w:r>
      <w:r>
        <w:rPr>
          <w:rFonts w:ascii="Times New Roman" w:hAnsi="Times New Roman" w:cs="Times New Roman" w:eastAsia="Times New Roman" w:hint="default"/>
          <w:spacing w:val="-1"/>
        </w:rPr>
        <w:t>82,504</w:t>
      </w:r>
      <w:r>
        <w:rPr>
          <w:rFonts w:ascii="Times New Roman" w:hAnsi="Times New Roman" w:cs="Times New Roman" w:eastAsia="Times New Roman" w:hint="default"/>
          <w:spacing w:val="5"/>
        </w:rPr>
        <w:t> </w:t>
      </w:r>
      <w:r>
        <w:rPr>
          <w:spacing w:val="-18"/>
        </w:rPr>
        <w:t>万元，净资产</w:t>
      </w:r>
      <w:r>
        <w:rPr>
          <w:spacing w:val="-49"/>
        </w:rPr>
        <w:t> </w:t>
      </w:r>
      <w:r>
        <w:rPr>
          <w:rFonts w:ascii="Times New Roman" w:hAnsi="Times New Roman" w:cs="Times New Roman" w:eastAsia="Times New Roman" w:hint="default"/>
          <w:spacing w:val="-2"/>
        </w:rPr>
        <w:t>11,338</w:t>
      </w:r>
      <w:r>
        <w:rPr>
          <w:rFonts w:ascii="Times New Roman" w:hAnsi="Times New Roman" w:cs="Times New Roman" w:eastAsia="Times New Roman" w:hint="default"/>
          <w:spacing w:val="4"/>
        </w:rPr>
        <w:t> </w:t>
      </w:r>
      <w:r>
        <w:rPr>
          <w:spacing w:val="-16"/>
        </w:rPr>
        <w:t>万元。</w:t>
      </w:r>
      <w:r>
        <w:rPr>
          <w:rFonts w:ascii="Times New Roman" w:hAnsi="Times New Roman" w:cs="Times New Roman" w:eastAsia="Times New Roman" w:hint="default"/>
          <w:spacing w:val="-16"/>
        </w:rPr>
        <w:t>2009</w:t>
      </w:r>
      <w:r>
        <w:rPr>
          <w:rFonts w:ascii="Times New Roman" w:hAnsi="Times New Roman" w:cs="Times New Roman" w:eastAsia="Times New Roman" w:hint="default"/>
          <w:spacing w:val="4"/>
        </w:rPr>
        <w:t> </w:t>
      </w:r>
      <w:r>
        <w:rPr>
          <w:spacing w:val="-8"/>
        </w:rPr>
        <w:t>年度，实现净利润</w:t>
      </w:r>
      <w:r>
        <w:rPr>
          <w:rFonts w:ascii="Times New Roman" w:hAnsi="Times New Roman" w:cs="Times New Roman" w:eastAsia="Times New Roman" w:hint="default"/>
          <w:spacing w:val="-8"/>
        </w:rPr>
        <w:t>-2,352</w:t>
      </w:r>
      <w:r>
        <w:rPr>
          <w:rFonts w:ascii="Times New Roman" w:hAnsi="Times New Roman" w:cs="Times New Roman" w:eastAsia="Times New Roman" w:hint="default"/>
        </w:rPr>
        <w:t> </w:t>
      </w:r>
      <w:r>
        <w:rPr/>
        <w:t>万元，比上年度</w:t>
      </w:r>
      <w:r>
        <w:rPr>
          <w:rFonts w:ascii="Times New Roman" w:hAnsi="Times New Roman" w:cs="Times New Roman" w:eastAsia="Times New Roman" w:hint="default"/>
        </w:rPr>
        <w:t>-924 </w:t>
      </w:r>
      <w:r>
        <w:rPr/>
        <w:t>万元增加亏损</w:t>
      </w:r>
      <w:r>
        <w:rPr>
          <w:spacing w:val="-60"/>
        </w:rPr>
        <w:t> </w:t>
      </w:r>
      <w:r>
        <w:rPr>
          <w:rFonts w:ascii="Times New Roman" w:hAnsi="Times New Roman" w:cs="Times New Roman" w:eastAsia="Times New Roman" w:hint="default"/>
        </w:rPr>
        <w:t>154.55%</w:t>
      </w:r>
      <w:r>
        <w:rPr/>
        <w:t>。</w:t>
      </w:r>
    </w:p>
    <w:p>
      <w:pPr>
        <w:spacing w:line="240" w:lineRule="auto" w:before="3"/>
        <w:rPr>
          <w:rFonts w:ascii="宋体" w:hAnsi="宋体" w:cs="宋体" w:eastAsia="宋体" w:hint="default"/>
          <w:sz w:val="32"/>
          <w:szCs w:val="32"/>
        </w:rPr>
      </w:pPr>
    </w:p>
    <w:p>
      <w:pPr>
        <w:pStyle w:val="BodyText"/>
        <w:spacing w:line="328" w:lineRule="auto"/>
        <w:ind w:right="100" w:firstLine="420"/>
        <w:jc w:val="left"/>
      </w:pPr>
      <w:r>
        <w:rPr>
          <w:spacing w:val="-5"/>
        </w:rPr>
        <w:t>（</w:t>
      </w:r>
      <w:r>
        <w:rPr>
          <w:rFonts w:ascii="Times New Roman" w:hAnsi="Times New Roman" w:cs="Times New Roman" w:eastAsia="Times New Roman" w:hint="default"/>
          <w:spacing w:val="-5"/>
        </w:rPr>
        <w:t>6</w:t>
      </w:r>
      <w:r>
        <w:rPr>
          <w:spacing w:val="-5"/>
        </w:rPr>
        <w:t>）深圳市鸿基物业管理有限公司，为公司拥有</w:t>
      </w:r>
      <w:r>
        <w:rPr>
          <w:spacing w:val="-49"/>
        </w:rPr>
        <w:t> </w:t>
      </w:r>
      <w:r>
        <w:rPr>
          <w:rFonts w:ascii="Times New Roman" w:hAnsi="Times New Roman" w:cs="Times New Roman" w:eastAsia="Times New Roman" w:hint="default"/>
          <w:spacing w:val="-5"/>
        </w:rPr>
        <w:t>80</w:t>
      </w:r>
      <w:r>
        <w:rPr>
          <w:spacing w:val="-5"/>
        </w:rPr>
        <w:t>％权益的控股子公司，于</w:t>
      </w:r>
      <w:r>
        <w:rPr>
          <w:spacing w:val="-49"/>
        </w:rPr>
        <w:t> </w:t>
      </w:r>
      <w:r>
        <w:rPr>
          <w:rFonts w:ascii="Times New Roman" w:hAnsi="Times New Roman" w:cs="Times New Roman" w:eastAsia="Times New Roman" w:hint="default"/>
        </w:rPr>
        <w:t>1997</w:t>
      </w:r>
      <w:r>
        <w:rPr>
          <w:rFonts w:ascii="Times New Roman" w:hAnsi="Times New Roman" w:cs="Times New Roman" w:eastAsia="Times New Roman" w:hint="default"/>
          <w:spacing w:val="5"/>
        </w:rPr>
        <w:t> </w:t>
      </w:r>
      <w:r>
        <w:rPr/>
        <w:t>年成立， 注册资本为人民币</w:t>
      </w:r>
      <w:r>
        <w:rPr>
          <w:spacing w:val="-44"/>
        </w:rPr>
        <w:t> </w:t>
      </w:r>
      <w:r>
        <w:rPr>
          <w:rFonts w:ascii="Times New Roman" w:hAnsi="Times New Roman" w:cs="Times New Roman" w:eastAsia="Times New Roman" w:hint="default"/>
        </w:rPr>
        <w:t>1,000</w:t>
      </w:r>
      <w:r>
        <w:rPr>
          <w:rFonts w:ascii="Times New Roman" w:hAnsi="Times New Roman" w:cs="Times New Roman" w:eastAsia="Times New Roman" w:hint="default"/>
          <w:spacing w:val="9"/>
        </w:rPr>
        <w:t> </w:t>
      </w:r>
      <w:r>
        <w:rPr/>
        <w:t>万元，主要经营物业管理业务。</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年末总资产为</w:t>
      </w:r>
      <w:r>
        <w:rPr>
          <w:spacing w:val="-44"/>
        </w:rPr>
        <w:t> </w:t>
      </w:r>
      <w:r>
        <w:rPr>
          <w:rFonts w:ascii="Times New Roman" w:hAnsi="Times New Roman" w:cs="Times New Roman" w:eastAsia="Times New Roman" w:hint="default"/>
        </w:rPr>
        <w:t>3,033</w:t>
      </w:r>
      <w:r>
        <w:rPr>
          <w:rFonts w:ascii="Times New Roman" w:hAnsi="Times New Roman" w:cs="Times New Roman" w:eastAsia="Times New Roman" w:hint="default"/>
          <w:spacing w:val="9"/>
        </w:rPr>
        <w:t> </w:t>
      </w:r>
      <w:r>
        <w:rPr/>
        <w:t>万元，净资</w:t>
      </w:r>
    </w:p>
    <w:p>
      <w:pPr>
        <w:pStyle w:val="BodyText"/>
        <w:spacing w:line="240" w:lineRule="auto" w:before="24"/>
        <w:ind w:right="0"/>
        <w:jc w:val="left"/>
      </w:pPr>
      <w:r>
        <w:rPr/>
        <w:t>产</w:t>
      </w:r>
      <w:r>
        <w:rPr>
          <w:spacing w:val="-50"/>
        </w:rPr>
        <w:t> </w:t>
      </w:r>
      <w:r>
        <w:rPr>
          <w:rFonts w:ascii="Times New Roman" w:hAnsi="Times New Roman" w:cs="Times New Roman" w:eastAsia="Times New Roman" w:hint="default"/>
        </w:rPr>
        <w:t>1,081</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年度，实现营业收入</w:t>
      </w:r>
      <w:r>
        <w:rPr>
          <w:spacing w:val="-50"/>
        </w:rPr>
        <w:t> </w:t>
      </w:r>
      <w:r>
        <w:rPr>
          <w:rFonts w:ascii="Times New Roman" w:hAnsi="Times New Roman" w:cs="Times New Roman" w:eastAsia="Times New Roman" w:hint="default"/>
        </w:rPr>
        <w:t>5,103</w:t>
      </w:r>
      <w:r>
        <w:rPr>
          <w:rFonts w:ascii="Times New Roman" w:hAnsi="Times New Roman" w:cs="Times New Roman" w:eastAsia="Times New Roman" w:hint="default"/>
          <w:spacing w:val="3"/>
        </w:rPr>
        <w:t> </w:t>
      </w:r>
      <w:r>
        <w:rPr/>
        <w:t>万元，比上年度</w:t>
      </w:r>
      <w:r>
        <w:rPr>
          <w:spacing w:val="-50"/>
        </w:rPr>
        <w:t> </w:t>
      </w:r>
      <w:r>
        <w:rPr>
          <w:rFonts w:ascii="Times New Roman" w:hAnsi="Times New Roman" w:cs="Times New Roman" w:eastAsia="Times New Roman" w:hint="default"/>
        </w:rPr>
        <w:t>3,416</w:t>
      </w:r>
      <w:r>
        <w:rPr>
          <w:rFonts w:ascii="Times New Roman" w:hAnsi="Times New Roman" w:cs="Times New Roman" w:eastAsia="Times New Roman" w:hint="default"/>
          <w:spacing w:val="3"/>
        </w:rPr>
        <w:t> </w:t>
      </w:r>
      <w:r>
        <w:rPr/>
        <w:t>万元增长</w:t>
      </w:r>
      <w:r>
        <w:rPr>
          <w:spacing w:val="-50"/>
        </w:rPr>
        <w:t> </w:t>
      </w:r>
      <w:r>
        <w:rPr>
          <w:rFonts w:ascii="Times New Roman" w:hAnsi="Times New Roman" w:cs="Times New Roman" w:eastAsia="Times New Roman" w:hint="default"/>
        </w:rPr>
        <w:t>49.39%</w:t>
      </w:r>
      <w:r>
        <w:rPr/>
        <w:t>，净利</w:t>
      </w:r>
    </w:p>
    <w:p>
      <w:pPr>
        <w:pStyle w:val="BodyText"/>
        <w:spacing w:line="240" w:lineRule="auto" w:before="109"/>
        <w:ind w:right="0"/>
        <w:jc w:val="left"/>
      </w:pPr>
      <w:r>
        <w:rPr/>
        <w:t>润</w:t>
      </w:r>
      <w:r>
        <w:rPr>
          <w:spacing w:val="-55"/>
        </w:rPr>
        <w:t> </w:t>
      </w:r>
      <w:r>
        <w:rPr>
          <w:rFonts w:ascii="Times New Roman" w:hAnsi="Times New Roman" w:cs="Times New Roman" w:eastAsia="Times New Roman" w:hint="default"/>
        </w:rPr>
        <w:t>95</w:t>
      </w:r>
      <w:r>
        <w:rPr>
          <w:rFonts w:ascii="Times New Roman" w:hAnsi="Times New Roman" w:cs="Times New Roman" w:eastAsia="Times New Roman" w:hint="default"/>
          <w:spacing w:val="-2"/>
        </w:rPr>
        <w:t> </w:t>
      </w:r>
      <w:r>
        <w:rPr/>
        <w:t>万元，比上年度</w:t>
      </w:r>
      <w:r>
        <w:rPr>
          <w:spacing w:val="-55"/>
        </w:rPr>
        <w:t> </w:t>
      </w:r>
      <w:r>
        <w:rPr>
          <w:rFonts w:ascii="Times New Roman" w:hAnsi="Times New Roman" w:cs="Times New Roman" w:eastAsia="Times New Roman" w:hint="default"/>
        </w:rPr>
        <w:t>89</w:t>
      </w:r>
      <w:r>
        <w:rPr>
          <w:rFonts w:ascii="Times New Roman" w:hAnsi="Times New Roman" w:cs="Times New Roman" w:eastAsia="Times New Roman" w:hint="default"/>
          <w:spacing w:val="-3"/>
        </w:rPr>
        <w:t> </w:t>
      </w:r>
      <w:r>
        <w:rPr/>
        <w:t>万元增长</w:t>
      </w:r>
      <w:r>
        <w:rPr>
          <w:spacing w:val="-55"/>
        </w:rPr>
        <w:t> </w:t>
      </w:r>
      <w:r>
        <w:rPr>
          <w:rFonts w:ascii="Times New Roman" w:hAnsi="Times New Roman" w:cs="Times New Roman" w:eastAsia="Times New Roman" w:hint="default"/>
        </w:rPr>
        <w:t>6.74%</w:t>
      </w:r>
      <w:r>
        <w:rPr/>
        <w:t>。</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pStyle w:val="BodyText"/>
        <w:spacing w:line="240" w:lineRule="auto"/>
        <w:ind w:left="610" w:right="0"/>
        <w:jc w:val="left"/>
      </w:pPr>
      <w:r>
        <w:rPr>
          <w:rFonts w:ascii="Times New Roman" w:hAnsi="Times New Roman" w:cs="Times New Roman" w:eastAsia="Times New Roman" w:hint="default"/>
        </w:rPr>
        <w:t>2</w:t>
      </w:r>
      <w:r>
        <w:rPr/>
        <w:t>．出租车运输业务</w:t>
      </w:r>
    </w:p>
    <w:p>
      <w:pPr>
        <w:pStyle w:val="BodyText"/>
        <w:spacing w:line="328" w:lineRule="auto" w:before="109"/>
        <w:ind w:right="0" w:firstLine="209"/>
        <w:jc w:val="left"/>
      </w:pPr>
      <w:r>
        <w:rPr/>
        <w:t>（</w:t>
      </w:r>
      <w:r>
        <w:rPr>
          <w:rFonts w:ascii="Times New Roman" w:hAnsi="Times New Roman" w:cs="Times New Roman" w:eastAsia="Times New Roman" w:hint="default"/>
        </w:rPr>
        <w:t>1</w:t>
      </w:r>
      <w:r>
        <w:rPr/>
        <w:t>）深圳市迅达汽车运输企业公司，为公司全资控股子公司，于</w:t>
      </w:r>
      <w:r>
        <w:rPr>
          <w:spacing w:val="-50"/>
        </w:rPr>
        <w:t> </w:t>
      </w:r>
      <w:r>
        <w:rPr>
          <w:rFonts w:ascii="Times New Roman" w:hAnsi="Times New Roman" w:cs="Times New Roman" w:eastAsia="Times New Roman" w:hint="default"/>
        </w:rPr>
        <w:t>1983</w:t>
      </w:r>
      <w:r>
        <w:rPr>
          <w:rFonts w:ascii="Times New Roman" w:hAnsi="Times New Roman" w:cs="Times New Roman" w:eastAsia="Times New Roman" w:hint="default"/>
          <w:spacing w:val="2"/>
        </w:rPr>
        <w:t> </w:t>
      </w:r>
      <w:r>
        <w:rPr/>
        <w:t>年成立，主要经营公 </w:t>
      </w:r>
      <w:r>
        <w:rPr>
          <w:spacing w:val="-7"/>
        </w:rPr>
        <w:t>路客运业务，注册资本</w:t>
      </w:r>
      <w:r>
        <w:rPr>
          <w:spacing w:val="-53"/>
        </w:rPr>
        <w:t> </w:t>
      </w:r>
      <w:r>
        <w:rPr>
          <w:rFonts w:ascii="Times New Roman" w:hAnsi="Times New Roman" w:cs="Times New Roman" w:eastAsia="Times New Roman" w:hint="default"/>
        </w:rPr>
        <w:t>1,280 </w:t>
      </w:r>
      <w:r>
        <w:rPr>
          <w:spacing w:val="-8"/>
        </w:rPr>
        <w:t>万元人民币。</w:t>
      </w:r>
      <w:r>
        <w:rPr>
          <w:rFonts w:ascii="Times New Roman" w:hAnsi="Times New Roman" w:cs="Times New Roman" w:eastAsia="Times New Roman" w:hint="default"/>
          <w:spacing w:val="-8"/>
        </w:rPr>
        <w:t>2009</w:t>
      </w:r>
      <w:r>
        <w:rPr>
          <w:rFonts w:ascii="Times New Roman" w:hAnsi="Times New Roman" w:cs="Times New Roman" w:eastAsia="Times New Roman" w:hint="default"/>
        </w:rPr>
        <w:t> </w:t>
      </w:r>
      <w:r>
        <w:rPr/>
        <w:t>年末总资产为</w:t>
      </w:r>
      <w:r>
        <w:rPr>
          <w:spacing w:val="-53"/>
        </w:rPr>
        <w:t> </w:t>
      </w:r>
      <w:r>
        <w:rPr>
          <w:rFonts w:ascii="Times New Roman" w:hAnsi="Times New Roman" w:cs="Times New Roman" w:eastAsia="Times New Roman" w:hint="default"/>
        </w:rPr>
        <w:t>43,575</w:t>
      </w:r>
      <w:r>
        <w:rPr>
          <w:rFonts w:ascii="Times New Roman" w:hAnsi="Times New Roman" w:cs="Times New Roman" w:eastAsia="Times New Roman" w:hint="default"/>
          <w:spacing w:val="1"/>
        </w:rPr>
        <w:t> </w:t>
      </w:r>
      <w:r>
        <w:rPr>
          <w:spacing w:val="-12"/>
        </w:rPr>
        <w:t>万元，净资产</w:t>
      </w:r>
      <w:r>
        <w:rPr>
          <w:spacing w:val="-53"/>
        </w:rPr>
        <w:t> </w:t>
      </w:r>
      <w:r>
        <w:rPr>
          <w:rFonts w:ascii="Times New Roman" w:hAnsi="Times New Roman" w:cs="Times New Roman" w:eastAsia="Times New Roman" w:hint="default"/>
        </w:rPr>
        <w:t>24,600</w:t>
      </w:r>
      <w:r>
        <w:rPr>
          <w:rFonts w:ascii="Times New Roman" w:hAnsi="Times New Roman" w:cs="Times New Roman" w:eastAsia="Times New Roman" w:hint="default"/>
          <w:spacing w:val="1"/>
        </w:rPr>
        <w:t> </w:t>
      </w:r>
      <w:r>
        <w:rPr/>
        <w:t>万元。</w:t>
      </w:r>
    </w:p>
    <w:p>
      <w:pPr>
        <w:spacing w:after="0" w:line="328" w:lineRule="auto"/>
        <w:jc w:val="left"/>
        <w:sectPr>
          <w:pgSz w:w="11900" w:h="16840"/>
          <w:pgMar w:header="0" w:footer="939" w:top="1460" w:bottom="1120" w:left="1680" w:right="1200"/>
        </w:sectPr>
      </w:pPr>
    </w:p>
    <w:p>
      <w:pPr>
        <w:pStyle w:val="BodyText"/>
        <w:spacing w:line="328" w:lineRule="auto" w:before="15"/>
        <w:ind w:right="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年度，实现营业收入</w:t>
      </w:r>
      <w:r>
        <w:rPr>
          <w:spacing w:val="-49"/>
        </w:rPr>
        <w:t> </w:t>
      </w:r>
      <w:r>
        <w:rPr>
          <w:rFonts w:ascii="Times New Roman" w:hAnsi="Times New Roman" w:cs="Times New Roman" w:eastAsia="Times New Roman" w:hint="default"/>
        </w:rPr>
        <w:t>6,939</w:t>
      </w:r>
      <w:r>
        <w:rPr>
          <w:rFonts w:ascii="Times New Roman" w:hAnsi="Times New Roman" w:cs="Times New Roman" w:eastAsia="Times New Roman" w:hint="default"/>
          <w:spacing w:val="4"/>
        </w:rPr>
        <w:t> </w:t>
      </w:r>
      <w:r>
        <w:rPr/>
        <w:t>万元，比上年度</w:t>
      </w:r>
      <w:r>
        <w:rPr>
          <w:spacing w:val="-49"/>
        </w:rPr>
        <w:t> </w:t>
      </w:r>
      <w:r>
        <w:rPr>
          <w:rFonts w:ascii="Times New Roman" w:hAnsi="Times New Roman" w:cs="Times New Roman" w:eastAsia="Times New Roman" w:hint="default"/>
        </w:rPr>
        <w:t>6,873</w:t>
      </w:r>
      <w:r>
        <w:rPr>
          <w:rFonts w:ascii="Times New Roman" w:hAnsi="Times New Roman" w:cs="Times New Roman" w:eastAsia="Times New Roman" w:hint="default"/>
          <w:spacing w:val="4"/>
        </w:rPr>
        <w:t> </w:t>
      </w:r>
      <w:r>
        <w:rPr/>
        <w:t>万元增长</w:t>
      </w:r>
      <w:r>
        <w:rPr>
          <w:spacing w:val="-49"/>
        </w:rPr>
        <w:t> </w:t>
      </w:r>
      <w:r>
        <w:rPr>
          <w:rFonts w:ascii="Times New Roman" w:hAnsi="Times New Roman" w:cs="Times New Roman" w:eastAsia="Times New Roman" w:hint="default"/>
        </w:rPr>
        <w:t>1.49%</w:t>
      </w:r>
      <w:r>
        <w:rPr/>
        <w:t>，净利润</w:t>
      </w:r>
      <w:r>
        <w:rPr>
          <w:spacing w:val="-4"/>
        </w:rPr>
        <w:t> </w:t>
      </w:r>
      <w:r>
        <w:rPr>
          <w:rFonts w:ascii="Times New Roman" w:hAnsi="Times New Roman" w:cs="Times New Roman" w:eastAsia="Times New Roman" w:hint="default"/>
        </w:rPr>
        <w:t>975</w:t>
      </w:r>
      <w:r>
        <w:rPr>
          <w:rFonts w:ascii="Times New Roman" w:hAnsi="Times New Roman" w:cs="Times New Roman" w:eastAsia="Times New Roman" w:hint="default"/>
          <w:spacing w:val="3"/>
        </w:rPr>
        <w:t> </w:t>
      </w:r>
      <w:r>
        <w:rPr/>
        <w:t>万元，比 上年度</w:t>
      </w:r>
      <w:r>
        <w:rPr>
          <w:spacing w:val="-54"/>
        </w:rPr>
        <w:t> </w:t>
      </w:r>
      <w:r>
        <w:rPr>
          <w:rFonts w:ascii="Times New Roman" w:hAnsi="Times New Roman" w:cs="Times New Roman" w:eastAsia="Times New Roman" w:hint="default"/>
        </w:rPr>
        <w:t>682</w:t>
      </w:r>
      <w:r>
        <w:rPr>
          <w:rFonts w:ascii="Times New Roman" w:hAnsi="Times New Roman" w:cs="Times New Roman" w:eastAsia="Times New Roman" w:hint="default"/>
          <w:spacing w:val="-2"/>
        </w:rPr>
        <w:t> </w:t>
      </w:r>
      <w:r>
        <w:rPr/>
        <w:t>万元增长</w:t>
      </w:r>
      <w:r>
        <w:rPr>
          <w:spacing w:val="-54"/>
        </w:rPr>
        <w:t> </w:t>
      </w:r>
      <w:r>
        <w:rPr>
          <w:rFonts w:ascii="Times New Roman" w:hAnsi="Times New Roman" w:cs="Times New Roman" w:eastAsia="Times New Roman" w:hint="default"/>
        </w:rPr>
        <w:t>42.96%</w:t>
      </w:r>
      <w:r>
        <w:rPr/>
        <w:t>。</w:t>
      </w:r>
    </w:p>
    <w:p>
      <w:pPr>
        <w:spacing w:line="240" w:lineRule="auto" w:before="5"/>
        <w:rPr>
          <w:rFonts w:ascii="宋体" w:hAnsi="宋体" w:cs="宋体" w:eastAsia="宋体" w:hint="default"/>
          <w:sz w:val="32"/>
          <w:szCs w:val="32"/>
        </w:rPr>
      </w:pPr>
    </w:p>
    <w:p>
      <w:pPr>
        <w:pStyle w:val="BodyText"/>
        <w:spacing w:line="331" w:lineRule="auto"/>
        <w:ind w:right="207" w:firstLine="210"/>
        <w:jc w:val="both"/>
      </w:pPr>
      <w:r>
        <w:rPr/>
        <w:t>（</w:t>
      </w:r>
      <w:r>
        <w:rPr>
          <w:rFonts w:ascii="Times New Roman" w:hAnsi="Times New Roman" w:cs="Times New Roman" w:eastAsia="Times New Roman" w:hint="default"/>
        </w:rPr>
        <w:t>2</w:t>
      </w:r>
      <w:r>
        <w:rPr/>
        <w:t>）长沙鸿基运输实业有限公司，公司全资控股子公司，于</w:t>
      </w:r>
      <w:r>
        <w:rPr>
          <w:spacing w:val="-53"/>
        </w:rPr>
        <w:t> </w:t>
      </w:r>
      <w:r>
        <w:rPr>
          <w:rFonts w:ascii="Times New Roman" w:hAnsi="Times New Roman" w:cs="Times New Roman" w:eastAsia="Times New Roman" w:hint="default"/>
        </w:rPr>
        <w:t>1998 </w:t>
      </w:r>
      <w:r>
        <w:rPr/>
        <w:t>年成立，注册资本</w:t>
      </w:r>
      <w:r>
        <w:rPr>
          <w:spacing w:val="-53"/>
        </w:rPr>
        <w:t> </w:t>
      </w:r>
      <w:r>
        <w:rPr>
          <w:rFonts w:ascii="Times New Roman" w:hAnsi="Times New Roman" w:cs="Times New Roman" w:eastAsia="Times New Roman" w:hint="default"/>
        </w:rPr>
        <w:t>500 </w:t>
      </w:r>
      <w:r>
        <w:rPr/>
        <w:t>万 </w:t>
      </w:r>
      <w:r>
        <w:rPr>
          <w:spacing w:val="-7"/>
        </w:rPr>
        <w:t>元，主要经营出租车运输业务，主要经营出租车运输业务，拥有长沙市出租车</w:t>
      </w:r>
      <w:r>
        <w:rPr>
          <w:spacing w:val="-52"/>
        </w:rPr>
        <w:t> </w:t>
      </w:r>
      <w:r>
        <w:rPr>
          <w:rFonts w:ascii="Times New Roman" w:hAnsi="Times New Roman" w:cs="Times New Roman" w:eastAsia="Times New Roman" w:hint="default"/>
        </w:rPr>
        <w:t>353</w:t>
      </w:r>
      <w:r>
        <w:rPr>
          <w:rFonts w:ascii="Times New Roman" w:hAnsi="Times New Roman" w:cs="Times New Roman" w:eastAsia="Times New Roman" w:hint="default"/>
          <w:spacing w:val="4"/>
        </w:rPr>
        <w:t> </w:t>
      </w:r>
      <w:r>
        <w:rPr>
          <w:spacing w:val="-20"/>
        </w:rPr>
        <w:t>辆。截止</w:t>
      </w:r>
      <w:r>
        <w:rPr>
          <w:spacing w:val="-52"/>
        </w:rPr>
        <w:t> </w:t>
      </w:r>
      <w:r>
        <w:rPr>
          <w:rFonts w:ascii="Times New Roman" w:hAnsi="Times New Roman" w:cs="Times New Roman" w:eastAsia="Times New Roman" w:hint="default"/>
        </w:rPr>
        <w:t>2009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日总资产为</w:t>
      </w:r>
      <w:r>
        <w:rPr>
          <w:spacing w:val="-54"/>
        </w:rPr>
        <w:t> </w:t>
      </w:r>
      <w:r>
        <w:rPr>
          <w:rFonts w:ascii="Times New Roman" w:hAnsi="Times New Roman" w:cs="Times New Roman" w:eastAsia="Times New Roman" w:hint="default"/>
        </w:rPr>
        <w:t>4,854</w:t>
      </w:r>
      <w:r>
        <w:rPr>
          <w:rFonts w:ascii="Times New Roman" w:hAnsi="Times New Roman" w:cs="Times New Roman" w:eastAsia="Times New Roman" w:hint="default"/>
          <w:spacing w:val="-1"/>
        </w:rPr>
        <w:t> </w:t>
      </w:r>
      <w:r>
        <w:rPr/>
        <w:t>万元，净资产</w:t>
      </w:r>
      <w:r>
        <w:rPr>
          <w:spacing w:val="-54"/>
        </w:rPr>
        <w:t> </w:t>
      </w:r>
      <w:r>
        <w:rPr>
          <w:rFonts w:ascii="Times New Roman" w:hAnsi="Times New Roman" w:cs="Times New Roman" w:eastAsia="Times New Roman" w:hint="default"/>
        </w:rPr>
        <w:t>1,053</w:t>
      </w:r>
      <w:r>
        <w:rPr>
          <w:rFonts w:ascii="Times New Roman" w:hAnsi="Times New Roman" w:cs="Times New Roman" w:eastAsia="Times New Roman" w:hint="default"/>
          <w:spacing w:val="-2"/>
        </w:rPr>
        <w:t> </w:t>
      </w:r>
      <w:r>
        <w:rPr/>
        <w:t>万元。截止</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日，实现营业收</w:t>
      </w:r>
    </w:p>
    <w:p>
      <w:pPr>
        <w:pStyle w:val="BodyText"/>
        <w:spacing w:line="328" w:lineRule="auto" w:before="20"/>
        <w:ind w:right="205"/>
        <w:jc w:val="left"/>
      </w:pPr>
      <w:r>
        <w:rPr/>
        <w:t>入</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万元，净利润</w:t>
      </w:r>
      <w:r>
        <w:rPr>
          <w:spacing w:val="-45"/>
        </w:rPr>
        <w:t> </w:t>
      </w:r>
      <w:r>
        <w:rPr>
          <w:rFonts w:ascii="Times New Roman" w:hAnsi="Times New Roman" w:cs="Times New Roman" w:eastAsia="Times New Roman" w:hint="default"/>
        </w:rPr>
        <w:t>432</w:t>
      </w:r>
      <w:r>
        <w:rPr>
          <w:rFonts w:ascii="Times New Roman" w:hAnsi="Times New Roman" w:cs="Times New Roman" w:eastAsia="Times New Roman" w:hint="default"/>
          <w:spacing w:val="8"/>
        </w:rPr>
        <w:t> </w:t>
      </w:r>
      <w:r>
        <w:rPr/>
        <w:t>万元。此公司已于</w:t>
      </w:r>
      <w:r>
        <w:rPr>
          <w:spacing w:val="-4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11</w:t>
      </w:r>
      <w:r>
        <w:rPr>
          <w:rFonts w:ascii="Times New Roman" w:hAnsi="Times New Roman" w:cs="Times New Roman" w:eastAsia="Times New Roman" w:hint="default"/>
          <w:spacing w:val="8"/>
        </w:rPr>
        <w:t> </w:t>
      </w:r>
      <w:r>
        <w:rPr/>
        <w:t>月转让（详见本年报</w:t>
      </w:r>
      <w:r>
        <w:rPr>
          <w:rFonts w:ascii="Times New Roman" w:hAnsi="Times New Roman" w:cs="Times New Roman" w:eastAsia="Times New Roman" w:hint="default"/>
        </w:rPr>
        <w:t>“</w:t>
      </w:r>
      <w:r>
        <w:rPr/>
        <w:t>第十节</w:t>
      </w:r>
      <w:r>
        <w:rPr>
          <w:spacing w:val="-2"/>
        </w:rPr>
        <w:t> </w:t>
      </w:r>
      <w:r>
        <w:rPr/>
        <w:t>三、报 告期内公司出售资产情况</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32"/>
          <w:szCs w:val="32"/>
        </w:rPr>
      </w:pPr>
    </w:p>
    <w:p>
      <w:pPr>
        <w:pStyle w:val="BodyText"/>
        <w:spacing w:line="328" w:lineRule="auto"/>
        <w:ind w:right="210" w:firstLine="210"/>
        <w:jc w:val="both"/>
      </w:pPr>
      <w:r>
        <w:rPr/>
        <w:t>（</w:t>
      </w:r>
      <w:r>
        <w:rPr>
          <w:rFonts w:ascii="Times New Roman" w:hAnsi="Times New Roman" w:cs="Times New Roman" w:eastAsia="Times New Roman" w:hint="default"/>
        </w:rPr>
        <w:t>3</w:t>
      </w:r>
      <w:r>
        <w:rPr/>
        <w:t>）西安鸿基运输有限公司，为公司拥有</w:t>
      </w:r>
      <w:r>
        <w:rPr>
          <w:spacing w:val="-70"/>
        </w:rPr>
        <w:t> </w:t>
      </w:r>
      <w:r>
        <w:rPr>
          <w:rFonts w:ascii="Times New Roman" w:hAnsi="Times New Roman" w:cs="Times New Roman" w:eastAsia="Times New Roman" w:hint="default"/>
        </w:rPr>
        <w:t>80</w:t>
      </w:r>
      <w:r>
        <w:rPr/>
        <w:t>％权益的控股子公司，于</w:t>
      </w:r>
      <w:r>
        <w:rPr>
          <w:spacing w:val="-70"/>
        </w:rPr>
        <w:t> </w:t>
      </w:r>
      <w:r>
        <w:rPr>
          <w:rFonts w:ascii="Times New Roman" w:hAnsi="Times New Roman" w:cs="Times New Roman" w:eastAsia="Times New Roman" w:hint="default"/>
        </w:rPr>
        <w:t>2003</w:t>
      </w:r>
      <w:r>
        <w:rPr>
          <w:rFonts w:ascii="Times New Roman" w:hAnsi="Times New Roman" w:cs="Times New Roman" w:eastAsia="Times New Roman" w:hint="default"/>
          <w:spacing w:val="-17"/>
        </w:rPr>
        <w:t> </w:t>
      </w:r>
      <w:r>
        <w:rPr/>
        <w:t>年成立，主要经 营出租车运输业务，注册资本</w:t>
      </w:r>
      <w:r>
        <w:rPr>
          <w:spacing w:val="-62"/>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0"/>
        </w:rPr>
        <w:t> </w:t>
      </w:r>
      <w:r>
        <w:rPr/>
        <w:t>万元，拥有西安市</w:t>
      </w:r>
      <w:r>
        <w:rPr>
          <w:spacing w:val="-62"/>
        </w:rPr>
        <w:t> </w:t>
      </w:r>
      <w:r>
        <w:rPr>
          <w:rFonts w:ascii="Times New Roman" w:hAnsi="Times New Roman" w:cs="Times New Roman" w:eastAsia="Times New Roman" w:hint="default"/>
        </w:rPr>
        <w:t>300</w:t>
      </w:r>
      <w:r>
        <w:rPr>
          <w:rFonts w:ascii="Times New Roman" w:hAnsi="Times New Roman" w:cs="Times New Roman" w:eastAsia="Times New Roman" w:hint="default"/>
          <w:spacing w:val="-10"/>
        </w:rPr>
        <w:t> </w:t>
      </w:r>
      <w:r>
        <w:rPr/>
        <w:t>辆出租车经营权，于</w:t>
      </w:r>
      <w:r>
        <w:rPr>
          <w:spacing w:val="-62"/>
        </w:rPr>
        <w:t> </w:t>
      </w:r>
      <w:r>
        <w:rPr>
          <w:rFonts w:ascii="Times New Roman" w:hAnsi="Times New Roman" w:cs="Times New Roman" w:eastAsia="Times New Roman" w:hint="default"/>
        </w:rPr>
        <w:t>2006</w:t>
      </w:r>
      <w:r>
        <w:rPr>
          <w:rFonts w:ascii="Times New Roman" w:hAnsi="Times New Roman" w:cs="Times New Roman" w:eastAsia="Times New Roman" w:hint="default"/>
          <w:spacing w:val="-9"/>
        </w:rPr>
        <w:t> </w:t>
      </w:r>
      <w:r>
        <w:rPr/>
        <w:t>年末正式</w:t>
      </w:r>
    </w:p>
    <w:p>
      <w:pPr>
        <w:pStyle w:val="BodyText"/>
        <w:spacing w:line="240" w:lineRule="auto" w:before="24"/>
        <w:ind w:right="0"/>
        <w:jc w:val="left"/>
      </w:pPr>
      <w:r>
        <w:rPr>
          <w:spacing w:val="-4"/>
        </w:rPr>
        <w:t>营运。</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1"/>
        </w:rPr>
        <w:t> </w:t>
      </w:r>
      <w:r>
        <w:rPr/>
        <w:t>年末总资产为</w:t>
      </w:r>
      <w:r>
        <w:rPr>
          <w:spacing w:val="-53"/>
        </w:rPr>
        <w:t> </w:t>
      </w:r>
      <w:r>
        <w:rPr>
          <w:rFonts w:ascii="Times New Roman" w:hAnsi="Times New Roman" w:cs="Times New Roman" w:eastAsia="Times New Roman" w:hint="default"/>
        </w:rPr>
        <w:t>3,762 </w:t>
      </w:r>
      <w:r>
        <w:rPr>
          <w:spacing w:val="-5"/>
        </w:rPr>
        <w:t>万元，净资产</w:t>
      </w:r>
      <w:r>
        <w:rPr>
          <w:spacing w:val="-53"/>
        </w:rPr>
        <w:t> </w:t>
      </w:r>
      <w:r>
        <w:rPr>
          <w:rFonts w:ascii="Times New Roman" w:hAnsi="Times New Roman" w:cs="Times New Roman" w:eastAsia="Times New Roman" w:hint="default"/>
        </w:rPr>
        <w:t>2,172 </w:t>
      </w:r>
      <w:r>
        <w:rPr>
          <w:spacing w:val="-4"/>
        </w:rPr>
        <w:t>万元。</w:t>
      </w:r>
      <w:r>
        <w:rPr>
          <w:rFonts w:ascii="Times New Roman" w:hAnsi="Times New Roman" w:cs="Times New Roman" w:eastAsia="Times New Roman" w:hint="default"/>
          <w:spacing w:val="-4"/>
        </w:rPr>
        <w:t>2009</w:t>
      </w:r>
      <w:r>
        <w:rPr>
          <w:rFonts w:ascii="Times New Roman" w:hAnsi="Times New Roman" w:cs="Times New Roman" w:eastAsia="Times New Roman" w:hint="default"/>
        </w:rPr>
        <w:t> </w:t>
      </w:r>
      <w:r>
        <w:rPr>
          <w:spacing w:val="-3"/>
        </w:rPr>
        <w:t>年度，实现营业收入</w:t>
      </w:r>
      <w:r>
        <w:rPr>
          <w:spacing w:val="-53"/>
        </w:rPr>
        <w:t> </w:t>
      </w:r>
      <w:r>
        <w:rPr>
          <w:rFonts w:ascii="Times New Roman" w:hAnsi="Times New Roman" w:cs="Times New Roman" w:eastAsia="Times New Roman" w:hint="default"/>
        </w:rPr>
        <w:t>725 </w:t>
      </w:r>
      <w:r>
        <w:rPr/>
        <w:t>万元，</w:t>
      </w:r>
    </w:p>
    <w:p>
      <w:pPr>
        <w:pStyle w:val="BodyText"/>
        <w:spacing w:line="240" w:lineRule="auto" w:before="109"/>
        <w:ind w:right="0"/>
        <w:jc w:val="left"/>
      </w:pPr>
      <w:r>
        <w:rPr/>
        <w:t>比上年度</w:t>
      </w:r>
      <w:r>
        <w:rPr>
          <w:spacing w:val="-55"/>
        </w:rPr>
        <w:t> </w:t>
      </w:r>
      <w:r>
        <w:rPr>
          <w:rFonts w:ascii="Times New Roman" w:hAnsi="Times New Roman" w:cs="Times New Roman" w:eastAsia="Times New Roman" w:hint="default"/>
        </w:rPr>
        <w:t>792</w:t>
      </w:r>
      <w:r>
        <w:rPr>
          <w:rFonts w:ascii="Times New Roman" w:hAnsi="Times New Roman" w:cs="Times New Roman" w:eastAsia="Times New Roman" w:hint="default"/>
          <w:spacing w:val="-2"/>
        </w:rPr>
        <w:t> </w:t>
      </w:r>
      <w:r>
        <w:rPr/>
        <w:t>万元减少</w:t>
      </w:r>
      <w:r>
        <w:rPr>
          <w:spacing w:val="-56"/>
        </w:rPr>
        <w:t> </w:t>
      </w:r>
      <w:r>
        <w:rPr>
          <w:rFonts w:ascii="Times New Roman" w:hAnsi="Times New Roman" w:cs="Times New Roman" w:eastAsia="Times New Roman" w:hint="default"/>
        </w:rPr>
        <w:t>8.46%</w:t>
      </w:r>
      <w:r>
        <w:rPr/>
        <w:t>，净利润</w:t>
      </w:r>
      <w:r>
        <w:rPr>
          <w:spacing w:val="-55"/>
        </w:rPr>
        <w:t> </w:t>
      </w:r>
      <w:r>
        <w:rPr>
          <w:rFonts w:ascii="Times New Roman" w:hAnsi="Times New Roman" w:cs="Times New Roman" w:eastAsia="Times New Roman" w:hint="default"/>
        </w:rPr>
        <w:t>105</w:t>
      </w:r>
      <w:r>
        <w:rPr>
          <w:rFonts w:ascii="Times New Roman" w:hAnsi="Times New Roman" w:cs="Times New Roman" w:eastAsia="Times New Roman" w:hint="default"/>
          <w:spacing w:val="-2"/>
        </w:rPr>
        <w:t> </w:t>
      </w:r>
      <w:r>
        <w:rPr/>
        <w:t>万元，比上年度</w:t>
      </w:r>
      <w:r>
        <w:rPr>
          <w:spacing w:val="-55"/>
        </w:rPr>
        <w:t> </w:t>
      </w:r>
      <w:r>
        <w:rPr>
          <w:rFonts w:ascii="Times New Roman" w:hAnsi="Times New Roman" w:cs="Times New Roman" w:eastAsia="Times New Roman" w:hint="default"/>
        </w:rPr>
        <w:t>119</w:t>
      </w:r>
      <w:r>
        <w:rPr>
          <w:rFonts w:ascii="Times New Roman" w:hAnsi="Times New Roman" w:cs="Times New Roman" w:eastAsia="Times New Roman" w:hint="default"/>
          <w:spacing w:val="-2"/>
        </w:rPr>
        <w:t> </w:t>
      </w:r>
      <w:r>
        <w:rPr/>
        <w:t>万元减少</w:t>
      </w:r>
      <w:r>
        <w:rPr>
          <w:spacing w:val="-56"/>
        </w:rPr>
        <w:t> </w:t>
      </w:r>
      <w:r>
        <w:rPr>
          <w:rFonts w:ascii="Times New Roman" w:hAnsi="Times New Roman" w:cs="Times New Roman" w:eastAsia="Times New Roman" w:hint="default"/>
        </w:rPr>
        <w:t>11.76%</w:t>
      </w:r>
      <w:r>
        <w:rPr/>
        <w:t>。</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pStyle w:val="BodyText"/>
        <w:spacing w:line="240" w:lineRule="auto"/>
        <w:ind w:left="610" w:right="0"/>
        <w:jc w:val="left"/>
      </w:pPr>
      <w:r>
        <w:rPr>
          <w:rFonts w:ascii="Times New Roman" w:hAnsi="Times New Roman" w:cs="Times New Roman" w:eastAsia="Times New Roman" w:hint="default"/>
        </w:rPr>
        <w:t>3</w:t>
      </w:r>
      <w:r>
        <w:rPr/>
        <w:t>、物流及运输业</w:t>
      </w:r>
    </w:p>
    <w:p>
      <w:pPr>
        <w:pStyle w:val="BodyText"/>
        <w:spacing w:line="328" w:lineRule="auto" w:before="109"/>
        <w:ind w:right="201" w:firstLine="42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）深圳市裕泰出口监管仓有限公司，为公司拥有</w:t>
      </w:r>
      <w:r>
        <w:rPr>
          <w:spacing w:val="-59"/>
        </w:rPr>
        <w:t> </w:t>
      </w:r>
      <w:r>
        <w:rPr>
          <w:rFonts w:ascii="Times New Roman" w:hAnsi="Times New Roman" w:cs="Times New Roman" w:eastAsia="Times New Roman" w:hint="default"/>
        </w:rPr>
        <w:t>70%</w:t>
      </w:r>
      <w:r>
        <w:rPr/>
        <w:t>权益的控股子公司，于</w:t>
      </w:r>
      <w:r>
        <w:rPr>
          <w:spacing w:val="-59"/>
        </w:rPr>
        <w:t> </w:t>
      </w:r>
      <w:r>
        <w:rPr>
          <w:rFonts w:ascii="Times New Roman" w:hAnsi="Times New Roman" w:cs="Times New Roman" w:eastAsia="Times New Roman" w:hint="default"/>
        </w:rPr>
        <w:t>2003</w:t>
      </w:r>
      <w:r>
        <w:rPr>
          <w:rFonts w:ascii="Times New Roman" w:hAnsi="Times New Roman" w:cs="Times New Roman" w:eastAsia="Times New Roman" w:hint="default"/>
          <w:spacing w:val="-6"/>
        </w:rPr>
        <w:t> </w:t>
      </w:r>
      <w:r>
        <w:rPr/>
        <w:t>年成 立，主要经营出口监管仓业务，注册资本</w:t>
      </w:r>
      <w:r>
        <w:rPr>
          <w:spacing w:val="-45"/>
        </w:rPr>
        <w:t> </w:t>
      </w:r>
      <w:r>
        <w:rPr>
          <w:rFonts w:ascii="Times New Roman" w:hAnsi="Times New Roman" w:cs="Times New Roman" w:eastAsia="Times New Roman" w:hint="default"/>
        </w:rPr>
        <w:t>600</w:t>
      </w:r>
      <w:r>
        <w:rPr>
          <w:rFonts w:ascii="Times New Roman" w:hAnsi="Times New Roman" w:cs="Times New Roman" w:eastAsia="Times New Roman" w:hint="default"/>
          <w:spacing w:val="7"/>
        </w:rPr>
        <w:t> </w:t>
      </w:r>
      <w:r>
        <w:rPr/>
        <w:t>万元。</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年末总资产</w:t>
      </w:r>
      <w:r>
        <w:rPr>
          <w:spacing w:val="-45"/>
        </w:rPr>
        <w:t> </w:t>
      </w:r>
      <w:r>
        <w:rPr>
          <w:rFonts w:ascii="Times New Roman" w:hAnsi="Times New Roman" w:cs="Times New Roman" w:eastAsia="Times New Roman" w:hint="default"/>
        </w:rPr>
        <w:t>1,683</w:t>
      </w:r>
      <w:r>
        <w:rPr>
          <w:rFonts w:ascii="Times New Roman" w:hAnsi="Times New Roman" w:cs="Times New Roman" w:eastAsia="Times New Roman" w:hint="default"/>
          <w:spacing w:val="8"/>
        </w:rPr>
        <w:t> </w:t>
      </w:r>
      <w:r>
        <w:rPr/>
        <w:t>万元，净资产</w:t>
      </w:r>
      <w:r>
        <w:rPr>
          <w:spacing w:val="-45"/>
        </w:rPr>
        <w:t> </w:t>
      </w:r>
      <w:r>
        <w:rPr>
          <w:rFonts w:ascii="Times New Roman" w:hAnsi="Times New Roman" w:cs="Times New Roman" w:eastAsia="Times New Roman" w:hint="default"/>
        </w:rPr>
        <w:t>463</w:t>
      </w:r>
    </w:p>
    <w:p>
      <w:pPr>
        <w:pStyle w:val="BodyText"/>
        <w:spacing w:line="328" w:lineRule="auto" w:before="24"/>
        <w:ind w:right="0"/>
        <w:jc w:val="left"/>
      </w:pPr>
      <w:r>
        <w:rPr/>
        <w:t>万元。</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年度，实现营业收入</w:t>
      </w:r>
      <w:r>
        <w:rPr>
          <w:spacing w:val="-56"/>
        </w:rPr>
        <w:t> </w:t>
      </w:r>
      <w:r>
        <w:rPr>
          <w:rFonts w:ascii="Times New Roman" w:hAnsi="Times New Roman" w:cs="Times New Roman" w:eastAsia="Times New Roman" w:hint="default"/>
        </w:rPr>
        <w:t>4,643</w:t>
      </w:r>
      <w:r>
        <w:rPr>
          <w:rFonts w:ascii="Times New Roman" w:hAnsi="Times New Roman" w:cs="Times New Roman" w:eastAsia="Times New Roman" w:hint="default"/>
          <w:spacing w:val="-3"/>
        </w:rPr>
        <w:t> </w:t>
      </w:r>
      <w:r>
        <w:rPr/>
        <w:t>万元，比上年度</w:t>
      </w:r>
      <w:r>
        <w:rPr>
          <w:spacing w:val="-56"/>
        </w:rPr>
        <w:t> </w:t>
      </w:r>
      <w:r>
        <w:rPr>
          <w:rFonts w:ascii="Times New Roman" w:hAnsi="Times New Roman" w:cs="Times New Roman" w:eastAsia="Times New Roman" w:hint="default"/>
        </w:rPr>
        <w:t>5,440</w:t>
      </w:r>
      <w:r>
        <w:rPr>
          <w:rFonts w:ascii="Times New Roman" w:hAnsi="Times New Roman" w:cs="Times New Roman" w:eastAsia="Times New Roman" w:hint="default"/>
          <w:spacing w:val="-4"/>
        </w:rPr>
        <w:t> </w:t>
      </w:r>
      <w:r>
        <w:rPr/>
        <w:t>万元减少</w:t>
      </w:r>
      <w:r>
        <w:rPr>
          <w:spacing w:val="-56"/>
        </w:rPr>
        <w:t> </w:t>
      </w:r>
      <w:r>
        <w:rPr>
          <w:rFonts w:ascii="Times New Roman" w:hAnsi="Times New Roman" w:cs="Times New Roman" w:eastAsia="Times New Roman" w:hint="default"/>
        </w:rPr>
        <w:t>14.65%</w:t>
      </w:r>
      <w:r>
        <w:rPr/>
        <w:t>，净利润</w:t>
      </w:r>
      <w:r>
        <w:rPr>
          <w:spacing w:val="-56"/>
        </w:rPr>
        <w:t> </w:t>
      </w:r>
      <w:r>
        <w:rPr>
          <w:rFonts w:ascii="Times New Roman" w:hAnsi="Times New Roman" w:cs="Times New Roman" w:eastAsia="Times New Roman" w:hint="default"/>
        </w:rPr>
        <w:t>406</w:t>
      </w:r>
      <w:r>
        <w:rPr>
          <w:rFonts w:ascii="Times New Roman" w:hAnsi="Times New Roman" w:cs="Times New Roman" w:eastAsia="Times New Roman" w:hint="default"/>
          <w:spacing w:val="-3"/>
        </w:rPr>
        <w:t> </w:t>
      </w:r>
      <w:r>
        <w:rPr/>
        <w:t>万 元，比上年度</w:t>
      </w:r>
      <w:r>
        <w:rPr>
          <w:spacing w:val="-55"/>
        </w:rPr>
        <w:t> </w:t>
      </w:r>
      <w:r>
        <w:rPr>
          <w:rFonts w:ascii="Times New Roman" w:hAnsi="Times New Roman" w:cs="Times New Roman" w:eastAsia="Times New Roman" w:hint="default"/>
        </w:rPr>
        <w:t>649</w:t>
      </w:r>
      <w:r>
        <w:rPr>
          <w:rFonts w:ascii="Times New Roman" w:hAnsi="Times New Roman" w:cs="Times New Roman" w:eastAsia="Times New Roman" w:hint="default"/>
          <w:spacing w:val="-2"/>
        </w:rPr>
        <w:t> </w:t>
      </w:r>
      <w:r>
        <w:rPr/>
        <w:t>万元减少</w:t>
      </w:r>
      <w:r>
        <w:rPr>
          <w:spacing w:val="-55"/>
        </w:rPr>
        <w:t> </w:t>
      </w:r>
      <w:r>
        <w:rPr>
          <w:rFonts w:ascii="Times New Roman" w:hAnsi="Times New Roman" w:cs="Times New Roman" w:eastAsia="Times New Roman" w:hint="default"/>
        </w:rPr>
        <w:t>37.44%</w:t>
      </w:r>
      <w:r>
        <w:rPr/>
        <w:t>。</w:t>
      </w:r>
    </w:p>
    <w:p>
      <w:pPr>
        <w:spacing w:line="240" w:lineRule="auto" w:before="5"/>
        <w:rPr>
          <w:rFonts w:ascii="宋体" w:hAnsi="宋体" w:cs="宋体" w:eastAsia="宋体" w:hint="default"/>
          <w:sz w:val="32"/>
          <w:szCs w:val="32"/>
        </w:rPr>
      </w:pPr>
    </w:p>
    <w:p>
      <w:pPr>
        <w:pStyle w:val="BodyText"/>
        <w:spacing w:line="328" w:lineRule="auto"/>
        <w:ind w:right="101" w:firstLine="420"/>
        <w:jc w:val="left"/>
      </w:pPr>
      <w:r>
        <w:rPr>
          <w:spacing w:val="-4"/>
        </w:rPr>
        <w:t>（</w:t>
      </w:r>
      <w:r>
        <w:rPr>
          <w:rFonts w:ascii="Times New Roman" w:hAnsi="Times New Roman" w:cs="Times New Roman" w:eastAsia="Times New Roman" w:hint="default"/>
          <w:spacing w:val="-4"/>
        </w:rPr>
        <w:t>2</w:t>
      </w:r>
      <w:r>
        <w:rPr>
          <w:spacing w:val="-4"/>
        </w:rPr>
        <w:t>）深圳市鸿基皇辉运输有限公司，为公司拥有</w:t>
      </w:r>
      <w:r>
        <w:rPr>
          <w:spacing w:val="-49"/>
        </w:rPr>
        <w:t> </w:t>
      </w:r>
      <w:r>
        <w:rPr>
          <w:rFonts w:ascii="Times New Roman" w:hAnsi="Times New Roman" w:cs="Times New Roman" w:eastAsia="Times New Roman" w:hint="default"/>
          <w:spacing w:val="-4"/>
        </w:rPr>
        <w:t>80%</w:t>
      </w:r>
      <w:r>
        <w:rPr>
          <w:spacing w:val="-4"/>
        </w:rPr>
        <w:t>权益的控股子公司，于</w:t>
      </w:r>
      <w:r>
        <w:rPr>
          <w:spacing w:val="-49"/>
        </w:rPr>
        <w:t> </w:t>
      </w:r>
      <w:r>
        <w:rPr>
          <w:rFonts w:ascii="Times New Roman" w:hAnsi="Times New Roman" w:cs="Times New Roman" w:eastAsia="Times New Roman" w:hint="default"/>
        </w:rPr>
        <w:t>1995</w:t>
      </w:r>
      <w:r>
        <w:rPr>
          <w:rFonts w:ascii="Times New Roman" w:hAnsi="Times New Roman" w:cs="Times New Roman" w:eastAsia="Times New Roman" w:hint="default"/>
          <w:spacing w:val="4"/>
        </w:rPr>
        <w:t> </w:t>
      </w:r>
      <w:r>
        <w:rPr/>
        <w:t>年成立， </w:t>
      </w:r>
      <w:r>
        <w:rPr>
          <w:spacing w:val="-5"/>
        </w:rPr>
        <w:t>主要经营搬运装卸业务，注册资本</w:t>
      </w:r>
      <w:r>
        <w:rPr>
          <w:spacing w:val="-51"/>
        </w:rPr>
        <w:t> </w:t>
      </w:r>
      <w:r>
        <w:rPr>
          <w:rFonts w:ascii="Times New Roman" w:hAnsi="Times New Roman" w:cs="Times New Roman" w:eastAsia="Times New Roman" w:hint="default"/>
        </w:rPr>
        <w:t>200</w:t>
      </w:r>
      <w:r>
        <w:rPr>
          <w:rFonts w:ascii="Times New Roman" w:hAnsi="Times New Roman" w:cs="Times New Roman" w:eastAsia="Times New Roman" w:hint="default"/>
          <w:spacing w:val="2"/>
        </w:rPr>
        <w:t> </w:t>
      </w:r>
      <w:r>
        <w:rPr>
          <w:spacing w:val="-10"/>
        </w:rPr>
        <w:t>万元。</w:t>
      </w:r>
      <w:r>
        <w:rPr>
          <w:rFonts w:ascii="Times New Roman" w:hAnsi="Times New Roman" w:cs="Times New Roman" w:eastAsia="Times New Roman" w:hint="default"/>
          <w:spacing w:val="-10"/>
        </w:rPr>
        <w:t>2009</w:t>
      </w:r>
      <w:r>
        <w:rPr>
          <w:rFonts w:ascii="Times New Roman" w:hAnsi="Times New Roman" w:cs="Times New Roman" w:eastAsia="Times New Roman" w:hint="default"/>
          <w:spacing w:val="1"/>
        </w:rPr>
        <w:t> </w:t>
      </w:r>
      <w:r>
        <w:rPr/>
        <w:t>年末总资产</w:t>
      </w:r>
      <w:r>
        <w:rPr>
          <w:spacing w:val="-51"/>
        </w:rPr>
        <w:t> </w:t>
      </w:r>
      <w:r>
        <w:rPr>
          <w:rFonts w:ascii="Times New Roman" w:hAnsi="Times New Roman" w:cs="Times New Roman" w:eastAsia="Times New Roman" w:hint="default"/>
        </w:rPr>
        <w:t>663</w:t>
      </w:r>
      <w:r>
        <w:rPr>
          <w:rFonts w:ascii="Times New Roman" w:hAnsi="Times New Roman" w:cs="Times New Roman" w:eastAsia="Times New Roman" w:hint="default"/>
          <w:spacing w:val="2"/>
        </w:rPr>
        <w:t> </w:t>
      </w:r>
      <w:r>
        <w:rPr>
          <w:spacing w:val="-12"/>
        </w:rPr>
        <w:t>万元，净资产</w:t>
      </w:r>
      <w:r>
        <w:rPr>
          <w:spacing w:val="-51"/>
        </w:rPr>
        <w:t> </w:t>
      </w:r>
      <w:r>
        <w:rPr>
          <w:rFonts w:ascii="Times New Roman" w:hAnsi="Times New Roman" w:cs="Times New Roman" w:eastAsia="Times New Roman" w:hint="default"/>
        </w:rPr>
        <w:t>476</w:t>
      </w:r>
      <w:r>
        <w:rPr>
          <w:rFonts w:ascii="Times New Roman" w:hAnsi="Times New Roman" w:cs="Times New Roman" w:eastAsia="Times New Roman" w:hint="default"/>
          <w:spacing w:val="2"/>
        </w:rPr>
        <w:t> </w:t>
      </w:r>
      <w:r>
        <w:rPr>
          <w:spacing w:val="-10"/>
        </w:rPr>
        <w:t>万元。</w:t>
      </w:r>
      <w:r>
        <w:rPr>
          <w:rFonts w:ascii="Times New Roman" w:hAnsi="Times New Roman" w:cs="Times New Roman" w:eastAsia="Times New Roman" w:hint="default"/>
          <w:spacing w:val="-10"/>
        </w:rPr>
        <w:t>2009</w:t>
      </w:r>
      <w:r>
        <w:rPr>
          <w:rFonts w:ascii="Times New Roman" w:hAnsi="Times New Roman" w:cs="Times New Roman" w:eastAsia="Times New Roman" w:hint="default"/>
          <w:spacing w:val="-48"/>
        </w:rPr>
        <w:t> </w:t>
      </w:r>
      <w:r>
        <w:rPr>
          <w:rFonts w:ascii="Times New Roman" w:hAnsi="Times New Roman" w:cs="Times New Roman" w:eastAsia="Times New Roman" w:hint="default"/>
          <w:spacing w:val="-48"/>
        </w:rPr>
      </w:r>
      <w:r>
        <w:rPr/>
        <w:t>年度，实现营业收入</w:t>
      </w:r>
      <w:r>
        <w:rPr>
          <w:spacing w:val="-55"/>
        </w:rPr>
        <w:t> </w:t>
      </w:r>
      <w:r>
        <w:rPr>
          <w:rFonts w:ascii="Times New Roman" w:hAnsi="Times New Roman" w:cs="Times New Roman" w:eastAsia="Times New Roman" w:hint="default"/>
        </w:rPr>
        <w:t>1,209</w:t>
      </w:r>
      <w:r>
        <w:rPr>
          <w:rFonts w:ascii="Times New Roman" w:hAnsi="Times New Roman" w:cs="Times New Roman" w:eastAsia="Times New Roman" w:hint="default"/>
          <w:spacing w:val="-2"/>
        </w:rPr>
        <w:t> </w:t>
      </w:r>
      <w:r>
        <w:rPr/>
        <w:t>万元，净利润</w:t>
      </w:r>
      <w:r>
        <w:rPr>
          <w:spacing w:val="-55"/>
        </w:rPr>
        <w:t> </w:t>
      </w:r>
      <w:r>
        <w:rPr>
          <w:rFonts w:ascii="Times New Roman" w:hAnsi="Times New Roman" w:cs="Times New Roman" w:eastAsia="Times New Roman" w:hint="default"/>
        </w:rPr>
        <w:t>49.25</w:t>
      </w:r>
      <w:r>
        <w:rPr>
          <w:rFonts w:ascii="Times New Roman" w:hAnsi="Times New Roman" w:cs="Times New Roman" w:eastAsia="Times New Roman" w:hint="default"/>
          <w:spacing w:val="-2"/>
        </w:rPr>
        <w:t> </w:t>
      </w:r>
      <w:r>
        <w:rPr/>
        <w:t>万元。</w:t>
      </w:r>
    </w:p>
    <w:p>
      <w:pPr>
        <w:spacing w:line="240" w:lineRule="auto" w:before="5"/>
        <w:rPr>
          <w:rFonts w:ascii="宋体" w:hAnsi="宋体" w:cs="宋体" w:eastAsia="宋体" w:hint="default"/>
          <w:sz w:val="32"/>
          <w:szCs w:val="32"/>
        </w:rPr>
      </w:pPr>
    </w:p>
    <w:p>
      <w:pPr>
        <w:pStyle w:val="BodyText"/>
        <w:spacing w:line="331" w:lineRule="auto"/>
        <w:ind w:right="101" w:firstLine="420"/>
        <w:jc w:val="left"/>
      </w:pPr>
      <w:r>
        <w:rPr>
          <w:spacing w:val="-4"/>
        </w:rPr>
        <w:t>（</w:t>
      </w:r>
      <w:r>
        <w:rPr>
          <w:rFonts w:ascii="Times New Roman" w:hAnsi="Times New Roman" w:cs="Times New Roman" w:eastAsia="Times New Roman" w:hint="default"/>
          <w:spacing w:val="-4"/>
        </w:rPr>
        <w:t>3</w:t>
      </w:r>
      <w:r>
        <w:rPr>
          <w:spacing w:val="-4"/>
        </w:rPr>
        <w:t>）深圳市鸿基华辉运输有限公司，为公司拥有</w:t>
      </w:r>
      <w:r>
        <w:rPr>
          <w:spacing w:val="-49"/>
        </w:rPr>
        <w:t> </w:t>
      </w:r>
      <w:r>
        <w:rPr>
          <w:rFonts w:ascii="Times New Roman" w:hAnsi="Times New Roman" w:cs="Times New Roman" w:eastAsia="Times New Roman" w:hint="default"/>
          <w:spacing w:val="-4"/>
        </w:rPr>
        <w:t>80%</w:t>
      </w:r>
      <w:r>
        <w:rPr>
          <w:spacing w:val="-4"/>
        </w:rPr>
        <w:t>权益的控股子公司，于</w:t>
      </w:r>
      <w:r>
        <w:rPr>
          <w:spacing w:val="-49"/>
        </w:rPr>
        <w:t> </w:t>
      </w:r>
      <w:r>
        <w:rPr>
          <w:rFonts w:ascii="Times New Roman" w:hAnsi="Times New Roman" w:cs="Times New Roman" w:eastAsia="Times New Roman" w:hint="default"/>
        </w:rPr>
        <w:t>1995</w:t>
      </w:r>
      <w:r>
        <w:rPr>
          <w:rFonts w:ascii="Times New Roman" w:hAnsi="Times New Roman" w:cs="Times New Roman" w:eastAsia="Times New Roman" w:hint="default"/>
          <w:spacing w:val="4"/>
        </w:rPr>
        <w:t> </w:t>
      </w:r>
      <w:r>
        <w:rPr/>
        <w:t>年成立， </w:t>
      </w:r>
      <w:r>
        <w:rPr>
          <w:spacing w:val="-5"/>
        </w:rPr>
        <w:t>主要经营搬运装卸业务，注册资本</w:t>
      </w:r>
      <w:r>
        <w:rPr>
          <w:spacing w:val="-51"/>
        </w:rPr>
        <w:t> </w:t>
      </w:r>
      <w:r>
        <w:rPr>
          <w:rFonts w:ascii="Times New Roman" w:hAnsi="Times New Roman" w:cs="Times New Roman" w:eastAsia="Times New Roman" w:hint="default"/>
        </w:rPr>
        <w:t>200</w:t>
      </w:r>
      <w:r>
        <w:rPr>
          <w:rFonts w:ascii="Times New Roman" w:hAnsi="Times New Roman" w:cs="Times New Roman" w:eastAsia="Times New Roman" w:hint="default"/>
          <w:spacing w:val="2"/>
        </w:rPr>
        <w:t> </w:t>
      </w:r>
      <w:r>
        <w:rPr>
          <w:spacing w:val="-10"/>
        </w:rPr>
        <w:t>万元。</w:t>
      </w:r>
      <w:r>
        <w:rPr>
          <w:rFonts w:ascii="Times New Roman" w:hAnsi="Times New Roman" w:cs="Times New Roman" w:eastAsia="Times New Roman" w:hint="default"/>
          <w:spacing w:val="-10"/>
        </w:rPr>
        <w:t>2009</w:t>
      </w:r>
      <w:r>
        <w:rPr>
          <w:rFonts w:ascii="Times New Roman" w:hAnsi="Times New Roman" w:cs="Times New Roman" w:eastAsia="Times New Roman" w:hint="default"/>
          <w:spacing w:val="1"/>
        </w:rPr>
        <w:t> </w:t>
      </w:r>
      <w:r>
        <w:rPr/>
        <w:t>年末总资产</w:t>
      </w:r>
      <w:r>
        <w:rPr>
          <w:spacing w:val="-51"/>
        </w:rPr>
        <w:t> </w:t>
      </w:r>
      <w:r>
        <w:rPr>
          <w:rFonts w:ascii="Times New Roman" w:hAnsi="Times New Roman" w:cs="Times New Roman" w:eastAsia="Times New Roman" w:hint="default"/>
        </w:rPr>
        <w:t>456</w:t>
      </w:r>
      <w:r>
        <w:rPr>
          <w:rFonts w:ascii="Times New Roman" w:hAnsi="Times New Roman" w:cs="Times New Roman" w:eastAsia="Times New Roman" w:hint="default"/>
          <w:spacing w:val="2"/>
        </w:rPr>
        <w:t> </w:t>
      </w:r>
      <w:r>
        <w:rPr>
          <w:spacing w:val="-12"/>
        </w:rPr>
        <w:t>万元，净资产</w:t>
      </w:r>
      <w:r>
        <w:rPr>
          <w:spacing w:val="-51"/>
        </w:rPr>
        <w:t> </w:t>
      </w:r>
      <w:r>
        <w:rPr>
          <w:rFonts w:ascii="Times New Roman" w:hAnsi="Times New Roman" w:cs="Times New Roman" w:eastAsia="Times New Roman" w:hint="default"/>
        </w:rPr>
        <w:t>367</w:t>
      </w:r>
      <w:r>
        <w:rPr>
          <w:rFonts w:ascii="Times New Roman" w:hAnsi="Times New Roman" w:cs="Times New Roman" w:eastAsia="Times New Roman" w:hint="default"/>
          <w:spacing w:val="2"/>
        </w:rPr>
        <w:t> </w:t>
      </w:r>
      <w:r>
        <w:rPr>
          <w:spacing w:val="-10"/>
        </w:rPr>
        <w:t>万元。</w:t>
      </w:r>
      <w:r>
        <w:rPr>
          <w:rFonts w:ascii="Times New Roman" w:hAnsi="Times New Roman" w:cs="Times New Roman" w:eastAsia="Times New Roman" w:hint="default"/>
          <w:spacing w:val="-10"/>
        </w:rPr>
        <w:t>2009</w:t>
      </w:r>
      <w:r>
        <w:rPr>
          <w:rFonts w:ascii="Times New Roman" w:hAnsi="Times New Roman" w:cs="Times New Roman" w:eastAsia="Times New Roman" w:hint="default"/>
          <w:spacing w:val="-48"/>
        </w:rPr>
        <w:t> </w:t>
      </w:r>
      <w:r>
        <w:rPr>
          <w:rFonts w:ascii="Times New Roman" w:hAnsi="Times New Roman" w:cs="Times New Roman" w:eastAsia="Times New Roman" w:hint="default"/>
          <w:spacing w:val="-48"/>
        </w:rPr>
      </w:r>
      <w:r>
        <w:rPr/>
        <w:t>年度，实现营业收入</w:t>
      </w:r>
      <w:r>
        <w:rPr>
          <w:spacing w:val="-41"/>
        </w:rPr>
        <w:t> </w:t>
      </w:r>
      <w:r>
        <w:rPr>
          <w:rFonts w:ascii="Times New Roman" w:hAnsi="Times New Roman" w:cs="Times New Roman" w:eastAsia="Times New Roman" w:hint="default"/>
        </w:rPr>
        <w:t>1,591</w:t>
      </w:r>
      <w:r>
        <w:rPr>
          <w:rFonts w:ascii="Times New Roman" w:hAnsi="Times New Roman" w:cs="Times New Roman" w:eastAsia="Times New Roman" w:hint="default"/>
          <w:spacing w:val="12"/>
        </w:rPr>
        <w:t> </w:t>
      </w:r>
      <w:r>
        <w:rPr/>
        <w:t>万元，比上年度</w:t>
      </w:r>
      <w:r>
        <w:rPr>
          <w:spacing w:val="-41"/>
        </w:rPr>
        <w:t> </w:t>
      </w:r>
      <w:r>
        <w:rPr>
          <w:rFonts w:ascii="Times New Roman" w:hAnsi="Times New Roman" w:cs="Times New Roman" w:eastAsia="Times New Roman" w:hint="default"/>
        </w:rPr>
        <w:t>1,798</w:t>
      </w:r>
      <w:r>
        <w:rPr>
          <w:rFonts w:ascii="Times New Roman" w:hAnsi="Times New Roman" w:cs="Times New Roman" w:eastAsia="Times New Roman" w:hint="default"/>
          <w:spacing w:val="12"/>
        </w:rPr>
        <w:t> </w:t>
      </w:r>
      <w:r>
        <w:rPr/>
        <w:t>万元减少</w:t>
      </w:r>
      <w:r>
        <w:rPr>
          <w:spacing w:val="-41"/>
        </w:rPr>
        <w:t> </w:t>
      </w:r>
      <w:r>
        <w:rPr>
          <w:rFonts w:ascii="Times New Roman" w:hAnsi="Times New Roman" w:cs="Times New Roman" w:eastAsia="Times New Roman" w:hint="default"/>
        </w:rPr>
        <w:t>11.51%</w:t>
      </w:r>
      <w:r>
        <w:rPr/>
        <w:t>，净利润</w:t>
      </w:r>
      <w:r>
        <w:rPr>
          <w:spacing w:val="-41"/>
        </w:rPr>
        <w:t> </w:t>
      </w:r>
      <w:r>
        <w:rPr>
          <w:rFonts w:ascii="Times New Roman" w:hAnsi="Times New Roman" w:cs="Times New Roman" w:eastAsia="Times New Roman" w:hint="default"/>
        </w:rPr>
        <w:t>15.78</w:t>
      </w:r>
      <w:r>
        <w:rPr>
          <w:rFonts w:ascii="Times New Roman" w:hAnsi="Times New Roman" w:cs="Times New Roman" w:eastAsia="Times New Roman" w:hint="default"/>
          <w:spacing w:val="12"/>
        </w:rPr>
        <w:t> </w:t>
      </w:r>
      <w:r>
        <w:rPr/>
        <w:t>万元，比上 年度</w:t>
      </w:r>
      <w:r>
        <w:rPr>
          <w:spacing w:val="-55"/>
        </w:rPr>
        <w:t> </w:t>
      </w:r>
      <w:r>
        <w:rPr>
          <w:rFonts w:ascii="Times New Roman" w:hAnsi="Times New Roman" w:cs="Times New Roman" w:eastAsia="Times New Roman" w:hint="default"/>
        </w:rPr>
        <w:t>35.94</w:t>
      </w:r>
      <w:r>
        <w:rPr>
          <w:rFonts w:ascii="Times New Roman" w:hAnsi="Times New Roman" w:cs="Times New Roman" w:eastAsia="Times New Roman" w:hint="default"/>
          <w:spacing w:val="-2"/>
        </w:rPr>
        <w:t> </w:t>
      </w:r>
      <w:r>
        <w:rPr/>
        <w:t>万元减少</w:t>
      </w:r>
      <w:r>
        <w:rPr>
          <w:spacing w:val="-55"/>
        </w:rPr>
        <w:t> </w:t>
      </w:r>
      <w:r>
        <w:rPr>
          <w:rFonts w:ascii="Times New Roman" w:hAnsi="Times New Roman" w:cs="Times New Roman" w:eastAsia="Times New Roman" w:hint="default"/>
        </w:rPr>
        <w:t>56%</w:t>
      </w:r>
      <w:r>
        <w:rPr/>
        <w:t>。</w:t>
      </w:r>
    </w:p>
    <w:p>
      <w:pPr>
        <w:spacing w:line="240" w:lineRule="auto" w:before="3"/>
        <w:rPr>
          <w:rFonts w:ascii="宋体" w:hAnsi="宋体" w:cs="宋体" w:eastAsia="宋体" w:hint="default"/>
          <w:sz w:val="32"/>
          <w:szCs w:val="32"/>
        </w:rPr>
      </w:pPr>
    </w:p>
    <w:p>
      <w:pPr>
        <w:pStyle w:val="BodyText"/>
        <w:spacing w:line="240" w:lineRule="auto"/>
        <w:ind w:left="610" w:right="0"/>
        <w:jc w:val="left"/>
      </w:pPr>
      <w:r>
        <w:rPr>
          <w:rFonts w:ascii="Times New Roman" w:hAnsi="Times New Roman" w:cs="Times New Roman" w:eastAsia="Times New Roman" w:hint="default"/>
        </w:rPr>
        <w:t>4</w:t>
      </w:r>
      <w:r>
        <w:rPr/>
        <w:t>．酒店业务</w:t>
      </w:r>
    </w:p>
    <w:p>
      <w:pPr>
        <w:pStyle w:val="BodyText"/>
        <w:spacing w:line="328" w:lineRule="auto" w:before="109"/>
        <w:ind w:right="102" w:firstLine="419"/>
        <w:jc w:val="left"/>
      </w:pPr>
      <w:r>
        <w:rPr>
          <w:spacing w:val="-4"/>
        </w:rPr>
        <w:t>（</w:t>
      </w:r>
      <w:r>
        <w:rPr>
          <w:rFonts w:ascii="Times New Roman" w:hAnsi="Times New Roman" w:cs="Times New Roman" w:eastAsia="Times New Roman" w:hint="default"/>
          <w:spacing w:val="-4"/>
        </w:rPr>
        <w:t>1</w:t>
      </w:r>
      <w:r>
        <w:rPr>
          <w:spacing w:val="-4"/>
        </w:rPr>
        <w:t>）深圳市深运工贸企业有限公司，为公司拥有</w:t>
      </w:r>
      <w:r>
        <w:rPr>
          <w:spacing w:val="-49"/>
        </w:rPr>
        <w:t> </w:t>
      </w:r>
      <w:r>
        <w:rPr>
          <w:rFonts w:ascii="Times New Roman" w:hAnsi="Times New Roman" w:cs="Times New Roman" w:eastAsia="Times New Roman" w:hint="default"/>
          <w:spacing w:val="-4"/>
        </w:rPr>
        <w:t>95%</w:t>
      </w:r>
      <w:r>
        <w:rPr>
          <w:spacing w:val="-4"/>
        </w:rPr>
        <w:t>权益的控股子公司，于</w:t>
      </w:r>
      <w:r>
        <w:rPr>
          <w:spacing w:val="-49"/>
        </w:rPr>
        <w:t> </w:t>
      </w:r>
      <w:r>
        <w:rPr>
          <w:rFonts w:ascii="Times New Roman" w:hAnsi="Times New Roman" w:cs="Times New Roman" w:eastAsia="Times New Roman" w:hint="default"/>
        </w:rPr>
        <w:t>1985</w:t>
      </w:r>
      <w:r>
        <w:rPr>
          <w:rFonts w:ascii="Times New Roman" w:hAnsi="Times New Roman" w:cs="Times New Roman" w:eastAsia="Times New Roman" w:hint="default"/>
          <w:spacing w:val="4"/>
        </w:rPr>
        <w:t> </w:t>
      </w:r>
      <w:r>
        <w:rPr/>
        <w:t>年成立， 注册资本为人民币</w:t>
      </w:r>
      <w:r>
        <w:rPr>
          <w:spacing w:val="-55"/>
        </w:rPr>
        <w:t> </w:t>
      </w:r>
      <w:r>
        <w:rPr>
          <w:rFonts w:ascii="Times New Roman" w:hAnsi="Times New Roman" w:cs="Times New Roman" w:eastAsia="Times New Roman" w:hint="default"/>
        </w:rPr>
        <w:t>2000</w:t>
      </w:r>
      <w:r>
        <w:rPr>
          <w:rFonts w:ascii="Times New Roman" w:hAnsi="Times New Roman" w:cs="Times New Roman" w:eastAsia="Times New Roman" w:hint="default"/>
          <w:spacing w:val="-3"/>
        </w:rPr>
        <w:t> </w:t>
      </w:r>
      <w:r>
        <w:rPr/>
        <w:t>万元，主要经营酒店管理业务。</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年度，实现营业收入</w:t>
      </w:r>
      <w:r>
        <w:rPr>
          <w:spacing w:val="-55"/>
        </w:rPr>
        <w:t> </w:t>
      </w:r>
      <w:r>
        <w:rPr>
          <w:rFonts w:ascii="Times New Roman" w:hAnsi="Times New Roman" w:cs="Times New Roman" w:eastAsia="Times New Roman" w:hint="default"/>
        </w:rPr>
        <w:t>1,482</w:t>
      </w:r>
      <w:r>
        <w:rPr>
          <w:rFonts w:ascii="Times New Roman" w:hAnsi="Times New Roman" w:cs="Times New Roman" w:eastAsia="Times New Roman" w:hint="default"/>
          <w:spacing w:val="-2"/>
        </w:rPr>
        <w:t> </w:t>
      </w:r>
      <w:r>
        <w:rPr/>
        <w:t>万元，</w:t>
      </w:r>
    </w:p>
    <w:p>
      <w:pPr>
        <w:pStyle w:val="BodyText"/>
        <w:spacing w:line="240" w:lineRule="auto" w:before="24"/>
        <w:ind w:right="0"/>
        <w:jc w:val="left"/>
      </w:pPr>
      <w:r>
        <w:rPr/>
        <w:t>比上年度</w:t>
      </w:r>
      <w:r>
        <w:rPr>
          <w:spacing w:val="-55"/>
        </w:rPr>
        <w:t> </w:t>
      </w:r>
      <w:r>
        <w:rPr>
          <w:rFonts w:ascii="Times New Roman" w:hAnsi="Times New Roman" w:cs="Times New Roman" w:eastAsia="Times New Roman" w:hint="default"/>
        </w:rPr>
        <w:t>1,735</w:t>
      </w:r>
      <w:r>
        <w:rPr>
          <w:rFonts w:ascii="Times New Roman" w:hAnsi="Times New Roman" w:cs="Times New Roman" w:eastAsia="Times New Roman" w:hint="default"/>
          <w:spacing w:val="-2"/>
        </w:rPr>
        <w:t> </w:t>
      </w:r>
      <w:r>
        <w:rPr/>
        <w:t>万元减少</w:t>
      </w:r>
      <w:r>
        <w:rPr>
          <w:spacing w:val="-56"/>
        </w:rPr>
        <w:t> </w:t>
      </w:r>
      <w:r>
        <w:rPr>
          <w:rFonts w:ascii="Times New Roman" w:hAnsi="Times New Roman" w:cs="Times New Roman" w:eastAsia="Times New Roman" w:hint="default"/>
        </w:rPr>
        <w:t>14.58%</w:t>
      </w:r>
      <w:r>
        <w:rPr/>
        <w:t>，净利润</w:t>
      </w:r>
      <w:r>
        <w:rPr>
          <w:spacing w:val="-4"/>
        </w:rPr>
        <w:t> </w:t>
      </w:r>
      <w:r>
        <w:rPr>
          <w:rFonts w:ascii="Times New Roman" w:hAnsi="Times New Roman" w:cs="Times New Roman" w:eastAsia="Times New Roman" w:hint="default"/>
        </w:rPr>
        <w:t>232</w:t>
      </w:r>
      <w:r>
        <w:rPr>
          <w:rFonts w:ascii="Times New Roman" w:hAnsi="Times New Roman" w:cs="Times New Roman" w:eastAsia="Times New Roman" w:hint="default"/>
          <w:spacing w:val="-2"/>
        </w:rPr>
        <w:t> </w:t>
      </w:r>
      <w:r>
        <w:rPr/>
        <w:t>万元，比上年度</w:t>
      </w:r>
      <w:r>
        <w:rPr>
          <w:spacing w:val="-55"/>
        </w:rPr>
        <w:t> </w:t>
      </w:r>
      <w:r>
        <w:rPr>
          <w:rFonts w:ascii="Times New Roman" w:hAnsi="Times New Roman" w:cs="Times New Roman" w:eastAsia="Times New Roman" w:hint="default"/>
        </w:rPr>
        <w:t>147</w:t>
      </w:r>
      <w:r>
        <w:rPr>
          <w:rFonts w:ascii="Times New Roman" w:hAnsi="Times New Roman" w:cs="Times New Roman" w:eastAsia="Times New Roman" w:hint="default"/>
          <w:spacing w:val="-2"/>
        </w:rPr>
        <w:t> </w:t>
      </w:r>
      <w:r>
        <w:rPr/>
        <w:t>万元增加</w:t>
      </w:r>
      <w:r>
        <w:rPr>
          <w:spacing w:val="-55"/>
        </w:rPr>
        <w:t> </w:t>
      </w:r>
      <w:r>
        <w:rPr>
          <w:rFonts w:ascii="Times New Roman" w:hAnsi="Times New Roman" w:cs="Times New Roman" w:eastAsia="Times New Roman" w:hint="default"/>
        </w:rPr>
        <w:t>57.82%</w:t>
      </w:r>
      <w:r>
        <w:rPr/>
        <w:t>。</w:t>
      </w:r>
    </w:p>
    <w:p>
      <w:pPr>
        <w:spacing w:after="0" w:line="240" w:lineRule="auto"/>
        <w:jc w:val="left"/>
        <w:sectPr>
          <w:pgSz w:w="11900" w:h="16840"/>
          <w:pgMar w:header="0" w:footer="939" w:top="1500" w:bottom="1120" w:left="1680" w:right="1200"/>
        </w:sectPr>
      </w:pPr>
    </w:p>
    <w:p>
      <w:pPr>
        <w:pStyle w:val="BodyText"/>
        <w:spacing w:line="240" w:lineRule="auto" w:before="15"/>
        <w:ind w:left="653" w:right="0"/>
        <w:jc w:val="left"/>
      </w:pPr>
      <w:r>
        <w:rPr/>
        <w:t>主要参股公司</w:t>
      </w:r>
    </w:p>
    <w:p>
      <w:pPr>
        <w:pStyle w:val="BodyText"/>
        <w:spacing w:line="331" w:lineRule="auto" w:before="124"/>
        <w:ind w:left="230" w:right="729" w:firstLine="420"/>
        <w:jc w:val="both"/>
      </w:pPr>
      <w:r>
        <w:rPr/>
        <w:t>深圳市深威驳运有限公司，为公司拥有 </w:t>
      </w:r>
      <w:r>
        <w:rPr>
          <w:rFonts w:ascii="Times New Roman" w:hAnsi="Times New Roman" w:cs="Times New Roman" w:eastAsia="Times New Roman" w:hint="default"/>
        </w:rPr>
        <w:t>45%</w:t>
      </w:r>
      <w:r>
        <w:rPr/>
        <w:t>权益的参股企业，于 </w:t>
      </w:r>
      <w:r>
        <w:rPr>
          <w:rFonts w:ascii="Times New Roman" w:hAnsi="Times New Roman" w:cs="Times New Roman" w:eastAsia="Times New Roman" w:hint="default"/>
        </w:rPr>
        <w:t>1989</w:t>
      </w:r>
      <w:r>
        <w:rPr>
          <w:rFonts w:ascii="Times New Roman" w:hAnsi="Times New Roman" w:cs="Times New Roman" w:eastAsia="Times New Roman" w:hint="default"/>
          <w:spacing w:val="-15"/>
        </w:rPr>
        <w:t> </w:t>
      </w:r>
      <w:r>
        <w:rPr/>
        <w:t>年成立，注册资本 为人民币</w:t>
      </w:r>
      <w:r>
        <w:rPr>
          <w:spacing w:val="-52"/>
        </w:rPr>
        <w:t> </w:t>
      </w:r>
      <w:r>
        <w:rPr>
          <w:rFonts w:ascii="Times New Roman" w:hAnsi="Times New Roman" w:cs="Times New Roman" w:eastAsia="Times New Roman" w:hint="default"/>
        </w:rPr>
        <w:t>1,200</w:t>
      </w:r>
      <w:r>
        <w:rPr>
          <w:rFonts w:ascii="Times New Roman" w:hAnsi="Times New Roman" w:cs="Times New Roman" w:eastAsia="Times New Roman" w:hint="default"/>
          <w:spacing w:val="1"/>
        </w:rPr>
        <w:t> </w:t>
      </w:r>
      <w:r>
        <w:rPr/>
        <w:t>万元。主要经营皇岗口岸海关监管场接驳运输、装卸搬运等业务，</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年末总 资产为</w:t>
      </w:r>
      <w:r>
        <w:rPr>
          <w:spacing w:val="-54"/>
        </w:rPr>
        <w:t> </w:t>
      </w:r>
      <w:r>
        <w:rPr>
          <w:rFonts w:ascii="Times New Roman" w:hAnsi="Times New Roman" w:cs="Times New Roman" w:eastAsia="Times New Roman" w:hint="default"/>
        </w:rPr>
        <w:t>1,481</w:t>
      </w:r>
      <w:r>
        <w:rPr>
          <w:rFonts w:ascii="Times New Roman" w:hAnsi="Times New Roman" w:cs="Times New Roman" w:eastAsia="Times New Roman" w:hint="default"/>
          <w:spacing w:val="-2"/>
        </w:rPr>
        <w:t> </w:t>
      </w:r>
      <w:r>
        <w:rPr/>
        <w:t>万元，净资产</w:t>
      </w:r>
      <w:r>
        <w:rPr>
          <w:spacing w:val="-54"/>
        </w:rPr>
        <w:t> </w:t>
      </w:r>
      <w:r>
        <w:rPr>
          <w:rFonts w:ascii="Times New Roman" w:hAnsi="Times New Roman" w:cs="Times New Roman" w:eastAsia="Times New Roman" w:hint="default"/>
        </w:rPr>
        <w:t>1,463</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年度，实现营业收入</w:t>
      </w:r>
      <w:r>
        <w:rPr>
          <w:spacing w:val="-54"/>
        </w:rPr>
        <w:t> </w:t>
      </w:r>
      <w:r>
        <w:rPr>
          <w:rFonts w:ascii="Times New Roman" w:hAnsi="Times New Roman" w:cs="Times New Roman" w:eastAsia="Times New Roman" w:hint="default"/>
        </w:rPr>
        <w:t>1,102</w:t>
      </w:r>
      <w:r>
        <w:rPr>
          <w:rFonts w:ascii="Times New Roman" w:hAnsi="Times New Roman" w:cs="Times New Roman" w:eastAsia="Times New Roman" w:hint="default"/>
          <w:spacing w:val="-1"/>
        </w:rPr>
        <w:t> </w:t>
      </w:r>
      <w:r>
        <w:rPr/>
        <w:t>万元，比上年度</w:t>
      </w:r>
      <w:r>
        <w:rPr>
          <w:spacing w:val="-54"/>
        </w:rPr>
        <w:t> </w:t>
      </w:r>
      <w:r>
        <w:rPr>
          <w:rFonts w:ascii="Times New Roman" w:hAnsi="Times New Roman" w:cs="Times New Roman" w:eastAsia="Times New Roman" w:hint="default"/>
        </w:rPr>
        <w:t>1,328 </w:t>
      </w:r>
      <w:r>
        <w:rPr/>
        <w:t>万元减少</w:t>
      </w:r>
      <w:r>
        <w:rPr>
          <w:spacing w:val="-54"/>
        </w:rPr>
        <w:t> </w:t>
      </w:r>
      <w:r>
        <w:rPr>
          <w:rFonts w:ascii="Times New Roman" w:hAnsi="Times New Roman" w:cs="Times New Roman" w:eastAsia="Times New Roman" w:hint="default"/>
        </w:rPr>
        <w:t>17</w:t>
      </w:r>
      <w:r>
        <w:rPr/>
        <w:t>％，实现净利润</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万元，比上年度</w:t>
      </w:r>
      <w:r>
        <w:rPr>
          <w:spacing w:val="-54"/>
        </w:rPr>
        <w:t> </w:t>
      </w:r>
      <w:r>
        <w:rPr>
          <w:rFonts w:ascii="Times New Roman" w:hAnsi="Times New Roman" w:cs="Times New Roman" w:eastAsia="Times New Roman" w:hint="default"/>
        </w:rPr>
        <w:t>64</w:t>
      </w:r>
      <w:r>
        <w:rPr>
          <w:rFonts w:ascii="Times New Roman" w:hAnsi="Times New Roman" w:cs="Times New Roman" w:eastAsia="Times New Roman" w:hint="default"/>
          <w:spacing w:val="-1"/>
        </w:rPr>
        <w:t> </w:t>
      </w:r>
      <w:r>
        <w:rPr/>
        <w:t>万元减少</w:t>
      </w:r>
      <w:r>
        <w:rPr>
          <w:spacing w:val="-55"/>
        </w:rPr>
        <w:t> </w:t>
      </w:r>
      <w:r>
        <w:rPr>
          <w:rFonts w:ascii="Times New Roman" w:hAnsi="Times New Roman" w:cs="Times New Roman" w:eastAsia="Times New Roman" w:hint="default"/>
        </w:rPr>
        <w:t>94%</w:t>
      </w:r>
      <w:r>
        <w:rPr/>
        <w:t>。</w:t>
      </w:r>
    </w:p>
    <w:p>
      <w:pPr>
        <w:spacing w:line="240" w:lineRule="auto" w:before="10"/>
        <w:rPr>
          <w:rFonts w:ascii="宋体" w:hAnsi="宋体" w:cs="宋体" w:eastAsia="宋体" w:hint="default"/>
          <w:sz w:val="23"/>
          <w:szCs w:val="23"/>
        </w:rPr>
      </w:pPr>
    </w:p>
    <w:p>
      <w:pPr>
        <w:pStyle w:val="BodyText"/>
        <w:spacing w:line="240" w:lineRule="auto"/>
        <w:ind w:left="230" w:right="0"/>
        <w:jc w:val="left"/>
        <w:rPr>
          <w:rFonts w:ascii="黑体" w:hAnsi="黑体" w:cs="黑体" w:eastAsia="黑体" w:hint="default"/>
        </w:rPr>
      </w:pPr>
      <w:r>
        <w:rPr>
          <w:rFonts w:ascii="黑体" w:hAnsi="黑体" w:cs="黑体" w:eastAsia="黑体" w:hint="default"/>
        </w:rPr>
        <w:t>（三）报告期公司资产、负债主要构成变化情况及同比变动的主要原因</w:t>
      </w:r>
      <w:r>
        <w:rPr>
          <w:rFonts w:ascii="黑体" w:hAnsi="黑体" w:cs="黑体" w:eastAsia="黑体" w:hint="default"/>
          <w:spacing w:val="-2"/>
        </w:rPr>
        <w:t> </w:t>
      </w:r>
      <w:r>
        <w:rPr>
          <w:rFonts w:ascii="黑体" w:hAnsi="黑体" w:cs="黑体" w:eastAsia="黑体" w:hint="default"/>
        </w:rPr>
        <w:t>（单位：元）</w:t>
      </w:r>
    </w:p>
    <w:p>
      <w:pPr>
        <w:spacing w:line="240" w:lineRule="auto" w:before="11"/>
        <w:rPr>
          <w:rFonts w:ascii="黑体" w:hAnsi="黑体" w:cs="黑体" w:eastAsia="黑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574"/>
        <w:gridCol w:w="1514"/>
        <w:gridCol w:w="1800"/>
        <w:gridCol w:w="1080"/>
        <w:gridCol w:w="1800"/>
        <w:gridCol w:w="1080"/>
        <w:gridCol w:w="1496"/>
      </w:tblGrid>
      <w:tr>
        <w:trPr>
          <w:trHeight w:val="478" w:hRule="exact"/>
        </w:trPr>
        <w:tc>
          <w:tcPr>
            <w:tcW w:w="57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96" w:type="dxa"/>
            <w:vMerge w:val="restart"/>
            <w:tcBorders>
              <w:top w:val="single" w:sz="4" w:space="0" w:color="000000"/>
              <w:left w:val="single" w:sz="4" w:space="0" w:color="000000"/>
              <w:right w:val="single" w:sz="4" w:space="0" w:color="000000"/>
            </w:tcBorders>
          </w:tcPr>
          <w:p>
            <w:pPr>
              <w:pStyle w:val="TableParagraph"/>
              <w:spacing w:line="272" w:lineRule="exact" w:before="89"/>
              <w:ind w:left="112" w:right="112"/>
              <w:jc w:val="center"/>
              <w:rPr>
                <w:rFonts w:ascii="宋体" w:hAnsi="宋体" w:cs="宋体" w:eastAsia="宋体" w:hint="default"/>
                <w:sz w:val="21"/>
                <w:szCs w:val="21"/>
              </w:rPr>
            </w:pPr>
            <w:r>
              <w:rPr>
                <w:rFonts w:ascii="宋体" w:hAnsi="宋体" w:cs="宋体" w:eastAsia="宋体" w:hint="default"/>
                <w:sz w:val="21"/>
                <w:szCs w:val="21"/>
              </w:rPr>
              <w:t>占总资产的比 重增减</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（百分点）</w:t>
            </w:r>
          </w:p>
        </w:tc>
      </w:tr>
      <w:tr>
        <w:trPr>
          <w:trHeight w:val="554" w:hRule="exact"/>
        </w:trPr>
        <w:tc>
          <w:tcPr>
            <w:tcW w:w="57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7" w:right="0" w:hanging="53"/>
              <w:jc w:val="left"/>
              <w:rPr>
                <w:rFonts w:ascii="宋体" w:hAnsi="宋体" w:cs="宋体" w:eastAsia="宋体" w:hint="default"/>
                <w:sz w:val="21"/>
                <w:szCs w:val="21"/>
              </w:rPr>
            </w:pPr>
            <w:r>
              <w:rPr>
                <w:rFonts w:ascii="宋体" w:hAnsi="宋体" w:cs="宋体" w:eastAsia="宋体" w:hint="default"/>
                <w:sz w:val="21"/>
                <w:szCs w:val="21"/>
              </w:rPr>
              <w:t>占总资产</w:t>
            </w:r>
          </w:p>
          <w:p>
            <w:pPr>
              <w:pStyle w:val="TableParagraph"/>
              <w:spacing w:line="289" w:lineRule="exact"/>
              <w:ind w:left="16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比重</w:t>
            </w:r>
            <w:r>
              <w:rPr>
                <w:rFonts w:ascii="Times New Roman" w:hAnsi="Times New Roman" w:cs="Times New Roman" w:eastAsia="Times New Roman" w:hint="default"/>
                <w:sz w:val="21"/>
                <w:szCs w:val="21"/>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7" w:right="0" w:hanging="53"/>
              <w:jc w:val="left"/>
              <w:rPr>
                <w:rFonts w:ascii="宋体" w:hAnsi="宋体" w:cs="宋体" w:eastAsia="宋体" w:hint="default"/>
                <w:sz w:val="21"/>
                <w:szCs w:val="21"/>
              </w:rPr>
            </w:pPr>
            <w:r>
              <w:rPr>
                <w:rFonts w:ascii="宋体" w:hAnsi="宋体" w:cs="宋体" w:eastAsia="宋体" w:hint="default"/>
                <w:sz w:val="21"/>
                <w:szCs w:val="21"/>
              </w:rPr>
              <w:t>占总资产</w:t>
            </w:r>
          </w:p>
          <w:p>
            <w:pPr>
              <w:pStyle w:val="TableParagraph"/>
              <w:spacing w:line="289" w:lineRule="exact"/>
              <w:ind w:left="16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比重</w:t>
            </w:r>
            <w:r>
              <w:rPr>
                <w:rFonts w:ascii="Times New Roman" w:hAnsi="Times New Roman" w:cs="Times New Roman" w:eastAsia="Times New Roman" w:hint="default"/>
                <w:sz w:val="21"/>
                <w:szCs w:val="21"/>
              </w:rPr>
              <w:t>(%)</w:t>
            </w:r>
          </w:p>
        </w:tc>
        <w:tc>
          <w:tcPr>
            <w:tcW w:w="1496" w:type="dxa"/>
            <w:vMerge/>
            <w:tcBorders>
              <w:left w:val="single" w:sz="4" w:space="0" w:color="000000"/>
              <w:bottom w:val="single" w:sz="4" w:space="0" w:color="000000"/>
              <w:right w:val="single" w:sz="4" w:space="0" w:color="000000"/>
            </w:tcBorders>
          </w:tcPr>
          <w:p>
            <w:pPr/>
          </w:p>
        </w:tc>
      </w:tr>
      <w:tr>
        <w:trPr>
          <w:trHeight w:val="306" w:hRule="exact"/>
        </w:trPr>
        <w:tc>
          <w:tcPr>
            <w:tcW w:w="57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21"/>
                <w:szCs w:val="21"/>
              </w:rPr>
            </w:pPr>
            <w:r>
              <w:rPr>
                <w:rFonts w:ascii="Times New Roman"/>
                <w:spacing w:val="-1"/>
                <w:sz w:val="21"/>
              </w:rPr>
              <w:t>2,831,794,510.76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21"/>
                <w:szCs w:val="21"/>
              </w:rPr>
            </w:pPr>
            <w:r>
              <w:rPr>
                <w:rFonts w:ascii="Times New Roman"/>
                <w:sz w:val="21"/>
              </w:rPr>
              <w:t>100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57"/>
              <w:jc w:val="right"/>
              <w:rPr>
                <w:rFonts w:ascii="Times New Roman" w:hAnsi="Times New Roman" w:cs="Times New Roman" w:eastAsia="Times New Roman" w:hint="default"/>
                <w:sz w:val="21"/>
                <w:szCs w:val="21"/>
              </w:rPr>
            </w:pPr>
            <w:r>
              <w:rPr>
                <w:rFonts w:ascii="Times New Roman"/>
                <w:spacing w:val="-1"/>
                <w:sz w:val="21"/>
              </w:rPr>
              <w:t>2,358,091,017.85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21"/>
                <w:szCs w:val="21"/>
              </w:rPr>
            </w:pPr>
            <w:r>
              <w:rPr>
                <w:rFonts w:ascii="Times New Roman"/>
                <w:sz w:val="21"/>
              </w:rPr>
              <w:t>100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21"/>
                <w:szCs w:val="21"/>
              </w:rPr>
            </w:pPr>
            <w:r>
              <w:rPr>
                <w:rFonts w:ascii="Times New Roman"/>
                <w:sz w:val="21"/>
              </w:rPr>
              <w:t>0</w:t>
            </w:r>
          </w:p>
        </w:tc>
      </w:tr>
      <w:tr>
        <w:trPr>
          <w:trHeight w:val="359"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1</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21"/>
                <w:szCs w:val="21"/>
              </w:rPr>
            </w:pPr>
            <w:r>
              <w:rPr>
                <w:rFonts w:ascii="Times New Roman"/>
                <w:spacing w:val="-1"/>
                <w:sz w:val="21"/>
              </w:rPr>
              <w:t>139,003,668.46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50"/>
              <w:jc w:val="right"/>
              <w:rPr>
                <w:rFonts w:ascii="Times New Roman" w:hAnsi="Times New Roman" w:cs="Times New Roman" w:eastAsia="Times New Roman" w:hint="default"/>
                <w:sz w:val="21"/>
                <w:szCs w:val="21"/>
              </w:rPr>
            </w:pPr>
            <w:r>
              <w:rPr>
                <w:rFonts w:ascii="Times New Roman"/>
                <w:spacing w:val="-1"/>
                <w:sz w:val="21"/>
              </w:rPr>
              <w:t>4.91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3"/>
              <w:jc w:val="right"/>
              <w:rPr>
                <w:rFonts w:ascii="Times New Roman" w:hAnsi="Times New Roman" w:cs="Times New Roman" w:eastAsia="Times New Roman" w:hint="default"/>
                <w:sz w:val="21"/>
                <w:szCs w:val="21"/>
              </w:rPr>
            </w:pPr>
            <w:r>
              <w:rPr>
                <w:rFonts w:ascii="Times New Roman"/>
                <w:spacing w:val="-1"/>
                <w:sz w:val="21"/>
              </w:rPr>
              <w:t>202,631,004.34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50"/>
              <w:jc w:val="right"/>
              <w:rPr>
                <w:rFonts w:ascii="Times New Roman" w:hAnsi="Times New Roman" w:cs="Times New Roman" w:eastAsia="Times New Roman" w:hint="default"/>
                <w:sz w:val="21"/>
                <w:szCs w:val="21"/>
              </w:rPr>
            </w:pPr>
            <w:r>
              <w:rPr>
                <w:rFonts w:ascii="Times New Roman"/>
                <w:spacing w:val="-1"/>
                <w:sz w:val="21"/>
              </w:rPr>
              <w:t>8.59</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-3.68</w:t>
            </w:r>
          </w:p>
        </w:tc>
      </w:tr>
      <w:tr>
        <w:trPr>
          <w:trHeight w:val="401"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1"/>
                <w:szCs w:val="21"/>
              </w:rPr>
            </w:pPr>
            <w:r>
              <w:rPr>
                <w:rFonts w:ascii="Times New Roman"/>
                <w:spacing w:val="-1"/>
                <w:sz w:val="21"/>
              </w:rPr>
              <w:t>1,262,504,190.39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96"/>
              <w:jc w:val="right"/>
              <w:rPr>
                <w:rFonts w:ascii="Times New Roman" w:hAnsi="Times New Roman" w:cs="Times New Roman" w:eastAsia="Times New Roman" w:hint="default"/>
                <w:sz w:val="21"/>
                <w:szCs w:val="21"/>
              </w:rPr>
            </w:pPr>
            <w:r>
              <w:rPr>
                <w:rFonts w:ascii="Times New Roman"/>
                <w:spacing w:val="-1"/>
                <w:sz w:val="21"/>
              </w:rPr>
              <w:t>44.58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34"/>
              <w:jc w:val="right"/>
              <w:rPr>
                <w:rFonts w:ascii="Times New Roman" w:hAnsi="Times New Roman" w:cs="Times New Roman" w:eastAsia="Times New Roman" w:hint="default"/>
                <w:sz w:val="21"/>
                <w:szCs w:val="21"/>
              </w:rPr>
            </w:pPr>
            <w:r>
              <w:rPr>
                <w:rFonts w:ascii="Times New Roman"/>
                <w:spacing w:val="-1"/>
                <w:sz w:val="21"/>
              </w:rPr>
              <w:t>943,483,500.96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96"/>
              <w:jc w:val="right"/>
              <w:rPr>
                <w:rFonts w:ascii="Times New Roman" w:hAnsi="Times New Roman" w:cs="Times New Roman" w:eastAsia="Times New Roman" w:hint="default"/>
                <w:sz w:val="21"/>
                <w:szCs w:val="21"/>
              </w:rPr>
            </w:pPr>
            <w:r>
              <w:rPr>
                <w:rFonts w:ascii="Times New Roman"/>
                <w:spacing w:val="-1"/>
                <w:sz w:val="21"/>
              </w:rPr>
              <w:t>40.01</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4.57</w:t>
            </w:r>
          </w:p>
        </w:tc>
      </w:tr>
      <w:tr>
        <w:trPr>
          <w:trHeight w:val="404"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投资性房地产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21"/>
                <w:szCs w:val="21"/>
              </w:rPr>
            </w:pPr>
            <w:r>
              <w:rPr>
                <w:rFonts w:ascii="Times New Roman"/>
                <w:spacing w:val="-1"/>
                <w:sz w:val="21"/>
              </w:rPr>
              <w:t>547,144,405.47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96"/>
              <w:jc w:val="right"/>
              <w:rPr>
                <w:rFonts w:ascii="Times New Roman" w:hAnsi="Times New Roman" w:cs="Times New Roman" w:eastAsia="Times New Roman" w:hint="default"/>
                <w:sz w:val="21"/>
                <w:szCs w:val="21"/>
              </w:rPr>
            </w:pPr>
            <w:r>
              <w:rPr>
                <w:rFonts w:ascii="Times New Roman"/>
                <w:spacing w:val="-1"/>
                <w:sz w:val="21"/>
              </w:rPr>
              <w:t>19.32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3"/>
              <w:jc w:val="right"/>
              <w:rPr>
                <w:rFonts w:ascii="Times New Roman" w:hAnsi="Times New Roman" w:cs="Times New Roman" w:eastAsia="Times New Roman" w:hint="default"/>
                <w:sz w:val="21"/>
                <w:szCs w:val="21"/>
              </w:rPr>
            </w:pPr>
            <w:r>
              <w:rPr>
                <w:rFonts w:ascii="Times New Roman"/>
                <w:spacing w:val="-1"/>
                <w:sz w:val="21"/>
              </w:rPr>
              <w:t>441,355,702.25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97"/>
              <w:jc w:val="right"/>
              <w:rPr>
                <w:rFonts w:ascii="Times New Roman" w:hAnsi="Times New Roman" w:cs="Times New Roman" w:eastAsia="Times New Roman" w:hint="default"/>
                <w:sz w:val="21"/>
                <w:szCs w:val="21"/>
              </w:rPr>
            </w:pPr>
            <w:r>
              <w:rPr>
                <w:rFonts w:ascii="Times New Roman"/>
                <w:spacing w:val="-1"/>
                <w:sz w:val="21"/>
              </w:rPr>
              <w:t>18.72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0.6</w:t>
            </w:r>
          </w:p>
        </w:tc>
      </w:tr>
      <w:tr>
        <w:trPr>
          <w:trHeight w:val="283"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203,275,804.86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50"/>
              <w:jc w:val="right"/>
              <w:rPr>
                <w:rFonts w:ascii="Times New Roman" w:hAnsi="Times New Roman" w:cs="Times New Roman" w:eastAsia="Times New Roman" w:hint="default"/>
                <w:sz w:val="21"/>
                <w:szCs w:val="21"/>
              </w:rPr>
            </w:pPr>
            <w:r>
              <w:rPr>
                <w:rFonts w:ascii="Times New Roman"/>
                <w:spacing w:val="-1"/>
                <w:sz w:val="21"/>
              </w:rPr>
              <w:t>7.18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33"/>
              <w:jc w:val="right"/>
              <w:rPr>
                <w:rFonts w:ascii="Times New Roman" w:hAnsi="Times New Roman" w:cs="Times New Roman" w:eastAsia="Times New Roman" w:hint="default"/>
                <w:sz w:val="21"/>
                <w:szCs w:val="21"/>
              </w:rPr>
            </w:pPr>
            <w:r>
              <w:rPr>
                <w:rFonts w:ascii="Times New Roman"/>
                <w:spacing w:val="-1"/>
                <w:sz w:val="21"/>
              </w:rPr>
              <w:t>233,722,763.29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50"/>
              <w:jc w:val="right"/>
              <w:rPr>
                <w:rFonts w:ascii="Times New Roman" w:hAnsi="Times New Roman" w:cs="Times New Roman" w:eastAsia="Times New Roman" w:hint="default"/>
                <w:sz w:val="21"/>
                <w:szCs w:val="21"/>
              </w:rPr>
            </w:pPr>
            <w:r>
              <w:rPr>
                <w:rFonts w:ascii="Times New Roman"/>
                <w:spacing w:val="-1"/>
                <w:sz w:val="21"/>
              </w:rPr>
              <w:t>9.91</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-2.73</w:t>
            </w:r>
          </w:p>
        </w:tc>
      </w:tr>
      <w:tr>
        <w:trPr>
          <w:trHeight w:val="282"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5</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156,749,313.32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50"/>
              <w:jc w:val="right"/>
              <w:rPr>
                <w:rFonts w:ascii="Times New Roman" w:hAnsi="Times New Roman" w:cs="Times New Roman" w:eastAsia="Times New Roman" w:hint="default"/>
                <w:sz w:val="21"/>
                <w:szCs w:val="21"/>
              </w:rPr>
            </w:pPr>
            <w:r>
              <w:rPr>
                <w:rFonts w:ascii="Times New Roman"/>
                <w:spacing w:val="-1"/>
                <w:sz w:val="21"/>
              </w:rPr>
              <w:t>5.54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33"/>
              <w:jc w:val="right"/>
              <w:rPr>
                <w:rFonts w:ascii="Times New Roman" w:hAnsi="Times New Roman" w:cs="Times New Roman" w:eastAsia="Times New Roman" w:hint="default"/>
                <w:sz w:val="21"/>
                <w:szCs w:val="21"/>
              </w:rPr>
            </w:pPr>
            <w:r>
              <w:rPr>
                <w:rFonts w:ascii="Times New Roman"/>
                <w:spacing w:val="-1"/>
                <w:sz w:val="21"/>
              </w:rPr>
              <w:t>178,848,671.97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50"/>
              <w:jc w:val="right"/>
              <w:rPr>
                <w:rFonts w:ascii="Times New Roman" w:hAnsi="Times New Roman" w:cs="Times New Roman" w:eastAsia="Times New Roman" w:hint="default"/>
                <w:sz w:val="21"/>
                <w:szCs w:val="21"/>
              </w:rPr>
            </w:pPr>
            <w:r>
              <w:rPr>
                <w:rFonts w:ascii="Times New Roman"/>
                <w:spacing w:val="-1"/>
                <w:sz w:val="21"/>
              </w:rPr>
              <w:t>7.58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-2.04</w:t>
            </w:r>
          </w:p>
        </w:tc>
      </w:tr>
      <w:tr>
        <w:trPr>
          <w:trHeight w:val="344"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6</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短期借款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21"/>
                <w:szCs w:val="21"/>
              </w:rPr>
            </w:pPr>
            <w:r>
              <w:rPr>
                <w:rFonts w:ascii="Times New Roman"/>
                <w:spacing w:val="-1"/>
                <w:sz w:val="21"/>
              </w:rPr>
              <w:t>354,400,000.00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97"/>
              <w:jc w:val="right"/>
              <w:rPr>
                <w:rFonts w:ascii="Times New Roman" w:hAnsi="Times New Roman" w:cs="Times New Roman" w:eastAsia="Times New Roman" w:hint="default"/>
                <w:sz w:val="21"/>
                <w:szCs w:val="21"/>
              </w:rPr>
            </w:pPr>
            <w:r>
              <w:rPr>
                <w:rFonts w:ascii="Times New Roman"/>
                <w:spacing w:val="-1"/>
                <w:sz w:val="21"/>
              </w:rPr>
              <w:t>12.52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33"/>
              <w:jc w:val="right"/>
              <w:rPr>
                <w:rFonts w:ascii="Times New Roman" w:hAnsi="Times New Roman" w:cs="Times New Roman" w:eastAsia="Times New Roman" w:hint="default"/>
                <w:sz w:val="21"/>
                <w:szCs w:val="21"/>
              </w:rPr>
            </w:pPr>
            <w:r>
              <w:rPr>
                <w:rFonts w:ascii="Times New Roman"/>
                <w:spacing w:val="-1"/>
                <w:sz w:val="21"/>
              </w:rPr>
              <w:t>363,709,950.00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97"/>
              <w:jc w:val="right"/>
              <w:rPr>
                <w:rFonts w:ascii="Times New Roman" w:hAnsi="Times New Roman" w:cs="Times New Roman" w:eastAsia="Times New Roman" w:hint="default"/>
                <w:sz w:val="21"/>
                <w:szCs w:val="21"/>
              </w:rPr>
            </w:pPr>
            <w:r>
              <w:rPr>
                <w:rFonts w:ascii="Times New Roman"/>
                <w:spacing w:val="-1"/>
                <w:sz w:val="21"/>
              </w:rPr>
              <w:t>15.42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-2.9</w:t>
            </w:r>
          </w:p>
        </w:tc>
      </w:tr>
      <w:tr>
        <w:trPr>
          <w:trHeight w:val="299"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sz w:val="21"/>
              </w:rPr>
              <w:t>7</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预收款项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1"/>
                <w:szCs w:val="21"/>
              </w:rPr>
            </w:pPr>
            <w:r>
              <w:rPr>
                <w:rFonts w:ascii="Times New Roman"/>
                <w:spacing w:val="-1"/>
                <w:sz w:val="21"/>
              </w:rPr>
              <w:t>696,791,760.97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96"/>
              <w:jc w:val="right"/>
              <w:rPr>
                <w:rFonts w:ascii="Times New Roman" w:hAnsi="Times New Roman" w:cs="Times New Roman" w:eastAsia="Times New Roman" w:hint="default"/>
                <w:sz w:val="21"/>
                <w:szCs w:val="21"/>
              </w:rPr>
            </w:pPr>
            <w:r>
              <w:rPr>
                <w:rFonts w:ascii="Times New Roman"/>
                <w:spacing w:val="-1"/>
                <w:sz w:val="21"/>
              </w:rPr>
              <w:t>24.61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4"/>
              <w:jc w:val="right"/>
              <w:rPr>
                <w:rFonts w:ascii="Times New Roman" w:hAnsi="Times New Roman" w:cs="Times New Roman" w:eastAsia="Times New Roman" w:hint="default"/>
                <w:sz w:val="21"/>
                <w:szCs w:val="21"/>
              </w:rPr>
            </w:pPr>
            <w:r>
              <w:rPr>
                <w:rFonts w:ascii="Times New Roman"/>
                <w:spacing w:val="-1"/>
                <w:sz w:val="21"/>
              </w:rPr>
              <w:t>30,046,145.69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49"/>
              <w:jc w:val="right"/>
              <w:rPr>
                <w:rFonts w:ascii="Times New Roman" w:hAnsi="Times New Roman" w:cs="Times New Roman" w:eastAsia="Times New Roman" w:hint="default"/>
                <w:sz w:val="21"/>
                <w:szCs w:val="21"/>
              </w:rPr>
            </w:pPr>
            <w:r>
              <w:rPr>
                <w:rFonts w:ascii="Times New Roman"/>
                <w:spacing w:val="-1"/>
                <w:sz w:val="21"/>
              </w:rPr>
              <w:t>1.27</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Times New Roman" w:hAnsi="Times New Roman" w:cs="Times New Roman" w:eastAsia="Times New Roman" w:hint="default"/>
                <w:sz w:val="21"/>
                <w:szCs w:val="21"/>
              </w:rPr>
            </w:pPr>
            <w:r>
              <w:rPr>
                <w:rFonts w:ascii="Times New Roman"/>
                <w:sz w:val="21"/>
              </w:rPr>
              <w:t>23.34</w:t>
            </w:r>
          </w:p>
        </w:tc>
      </w:tr>
      <w:tr>
        <w:trPr>
          <w:trHeight w:val="282"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8</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164,863,098.76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50"/>
              <w:jc w:val="right"/>
              <w:rPr>
                <w:rFonts w:ascii="Times New Roman" w:hAnsi="Times New Roman" w:cs="Times New Roman" w:eastAsia="Times New Roman" w:hint="default"/>
                <w:sz w:val="21"/>
                <w:szCs w:val="21"/>
              </w:rPr>
            </w:pPr>
            <w:r>
              <w:rPr>
                <w:rFonts w:ascii="Times New Roman"/>
                <w:spacing w:val="-1"/>
                <w:sz w:val="21"/>
              </w:rPr>
              <w:t>5.82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33"/>
              <w:jc w:val="right"/>
              <w:rPr>
                <w:rFonts w:ascii="Times New Roman" w:hAnsi="Times New Roman" w:cs="Times New Roman" w:eastAsia="Times New Roman" w:hint="default"/>
                <w:sz w:val="21"/>
                <w:szCs w:val="21"/>
              </w:rPr>
            </w:pPr>
            <w:r>
              <w:rPr>
                <w:rFonts w:ascii="Times New Roman"/>
                <w:spacing w:val="-1"/>
                <w:sz w:val="21"/>
              </w:rPr>
              <w:t>359,357,329.71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97"/>
              <w:jc w:val="right"/>
              <w:rPr>
                <w:rFonts w:ascii="Times New Roman" w:hAnsi="Times New Roman" w:cs="Times New Roman" w:eastAsia="Times New Roman" w:hint="default"/>
                <w:sz w:val="21"/>
                <w:szCs w:val="21"/>
              </w:rPr>
            </w:pPr>
            <w:r>
              <w:rPr>
                <w:rFonts w:ascii="Times New Roman"/>
                <w:spacing w:val="-1"/>
                <w:sz w:val="21"/>
              </w:rPr>
              <w:t>15.24</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-9.42</w:t>
            </w:r>
          </w:p>
        </w:tc>
      </w:tr>
    </w:tbl>
    <w:p>
      <w:pPr>
        <w:spacing w:before="136"/>
        <w:ind w:left="591" w:right="0" w:firstLine="0"/>
        <w:jc w:val="left"/>
        <w:rPr>
          <w:rFonts w:ascii="宋体" w:hAnsi="宋体" w:cs="宋体" w:eastAsia="宋体" w:hint="default"/>
          <w:sz w:val="18"/>
          <w:szCs w:val="18"/>
        </w:rPr>
      </w:pPr>
      <w:r>
        <w:rPr>
          <w:rFonts w:ascii="宋体" w:hAnsi="宋体" w:cs="宋体" w:eastAsia="宋体" w:hint="default"/>
          <w:sz w:val="18"/>
          <w:szCs w:val="18"/>
        </w:rPr>
        <w:t>变动原因：</w:t>
      </w:r>
    </w:p>
    <w:p>
      <w:pPr>
        <w:spacing w:line="240" w:lineRule="auto" w:before="7"/>
        <w:rPr>
          <w:rFonts w:ascii="宋体" w:hAnsi="宋体" w:cs="宋体" w:eastAsia="宋体" w:hint="default"/>
          <w:sz w:val="12"/>
          <w:szCs w:val="12"/>
        </w:rPr>
      </w:pPr>
    </w:p>
    <w:p>
      <w:pPr>
        <w:spacing w:line="386" w:lineRule="auto" w:before="0"/>
        <w:ind w:left="230" w:right="0" w:firstLine="361"/>
        <w:jc w:val="left"/>
        <w:rPr>
          <w:rFonts w:ascii="宋体" w:hAnsi="宋体" w:cs="宋体" w:eastAsia="宋体" w:hint="default"/>
          <w:sz w:val="18"/>
          <w:szCs w:val="18"/>
        </w:rPr>
      </w:pPr>
      <w:r>
        <w:rPr>
          <w:rFonts w:ascii="Arial" w:hAnsi="Arial" w:cs="Arial" w:eastAsia="Arial" w:hint="default"/>
          <w:sz w:val="18"/>
          <w:szCs w:val="18"/>
        </w:rPr>
        <w:t>1 .</w:t>
      </w:r>
      <w:r>
        <w:rPr>
          <w:rFonts w:ascii="Arial" w:hAnsi="Arial" w:cs="Arial" w:eastAsia="Arial" w:hint="default"/>
          <w:spacing w:val="19"/>
          <w:sz w:val="18"/>
          <w:szCs w:val="18"/>
        </w:rPr>
        <w:t> </w:t>
      </w:r>
      <w:r>
        <w:rPr>
          <w:rFonts w:ascii="宋体" w:hAnsi="宋体" w:cs="宋体" w:eastAsia="宋体" w:hint="default"/>
          <w:sz w:val="18"/>
          <w:szCs w:val="18"/>
        </w:rPr>
        <w:t>其他应收款同比减少的主要原因是：本年度收回龙岗“鸿基花园三期”合作项目固定收益尾款，及富 迪康贸易公司等公司还款所致。</w:t>
      </w:r>
    </w:p>
    <w:p>
      <w:pPr>
        <w:spacing w:before="54"/>
        <w:ind w:left="591" w:right="0" w:firstLine="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、存货同比增加的主要原因是：本年度开发西安“鸿基新城”经济适用房项目，鸿基·紫韵项目所致。</w:t>
      </w:r>
    </w:p>
    <w:p>
      <w:pPr>
        <w:spacing w:before="151"/>
        <w:ind w:left="591" w:right="0" w:firstLine="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、投资性房地产同比增加的主要原因是：本年度资产置换入的房地产资产入账所致。</w:t>
      </w:r>
    </w:p>
    <w:p>
      <w:pPr>
        <w:spacing w:before="152"/>
        <w:ind w:left="591" w:right="0" w:firstLine="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、固定资产同比减少的主要原因是：本年度转让子公司，期末不再合并报表所致。</w:t>
      </w:r>
    </w:p>
    <w:p>
      <w:pPr>
        <w:spacing w:before="151"/>
        <w:ind w:left="591" w:right="0" w:firstLine="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、无形资产同比减少的主要原因是：本年度转让子公司，期末不再合并报表所致。</w:t>
      </w:r>
    </w:p>
    <w:p>
      <w:pPr>
        <w:spacing w:before="151"/>
        <w:ind w:left="591" w:right="0" w:firstLine="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、短期借款同比减少的主要原因是：公司归还银行短期借款所致。</w:t>
      </w:r>
    </w:p>
    <w:p>
      <w:pPr>
        <w:spacing w:before="152"/>
        <w:ind w:left="592" w:right="0" w:firstLine="0"/>
        <w:jc w:val="left"/>
        <w:rPr>
          <w:rFonts w:ascii="宋体" w:hAnsi="宋体" w:cs="宋体" w:eastAsia="宋体" w:hint="default"/>
          <w:sz w:val="18"/>
          <w:szCs w:val="18"/>
        </w:rPr>
      </w:pPr>
      <w:r>
        <w:rPr>
          <w:rFonts w:ascii="Arial" w:hAnsi="Arial" w:cs="Arial" w:eastAsia="Arial" w:hint="default"/>
          <w:sz w:val="18"/>
          <w:szCs w:val="18"/>
        </w:rPr>
        <w:t>7</w:t>
      </w:r>
      <w:r>
        <w:rPr>
          <w:rFonts w:ascii="宋体" w:hAnsi="宋体" w:cs="宋体" w:eastAsia="宋体" w:hint="default"/>
          <w:sz w:val="18"/>
          <w:szCs w:val="18"/>
        </w:rPr>
        <w:t>、预收款项同比增加的主要原因是：本年度公司房地产项目对外销售，售楼款增加所致。</w:t>
      </w:r>
    </w:p>
    <w:p>
      <w:pPr>
        <w:spacing w:before="151"/>
        <w:ind w:left="592" w:right="0" w:firstLine="0"/>
        <w:jc w:val="left"/>
        <w:rPr>
          <w:rFonts w:ascii="宋体" w:hAnsi="宋体" w:cs="宋体" w:eastAsia="宋体" w:hint="default"/>
          <w:sz w:val="18"/>
          <w:szCs w:val="18"/>
        </w:rPr>
      </w:pPr>
      <w:r>
        <w:rPr>
          <w:rFonts w:ascii="Arial" w:hAnsi="Arial" w:cs="Arial" w:eastAsia="Arial" w:hint="default"/>
          <w:sz w:val="18"/>
          <w:szCs w:val="18"/>
        </w:rPr>
        <w:t>8</w:t>
      </w:r>
      <w:r>
        <w:rPr>
          <w:rFonts w:ascii="宋体" w:hAnsi="宋体" w:cs="宋体" w:eastAsia="宋体" w:hint="default"/>
          <w:sz w:val="18"/>
          <w:szCs w:val="18"/>
        </w:rPr>
        <w:t>、其他应付款同比减少的主要原因是：本年度公司支付城市策略、中天建设集团等公司往来款所致。</w:t>
      </w:r>
    </w:p>
    <w:p>
      <w:pPr>
        <w:spacing w:line="240" w:lineRule="auto" w:before="0"/>
        <w:rPr>
          <w:rFonts w:ascii="宋体" w:hAnsi="宋体" w:cs="宋体" w:eastAsia="宋体" w:hint="default"/>
          <w:sz w:val="18"/>
          <w:szCs w:val="18"/>
        </w:rPr>
      </w:pPr>
    </w:p>
    <w:p>
      <w:pPr>
        <w:pStyle w:val="BodyText"/>
        <w:tabs>
          <w:tab w:pos="6404" w:val="left" w:leader="none"/>
        </w:tabs>
        <w:spacing w:line="240" w:lineRule="auto" w:before="144"/>
        <w:ind w:left="0" w:right="1245"/>
        <w:jc w:val="center"/>
        <w:rPr>
          <w:rFonts w:ascii="黑体" w:hAnsi="黑体" w:cs="黑体" w:eastAsia="黑体" w:hint="default"/>
        </w:rPr>
      </w:pPr>
      <w:r>
        <w:rPr>
          <w:rFonts w:ascii="黑体" w:hAnsi="黑体" w:cs="黑体" w:eastAsia="黑体" w:hint="default"/>
        </w:rPr>
        <w:t>（四）报告期内公司利润构成等财务数据变动情况</w:t>
        <w:tab/>
        <w:t>（单位：元）</w:t>
      </w:r>
    </w:p>
    <w:p>
      <w:pPr>
        <w:spacing w:line="240" w:lineRule="auto" w:before="12"/>
        <w:rPr>
          <w:rFonts w:ascii="黑体" w:hAnsi="黑体" w:cs="黑体" w:eastAsia="黑体" w:hint="default"/>
          <w:sz w:val="20"/>
          <w:szCs w:val="20"/>
        </w:rPr>
      </w:pPr>
    </w:p>
    <w:tbl>
      <w:tblPr>
        <w:tblW w:w="0" w:type="auto"/>
        <w:jc w:val="left"/>
        <w:tblInd w:w="405" w:type="dxa"/>
        <w:tblLayout w:type="fixed"/>
        <w:tblCellMar>
          <w:top w:w="0" w:type="dxa"/>
          <w:left w:w="0" w:type="dxa"/>
          <w:bottom w:w="0" w:type="dxa"/>
          <w:right w:w="0" w:type="dxa"/>
        </w:tblCellMar>
        <w:tblLook w:val="01E0"/>
      </w:tblPr>
      <w:tblGrid>
        <w:gridCol w:w="360"/>
        <w:gridCol w:w="1800"/>
        <w:gridCol w:w="1940"/>
        <w:gridCol w:w="2161"/>
        <w:gridCol w:w="1440"/>
      </w:tblGrid>
      <w:tr>
        <w:trPr>
          <w:trHeight w:val="470" w:hRule="exact"/>
        </w:trPr>
        <w:tc>
          <w:tcPr>
            <w:tcW w:w="36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项 目</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变动幅度</w:t>
            </w:r>
          </w:p>
        </w:tc>
      </w:tr>
      <w:tr>
        <w:trPr>
          <w:trHeight w:val="370"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465,745,745.11</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8" w:right="0"/>
              <w:jc w:val="left"/>
              <w:rPr>
                <w:rFonts w:ascii="Times New Roman" w:hAnsi="Times New Roman" w:cs="Times New Roman" w:eastAsia="Times New Roman" w:hint="default"/>
                <w:sz w:val="21"/>
                <w:szCs w:val="21"/>
              </w:rPr>
            </w:pPr>
            <w:r>
              <w:rPr>
                <w:rFonts w:ascii="Times New Roman"/>
                <w:sz w:val="21"/>
              </w:rPr>
              <w:t>199,440,608.42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133.52%</w:t>
            </w:r>
          </w:p>
        </w:tc>
      </w:tr>
      <w:tr>
        <w:trPr>
          <w:trHeight w:val="385"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营业税金及附加</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66,794,985.48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1" w:right="0"/>
              <w:jc w:val="left"/>
              <w:rPr>
                <w:rFonts w:ascii="Times New Roman" w:hAnsi="Times New Roman" w:cs="Times New Roman" w:eastAsia="Times New Roman" w:hint="default"/>
                <w:sz w:val="21"/>
                <w:szCs w:val="21"/>
              </w:rPr>
            </w:pPr>
            <w:r>
              <w:rPr>
                <w:rFonts w:ascii="Times New Roman"/>
                <w:sz w:val="21"/>
              </w:rPr>
              <w:t>21,592,951.56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209.34%</w:t>
            </w:r>
          </w:p>
        </w:tc>
      </w:tr>
      <w:tr>
        <w:trPr>
          <w:trHeight w:val="370"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41,620,288.44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1" w:right="0"/>
              <w:jc w:val="left"/>
              <w:rPr>
                <w:rFonts w:ascii="Times New Roman" w:hAnsi="Times New Roman" w:cs="Times New Roman" w:eastAsia="Times New Roman" w:hint="default"/>
                <w:sz w:val="21"/>
                <w:szCs w:val="21"/>
              </w:rPr>
            </w:pPr>
            <w:r>
              <w:rPr>
                <w:rFonts w:ascii="Times New Roman"/>
                <w:sz w:val="21"/>
              </w:rPr>
              <w:t>22,699,365.87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21"/>
                <w:szCs w:val="21"/>
              </w:rPr>
            </w:pPr>
            <w:r>
              <w:rPr>
                <w:rFonts w:ascii="Times New Roman"/>
                <w:sz w:val="21"/>
              </w:rPr>
              <w:t>83.35%</w:t>
            </w:r>
          </w:p>
        </w:tc>
      </w:tr>
      <w:tr>
        <w:trPr>
          <w:trHeight w:val="376" w:hRule="exact"/>
        </w:trPr>
        <w:tc>
          <w:tcPr>
            <w:tcW w:w="3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4</w:t>
            </w:r>
          </w:p>
        </w:tc>
        <w:tc>
          <w:tcPr>
            <w:tcW w:w="1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资产减值损失</w:t>
            </w:r>
          </w:p>
        </w:tc>
        <w:tc>
          <w:tcPr>
            <w:tcW w:w="19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-42,962,306.42</w:t>
            </w:r>
          </w:p>
        </w:tc>
        <w:tc>
          <w:tcPr>
            <w:tcW w:w="21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472" w:right="0"/>
              <w:jc w:val="left"/>
              <w:rPr>
                <w:rFonts w:ascii="Times New Roman" w:hAnsi="Times New Roman" w:cs="Times New Roman" w:eastAsia="Times New Roman" w:hint="default"/>
                <w:sz w:val="21"/>
                <w:szCs w:val="21"/>
              </w:rPr>
            </w:pPr>
            <w:r>
              <w:rPr>
                <w:rFonts w:ascii="Times New Roman"/>
                <w:sz w:val="21"/>
              </w:rPr>
              <w:t>42,454,947.10</w:t>
            </w: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-201.20%</w:t>
            </w:r>
          </w:p>
        </w:tc>
      </w:tr>
    </w:tbl>
    <w:p>
      <w:pPr>
        <w:spacing w:after="0" w:line="240" w:lineRule="auto"/>
        <w:jc w:val="center"/>
        <w:rPr>
          <w:rFonts w:ascii="Times New Roman" w:hAnsi="Times New Roman" w:cs="Times New Roman" w:eastAsia="Times New Roman" w:hint="default"/>
          <w:sz w:val="21"/>
          <w:szCs w:val="21"/>
        </w:rPr>
        <w:sectPr>
          <w:pgSz w:w="11900" w:h="16840"/>
          <w:pgMar w:header="0" w:footer="939" w:top="1500" w:bottom="1120" w:left="1640" w:right="680"/>
        </w:sectPr>
      </w:pPr>
    </w:p>
    <w:p>
      <w:pPr>
        <w:spacing w:line="240" w:lineRule="auto" w:before="1"/>
        <w:rPr>
          <w:rFonts w:ascii="黑体" w:hAnsi="黑体" w:cs="黑体" w:eastAsia="黑体" w:hint="default"/>
          <w:sz w:val="6"/>
          <w:szCs w:val="6"/>
        </w:rPr>
      </w:pPr>
    </w:p>
    <w:tbl>
      <w:tblPr>
        <w:tblW w:w="0" w:type="auto"/>
        <w:jc w:val="left"/>
        <w:tblInd w:w="825" w:type="dxa"/>
        <w:tblLayout w:type="fixed"/>
        <w:tblCellMar>
          <w:top w:w="0" w:type="dxa"/>
          <w:left w:w="0" w:type="dxa"/>
          <w:bottom w:w="0" w:type="dxa"/>
          <w:right w:w="0" w:type="dxa"/>
        </w:tblCellMar>
        <w:tblLook w:val="01E0"/>
      </w:tblPr>
      <w:tblGrid>
        <w:gridCol w:w="360"/>
        <w:gridCol w:w="1800"/>
        <w:gridCol w:w="1940"/>
        <w:gridCol w:w="2161"/>
        <w:gridCol w:w="1440"/>
      </w:tblGrid>
      <w:tr>
        <w:trPr>
          <w:trHeight w:val="370"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投资收益</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1" w:right="0"/>
              <w:jc w:val="left"/>
              <w:rPr>
                <w:rFonts w:ascii="Times New Roman" w:hAnsi="Times New Roman" w:cs="Times New Roman" w:eastAsia="Times New Roman" w:hint="default"/>
                <w:sz w:val="21"/>
                <w:szCs w:val="21"/>
              </w:rPr>
            </w:pPr>
            <w:r>
              <w:rPr>
                <w:rFonts w:ascii="Times New Roman"/>
                <w:sz w:val="21"/>
              </w:rPr>
              <w:t>70,070,321.90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6" w:right="0"/>
              <w:jc w:val="left"/>
              <w:rPr>
                <w:rFonts w:ascii="Times New Roman" w:hAnsi="Times New Roman" w:cs="Times New Roman" w:eastAsia="Times New Roman" w:hint="default"/>
                <w:sz w:val="21"/>
                <w:szCs w:val="21"/>
              </w:rPr>
            </w:pPr>
            <w:r>
              <w:rPr>
                <w:rFonts w:ascii="Times New Roman"/>
                <w:sz w:val="21"/>
              </w:rPr>
              <w:t>-12,457,547.74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662.47%</w:t>
            </w:r>
          </w:p>
        </w:tc>
      </w:tr>
      <w:tr>
        <w:trPr>
          <w:trHeight w:val="371"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所得税</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1" w:right="0"/>
              <w:jc w:val="left"/>
              <w:rPr>
                <w:rFonts w:ascii="Times New Roman" w:hAnsi="Times New Roman" w:cs="Times New Roman" w:eastAsia="Times New Roman" w:hint="default"/>
                <w:sz w:val="21"/>
                <w:szCs w:val="21"/>
              </w:rPr>
            </w:pPr>
            <w:r>
              <w:rPr>
                <w:rFonts w:ascii="Times New Roman"/>
                <w:sz w:val="21"/>
              </w:rPr>
              <w:t>16,625,625.63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6" w:right="0"/>
              <w:jc w:val="left"/>
              <w:rPr>
                <w:rFonts w:ascii="Times New Roman" w:hAnsi="Times New Roman" w:cs="Times New Roman" w:eastAsia="Times New Roman" w:hint="default"/>
                <w:sz w:val="21"/>
                <w:szCs w:val="21"/>
              </w:rPr>
            </w:pPr>
            <w:r>
              <w:rPr>
                <w:rFonts w:ascii="Times New Roman"/>
                <w:sz w:val="21"/>
              </w:rPr>
              <w:t>-26,346,486.89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163.10%</w:t>
            </w:r>
          </w:p>
        </w:tc>
      </w:tr>
    </w:tbl>
    <w:p>
      <w:pPr>
        <w:spacing w:line="240" w:lineRule="auto" w:before="0"/>
        <w:rPr>
          <w:rFonts w:ascii="黑体" w:hAnsi="黑体" w:cs="黑体" w:eastAsia="黑体" w:hint="default"/>
          <w:sz w:val="5"/>
          <w:szCs w:val="5"/>
        </w:rPr>
      </w:pPr>
    </w:p>
    <w:p>
      <w:pPr>
        <w:spacing w:before="44"/>
        <w:ind w:left="919" w:right="359" w:firstLine="0"/>
        <w:jc w:val="left"/>
        <w:rPr>
          <w:rFonts w:ascii="宋体" w:hAnsi="宋体" w:cs="宋体" w:eastAsia="宋体" w:hint="default"/>
          <w:sz w:val="18"/>
          <w:szCs w:val="18"/>
        </w:rPr>
      </w:pPr>
      <w:r>
        <w:rPr>
          <w:rFonts w:ascii="宋体" w:hAnsi="宋体" w:cs="宋体" w:eastAsia="宋体" w:hint="default"/>
          <w:sz w:val="18"/>
          <w:szCs w:val="18"/>
        </w:rPr>
        <w:t>变动原因：</w:t>
      </w:r>
    </w:p>
    <w:p>
      <w:pPr>
        <w:spacing w:line="240" w:lineRule="auto" w:before="7"/>
        <w:rPr>
          <w:rFonts w:ascii="宋体" w:hAnsi="宋体" w:cs="宋体" w:eastAsia="宋体" w:hint="default"/>
          <w:sz w:val="12"/>
          <w:szCs w:val="12"/>
        </w:rPr>
      </w:pPr>
    </w:p>
    <w:p>
      <w:pPr>
        <w:spacing w:line="386" w:lineRule="auto" w:before="0"/>
        <w:ind w:left="650" w:right="359" w:firstLine="36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、营业成本、营业税金及附加、所得税增加的主要原因是：本年度结转草埔鸿基花园二期“鸿翠苑”项 目销售成本、税金所致。</w:t>
      </w:r>
    </w:p>
    <w:p>
      <w:pPr>
        <w:spacing w:before="54"/>
        <w:ind w:left="1010" w:right="359" w:firstLine="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、销售费用增加的主要原因是：本年度公司房地产项目对外销售，费用相应增加所致。</w:t>
      </w:r>
    </w:p>
    <w:p>
      <w:pPr>
        <w:spacing w:before="151"/>
        <w:ind w:left="1010" w:right="359" w:firstLine="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、资产减值损失减少的主要原因是：本年度坏账损失冲回较上年增加所致。</w:t>
      </w:r>
    </w:p>
    <w:p>
      <w:pPr>
        <w:spacing w:before="152"/>
        <w:ind w:left="1010" w:right="359" w:firstLine="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、投资收益增加的主要原因是：本年度出售无限售条件流通股及转让子公司股权所致。</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BodyText"/>
        <w:tabs>
          <w:tab w:pos="8144" w:val="left" w:leader="none"/>
        </w:tabs>
        <w:spacing w:line="240" w:lineRule="auto"/>
        <w:ind w:left="650" w:right="359"/>
        <w:jc w:val="left"/>
        <w:rPr>
          <w:rFonts w:ascii="黑体" w:hAnsi="黑体" w:cs="黑体" w:eastAsia="黑体" w:hint="default"/>
        </w:rPr>
      </w:pPr>
      <w:r>
        <w:rPr>
          <w:rFonts w:ascii="黑体" w:hAnsi="黑体" w:cs="黑体" w:eastAsia="黑体" w:hint="default"/>
          <w:spacing w:val="-2"/>
        </w:rPr>
        <w:t>（五）报告期内公司现金流量变动情况</w:t>
        <w:tab/>
      </w:r>
      <w:r>
        <w:rPr>
          <w:rFonts w:ascii="黑体" w:hAnsi="黑体" w:cs="黑体" w:eastAsia="黑体" w:hint="default"/>
          <w:spacing w:val="-6"/>
        </w:rPr>
        <w:t>（单位：元）</w:t>
      </w:r>
    </w:p>
    <w:p>
      <w:pPr>
        <w:spacing w:line="240" w:lineRule="auto" w:before="7"/>
        <w:rPr>
          <w:rFonts w:ascii="黑体" w:hAnsi="黑体" w:cs="黑体" w:eastAsia="黑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196"/>
        <w:gridCol w:w="2003"/>
        <w:gridCol w:w="911"/>
        <w:gridCol w:w="1789"/>
        <w:gridCol w:w="911"/>
        <w:gridCol w:w="866"/>
      </w:tblGrid>
      <w:tr>
        <w:trPr>
          <w:trHeight w:val="731" w:hRule="exact"/>
        </w:trPr>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项 目</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结构比</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8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35" w:right="0"/>
              <w:jc w:val="left"/>
              <w:rPr>
                <w:rFonts w:ascii="宋体" w:hAnsi="宋体" w:cs="宋体" w:eastAsia="宋体" w:hint="default"/>
                <w:sz w:val="21"/>
                <w:szCs w:val="21"/>
              </w:rPr>
            </w:pPr>
            <w:r>
              <w:rPr>
                <w:rFonts w:ascii="宋体" w:hAnsi="宋体" w:cs="宋体" w:eastAsia="宋体" w:hint="default"/>
                <w:sz w:val="21"/>
                <w:szCs w:val="21"/>
              </w:rPr>
              <w:t>结构比</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18" w:right="216"/>
              <w:jc w:val="left"/>
              <w:rPr>
                <w:rFonts w:ascii="宋体" w:hAnsi="宋体" w:cs="宋体" w:eastAsia="宋体" w:hint="default"/>
                <w:sz w:val="21"/>
                <w:szCs w:val="21"/>
              </w:rPr>
            </w:pPr>
            <w:r>
              <w:rPr>
                <w:rFonts w:ascii="宋体" w:hAnsi="宋体" w:cs="宋体" w:eastAsia="宋体" w:hint="default"/>
                <w:sz w:val="21"/>
                <w:szCs w:val="21"/>
              </w:rPr>
              <w:t>变动 幅度</w:t>
            </w:r>
          </w:p>
        </w:tc>
      </w:tr>
      <w:tr>
        <w:trPr>
          <w:trHeight w:val="370" w:hRule="exact"/>
        </w:trPr>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经营活动产生的现金流入：</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6"/>
              <w:jc w:val="right"/>
              <w:rPr>
                <w:rFonts w:ascii="Times New Roman" w:hAnsi="Times New Roman" w:cs="Times New Roman" w:eastAsia="Times New Roman" w:hint="default"/>
                <w:sz w:val="21"/>
                <w:szCs w:val="21"/>
              </w:rPr>
            </w:pPr>
            <w:r>
              <w:rPr>
                <w:rFonts w:ascii="Times New Roman"/>
                <w:spacing w:val="-1"/>
                <w:sz w:val="21"/>
              </w:rPr>
              <w:t>1,400,994,597.99</w:t>
            </w:r>
          </w:p>
        </w:tc>
        <w:tc>
          <w:tcPr>
            <w:tcW w:w="911" w:type="dxa"/>
            <w:tcBorders>
              <w:top w:val="single" w:sz="4" w:space="0" w:color="000000"/>
              <w:left w:val="single" w:sz="4" w:space="0" w:color="000000"/>
              <w:bottom w:val="single" w:sz="4" w:space="0" w:color="000000"/>
              <w:right w:val="single" w:sz="4" w:space="0" w:color="000000"/>
            </w:tcBorders>
          </w:tcPr>
          <w:p>
            <w:pP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9"/>
              <w:jc w:val="right"/>
              <w:rPr>
                <w:rFonts w:ascii="Times New Roman" w:hAnsi="Times New Roman" w:cs="Times New Roman" w:eastAsia="Times New Roman" w:hint="default"/>
                <w:sz w:val="21"/>
                <w:szCs w:val="21"/>
              </w:rPr>
            </w:pPr>
            <w:r>
              <w:rPr>
                <w:rFonts w:ascii="Times New Roman"/>
                <w:spacing w:val="-1"/>
                <w:sz w:val="21"/>
              </w:rPr>
              <w:t>402,208,992.04</w:t>
            </w:r>
          </w:p>
        </w:tc>
        <w:tc>
          <w:tcPr>
            <w:tcW w:w="91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6"/>
              <w:jc w:val="right"/>
              <w:rPr>
                <w:rFonts w:ascii="Times New Roman" w:hAnsi="Times New Roman" w:cs="Times New Roman" w:eastAsia="Times New Roman" w:hint="default"/>
                <w:sz w:val="21"/>
                <w:szCs w:val="21"/>
              </w:rPr>
            </w:pPr>
            <w:r>
              <w:rPr>
                <w:rFonts w:ascii="Times New Roman"/>
                <w:spacing w:val="-1"/>
                <w:sz w:val="21"/>
              </w:rPr>
              <w:t>1,378,120,060.82</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98.4%</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9"/>
              <w:jc w:val="right"/>
              <w:rPr>
                <w:rFonts w:ascii="Times New Roman" w:hAnsi="Times New Roman" w:cs="Times New Roman" w:eastAsia="Times New Roman" w:hint="default"/>
                <w:sz w:val="21"/>
                <w:szCs w:val="21"/>
              </w:rPr>
            </w:pPr>
            <w:r>
              <w:rPr>
                <w:rFonts w:ascii="Times New Roman"/>
                <w:spacing w:val="-1"/>
                <w:sz w:val="21"/>
              </w:rPr>
              <w:t>329,246,932.12</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9" w:right="0"/>
              <w:jc w:val="left"/>
              <w:rPr>
                <w:rFonts w:ascii="Times New Roman" w:hAnsi="Times New Roman" w:cs="Times New Roman" w:eastAsia="Times New Roman" w:hint="default"/>
                <w:sz w:val="21"/>
                <w:szCs w:val="21"/>
              </w:rPr>
            </w:pPr>
            <w:r>
              <w:rPr>
                <w:rFonts w:ascii="Times New Roman"/>
                <w:sz w:val="21"/>
              </w:rPr>
              <w:t>81.9%</w:t>
            </w: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经营活动产生的现金流出：</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6"/>
              <w:jc w:val="right"/>
              <w:rPr>
                <w:rFonts w:ascii="Times New Roman" w:hAnsi="Times New Roman" w:cs="Times New Roman" w:eastAsia="Times New Roman" w:hint="default"/>
                <w:sz w:val="21"/>
                <w:szCs w:val="21"/>
              </w:rPr>
            </w:pPr>
            <w:r>
              <w:rPr>
                <w:rFonts w:ascii="Times New Roman"/>
                <w:spacing w:val="-1"/>
                <w:sz w:val="21"/>
              </w:rPr>
              <w:t>1,182,066,307.78</w:t>
            </w:r>
          </w:p>
        </w:tc>
        <w:tc>
          <w:tcPr>
            <w:tcW w:w="911" w:type="dxa"/>
            <w:tcBorders>
              <w:top w:val="single" w:sz="4" w:space="0" w:color="000000"/>
              <w:left w:val="single" w:sz="4" w:space="0" w:color="000000"/>
              <w:bottom w:val="single" w:sz="4" w:space="0" w:color="000000"/>
              <w:right w:val="single" w:sz="4" w:space="0" w:color="000000"/>
            </w:tcBorders>
          </w:tcPr>
          <w:p>
            <w:pP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9"/>
              <w:jc w:val="right"/>
              <w:rPr>
                <w:rFonts w:ascii="Times New Roman" w:hAnsi="Times New Roman" w:cs="Times New Roman" w:eastAsia="Times New Roman" w:hint="default"/>
                <w:sz w:val="21"/>
                <w:szCs w:val="21"/>
              </w:rPr>
            </w:pPr>
            <w:r>
              <w:rPr>
                <w:rFonts w:ascii="Times New Roman"/>
                <w:spacing w:val="-1"/>
                <w:sz w:val="21"/>
              </w:rPr>
              <w:t>643,392,900.52</w:t>
            </w:r>
          </w:p>
        </w:tc>
        <w:tc>
          <w:tcPr>
            <w:tcW w:w="91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2" w:right="0"/>
              <w:jc w:val="left"/>
              <w:rPr>
                <w:rFonts w:ascii="Times New Roman" w:hAnsi="Times New Roman" w:cs="Times New Roman" w:eastAsia="Times New Roman" w:hint="default"/>
                <w:sz w:val="21"/>
                <w:szCs w:val="21"/>
              </w:rPr>
            </w:pPr>
            <w:r>
              <w:rPr>
                <w:rFonts w:ascii="Times New Roman"/>
                <w:sz w:val="21"/>
              </w:rPr>
              <w:t>830,756,619.84</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59.3%</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9"/>
              <w:jc w:val="right"/>
              <w:rPr>
                <w:rFonts w:ascii="Times New Roman" w:hAnsi="Times New Roman" w:cs="Times New Roman" w:eastAsia="Times New Roman" w:hint="default"/>
                <w:sz w:val="21"/>
                <w:szCs w:val="21"/>
              </w:rPr>
            </w:pPr>
            <w:r>
              <w:rPr>
                <w:rFonts w:ascii="Times New Roman"/>
                <w:spacing w:val="-1"/>
                <w:sz w:val="21"/>
              </w:rPr>
              <w:t>359,995,902.44</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8" w:right="0"/>
              <w:jc w:val="left"/>
              <w:rPr>
                <w:rFonts w:ascii="Times New Roman" w:hAnsi="Times New Roman" w:cs="Times New Roman" w:eastAsia="Times New Roman" w:hint="default"/>
                <w:sz w:val="21"/>
                <w:szCs w:val="21"/>
              </w:rPr>
            </w:pPr>
            <w:r>
              <w:rPr>
                <w:rFonts w:ascii="Times New Roman"/>
                <w:sz w:val="21"/>
              </w:rPr>
              <w:t>56.0%</w:t>
            </w: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2" w:right="0"/>
              <w:jc w:val="left"/>
              <w:rPr>
                <w:rFonts w:ascii="Times New Roman" w:hAnsi="Times New Roman" w:cs="Times New Roman" w:eastAsia="Times New Roman" w:hint="default"/>
                <w:sz w:val="21"/>
                <w:szCs w:val="21"/>
              </w:rPr>
            </w:pPr>
            <w:r>
              <w:rPr>
                <w:rFonts w:ascii="Times New Roman"/>
                <w:sz w:val="21"/>
              </w:rPr>
              <w:t>218,928,290.21</w:t>
            </w:r>
          </w:p>
        </w:tc>
        <w:tc>
          <w:tcPr>
            <w:tcW w:w="911" w:type="dxa"/>
            <w:tcBorders>
              <w:top w:val="single" w:sz="4" w:space="0" w:color="000000"/>
              <w:left w:val="single" w:sz="4" w:space="0" w:color="000000"/>
              <w:bottom w:val="single" w:sz="4" w:space="0" w:color="000000"/>
              <w:right w:val="single" w:sz="4" w:space="0" w:color="000000"/>
            </w:tcBorders>
          </w:tcPr>
          <w:p>
            <w:pP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2"/>
              <w:jc w:val="right"/>
              <w:rPr>
                <w:rFonts w:ascii="Times New Roman" w:hAnsi="Times New Roman" w:cs="Times New Roman" w:eastAsia="Times New Roman" w:hint="default"/>
                <w:sz w:val="21"/>
                <w:szCs w:val="21"/>
              </w:rPr>
            </w:pPr>
            <w:r>
              <w:rPr>
                <w:rFonts w:ascii="Times New Roman"/>
                <w:spacing w:val="-1"/>
                <w:sz w:val="21"/>
              </w:rPr>
              <w:t>-241,183,908.48</w:t>
            </w:r>
          </w:p>
        </w:tc>
        <w:tc>
          <w:tcPr>
            <w:tcW w:w="91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2" w:right="0"/>
              <w:jc w:val="left"/>
              <w:rPr>
                <w:rFonts w:ascii="Times New Roman" w:hAnsi="Times New Roman" w:cs="Times New Roman" w:eastAsia="Times New Roman" w:hint="default"/>
                <w:sz w:val="21"/>
                <w:szCs w:val="21"/>
              </w:rPr>
            </w:pPr>
            <w:r>
              <w:rPr>
                <w:rFonts w:ascii="Times New Roman"/>
                <w:sz w:val="21"/>
              </w:rPr>
              <w:t>191%</w:t>
            </w:r>
          </w:p>
        </w:tc>
      </w:tr>
      <w:tr>
        <w:trPr>
          <w:trHeight w:val="370" w:hRule="exact"/>
        </w:trPr>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7" w:right="0"/>
              <w:jc w:val="left"/>
              <w:rPr>
                <w:rFonts w:ascii="Times New Roman" w:hAnsi="Times New Roman" w:cs="Times New Roman" w:eastAsia="Times New Roman" w:hint="default"/>
                <w:sz w:val="21"/>
                <w:szCs w:val="21"/>
              </w:rPr>
            </w:pPr>
            <w:r>
              <w:rPr>
                <w:rFonts w:ascii="Times New Roman"/>
                <w:sz w:val="21"/>
              </w:rPr>
              <w:t>81,911,447.82</w:t>
            </w:r>
          </w:p>
        </w:tc>
        <w:tc>
          <w:tcPr>
            <w:tcW w:w="911" w:type="dxa"/>
            <w:tcBorders>
              <w:top w:val="single" w:sz="4" w:space="0" w:color="000000"/>
              <w:left w:val="single" w:sz="4" w:space="0" w:color="000000"/>
              <w:bottom w:val="single" w:sz="4" w:space="0" w:color="000000"/>
              <w:right w:val="single" w:sz="4" w:space="0" w:color="000000"/>
            </w:tcBorders>
          </w:tcPr>
          <w:p>
            <w:pP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4"/>
              <w:jc w:val="right"/>
              <w:rPr>
                <w:rFonts w:ascii="Times New Roman" w:hAnsi="Times New Roman" w:cs="Times New Roman" w:eastAsia="Times New Roman" w:hint="default"/>
                <w:sz w:val="21"/>
                <w:szCs w:val="21"/>
              </w:rPr>
            </w:pPr>
            <w:r>
              <w:rPr>
                <w:rFonts w:ascii="Times New Roman"/>
                <w:spacing w:val="-1"/>
                <w:sz w:val="21"/>
              </w:rPr>
              <w:t>-44,902,610.56</w:t>
            </w:r>
          </w:p>
        </w:tc>
        <w:tc>
          <w:tcPr>
            <w:tcW w:w="91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2" w:right="0"/>
              <w:jc w:val="left"/>
              <w:rPr>
                <w:rFonts w:ascii="Times New Roman" w:hAnsi="Times New Roman" w:cs="Times New Roman" w:eastAsia="Times New Roman" w:hint="default"/>
                <w:sz w:val="21"/>
                <w:szCs w:val="21"/>
              </w:rPr>
            </w:pPr>
            <w:r>
              <w:rPr>
                <w:rFonts w:ascii="Times New Roman"/>
                <w:sz w:val="21"/>
              </w:rPr>
              <w:t>171%</w:t>
            </w:r>
          </w:p>
        </w:tc>
      </w:tr>
      <w:tr>
        <w:trPr>
          <w:trHeight w:val="371" w:hRule="exact"/>
        </w:trPr>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8"/>
              <w:jc w:val="right"/>
              <w:rPr>
                <w:rFonts w:ascii="Times New Roman" w:hAnsi="Times New Roman" w:cs="Times New Roman" w:eastAsia="Times New Roman" w:hint="default"/>
                <w:sz w:val="21"/>
                <w:szCs w:val="21"/>
              </w:rPr>
            </w:pPr>
            <w:r>
              <w:rPr>
                <w:rFonts w:ascii="Times New Roman"/>
                <w:spacing w:val="-1"/>
                <w:sz w:val="21"/>
              </w:rPr>
              <w:t>-122,474,556.60</w:t>
            </w:r>
          </w:p>
        </w:tc>
        <w:tc>
          <w:tcPr>
            <w:tcW w:w="911" w:type="dxa"/>
            <w:tcBorders>
              <w:top w:val="single" w:sz="4" w:space="0" w:color="000000"/>
              <w:left w:val="single" w:sz="4" w:space="0" w:color="000000"/>
              <w:bottom w:val="single" w:sz="4" w:space="0" w:color="000000"/>
              <w:right w:val="single" w:sz="4" w:space="0" w:color="000000"/>
            </w:tcBorders>
          </w:tcPr>
          <w:p>
            <w:pP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6"/>
              <w:jc w:val="right"/>
              <w:rPr>
                <w:rFonts w:ascii="Times New Roman" w:hAnsi="Times New Roman" w:cs="Times New Roman" w:eastAsia="Times New Roman" w:hint="default"/>
                <w:sz w:val="21"/>
                <w:szCs w:val="21"/>
              </w:rPr>
            </w:pPr>
            <w:r>
              <w:rPr>
                <w:rFonts w:ascii="Times New Roman"/>
                <w:spacing w:val="-1"/>
                <w:sz w:val="21"/>
              </w:rPr>
              <w:t>239,366,215.36</w:t>
            </w:r>
          </w:p>
        </w:tc>
        <w:tc>
          <w:tcPr>
            <w:tcW w:w="91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7" w:right="0"/>
              <w:jc w:val="left"/>
              <w:rPr>
                <w:rFonts w:ascii="Times New Roman" w:hAnsi="Times New Roman" w:cs="Times New Roman" w:eastAsia="Times New Roman" w:hint="default"/>
                <w:sz w:val="21"/>
                <w:szCs w:val="21"/>
              </w:rPr>
            </w:pPr>
            <w:r>
              <w:rPr>
                <w:rFonts w:ascii="Times New Roman"/>
                <w:sz w:val="21"/>
              </w:rPr>
              <w:t>-151%</w:t>
            </w:r>
          </w:p>
        </w:tc>
      </w:tr>
    </w:tbl>
    <w:p>
      <w:pPr>
        <w:spacing w:line="240" w:lineRule="auto" w:before="1"/>
        <w:rPr>
          <w:rFonts w:ascii="黑体" w:hAnsi="黑体" w:cs="黑体" w:eastAsia="黑体" w:hint="default"/>
          <w:sz w:val="7"/>
          <w:szCs w:val="7"/>
        </w:rPr>
      </w:pPr>
    </w:p>
    <w:p>
      <w:pPr>
        <w:spacing w:before="44"/>
        <w:ind w:left="1011" w:right="359" w:firstLine="0"/>
        <w:jc w:val="left"/>
        <w:rPr>
          <w:rFonts w:ascii="宋体" w:hAnsi="宋体" w:cs="宋体" w:eastAsia="宋体" w:hint="default"/>
          <w:sz w:val="18"/>
          <w:szCs w:val="18"/>
        </w:rPr>
      </w:pPr>
      <w:r>
        <w:rPr>
          <w:rFonts w:ascii="宋体" w:hAnsi="宋体" w:cs="宋体" w:eastAsia="宋体" w:hint="default"/>
          <w:sz w:val="18"/>
          <w:szCs w:val="18"/>
        </w:rPr>
        <w:t>变动原因：</w:t>
      </w:r>
    </w:p>
    <w:p>
      <w:pPr>
        <w:spacing w:line="348" w:lineRule="auto" w:before="105"/>
        <w:ind w:left="650" w:right="359" w:firstLine="420"/>
        <w:jc w:val="left"/>
        <w:rPr>
          <w:rFonts w:ascii="宋体" w:hAnsi="宋体" w:cs="宋体" w:eastAsia="宋体" w:hint="default"/>
          <w:sz w:val="18"/>
          <w:szCs w:val="18"/>
        </w:rPr>
      </w:pPr>
      <w:r>
        <w:rPr>
          <w:rFonts w:ascii="Arial" w:hAnsi="Arial" w:cs="Arial" w:eastAsia="Arial" w:hint="default"/>
          <w:w w:val="95"/>
          <w:sz w:val="18"/>
          <w:szCs w:val="18"/>
        </w:rPr>
        <w:t>1</w:t>
      </w:r>
      <w:r>
        <w:rPr>
          <w:rFonts w:ascii="宋体" w:hAnsi="宋体" w:cs="宋体" w:eastAsia="宋体" w:hint="default"/>
          <w:w w:val="95"/>
          <w:sz w:val="18"/>
          <w:szCs w:val="18"/>
        </w:rPr>
        <w:t>、销售商品、提供劳务收到的现金，结构比增加、经营活动产生的现金流量净额增加的主要原因是：本</w:t>
      </w:r>
      <w:r>
        <w:rPr>
          <w:rFonts w:ascii="宋体" w:hAnsi="宋体" w:cs="宋体" w:eastAsia="宋体" w:hint="default"/>
          <w:sz w:val="18"/>
          <w:szCs w:val="18"/>
        </w:rPr>
        <w:t> 年度公司房地产项目对外销售，使经营活动产生的现金流入增加所致。</w:t>
      </w:r>
    </w:p>
    <w:p>
      <w:pPr>
        <w:spacing w:line="386" w:lineRule="auto" w:before="76"/>
        <w:ind w:left="650" w:right="359" w:firstLine="420"/>
        <w:jc w:val="left"/>
        <w:rPr>
          <w:rFonts w:ascii="宋体" w:hAnsi="宋体" w:cs="宋体" w:eastAsia="宋体" w:hint="default"/>
          <w:sz w:val="18"/>
          <w:szCs w:val="18"/>
        </w:rPr>
      </w:pPr>
      <w:r>
        <w:rPr>
          <w:rFonts w:ascii="Arial" w:hAnsi="Arial" w:cs="Arial" w:eastAsia="Arial" w:hint="default"/>
          <w:w w:val="95"/>
          <w:sz w:val="18"/>
          <w:szCs w:val="18"/>
        </w:rPr>
        <w:t>2</w:t>
      </w:r>
      <w:r>
        <w:rPr>
          <w:rFonts w:ascii="宋体" w:hAnsi="宋体" w:cs="宋体" w:eastAsia="宋体" w:hint="default"/>
          <w:w w:val="95"/>
          <w:sz w:val="18"/>
          <w:szCs w:val="18"/>
        </w:rPr>
        <w:t>、购买商品、接受劳务支付的现金，结构比增加的主要原因是：本年度公司房地产项目对外销售，相应</w:t>
      </w:r>
      <w:r>
        <w:rPr>
          <w:rFonts w:ascii="宋体" w:hAnsi="宋体" w:cs="宋体" w:eastAsia="宋体" w:hint="default"/>
          <w:sz w:val="18"/>
          <w:szCs w:val="18"/>
        </w:rPr>
        <w:t> 增加成本所致。</w:t>
      </w:r>
    </w:p>
    <w:p>
      <w:pPr>
        <w:spacing w:before="55"/>
        <w:ind w:left="1070" w:right="359" w:firstLine="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、投资活动产生的现金流量净额增加的主要原因是：本年度公司投资收益增加所致。</w:t>
      </w:r>
    </w:p>
    <w:p>
      <w:pPr>
        <w:spacing w:line="386" w:lineRule="auto" w:before="151"/>
        <w:ind w:left="650" w:right="359" w:firstLine="420"/>
        <w:jc w:val="left"/>
        <w:rPr>
          <w:rFonts w:ascii="宋体" w:hAnsi="宋体" w:cs="宋体" w:eastAsia="宋体" w:hint="default"/>
          <w:sz w:val="18"/>
          <w:szCs w:val="18"/>
        </w:rPr>
      </w:pPr>
      <w:r>
        <w:rPr>
          <w:rFonts w:ascii="Arial" w:hAnsi="Arial" w:cs="Arial" w:eastAsia="Arial" w:hint="default"/>
          <w:w w:val="95"/>
          <w:sz w:val="18"/>
          <w:szCs w:val="18"/>
        </w:rPr>
        <w:t>4</w:t>
      </w:r>
      <w:r>
        <w:rPr>
          <w:rFonts w:ascii="宋体" w:hAnsi="宋体" w:cs="宋体" w:eastAsia="宋体" w:hint="default"/>
          <w:w w:val="95"/>
          <w:sz w:val="18"/>
          <w:szCs w:val="18"/>
        </w:rPr>
        <w:t>、筹资活动产生的现金流量净额减少的主要原因是：本年度公司归还银行借款，及减少与其他公司往来</w:t>
      </w:r>
      <w:r>
        <w:rPr>
          <w:rFonts w:ascii="宋体" w:hAnsi="宋体" w:cs="宋体" w:eastAsia="宋体" w:hint="default"/>
          <w:sz w:val="18"/>
          <w:szCs w:val="18"/>
        </w:rPr>
        <w:t> 款所致。</w:t>
      </w:r>
    </w:p>
    <w:p>
      <w:pPr>
        <w:spacing w:line="240" w:lineRule="auto" w:before="0"/>
        <w:rPr>
          <w:rFonts w:ascii="宋体" w:hAnsi="宋体" w:cs="宋体" w:eastAsia="宋体" w:hint="default"/>
          <w:sz w:val="18"/>
          <w:szCs w:val="18"/>
        </w:rPr>
      </w:pPr>
    </w:p>
    <w:p>
      <w:pPr>
        <w:pStyle w:val="Heading3"/>
        <w:spacing w:line="240" w:lineRule="auto" w:before="149"/>
        <w:ind w:left="650" w:right="359"/>
        <w:jc w:val="left"/>
      </w:pPr>
      <w:r>
        <w:rPr/>
        <w:t>二、公司存在的主要困难</w:t>
      </w:r>
    </w:p>
    <w:p>
      <w:pPr>
        <w:pStyle w:val="BodyText"/>
        <w:spacing w:line="240" w:lineRule="auto" w:before="120"/>
        <w:ind w:left="1073" w:right="359"/>
        <w:jc w:val="left"/>
      </w:pPr>
      <w:r>
        <w:rPr/>
        <w:t>（一）经营中的困难与问题</w:t>
      </w:r>
    </w:p>
    <w:p>
      <w:pPr>
        <w:pStyle w:val="BodyText"/>
        <w:spacing w:line="338" w:lineRule="auto" w:before="126"/>
        <w:ind w:left="650" w:right="359" w:firstLine="403"/>
        <w:jc w:val="left"/>
      </w:pPr>
      <w:r>
        <w:rPr>
          <w:rFonts w:ascii="Times New Roman" w:hAnsi="Times New Roman" w:cs="Times New Roman" w:eastAsia="Times New Roman" w:hint="default"/>
          <w:spacing w:val="-5"/>
        </w:rPr>
        <w:t>1</w:t>
      </w:r>
      <w:r>
        <w:rPr>
          <w:spacing w:val="-5"/>
        </w:rPr>
        <w:t>、受房地产项目开发周期的影响，目前仅依赖单一项目开发难以保证公司利润的持续增长，</w:t>
      </w:r>
      <w:r>
        <w:rPr/>
        <w:t> 多个项目同时开发则面临较大资金压力，难以形成房地产业的均衡开发，房地产主业的龙头作</w:t>
      </w:r>
      <w:r>
        <w:rPr>
          <w:spacing w:val="-99"/>
        </w:rPr>
        <w:t> </w:t>
      </w:r>
      <w:r>
        <w:rPr>
          <w:spacing w:val="-99"/>
        </w:rPr>
      </w:r>
      <w:r>
        <w:rPr/>
        <w:t>用尚未充分体现。</w:t>
      </w:r>
    </w:p>
    <w:p>
      <w:pPr>
        <w:pStyle w:val="BodyText"/>
        <w:spacing w:line="328" w:lineRule="auto" w:before="40"/>
        <w:ind w:left="650" w:right="640" w:firstLine="420"/>
        <w:jc w:val="left"/>
      </w:pPr>
      <w:r>
        <w:rPr>
          <w:rFonts w:ascii="Times New Roman" w:hAnsi="Times New Roman" w:cs="Times New Roman" w:eastAsia="Times New Roman" w:hint="default"/>
          <w:spacing w:val="-3"/>
        </w:rPr>
        <w:t>2</w:t>
      </w:r>
      <w:r>
        <w:rPr>
          <w:spacing w:val="-3"/>
        </w:rPr>
        <w:t>、传统行业受到挑战。出租车运输业作为公司传统支柱产业，虽为公司经营提供了稳定的</w:t>
      </w:r>
      <w:r>
        <w:rPr/>
        <w:t> 现金流，但是近年来随着出租车市场新运力不断投放、市场竞争不规范、油价上升、成本增大</w:t>
      </w:r>
    </w:p>
    <w:p>
      <w:pPr>
        <w:spacing w:after="0" w:line="328" w:lineRule="auto"/>
        <w:jc w:val="left"/>
        <w:sectPr>
          <w:pgSz w:w="11900" w:h="16840"/>
          <w:pgMar w:header="0" w:footer="939" w:top="1360" w:bottom="1120" w:left="1220" w:right="760"/>
        </w:sectPr>
      </w:pPr>
    </w:p>
    <w:p>
      <w:pPr>
        <w:pStyle w:val="BodyText"/>
        <w:spacing w:line="350" w:lineRule="auto" w:before="15"/>
        <w:ind w:right="208"/>
        <w:jc w:val="both"/>
      </w:pPr>
      <w:r>
        <w:rPr/>
        <w:t>等因素共同影响，收入水平开始下滑；物流、装卸运输业受海关业务政策调整、相关设施陈旧</w:t>
      </w:r>
      <w:r>
        <w:rPr>
          <w:spacing w:val="-99"/>
        </w:rPr>
        <w:t> </w:t>
      </w:r>
      <w:r>
        <w:rPr>
          <w:spacing w:val="-99"/>
        </w:rPr>
      </w:r>
      <w:r>
        <w:rPr/>
        <w:t>老化及作业场所不稳定等因素影响，业务量下降，部分装卸运输企业经济效益大幅下降；公司</w:t>
      </w:r>
      <w:r>
        <w:rPr>
          <w:spacing w:val="-99"/>
        </w:rPr>
        <w:t> </w:t>
      </w:r>
      <w:r>
        <w:rPr>
          <w:spacing w:val="-99"/>
        </w:rPr>
      </w:r>
      <w:r>
        <w:rPr/>
        <w:t>连锁酒店经营业务面临日趋激烈的行业竞争，收入逐渐下降。</w:t>
      </w:r>
    </w:p>
    <w:p>
      <w:pPr>
        <w:pStyle w:val="BodyText"/>
        <w:spacing w:line="328" w:lineRule="auto" w:before="28"/>
        <w:ind w:right="0" w:firstLine="403"/>
        <w:jc w:val="left"/>
      </w:pPr>
      <w:r>
        <w:rPr>
          <w:rFonts w:ascii="Times New Roman" w:hAnsi="Times New Roman" w:cs="Times New Roman" w:eastAsia="Times New Roman" w:hint="default"/>
          <w:spacing w:val="-5"/>
        </w:rPr>
        <w:t>3</w:t>
      </w:r>
      <w:r>
        <w:rPr>
          <w:spacing w:val="-5"/>
        </w:rPr>
        <w:t>、沉淀资产的处置及债权债务清理工作力度不够，公司项目融资较大程度上依赖金融机构，</w:t>
      </w:r>
      <w:r>
        <w:rPr/>
        <w:t> 财务成本压力较大。</w:t>
      </w:r>
    </w:p>
    <w:p>
      <w:pPr>
        <w:pStyle w:val="BodyText"/>
        <w:spacing w:line="214" w:lineRule="exact"/>
        <w:ind w:left="596" w:right="0"/>
        <w:jc w:val="left"/>
      </w:pPr>
      <w:r>
        <w:rPr/>
        <w:t>（二）解决措施</w:t>
      </w:r>
    </w:p>
    <w:p>
      <w:pPr>
        <w:spacing w:line="240" w:lineRule="auto" w:before="7"/>
        <w:rPr>
          <w:rFonts w:ascii="宋体" w:hAnsi="宋体" w:cs="宋体" w:eastAsia="宋体" w:hint="default"/>
          <w:sz w:val="18"/>
          <w:szCs w:val="18"/>
        </w:rPr>
      </w:pPr>
    </w:p>
    <w:p>
      <w:pPr>
        <w:pStyle w:val="BodyText"/>
        <w:spacing w:line="343" w:lineRule="auto"/>
        <w:ind w:right="209" w:firstLine="412"/>
        <w:jc w:val="both"/>
      </w:pPr>
      <w:r>
        <w:rPr>
          <w:rFonts w:ascii="Times New Roman" w:hAnsi="Times New Roman" w:cs="Times New Roman" w:eastAsia="Times New Roman" w:hint="default"/>
          <w:b/>
          <w:bCs/>
          <w:spacing w:val="-2"/>
        </w:rPr>
        <w:t>1</w:t>
      </w:r>
      <w:r>
        <w:rPr>
          <w:spacing w:val="-2"/>
        </w:rPr>
        <w:t>、公司围绕</w:t>
      </w:r>
      <w:r>
        <w:rPr>
          <w:rFonts w:ascii="Times New Roman" w:hAnsi="Times New Roman" w:cs="Times New Roman" w:eastAsia="Times New Roman" w:hint="default"/>
          <w:spacing w:val="-2"/>
        </w:rPr>
        <w:t>“</w:t>
      </w:r>
      <w:r>
        <w:rPr>
          <w:spacing w:val="-2"/>
        </w:rPr>
        <w:t>加快产业结构调整、集中资源发展房地产业，打造专业房地产上市公司</w:t>
      </w:r>
      <w:r>
        <w:rPr>
          <w:rFonts w:ascii="Times New Roman" w:hAnsi="Times New Roman" w:cs="Times New Roman" w:eastAsia="Times New Roman" w:hint="default"/>
          <w:spacing w:val="-2"/>
        </w:rPr>
        <w:t>”</w:t>
      </w:r>
      <w:r>
        <w:rPr>
          <w:spacing w:val="-2"/>
        </w:rPr>
        <w:t>的战</w:t>
      </w:r>
      <w:r>
        <w:rPr/>
        <w:t> 略目标，本着公开、公允原则，加快剥离非房地产业的传统企业，力争在年内基本完成传统产 业剥离工作，集中有效资源发展房地产业。加强对尚未剥离企业的监督和管理，有效控制成本 费用。</w:t>
      </w:r>
    </w:p>
    <w:p>
      <w:pPr>
        <w:pStyle w:val="BodyText"/>
        <w:spacing w:line="345" w:lineRule="auto" w:before="34"/>
        <w:ind w:right="104" w:firstLine="411"/>
        <w:jc w:val="left"/>
      </w:pPr>
      <w:r>
        <w:rPr>
          <w:rFonts w:ascii="Times New Roman" w:hAnsi="Times New Roman" w:cs="Times New Roman" w:eastAsia="Times New Roman" w:hint="default"/>
        </w:rPr>
        <w:t>2</w:t>
      </w:r>
      <w:r>
        <w:rPr/>
        <w:t>、在作好现有项目开发的同时，加快现有工业区土地的变更报批及存量土地的管理工作， 积极寻找可持续发展的中长期项目；加快资金周转速度，提高资金的使用效率；同时要加强市 场调研，制定符合市场情况的销售策略，促进房地产项目的销售。为了满足公司专业发展房地 产业的需要，公司将完善组织架构，制订与房地产项目规划、开发、成本管理等相关制度，逐 步推进房地产项目管理的标准化和规范化建设。</w:t>
      </w:r>
    </w:p>
    <w:p>
      <w:pPr>
        <w:pStyle w:val="BodyText"/>
        <w:spacing w:line="328" w:lineRule="auto" w:before="32"/>
        <w:ind w:right="0" w:firstLine="422"/>
        <w:jc w:val="left"/>
      </w:pPr>
      <w:r>
        <w:rPr>
          <w:rFonts w:ascii="Times New Roman" w:hAnsi="Times New Roman" w:cs="Times New Roman" w:eastAsia="Times New Roman" w:hint="default"/>
          <w:b/>
          <w:bCs/>
          <w:spacing w:val="-3"/>
        </w:rPr>
        <w:t>3</w:t>
      </w:r>
      <w:r>
        <w:rPr>
          <w:spacing w:val="-3"/>
        </w:rPr>
        <w:t>、成立债权债务清理专职小组，加大对历史遗留形成的债权的追收力度；加强与银行等金</w:t>
      </w:r>
      <w:r>
        <w:rPr/>
        <w:t> 融机构的密切合作，拓宽融资渠道。</w:t>
      </w:r>
    </w:p>
    <w:p>
      <w:pPr>
        <w:spacing w:line="240" w:lineRule="auto" w:before="0"/>
        <w:rPr>
          <w:rFonts w:ascii="宋体" w:hAnsi="宋体" w:cs="宋体" w:eastAsia="宋体" w:hint="default"/>
          <w:sz w:val="20"/>
          <w:szCs w:val="20"/>
        </w:rPr>
      </w:pPr>
    </w:p>
    <w:p>
      <w:pPr>
        <w:pStyle w:val="Heading3"/>
        <w:spacing w:line="240" w:lineRule="auto" w:before="151"/>
        <w:ind w:right="0"/>
        <w:jc w:val="both"/>
      </w:pPr>
      <w:r>
        <w:rPr/>
        <w:t>三、公司未来发展的展望及经营计划</w:t>
      </w:r>
    </w:p>
    <w:p>
      <w:pPr>
        <w:pStyle w:val="BodyText"/>
        <w:spacing w:line="240" w:lineRule="auto" w:before="120"/>
        <w:ind w:left="594" w:right="0"/>
        <w:jc w:val="left"/>
      </w:pPr>
      <w:r>
        <w:rPr/>
        <w:t>（一）行业展望</w:t>
      </w:r>
    </w:p>
    <w:p>
      <w:pPr>
        <w:pStyle w:val="BodyText"/>
        <w:spacing w:line="340" w:lineRule="auto" w:before="126"/>
        <w:ind w:right="208" w:firstLine="403"/>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8"/>
        </w:rPr>
        <w:t> </w:t>
      </w:r>
      <w:r>
        <w:rPr/>
        <w:t>年初，针对部分城市房价上涨较快的问题，国务院出台了《关于促进房地产市场平稳 </w:t>
      </w:r>
      <w:r>
        <w:rPr>
          <w:spacing w:val="-5"/>
        </w:rPr>
        <w:t>健康发展的通知》，就增加保障性住房和普通商品住房有效供给、合理引导住房消费、抑制投资</w:t>
      </w:r>
      <w:r>
        <w:rPr>
          <w:spacing w:val="-101"/>
        </w:rPr>
        <w:t> </w:t>
      </w:r>
      <w:r>
        <w:rPr>
          <w:spacing w:val="-101"/>
        </w:rPr>
      </w:r>
      <w:r>
        <w:rPr/>
        <w:t>投机性购房需求，加强风险防范和市场监管等方面提出了意见，政策的出台对于促进房地产市</w:t>
      </w:r>
      <w:r>
        <w:rPr>
          <w:spacing w:val="-99"/>
        </w:rPr>
        <w:t> </w:t>
      </w:r>
      <w:r>
        <w:rPr>
          <w:spacing w:val="-99"/>
        </w:rPr>
      </w:r>
      <w:r>
        <w:rPr/>
        <w:t>场健康发展具有十分重要的意义。虽然通货膨胀预期和房价快速上涨所引发的包括信贷、产业</w:t>
      </w:r>
      <w:r>
        <w:rPr>
          <w:spacing w:val="-99"/>
        </w:rPr>
        <w:t> </w:t>
      </w:r>
      <w:r>
        <w:rPr>
          <w:spacing w:val="-99"/>
        </w:rPr>
      </w:r>
      <w:r>
        <w:rPr>
          <w:spacing w:val="-2"/>
        </w:rPr>
        <w:t>和税收调控政策在内的宏观调控，都将在短期内增加市场的不确定性，</w:t>
      </w:r>
      <w:r>
        <w:rPr>
          <w:rFonts w:ascii="Times New Roman" w:hAnsi="Times New Roman" w:cs="Times New Roman" w:eastAsia="Times New Roman" w:hint="default"/>
          <w:spacing w:val="-2"/>
        </w:rPr>
        <w:t>2009</w:t>
      </w:r>
      <w:r>
        <w:rPr>
          <w:rFonts w:ascii="Times New Roman" w:hAnsi="Times New Roman" w:cs="Times New Roman" w:eastAsia="Times New Roman" w:hint="default"/>
          <w:spacing w:val="25"/>
        </w:rPr>
        <w:t> </w:t>
      </w:r>
      <w:r>
        <w:rPr>
          <w:spacing w:val="-1"/>
        </w:rPr>
        <w:t>年房地产行业担当</w:t>
      </w:r>
      <w:r>
        <w:rPr>
          <w:spacing w:val="-101"/>
        </w:rPr>
        <w:t> </w:t>
      </w:r>
      <w:r>
        <w:rPr>
          <w:spacing w:val="-101"/>
        </w:rPr>
      </w:r>
      <w:r>
        <w:rPr/>
        <w:t>了拉动宏观经济增长的中坚力量，相信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年房地产投资对经济的拉动作用依然巨大。未来 较长时间内受我国城镇化、工业化的快速发展及城市土地供应数量的限制等诸多因素影响，仍</w:t>
      </w:r>
      <w:r>
        <w:rPr>
          <w:spacing w:val="-99"/>
        </w:rPr>
        <w:t> </w:t>
      </w:r>
      <w:r>
        <w:rPr>
          <w:spacing w:val="-99"/>
        </w:rPr>
      </w:r>
      <w:r>
        <w:rPr/>
        <w:t>将存在较大的住房需求，公司看好房地产市场的长期发展趋势。</w:t>
      </w:r>
    </w:p>
    <w:p>
      <w:pPr>
        <w:pStyle w:val="BodyText"/>
        <w:spacing w:line="350" w:lineRule="auto" w:before="36"/>
        <w:ind w:left="594" w:right="0"/>
        <w:jc w:val="left"/>
      </w:pPr>
      <w:r>
        <w:rPr/>
        <w:t>（二）经营计划 围绕集中资源发展房地产业务的战略，公司将逐步实现非房地产业务的资产剥离，打造专</w:t>
      </w:r>
    </w:p>
    <w:p>
      <w:pPr>
        <w:pStyle w:val="BodyText"/>
        <w:spacing w:line="240" w:lineRule="auto" w:before="28"/>
        <w:ind w:right="0"/>
        <w:jc w:val="both"/>
      </w:pPr>
      <w:r>
        <w:rPr/>
        <w:t>业化房地产公司。</w:t>
      </w:r>
    </w:p>
    <w:p>
      <w:pPr>
        <w:pStyle w:val="BodyText"/>
        <w:spacing w:line="240" w:lineRule="auto" w:before="125"/>
        <w:ind w:left="594" w:right="0"/>
        <w:jc w:val="left"/>
      </w:pPr>
      <w:r>
        <w:rPr>
          <w:rFonts w:ascii="Times New Roman" w:hAnsi="Times New Roman" w:cs="Times New Roman" w:eastAsia="Times New Roman" w:hint="default"/>
        </w:rPr>
        <w:t>1</w:t>
      </w:r>
      <w:r>
        <w:rPr/>
        <w:t>、加快剥离非房地产业的传统企业，力争在年内基本完成传统产业剥离工作。</w:t>
      </w:r>
    </w:p>
    <w:p>
      <w:pPr>
        <w:pStyle w:val="BodyText"/>
        <w:spacing w:line="328" w:lineRule="auto" w:before="110"/>
        <w:ind w:right="0" w:firstLine="403"/>
        <w:jc w:val="left"/>
      </w:pPr>
      <w:r>
        <w:rPr>
          <w:rFonts w:ascii="Times New Roman" w:hAnsi="Times New Roman" w:cs="Times New Roman" w:eastAsia="Times New Roman" w:hint="default"/>
          <w:spacing w:val="-3"/>
        </w:rPr>
        <w:t>2</w:t>
      </w:r>
      <w:r>
        <w:rPr>
          <w:spacing w:val="-3"/>
        </w:rPr>
        <w:t>、做好在建项目开发工作，加快历史用地的变更报批及存量土地的管理工作，积极寻找可</w:t>
      </w:r>
      <w:r>
        <w:rPr/>
        <w:t> </w:t>
      </w:r>
      <w:r>
        <w:rPr>
          <w:spacing w:val="-3"/>
        </w:rPr>
        <w:t>持续发展的中长期项目。加强对西安房地产项目公司的管理与整合，进一步树立、推广</w:t>
      </w:r>
      <w:r>
        <w:rPr>
          <w:rFonts w:ascii="Times New Roman" w:hAnsi="Times New Roman" w:cs="Times New Roman" w:eastAsia="Times New Roman" w:hint="default"/>
          <w:spacing w:val="-3"/>
        </w:rPr>
        <w:t>“</w:t>
      </w:r>
      <w:r>
        <w:rPr>
          <w:spacing w:val="-3"/>
        </w:rPr>
        <w:t>鸿基地</w:t>
      </w:r>
    </w:p>
    <w:p>
      <w:pPr>
        <w:spacing w:after="0" w:line="328" w:lineRule="auto"/>
        <w:jc w:val="left"/>
        <w:sectPr>
          <w:pgSz w:w="11900" w:h="16840"/>
          <w:pgMar w:header="0" w:footer="939" w:top="1500" w:bottom="1120" w:left="1680" w:right="1200"/>
        </w:sectPr>
      </w:pPr>
    </w:p>
    <w:p>
      <w:pPr>
        <w:pStyle w:val="BodyText"/>
        <w:spacing w:line="240" w:lineRule="auto" w:before="15"/>
        <w:ind w:left="530" w:right="0"/>
        <w:jc w:val="left"/>
      </w:pPr>
      <w:r>
        <w:rPr/>
        <w:t>产</w:t>
      </w:r>
      <w:r>
        <w:rPr>
          <w:rFonts w:ascii="Times New Roman" w:hAnsi="Times New Roman" w:cs="Times New Roman" w:eastAsia="Times New Roman" w:hint="default"/>
        </w:rPr>
        <w:t>”</w:t>
      </w:r>
      <w:r>
        <w:rPr/>
        <w:t>的品牌形象，为专业化房地产公司奠定基础。</w:t>
      </w:r>
    </w:p>
    <w:p>
      <w:pPr>
        <w:pStyle w:val="BodyText"/>
        <w:spacing w:line="331" w:lineRule="auto" w:before="109"/>
        <w:ind w:left="530" w:right="0" w:firstLine="403"/>
        <w:jc w:val="left"/>
      </w:pPr>
      <w:r>
        <w:rPr>
          <w:rFonts w:ascii="Times New Roman" w:hAnsi="Times New Roman" w:cs="Times New Roman" w:eastAsia="Times New Roman" w:hint="default"/>
          <w:spacing w:val="-3"/>
        </w:rPr>
        <w:t>3</w:t>
      </w:r>
      <w:r>
        <w:rPr>
          <w:spacing w:val="-3"/>
        </w:rPr>
        <w:t>、充分借鉴业内成功经验，努力推动新获项目的开发、建设与经营，提升产品知名度，延</w:t>
      </w:r>
      <w:r>
        <w:rPr/>
        <w:t> 伸品牌形象，树立可在全国范围复制的项目开发模式。</w:t>
      </w:r>
    </w:p>
    <w:p>
      <w:pPr>
        <w:spacing w:line="240" w:lineRule="auto" w:before="1"/>
        <w:rPr>
          <w:rFonts w:ascii="宋体" w:hAnsi="宋体" w:cs="宋体" w:eastAsia="宋体" w:hint="default"/>
          <w:sz w:val="18"/>
          <w:szCs w:val="18"/>
        </w:rPr>
      </w:pPr>
    </w:p>
    <w:p>
      <w:pPr>
        <w:pStyle w:val="Heading3"/>
        <w:spacing w:line="240" w:lineRule="auto"/>
        <w:ind w:left="530" w:right="0"/>
        <w:jc w:val="left"/>
      </w:pPr>
      <w:r>
        <w:rPr/>
        <w:t>四、公司投资情况</w:t>
      </w:r>
    </w:p>
    <w:p>
      <w:pPr>
        <w:spacing w:line="240" w:lineRule="auto" w:before="7"/>
        <w:rPr>
          <w:rFonts w:ascii="黑体" w:hAnsi="黑体" w:cs="黑体" w:eastAsia="黑体" w:hint="default"/>
          <w:sz w:val="28"/>
          <w:szCs w:val="28"/>
        </w:rPr>
      </w:pPr>
    </w:p>
    <w:p>
      <w:pPr>
        <w:pStyle w:val="BodyText"/>
        <w:spacing w:line="240" w:lineRule="auto"/>
        <w:ind w:left="950" w:right="0"/>
        <w:jc w:val="left"/>
      </w:pPr>
      <w:r>
        <w:rPr>
          <w:rFonts w:ascii="Times New Roman" w:hAnsi="Times New Roman" w:cs="Times New Roman" w:eastAsia="Times New Roman" w:hint="default"/>
        </w:rPr>
        <w:t>1</w:t>
      </w:r>
      <w:r>
        <w:rPr/>
        <w:t>、报告期内没有募集资金，也没有报告期前的募集资金延续到报告期内的投资项目使用。</w:t>
      </w:r>
    </w:p>
    <w:p>
      <w:pPr>
        <w:pStyle w:val="BodyText"/>
        <w:spacing w:line="240" w:lineRule="auto" w:before="110"/>
        <w:ind w:left="950" w:right="0"/>
        <w:jc w:val="left"/>
      </w:pPr>
      <w:r>
        <w:rPr>
          <w:rFonts w:ascii="Times New Roman" w:hAnsi="Times New Roman" w:cs="Times New Roman" w:eastAsia="Times New Roman" w:hint="default"/>
        </w:rPr>
        <w:t>2</w:t>
      </w:r>
      <w:r>
        <w:rPr/>
        <w:t>、报告期内非募集资金的投资情况</w:t>
      </w:r>
    </w:p>
    <w:p>
      <w:pPr>
        <w:pStyle w:val="BodyText"/>
        <w:spacing w:line="240" w:lineRule="auto" w:before="109"/>
        <w:ind w:left="950" w:right="0"/>
        <w:jc w:val="left"/>
      </w:pPr>
      <w:r>
        <w:rPr/>
        <w:t>本年度，公司投资总额约为</w:t>
      </w:r>
      <w:r>
        <w:rPr>
          <w:spacing w:val="-54"/>
        </w:rPr>
        <w:t> </w:t>
      </w:r>
      <w:r>
        <w:rPr>
          <w:rFonts w:ascii="Times New Roman" w:hAnsi="Times New Roman" w:cs="Times New Roman" w:eastAsia="Times New Roman" w:hint="default"/>
        </w:rPr>
        <w:t>71,925</w:t>
      </w:r>
      <w:r>
        <w:rPr>
          <w:rFonts w:ascii="Times New Roman" w:hAnsi="Times New Roman" w:cs="Times New Roman" w:eastAsia="Times New Roman" w:hint="default"/>
          <w:spacing w:val="-2"/>
        </w:rPr>
        <w:t> </w:t>
      </w:r>
      <w:r>
        <w:rPr/>
        <w:t>万元，主要用于下列投资项目：</w:t>
      </w:r>
    </w:p>
    <w:p>
      <w:pPr>
        <w:spacing w:line="240" w:lineRule="auto" w:before="8"/>
        <w:rPr>
          <w:rFonts w:ascii="宋体" w:hAnsi="宋体" w:cs="宋体" w:eastAsia="宋体" w:hint="default"/>
          <w:sz w:val="7"/>
          <w:szCs w:val="7"/>
        </w:rPr>
      </w:pPr>
    </w:p>
    <w:tbl>
      <w:tblPr>
        <w:tblW w:w="0" w:type="auto"/>
        <w:jc w:val="left"/>
        <w:tblInd w:w="495" w:type="dxa"/>
        <w:tblLayout w:type="fixed"/>
        <w:tblCellMar>
          <w:top w:w="0" w:type="dxa"/>
          <w:left w:w="0" w:type="dxa"/>
          <w:bottom w:w="0" w:type="dxa"/>
          <w:right w:w="0" w:type="dxa"/>
        </w:tblCellMar>
        <w:tblLook w:val="01E0"/>
      </w:tblPr>
      <w:tblGrid>
        <w:gridCol w:w="1681"/>
        <w:gridCol w:w="2201"/>
        <w:gridCol w:w="2560"/>
        <w:gridCol w:w="1996"/>
      </w:tblGrid>
      <w:tr>
        <w:trPr>
          <w:trHeight w:val="395" w:hRule="exact"/>
        </w:trPr>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6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本年度投资金额</w:t>
            </w:r>
            <w:r>
              <w:rPr>
                <w:rFonts w:ascii="Times New Roman" w:hAnsi="Times New Roman" w:cs="Times New Roman" w:eastAsia="Times New Roman" w:hint="default"/>
                <w:b/>
                <w:bCs/>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19"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90" w:right="0"/>
              <w:jc w:val="left"/>
              <w:rPr>
                <w:rFonts w:ascii="宋体" w:hAnsi="宋体" w:cs="宋体" w:eastAsia="宋体" w:hint="default"/>
                <w:sz w:val="18"/>
                <w:szCs w:val="18"/>
              </w:rPr>
            </w:pPr>
            <w:r>
              <w:rPr>
                <w:rFonts w:ascii="宋体" w:hAnsi="宋体" w:cs="宋体" w:eastAsia="宋体" w:hint="default"/>
                <w:sz w:val="18"/>
                <w:szCs w:val="18"/>
              </w:rPr>
              <w:t>本年度收益情况</w:t>
            </w:r>
          </w:p>
        </w:tc>
      </w:tr>
      <w:tr>
        <w:trPr>
          <w:trHeight w:val="400" w:hRule="exact"/>
        </w:trPr>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西安鸿基新城项目</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603" w:right="0"/>
              <w:jc w:val="left"/>
              <w:rPr>
                <w:rFonts w:ascii="Times New Roman" w:hAnsi="Times New Roman" w:cs="Times New Roman" w:eastAsia="Times New Roman" w:hint="default"/>
                <w:sz w:val="18"/>
                <w:szCs w:val="18"/>
              </w:rPr>
            </w:pPr>
            <w:r>
              <w:rPr>
                <w:rFonts w:ascii="Times New Roman"/>
                <w:sz w:val="18"/>
              </w:rPr>
              <w:t>22,837</w:t>
            </w: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17" w:right="0"/>
              <w:jc w:val="left"/>
              <w:rPr>
                <w:rFonts w:ascii="宋体" w:hAnsi="宋体" w:cs="宋体" w:eastAsia="宋体" w:hint="default"/>
                <w:sz w:val="18"/>
                <w:szCs w:val="18"/>
              </w:rPr>
            </w:pP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报告期内公</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57" w:right="0"/>
              <w:jc w:val="left"/>
              <w:rPr>
                <w:rFonts w:ascii="宋体" w:hAnsi="宋体" w:cs="宋体" w:eastAsia="宋体" w:hint="default"/>
                <w:sz w:val="18"/>
                <w:szCs w:val="18"/>
              </w:rPr>
            </w:pPr>
            <w:r>
              <w:rPr>
                <w:rFonts w:ascii="宋体" w:hAnsi="宋体" w:cs="宋体" w:eastAsia="宋体" w:hint="default"/>
                <w:sz w:val="18"/>
                <w:szCs w:val="18"/>
              </w:rPr>
              <w:t>尚未产生收益</w:t>
            </w:r>
          </w:p>
        </w:tc>
      </w:tr>
      <w:tr>
        <w:trPr>
          <w:trHeight w:val="400" w:hRule="exact"/>
        </w:trPr>
        <w:tc>
          <w:tcPr>
            <w:tcW w:w="1681"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司经营情况</w:t>
            </w:r>
            <w:r>
              <w:rPr>
                <w:rFonts w:ascii="Times New Roman" w:hAnsi="Times New Roman" w:cs="Times New Roman" w:eastAsia="Times New Roman" w:hint="default"/>
                <w:sz w:val="18"/>
                <w:szCs w:val="18"/>
              </w:rPr>
              <w:t>”</w:t>
            </w:r>
            <w:r>
              <w:rPr>
                <w:rFonts w:ascii="宋体" w:hAnsi="宋体" w:cs="宋体" w:eastAsia="宋体" w:hint="default"/>
                <w:sz w:val="18"/>
                <w:szCs w:val="18"/>
              </w:rPr>
              <w:t>之相关内容</w:t>
            </w:r>
          </w:p>
        </w:tc>
        <w:tc>
          <w:tcPr>
            <w:tcW w:w="1996" w:type="dxa"/>
            <w:tcBorders>
              <w:top w:val="nil" w:sz="6" w:space="0" w:color="auto"/>
              <w:left w:val="nil" w:sz="6" w:space="0" w:color="auto"/>
              <w:bottom w:val="nil" w:sz="6" w:space="0" w:color="auto"/>
              <w:right w:val="nil" w:sz="6" w:space="0" w:color="auto"/>
            </w:tcBorders>
          </w:tcPr>
          <w:p>
            <w:pPr/>
          </w:p>
        </w:tc>
      </w:tr>
      <w:tr>
        <w:trPr>
          <w:trHeight w:val="400" w:hRule="exact"/>
        </w:trPr>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西安鸿基</w:t>
            </w:r>
            <w:r>
              <w:rPr>
                <w:rFonts w:ascii="Times New Roman" w:hAnsi="Times New Roman" w:cs="Times New Roman" w:eastAsia="Times New Roman" w:hint="default"/>
                <w:sz w:val="18"/>
                <w:szCs w:val="18"/>
              </w:rPr>
              <w:t>·</w:t>
            </w:r>
            <w:r>
              <w:rPr>
                <w:rFonts w:ascii="宋体" w:hAnsi="宋体" w:cs="宋体" w:eastAsia="宋体" w:hint="default"/>
                <w:sz w:val="18"/>
                <w:szCs w:val="18"/>
              </w:rPr>
              <w:t>紫韵项目</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58" w:right="0"/>
              <w:jc w:val="left"/>
              <w:rPr>
                <w:rFonts w:ascii="Times New Roman" w:hAnsi="Times New Roman" w:cs="Times New Roman" w:eastAsia="Times New Roman" w:hint="default"/>
                <w:sz w:val="18"/>
                <w:szCs w:val="18"/>
              </w:rPr>
            </w:pPr>
            <w:r>
              <w:rPr>
                <w:rFonts w:ascii="Times New Roman"/>
                <w:sz w:val="18"/>
              </w:rPr>
              <w:t>19,386</w:t>
            </w: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31"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尚未产生收益</w:t>
            </w:r>
          </w:p>
        </w:tc>
      </w:tr>
      <w:tr>
        <w:trPr>
          <w:trHeight w:val="400" w:hRule="exact"/>
        </w:trPr>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草埔鸿基花园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w:t>
            </w:r>
          </w:p>
        </w:tc>
        <w:tc>
          <w:tcPr>
            <w:tcW w:w="2201"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
        </w:tc>
      </w:tr>
      <w:tr>
        <w:trPr>
          <w:trHeight w:val="395" w:hRule="exact"/>
        </w:trPr>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25" w:right="0"/>
              <w:jc w:val="left"/>
              <w:rPr>
                <w:rFonts w:ascii="宋体" w:hAnsi="宋体" w:cs="宋体" w:eastAsia="宋体" w:hint="default"/>
                <w:sz w:val="18"/>
                <w:szCs w:val="18"/>
              </w:rPr>
            </w:pPr>
            <w:r>
              <w:rPr>
                <w:rFonts w:ascii="宋体" w:hAnsi="宋体" w:cs="宋体" w:eastAsia="宋体" w:hint="default"/>
                <w:sz w:val="18"/>
                <w:szCs w:val="18"/>
              </w:rPr>
              <w:t>鸿翠苑项目</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603" w:right="0"/>
              <w:jc w:val="left"/>
              <w:rPr>
                <w:rFonts w:ascii="Times New Roman" w:hAnsi="Times New Roman" w:cs="Times New Roman" w:eastAsia="Times New Roman" w:hint="default"/>
                <w:sz w:val="18"/>
                <w:szCs w:val="18"/>
              </w:rPr>
            </w:pPr>
            <w:r>
              <w:rPr>
                <w:rFonts w:ascii="Times New Roman"/>
                <w:sz w:val="18"/>
              </w:rPr>
              <w:t>29,702</w:t>
            </w: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787"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87" w:right="0"/>
              <w:jc w:val="left"/>
              <w:rPr>
                <w:rFonts w:ascii="宋体" w:hAnsi="宋体" w:cs="宋体" w:eastAsia="宋体" w:hint="default"/>
                <w:sz w:val="18"/>
                <w:szCs w:val="18"/>
              </w:rPr>
            </w:pPr>
            <w:r>
              <w:rPr>
                <w:rFonts w:ascii="宋体" w:hAnsi="宋体" w:cs="宋体" w:eastAsia="宋体" w:hint="default"/>
                <w:sz w:val="18"/>
                <w:szCs w:val="18"/>
              </w:rPr>
              <w:t>营业利润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14"/>
          <w:szCs w:val="14"/>
        </w:rPr>
      </w:pPr>
    </w:p>
    <w:p>
      <w:pPr>
        <w:pStyle w:val="Heading3"/>
        <w:spacing w:line="240" w:lineRule="auto" w:before="26"/>
        <w:ind w:left="530" w:right="0"/>
        <w:jc w:val="both"/>
      </w:pPr>
      <w:r>
        <w:rPr/>
        <w:t>五、公允价值计量项目相关情况及持有外币金融资产和金融负债情况</w:t>
      </w:r>
    </w:p>
    <w:p>
      <w:pPr>
        <w:spacing w:line="240" w:lineRule="auto" w:before="2"/>
        <w:rPr>
          <w:rFonts w:ascii="黑体" w:hAnsi="黑体" w:cs="黑体" w:eastAsia="黑体" w:hint="default"/>
          <w:sz w:val="26"/>
          <w:szCs w:val="26"/>
        </w:rPr>
      </w:pPr>
    </w:p>
    <w:p>
      <w:pPr>
        <w:pStyle w:val="BodyText"/>
        <w:spacing w:line="314" w:lineRule="auto"/>
        <w:ind w:left="530" w:right="548"/>
        <w:jc w:val="both"/>
        <w:rPr>
          <w:rFonts w:ascii="黑体" w:hAnsi="黑体" w:cs="黑体" w:eastAsia="黑体" w:hint="default"/>
        </w:rPr>
      </w:pPr>
      <w:r>
        <w:rPr>
          <w:rFonts w:ascii="黑体" w:hAnsi="黑体" w:cs="黑体" w:eastAsia="黑体" w:hint="default"/>
        </w:rPr>
        <w:t>（一）公司持有的可供出售金融资产主要包括公司持有的其他上市公司法人股，该等股份已取</w:t>
      </w:r>
      <w:r>
        <w:rPr>
          <w:rFonts w:ascii="黑体" w:hAnsi="黑体" w:cs="黑体" w:eastAsia="黑体" w:hint="default"/>
          <w:spacing w:val="-99"/>
        </w:rPr>
        <w:t> </w:t>
      </w:r>
      <w:r>
        <w:rPr>
          <w:rFonts w:ascii="黑体" w:hAnsi="黑体" w:cs="黑体" w:eastAsia="黑体" w:hint="default"/>
          <w:spacing w:val="-99"/>
        </w:rPr>
      </w:r>
      <w:r>
        <w:rPr>
          <w:rFonts w:ascii="黑体" w:hAnsi="黑体" w:cs="黑体" w:eastAsia="黑体" w:hint="default"/>
        </w:rPr>
        <w:t>得流通权，包括尚处于被限制流通的股份。可供出售金融资产以公允价值进行后续计量，公允</w:t>
      </w:r>
      <w:r>
        <w:rPr>
          <w:rFonts w:ascii="黑体" w:hAnsi="黑体" w:cs="黑体" w:eastAsia="黑体" w:hint="default"/>
          <w:spacing w:val="-99"/>
        </w:rPr>
        <w:t> </w:t>
      </w:r>
      <w:r>
        <w:rPr>
          <w:rFonts w:ascii="黑体" w:hAnsi="黑体" w:cs="黑体" w:eastAsia="黑体" w:hint="default"/>
          <w:spacing w:val="-99"/>
        </w:rPr>
      </w:r>
      <w:r>
        <w:rPr>
          <w:rFonts w:ascii="黑体" w:hAnsi="黑体" w:cs="黑体" w:eastAsia="黑体" w:hint="default"/>
        </w:rPr>
        <w:t>价值变动计入资本公积。</w:t>
      </w:r>
    </w:p>
    <w:p>
      <w:pPr>
        <w:pStyle w:val="BodyText"/>
        <w:spacing w:line="240" w:lineRule="auto" w:before="52"/>
        <w:ind w:left="0" w:right="551"/>
        <w:jc w:val="right"/>
        <w:rPr>
          <w:rFonts w:ascii="黑体" w:hAnsi="黑体" w:cs="黑体" w:eastAsia="黑体" w:hint="default"/>
        </w:rPr>
      </w:pPr>
      <w:r>
        <w:rPr>
          <w:rFonts w:ascii="黑体" w:hAnsi="黑体" w:cs="黑体" w:eastAsia="黑体" w:hint="default"/>
        </w:rPr>
        <w:t>单位：元</w:t>
      </w:r>
    </w:p>
    <w:p>
      <w:pPr>
        <w:spacing w:line="240" w:lineRule="auto" w:before="12"/>
        <w:rPr>
          <w:rFonts w:ascii="黑体" w:hAnsi="黑体" w:cs="黑体" w:eastAsia="黑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2268"/>
        <w:gridCol w:w="1436"/>
        <w:gridCol w:w="1500"/>
        <w:gridCol w:w="1440"/>
        <w:gridCol w:w="1384"/>
        <w:gridCol w:w="1440"/>
      </w:tblGrid>
      <w:tr>
        <w:trPr>
          <w:trHeight w:val="943" w:hRule="exact"/>
        </w:trPr>
        <w:tc>
          <w:tcPr>
            <w:tcW w:w="2268"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10"/>
              <w:ind w:right="0"/>
              <w:jc w:val="left"/>
              <w:rPr>
                <w:rFonts w:ascii="黑体" w:hAnsi="黑体" w:cs="黑体" w:eastAsia="黑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436"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10"/>
              <w:ind w:right="0"/>
              <w:jc w:val="left"/>
              <w:rPr>
                <w:rFonts w:ascii="黑体" w:hAnsi="黑体" w:cs="黑体" w:eastAsia="黑体" w:hint="default"/>
                <w:sz w:val="20"/>
                <w:szCs w:val="20"/>
              </w:rPr>
            </w:pPr>
          </w:p>
          <w:p>
            <w:pPr>
              <w:pStyle w:val="TableParagraph"/>
              <w:spacing w:line="240" w:lineRule="auto"/>
              <w:ind w:right="229"/>
              <w:jc w:val="right"/>
              <w:rPr>
                <w:rFonts w:ascii="宋体" w:hAnsi="宋体" w:cs="宋体" w:eastAsia="宋体" w:hint="default"/>
                <w:sz w:val="24"/>
                <w:szCs w:val="24"/>
              </w:rPr>
            </w:pPr>
            <w:r>
              <w:rPr>
                <w:rFonts w:ascii="宋体" w:hAnsi="宋体" w:cs="宋体" w:eastAsia="宋体" w:hint="default"/>
                <w:sz w:val="24"/>
                <w:szCs w:val="24"/>
              </w:rPr>
              <w:t>期初金额</w:t>
            </w:r>
          </w:p>
        </w:tc>
        <w:tc>
          <w:tcPr>
            <w:tcW w:w="1500"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310" w:lineRule="exact" w:before="148"/>
              <w:ind w:left="142" w:right="139"/>
              <w:jc w:val="left"/>
              <w:rPr>
                <w:rFonts w:ascii="宋体" w:hAnsi="宋体" w:cs="宋体" w:eastAsia="宋体" w:hint="default"/>
                <w:sz w:val="24"/>
                <w:szCs w:val="24"/>
              </w:rPr>
            </w:pPr>
            <w:r>
              <w:rPr>
                <w:rFonts w:ascii="宋体" w:hAnsi="宋体" w:cs="宋体" w:eastAsia="宋体" w:hint="default"/>
                <w:sz w:val="24"/>
                <w:szCs w:val="24"/>
              </w:rPr>
              <w:t>本期公允价</w:t>
            </w:r>
            <w:r>
              <w:rPr>
                <w:rFonts w:ascii="宋体" w:hAnsi="宋体" w:cs="宋体" w:eastAsia="宋体" w:hint="default"/>
                <w:spacing w:val="-115"/>
                <w:sz w:val="24"/>
                <w:szCs w:val="24"/>
              </w:rPr>
              <w:t> </w:t>
            </w:r>
            <w:r>
              <w:rPr>
                <w:rFonts w:ascii="宋体" w:hAnsi="宋体" w:cs="宋体" w:eastAsia="宋体" w:hint="default"/>
                <w:sz w:val="24"/>
                <w:szCs w:val="24"/>
              </w:rPr>
              <w:t>值变动损益</w:t>
            </w:r>
          </w:p>
        </w:tc>
        <w:tc>
          <w:tcPr>
            <w:tcW w:w="1440"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73" w:lineRule="exact"/>
              <w:ind w:left="112" w:right="0"/>
              <w:jc w:val="left"/>
              <w:rPr>
                <w:rFonts w:ascii="宋体" w:hAnsi="宋体" w:cs="宋体" w:eastAsia="宋体" w:hint="default"/>
                <w:sz w:val="24"/>
                <w:szCs w:val="24"/>
              </w:rPr>
            </w:pPr>
            <w:r>
              <w:rPr>
                <w:rFonts w:ascii="宋体" w:hAnsi="宋体" w:cs="宋体" w:eastAsia="宋体" w:hint="default"/>
                <w:sz w:val="24"/>
                <w:szCs w:val="24"/>
              </w:rPr>
              <w:t>计入权益的</w:t>
            </w:r>
          </w:p>
          <w:p>
            <w:pPr>
              <w:pStyle w:val="TableParagraph"/>
              <w:spacing w:line="310" w:lineRule="exact" w:before="30"/>
              <w:ind w:left="352" w:right="109" w:hanging="240"/>
              <w:jc w:val="left"/>
              <w:rPr>
                <w:rFonts w:ascii="宋体" w:hAnsi="宋体" w:cs="宋体" w:eastAsia="宋体" w:hint="default"/>
                <w:sz w:val="24"/>
                <w:szCs w:val="24"/>
              </w:rPr>
            </w:pPr>
            <w:r>
              <w:rPr>
                <w:rFonts w:ascii="宋体" w:hAnsi="宋体" w:cs="宋体" w:eastAsia="宋体" w:hint="default"/>
                <w:sz w:val="24"/>
                <w:szCs w:val="24"/>
              </w:rPr>
              <w:t>累计公允价</w:t>
            </w:r>
            <w:r>
              <w:rPr>
                <w:rFonts w:ascii="宋体" w:hAnsi="宋体" w:cs="宋体" w:eastAsia="宋体" w:hint="default"/>
                <w:spacing w:val="-115"/>
                <w:sz w:val="24"/>
                <w:szCs w:val="24"/>
              </w:rPr>
              <w:t> </w:t>
            </w:r>
            <w:r>
              <w:rPr>
                <w:rFonts w:ascii="宋体" w:hAnsi="宋体" w:cs="宋体" w:eastAsia="宋体" w:hint="default"/>
                <w:sz w:val="24"/>
                <w:szCs w:val="24"/>
              </w:rPr>
              <w:t>值变动</w:t>
            </w:r>
          </w:p>
        </w:tc>
        <w:tc>
          <w:tcPr>
            <w:tcW w:w="1384"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310" w:lineRule="exact" w:before="148"/>
              <w:ind w:left="325" w:right="203" w:hanging="120"/>
              <w:jc w:val="left"/>
              <w:rPr>
                <w:rFonts w:ascii="宋体" w:hAnsi="宋体" w:cs="宋体" w:eastAsia="宋体" w:hint="default"/>
                <w:sz w:val="24"/>
                <w:szCs w:val="24"/>
              </w:rPr>
            </w:pPr>
            <w:r>
              <w:rPr>
                <w:rFonts w:ascii="宋体" w:hAnsi="宋体" w:cs="宋体" w:eastAsia="宋体" w:hint="default"/>
                <w:sz w:val="24"/>
                <w:szCs w:val="24"/>
              </w:rPr>
              <w:t>本期计提</w:t>
            </w:r>
            <w:r>
              <w:rPr>
                <w:rFonts w:ascii="宋体" w:hAnsi="宋体" w:cs="宋体" w:eastAsia="宋体" w:hint="default"/>
                <w:spacing w:val="-116"/>
                <w:sz w:val="24"/>
                <w:szCs w:val="24"/>
              </w:rPr>
              <w:t> </w:t>
            </w:r>
            <w:r>
              <w:rPr>
                <w:rFonts w:ascii="宋体" w:hAnsi="宋体" w:cs="宋体" w:eastAsia="宋体" w:hint="default"/>
                <w:sz w:val="24"/>
                <w:szCs w:val="24"/>
              </w:rPr>
              <w:t>的减值</w:t>
            </w:r>
          </w:p>
        </w:tc>
        <w:tc>
          <w:tcPr>
            <w:tcW w:w="1440"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10"/>
              <w:ind w:right="0"/>
              <w:jc w:val="left"/>
              <w:rPr>
                <w:rFonts w:ascii="黑体" w:hAnsi="黑体" w:cs="黑体" w:eastAsia="黑体" w:hint="default"/>
                <w:sz w:val="20"/>
                <w:szCs w:val="20"/>
              </w:rPr>
            </w:pPr>
          </w:p>
          <w:p>
            <w:pPr>
              <w:pStyle w:val="TableParagraph"/>
              <w:spacing w:line="240" w:lineRule="auto"/>
              <w:ind w:right="230"/>
              <w:jc w:val="right"/>
              <w:rPr>
                <w:rFonts w:ascii="宋体" w:hAnsi="宋体" w:cs="宋体" w:eastAsia="宋体" w:hint="default"/>
                <w:sz w:val="24"/>
                <w:szCs w:val="24"/>
              </w:rPr>
            </w:pPr>
            <w:r>
              <w:rPr>
                <w:rFonts w:ascii="宋体" w:hAnsi="宋体" w:cs="宋体" w:eastAsia="宋体" w:hint="default"/>
                <w:sz w:val="24"/>
                <w:szCs w:val="24"/>
              </w:rPr>
              <w:t>期末金额</w:t>
            </w:r>
          </w:p>
        </w:tc>
      </w:tr>
      <w:tr>
        <w:trPr>
          <w:trHeight w:val="282" w:hRule="exact"/>
        </w:trPr>
        <w:tc>
          <w:tcPr>
            <w:tcW w:w="94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82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宋体" w:hAnsi="宋体" w:cs="宋体" w:eastAsia="宋体" w:hint="default"/>
                <w:sz w:val="21"/>
                <w:szCs w:val="21"/>
              </w:rPr>
              <w:t>以公允价值计</w:t>
            </w:r>
          </w:p>
          <w:p>
            <w:pPr>
              <w:pStyle w:val="TableParagraph"/>
              <w:spacing w:line="272" w:lineRule="exact" w:before="18"/>
              <w:ind w:left="103" w:right="80"/>
              <w:jc w:val="left"/>
              <w:rPr>
                <w:rFonts w:ascii="宋体" w:hAnsi="宋体" w:cs="宋体" w:eastAsia="宋体" w:hint="default"/>
                <w:sz w:val="21"/>
                <w:szCs w:val="21"/>
              </w:rPr>
            </w:pPr>
            <w:r>
              <w:rPr>
                <w:rFonts w:ascii="宋体" w:hAnsi="宋体" w:cs="宋体" w:eastAsia="宋体" w:hint="default"/>
                <w:spacing w:val="17"/>
                <w:sz w:val="21"/>
                <w:szCs w:val="21"/>
              </w:rPr>
              <w:t>量且其变动计入当期</w:t>
            </w:r>
            <w:r>
              <w:rPr>
                <w:rFonts w:ascii="宋体" w:hAnsi="宋体" w:cs="宋体" w:eastAsia="宋体" w:hint="default"/>
                <w:spacing w:val="-99"/>
                <w:sz w:val="21"/>
                <w:szCs w:val="21"/>
              </w:rPr>
              <w:t> </w:t>
            </w:r>
            <w:r>
              <w:rPr>
                <w:rFonts w:ascii="宋体" w:hAnsi="宋体" w:cs="宋体" w:eastAsia="宋体" w:hint="default"/>
                <w:sz w:val="21"/>
                <w:szCs w:val="21"/>
              </w:rPr>
              <w:t>损益的金融资产</w:t>
            </w:r>
          </w:p>
        </w:tc>
        <w:tc>
          <w:tcPr>
            <w:tcW w:w="14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其中：衍生金融资产</w:t>
            </w:r>
          </w:p>
        </w:tc>
        <w:tc>
          <w:tcPr>
            <w:tcW w:w="14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可供出售金融资产</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86"/>
              <w:jc w:val="right"/>
              <w:rPr>
                <w:rFonts w:ascii="Times New Roman" w:hAnsi="Times New Roman" w:cs="Times New Roman" w:eastAsia="Times New Roman" w:hint="default"/>
                <w:sz w:val="18"/>
                <w:szCs w:val="18"/>
              </w:rPr>
            </w:pPr>
            <w:r>
              <w:rPr>
                <w:rFonts w:ascii="Times New Roman"/>
                <w:spacing w:val="-1"/>
                <w:sz w:val="18"/>
              </w:rPr>
              <w:t>22,240,000.00</w:t>
            </w:r>
          </w:p>
        </w:tc>
        <w:tc>
          <w:tcPr>
            <w:tcW w:w="15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2" w:right="0"/>
              <w:jc w:val="left"/>
              <w:rPr>
                <w:rFonts w:ascii="Times New Roman" w:hAnsi="Times New Roman" w:cs="Times New Roman" w:eastAsia="Times New Roman" w:hint="default"/>
                <w:sz w:val="18"/>
                <w:szCs w:val="18"/>
              </w:rPr>
            </w:pPr>
            <w:r>
              <w:rPr>
                <w:rFonts w:ascii="Times New Roman"/>
                <w:sz w:val="18"/>
              </w:rPr>
              <w:t>28,935,054.68</w:t>
            </w:r>
          </w:p>
        </w:tc>
        <w:tc>
          <w:tcPr>
            <w:tcW w:w="138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90"/>
              <w:jc w:val="right"/>
              <w:rPr>
                <w:rFonts w:ascii="Times New Roman" w:hAnsi="Times New Roman" w:cs="Times New Roman" w:eastAsia="Times New Roman" w:hint="default"/>
                <w:sz w:val="18"/>
                <w:szCs w:val="18"/>
              </w:rPr>
            </w:pPr>
            <w:r>
              <w:rPr>
                <w:rFonts w:ascii="Times New Roman"/>
                <w:spacing w:val="-1"/>
                <w:sz w:val="18"/>
              </w:rPr>
              <w:t>39,034,475.45</w:t>
            </w:r>
          </w:p>
        </w:tc>
      </w:tr>
      <w:tr>
        <w:trPr>
          <w:trHeight w:val="28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86"/>
              <w:jc w:val="right"/>
              <w:rPr>
                <w:rFonts w:ascii="Times New Roman" w:hAnsi="Times New Roman" w:cs="Times New Roman" w:eastAsia="Times New Roman" w:hint="default"/>
                <w:sz w:val="18"/>
                <w:szCs w:val="18"/>
              </w:rPr>
            </w:pPr>
            <w:r>
              <w:rPr>
                <w:rFonts w:ascii="Times New Roman"/>
                <w:spacing w:val="-1"/>
                <w:sz w:val="18"/>
              </w:rPr>
              <w:t>22,240,000.00</w:t>
            </w:r>
          </w:p>
        </w:tc>
        <w:tc>
          <w:tcPr>
            <w:tcW w:w="15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2" w:right="0"/>
              <w:jc w:val="left"/>
              <w:rPr>
                <w:rFonts w:ascii="Times New Roman" w:hAnsi="Times New Roman" w:cs="Times New Roman" w:eastAsia="Times New Roman" w:hint="default"/>
                <w:sz w:val="18"/>
                <w:szCs w:val="18"/>
              </w:rPr>
            </w:pPr>
            <w:r>
              <w:rPr>
                <w:rFonts w:ascii="Times New Roman"/>
                <w:sz w:val="18"/>
              </w:rPr>
              <w:t>28,935,054.68</w:t>
            </w:r>
          </w:p>
        </w:tc>
        <w:tc>
          <w:tcPr>
            <w:tcW w:w="138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90"/>
              <w:jc w:val="right"/>
              <w:rPr>
                <w:rFonts w:ascii="Times New Roman" w:hAnsi="Times New Roman" w:cs="Times New Roman" w:eastAsia="Times New Roman" w:hint="default"/>
                <w:sz w:val="18"/>
                <w:szCs w:val="18"/>
              </w:rPr>
            </w:pPr>
            <w:r>
              <w:rPr>
                <w:rFonts w:ascii="Times New Roman"/>
                <w:spacing w:val="-1"/>
                <w:sz w:val="18"/>
              </w:rPr>
              <w:t>39,034,475.45</w:t>
            </w:r>
          </w:p>
        </w:tc>
      </w:tr>
      <w:tr>
        <w:trPr>
          <w:trHeight w:val="252" w:hRule="exact"/>
        </w:trPr>
        <w:tc>
          <w:tcPr>
            <w:tcW w:w="9468" w:type="dxa"/>
            <w:gridSpan w:val="6"/>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4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4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4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86"/>
              <w:jc w:val="right"/>
              <w:rPr>
                <w:rFonts w:ascii="Times New Roman" w:hAnsi="Times New Roman" w:cs="Times New Roman" w:eastAsia="Times New Roman" w:hint="default"/>
                <w:sz w:val="18"/>
                <w:szCs w:val="18"/>
              </w:rPr>
            </w:pPr>
            <w:r>
              <w:rPr>
                <w:rFonts w:ascii="Times New Roman"/>
                <w:spacing w:val="-1"/>
                <w:sz w:val="18"/>
              </w:rPr>
              <w:t>22,240,000.00</w:t>
            </w:r>
          </w:p>
        </w:tc>
        <w:tc>
          <w:tcPr>
            <w:tcW w:w="15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2" w:right="0"/>
              <w:jc w:val="left"/>
              <w:rPr>
                <w:rFonts w:ascii="Times New Roman" w:hAnsi="Times New Roman" w:cs="Times New Roman" w:eastAsia="Times New Roman" w:hint="default"/>
                <w:sz w:val="18"/>
                <w:szCs w:val="18"/>
              </w:rPr>
            </w:pPr>
            <w:r>
              <w:rPr>
                <w:rFonts w:ascii="Times New Roman"/>
                <w:sz w:val="18"/>
              </w:rPr>
              <w:t>28,935,054.68</w:t>
            </w:r>
          </w:p>
        </w:tc>
        <w:tc>
          <w:tcPr>
            <w:tcW w:w="138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90"/>
              <w:jc w:val="right"/>
              <w:rPr>
                <w:rFonts w:ascii="Times New Roman" w:hAnsi="Times New Roman" w:cs="Times New Roman" w:eastAsia="Times New Roman" w:hint="default"/>
                <w:sz w:val="18"/>
                <w:szCs w:val="18"/>
              </w:rPr>
            </w:pPr>
            <w:r>
              <w:rPr>
                <w:rFonts w:ascii="Times New Roman"/>
                <w:spacing w:val="-1"/>
                <w:sz w:val="18"/>
              </w:rPr>
              <w:t>39,034,475.45</w:t>
            </w:r>
          </w:p>
        </w:tc>
      </w:tr>
    </w:tbl>
    <w:p>
      <w:pPr>
        <w:spacing w:after="0" w:line="202" w:lineRule="exact"/>
        <w:jc w:val="right"/>
        <w:rPr>
          <w:rFonts w:ascii="Times New Roman" w:hAnsi="Times New Roman" w:cs="Times New Roman" w:eastAsia="Times New Roman" w:hint="default"/>
          <w:sz w:val="18"/>
          <w:szCs w:val="18"/>
        </w:rPr>
        <w:sectPr>
          <w:pgSz w:w="11900" w:h="16840"/>
          <w:pgMar w:header="0" w:footer="939" w:top="1500" w:bottom="1120" w:left="1340" w:right="860"/>
        </w:sectPr>
      </w:pPr>
    </w:p>
    <w:p>
      <w:pPr>
        <w:pStyle w:val="BodyText"/>
        <w:spacing w:line="240" w:lineRule="auto" w:before="24"/>
        <w:ind w:right="0"/>
        <w:jc w:val="both"/>
        <w:rPr>
          <w:rFonts w:ascii="黑体" w:hAnsi="黑体" w:cs="黑体" w:eastAsia="黑体" w:hint="default"/>
        </w:rPr>
      </w:pPr>
      <w:r>
        <w:rPr>
          <w:rFonts w:ascii="黑体" w:hAnsi="黑体" w:cs="黑体" w:eastAsia="黑体" w:hint="default"/>
        </w:rPr>
        <w:t>（二）公司不存在持有外币金融资产、金融负债情况</w:t>
      </w:r>
    </w:p>
    <w:p>
      <w:pPr>
        <w:spacing w:line="240" w:lineRule="auto" w:before="12"/>
        <w:rPr>
          <w:rFonts w:ascii="黑体" w:hAnsi="黑体" w:cs="黑体" w:eastAsia="黑体" w:hint="default"/>
          <w:sz w:val="22"/>
          <w:szCs w:val="22"/>
        </w:rPr>
      </w:pPr>
    </w:p>
    <w:p>
      <w:pPr>
        <w:pStyle w:val="Heading3"/>
        <w:spacing w:line="240" w:lineRule="auto"/>
        <w:ind w:right="0"/>
        <w:jc w:val="both"/>
      </w:pPr>
      <w:r>
        <w:rPr/>
        <w:t>六、会计政策和会计估计变更以及差错更正的说明</w:t>
      </w:r>
    </w:p>
    <w:p>
      <w:pPr>
        <w:spacing w:line="240" w:lineRule="auto" w:before="8"/>
        <w:rPr>
          <w:rFonts w:ascii="黑体" w:hAnsi="黑体" w:cs="黑体" w:eastAsia="黑体" w:hint="default"/>
          <w:sz w:val="34"/>
          <w:szCs w:val="34"/>
        </w:rPr>
      </w:pPr>
    </w:p>
    <w:p>
      <w:pPr>
        <w:pStyle w:val="BodyText"/>
        <w:spacing w:line="240" w:lineRule="auto"/>
        <w:ind w:left="610" w:right="0"/>
        <w:jc w:val="left"/>
      </w:pPr>
      <w:r>
        <w:rPr/>
        <w:t>报告期内，公司不涉及会计政策、会计估计变更以及会计差错更正。</w:t>
      </w:r>
    </w:p>
    <w:p>
      <w:pPr>
        <w:spacing w:line="240" w:lineRule="auto" w:before="11"/>
        <w:rPr>
          <w:rFonts w:ascii="宋体" w:hAnsi="宋体" w:cs="宋体" w:eastAsia="宋体" w:hint="default"/>
          <w:sz w:val="25"/>
          <w:szCs w:val="25"/>
        </w:rPr>
      </w:pPr>
    </w:p>
    <w:p>
      <w:pPr>
        <w:pStyle w:val="Heading3"/>
        <w:spacing w:line="240" w:lineRule="auto"/>
        <w:ind w:right="0"/>
        <w:jc w:val="both"/>
      </w:pPr>
      <w:r>
        <w:rPr/>
        <w:t>七、董事局日常工作情况</w:t>
      </w:r>
    </w:p>
    <w:p>
      <w:pPr>
        <w:spacing w:line="240" w:lineRule="auto" w:before="7"/>
        <w:rPr>
          <w:rFonts w:ascii="黑体" w:hAnsi="黑体" w:cs="黑体" w:eastAsia="黑体" w:hint="default"/>
          <w:sz w:val="28"/>
          <w:szCs w:val="28"/>
        </w:rPr>
      </w:pPr>
    </w:p>
    <w:p>
      <w:pPr>
        <w:pStyle w:val="BodyText"/>
        <w:spacing w:line="240" w:lineRule="auto"/>
        <w:ind w:right="0"/>
        <w:jc w:val="both"/>
        <w:rPr>
          <w:rFonts w:ascii="黑体" w:hAnsi="黑体" w:cs="黑体" w:eastAsia="黑体" w:hint="default"/>
        </w:rPr>
      </w:pPr>
      <w:r>
        <w:rPr>
          <w:rFonts w:ascii="黑体" w:hAnsi="黑体" w:cs="黑体" w:eastAsia="黑体" w:hint="default"/>
        </w:rPr>
        <w:t>（一）报告期内董事局的会议情况</w:t>
      </w:r>
    </w:p>
    <w:p>
      <w:pPr>
        <w:pStyle w:val="BodyText"/>
        <w:spacing w:line="240" w:lineRule="auto" w:before="126"/>
        <w:ind w:left="610" w:right="0"/>
        <w:jc w:val="left"/>
      </w:pPr>
      <w:r>
        <w:rPr/>
        <w:t>报告期内公司董事局共召开</w:t>
      </w:r>
      <w:r>
        <w:rPr>
          <w:spacing w:val="-55"/>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次会议，会议情况如下：</w:t>
      </w:r>
    </w:p>
    <w:p>
      <w:pPr>
        <w:pStyle w:val="BodyText"/>
        <w:spacing w:line="331" w:lineRule="auto" w:before="109"/>
        <w:ind w:right="209" w:firstLine="42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24</w:t>
      </w:r>
      <w:r>
        <w:rPr/>
        <w:t>日，以通讯方式召开了第五届董事局第二十二次临时会议，共</w:t>
      </w:r>
      <w:r>
        <w:rPr>
          <w:rFonts w:ascii="Times New Roman" w:hAnsi="Times New Roman" w:cs="Times New Roman" w:eastAsia="Times New Roman" w:hint="default"/>
        </w:rPr>
        <w:t>12</w:t>
      </w:r>
      <w:r>
        <w:rPr/>
        <w:t>名董事参 </w:t>
      </w:r>
      <w:r>
        <w:rPr>
          <w:spacing w:val="-2"/>
        </w:rPr>
        <w:t>与表决，审议通过了《关于公司为控股子公司西安深鸿基房地产开发有限公司贷款人民币</w:t>
      </w:r>
      <w:r>
        <w:rPr>
          <w:rFonts w:ascii="Times New Roman" w:hAnsi="Times New Roman" w:cs="Times New Roman" w:eastAsia="Times New Roman" w:hint="default"/>
          <w:spacing w:val="-2"/>
        </w:rPr>
        <w:t>9,000</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spacing w:val="-10"/>
        </w:rPr>
        <w:t>万元提供担保的议案》。会议决议公告刊登于</w:t>
      </w:r>
      <w:r>
        <w:rPr>
          <w:rFonts w:ascii="Times New Roman" w:hAnsi="Times New Roman" w:cs="Times New Roman" w:eastAsia="Times New Roman" w:hint="default"/>
          <w:spacing w:val="-10"/>
        </w:rPr>
        <w:t>2009</w:t>
      </w:r>
      <w:r>
        <w:rPr>
          <w:spacing w:val="-10"/>
        </w:rPr>
        <w:t>年</w:t>
      </w:r>
      <w:r>
        <w:rPr>
          <w:rFonts w:ascii="Times New Roman" w:hAnsi="Times New Roman" w:cs="Times New Roman" w:eastAsia="Times New Roman" w:hint="default"/>
          <w:spacing w:val="-10"/>
        </w:rPr>
        <w:t>3</w:t>
      </w:r>
      <w:r>
        <w:rPr>
          <w:spacing w:val="-10"/>
        </w:rPr>
        <w:t>月</w:t>
      </w:r>
      <w:r>
        <w:rPr>
          <w:rFonts w:ascii="Times New Roman" w:hAnsi="Times New Roman" w:cs="Times New Roman" w:eastAsia="Times New Roman" w:hint="default"/>
          <w:spacing w:val="-10"/>
        </w:rPr>
        <w:t>5</w:t>
      </w:r>
      <w:r>
        <w:rPr>
          <w:spacing w:val="-10"/>
        </w:rPr>
        <w:t>日《证券时报》、《中国证券报》、巨潮</w:t>
      </w:r>
      <w:r>
        <w:rPr>
          <w:spacing w:val="-68"/>
        </w:rPr>
        <w:t> </w:t>
      </w:r>
      <w:r>
        <w:rPr>
          <w:spacing w:val="-68"/>
        </w:rPr>
      </w:r>
      <w:r>
        <w:rPr/>
        <w:t>资讯网。</w:t>
      </w:r>
    </w:p>
    <w:p>
      <w:pPr>
        <w:pStyle w:val="BodyText"/>
        <w:spacing w:line="331" w:lineRule="auto" w:before="45"/>
        <w:ind w:right="164" w:firstLine="42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日，以通讯方式召开了第五届董事局第二十三次临时会议，共</w:t>
      </w:r>
      <w:r>
        <w:rPr>
          <w:rFonts w:ascii="Times New Roman" w:hAnsi="Times New Roman" w:cs="Times New Roman" w:eastAsia="Times New Roman" w:hint="default"/>
        </w:rPr>
        <w:t>12</w:t>
      </w:r>
      <w:r>
        <w:rPr/>
        <w:t>名董事参 与表决，审议通过了《关于公司向工商银行申请转化流动资金贷款人民币</w:t>
      </w:r>
      <w:r>
        <w:rPr>
          <w:rFonts w:ascii="Times New Roman" w:hAnsi="Times New Roman" w:cs="Times New Roman" w:eastAsia="Times New Roman" w:hint="default"/>
        </w:rPr>
        <w:t>5,000</w:t>
      </w:r>
      <w:r>
        <w:rPr/>
        <w:t>万元的议案》。 </w:t>
      </w:r>
      <w:r>
        <w:rPr>
          <w:spacing w:val="-9"/>
        </w:rPr>
        <w:t>会议决议公告刊登于</w:t>
      </w:r>
      <w:r>
        <w:rPr>
          <w:rFonts w:ascii="Times New Roman" w:hAnsi="Times New Roman" w:cs="Times New Roman" w:eastAsia="Times New Roman" w:hint="default"/>
          <w:spacing w:val="-9"/>
        </w:rPr>
        <w:t>2009</w:t>
      </w:r>
      <w:r>
        <w:rPr>
          <w:spacing w:val="-9"/>
        </w:rPr>
        <w:t>年</w:t>
      </w:r>
      <w:r>
        <w:rPr>
          <w:rFonts w:ascii="Times New Roman" w:hAnsi="Times New Roman" w:cs="Times New Roman" w:eastAsia="Times New Roman" w:hint="default"/>
          <w:spacing w:val="-9"/>
        </w:rPr>
        <w:t>3</w:t>
      </w:r>
      <w:r>
        <w:rPr>
          <w:spacing w:val="-9"/>
        </w:rPr>
        <w:t>月</w:t>
      </w:r>
      <w:r>
        <w:rPr>
          <w:rFonts w:ascii="Times New Roman" w:hAnsi="Times New Roman" w:cs="Times New Roman" w:eastAsia="Times New Roman" w:hint="default"/>
          <w:spacing w:val="-9"/>
        </w:rPr>
        <w:t>26</w:t>
      </w:r>
      <w:r>
        <w:rPr>
          <w:spacing w:val="-9"/>
        </w:rPr>
        <w:t>日《证券时报》、《中国证券报》、巨潮资讯网。</w:t>
      </w:r>
    </w:p>
    <w:p>
      <w:pPr>
        <w:pStyle w:val="BodyText"/>
        <w:spacing w:line="331" w:lineRule="auto" w:before="20"/>
        <w:ind w:right="209" w:firstLine="42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日，召开了第五届董事局第二十四次临时会议，共</w:t>
      </w:r>
      <w:r>
        <w:rPr>
          <w:rFonts w:ascii="Times New Roman" w:hAnsi="Times New Roman" w:cs="Times New Roman" w:eastAsia="Times New Roman" w:hint="default"/>
        </w:rPr>
        <w:t>12</w:t>
      </w:r>
      <w:r>
        <w:rPr/>
        <w:t>名董事参与表决，审 </w:t>
      </w:r>
      <w:r>
        <w:rPr>
          <w:spacing w:val="-3"/>
        </w:rPr>
        <w:t>议通过了《关于对鸿基广源贸易有限公司进行财务核销的议案》。议案相关公告刊登于</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4</w:t>
      </w:r>
      <w:r>
        <w:rPr>
          <w:rFonts w:ascii="Times New Roman" w:hAnsi="Times New Roman" w:cs="Times New Roman" w:eastAsia="Times New Roman" w:hint="default"/>
          <w:spacing w:val="-23"/>
        </w:rPr>
        <w:t> </w:t>
      </w:r>
      <w:r>
        <w:rPr>
          <w:spacing w:val="-14"/>
        </w:rPr>
        <w:t>月</w:t>
      </w:r>
      <w:r>
        <w:rPr>
          <w:rFonts w:ascii="Times New Roman" w:hAnsi="Times New Roman" w:cs="Times New Roman" w:eastAsia="Times New Roman" w:hint="default"/>
          <w:spacing w:val="-14"/>
        </w:rPr>
        <w:t>2</w:t>
      </w:r>
      <w:r>
        <w:rPr>
          <w:spacing w:val="-14"/>
        </w:rPr>
        <w:t>日《证券时报》、《中国证券报》、巨潮资讯网。</w:t>
      </w:r>
    </w:p>
    <w:p>
      <w:pPr>
        <w:pStyle w:val="BodyText"/>
        <w:spacing w:line="331" w:lineRule="auto" w:before="20"/>
        <w:ind w:right="0" w:firstLine="42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日，召开了第五届董事局第二十五次临时会议，共</w:t>
      </w:r>
      <w:r>
        <w:rPr>
          <w:rFonts w:ascii="Times New Roman" w:hAnsi="Times New Roman" w:cs="Times New Roman" w:eastAsia="Times New Roman" w:hint="default"/>
        </w:rPr>
        <w:t>12</w:t>
      </w:r>
      <w:r>
        <w:rPr/>
        <w:t>名董事参与表决，审 </w:t>
      </w:r>
      <w:r>
        <w:rPr>
          <w:spacing w:val="-3"/>
        </w:rPr>
        <w:t>议通过了公司年度审计单位深圳市鹏城会计师事务所提交董事局的《与治理层沟通函》等议案。</w:t>
      </w:r>
    </w:p>
    <w:p>
      <w:pPr>
        <w:pStyle w:val="BodyText"/>
        <w:spacing w:line="328" w:lineRule="auto" w:before="45"/>
        <w:ind w:right="217" w:firstLine="420"/>
        <w:jc w:val="both"/>
      </w:pP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27</w:t>
      </w:r>
      <w:r>
        <w:rPr>
          <w:spacing w:val="-1"/>
        </w:rPr>
        <w:t>日，召开了第五届董事局第十二次会议，共</w:t>
      </w:r>
      <w:r>
        <w:rPr>
          <w:rFonts w:ascii="Times New Roman" w:hAnsi="Times New Roman" w:cs="Times New Roman" w:eastAsia="Times New Roman" w:hint="default"/>
          <w:spacing w:val="-1"/>
        </w:rPr>
        <w:t>11</w:t>
      </w:r>
      <w:r>
        <w:rPr>
          <w:spacing w:val="-1"/>
        </w:rPr>
        <w:t>名董事参与表决，审议通过</w:t>
      </w:r>
      <w:r>
        <w:rPr/>
        <w:t> 了《公司</w:t>
      </w:r>
      <w:r>
        <w:rPr>
          <w:rFonts w:ascii="Times New Roman" w:hAnsi="Times New Roman" w:cs="Times New Roman" w:eastAsia="Times New Roman" w:hint="default"/>
        </w:rPr>
        <w:t>2008</w:t>
      </w:r>
      <w:r>
        <w:rPr/>
        <w:t>年度财务决算报告》、《关于对东南网络股权转让及增资等事项的整改报告》、</w:t>
      </w:r>
    </w:p>
    <w:p>
      <w:pPr>
        <w:pStyle w:val="BodyText"/>
        <w:spacing w:line="328" w:lineRule="auto" w:before="24"/>
        <w:ind w:right="207"/>
        <w:jc w:val="both"/>
      </w:pPr>
      <w:r>
        <w:rPr>
          <w:spacing w:val="-5"/>
        </w:rPr>
        <w:t>《公司</w:t>
      </w:r>
      <w:r>
        <w:rPr>
          <w:rFonts w:ascii="Times New Roman" w:hAnsi="Times New Roman" w:cs="Times New Roman" w:eastAsia="Times New Roman" w:hint="default"/>
          <w:spacing w:val="-5"/>
        </w:rPr>
        <w:t>2008</w:t>
      </w:r>
      <w:r>
        <w:rPr>
          <w:spacing w:val="-5"/>
        </w:rPr>
        <w:t>年年度报告及其摘要》等</w:t>
      </w:r>
      <w:r>
        <w:rPr>
          <w:rFonts w:ascii="Times New Roman" w:hAnsi="Times New Roman" w:cs="Times New Roman" w:eastAsia="Times New Roman" w:hint="default"/>
          <w:spacing w:val="-5"/>
        </w:rPr>
        <w:t>15</w:t>
      </w:r>
      <w:r>
        <w:rPr>
          <w:spacing w:val="-5"/>
        </w:rPr>
        <w:t>个议案。会议决议公告以及《</w:t>
      </w:r>
      <w:r>
        <w:rPr>
          <w:rFonts w:ascii="Times New Roman" w:hAnsi="Times New Roman" w:cs="Times New Roman" w:eastAsia="Times New Roman" w:hint="default"/>
          <w:spacing w:val="-5"/>
        </w:rPr>
        <w:t>2008</w:t>
      </w:r>
      <w:r>
        <w:rPr>
          <w:spacing w:val="-5"/>
        </w:rPr>
        <w:t>年年度报告》、《</w:t>
      </w:r>
      <w:r>
        <w:rPr>
          <w:rFonts w:ascii="Times New Roman" w:hAnsi="Times New Roman" w:cs="Times New Roman" w:eastAsia="Times New Roman" w:hint="default"/>
          <w:spacing w:val="-5"/>
        </w:rPr>
        <w:t>2008</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t>年年度报告摘要》、《</w:t>
      </w:r>
      <w:r>
        <w:rPr>
          <w:rFonts w:ascii="Times New Roman" w:hAnsi="Times New Roman" w:cs="Times New Roman" w:eastAsia="Times New Roman" w:hint="default"/>
        </w:rPr>
        <w:t>2008</w:t>
      </w:r>
      <w:r>
        <w:rPr/>
        <w:t>年审计报告》、《关于对东南网络股权转让及增资等事项的整改报 </w:t>
      </w:r>
      <w:r>
        <w:rPr>
          <w:spacing w:val="-9"/>
        </w:rPr>
        <w:t>告》刊登于</w:t>
      </w:r>
      <w:r>
        <w:rPr>
          <w:rFonts w:ascii="Times New Roman" w:hAnsi="Times New Roman" w:cs="Times New Roman" w:eastAsia="Times New Roman" w:hint="default"/>
          <w:spacing w:val="-9"/>
        </w:rPr>
        <w:t>2009</w:t>
      </w:r>
      <w:r>
        <w:rPr>
          <w:spacing w:val="-9"/>
        </w:rPr>
        <w:t>年</w:t>
      </w:r>
      <w:r>
        <w:rPr>
          <w:rFonts w:ascii="Times New Roman" w:hAnsi="Times New Roman" w:cs="Times New Roman" w:eastAsia="Times New Roman" w:hint="default"/>
          <w:spacing w:val="-9"/>
        </w:rPr>
        <w:t>4</w:t>
      </w:r>
      <w:r>
        <w:rPr>
          <w:spacing w:val="-9"/>
        </w:rPr>
        <w:t>月</w:t>
      </w:r>
      <w:r>
        <w:rPr>
          <w:rFonts w:ascii="Times New Roman" w:hAnsi="Times New Roman" w:cs="Times New Roman" w:eastAsia="Times New Roman" w:hint="default"/>
          <w:spacing w:val="-9"/>
        </w:rPr>
        <w:t>30</w:t>
      </w:r>
      <w:r>
        <w:rPr>
          <w:spacing w:val="-9"/>
        </w:rPr>
        <w:t>日《证券时报》、《中国证券报》、巨潮资讯网。</w:t>
      </w:r>
    </w:p>
    <w:p>
      <w:pPr>
        <w:pStyle w:val="BodyText"/>
        <w:spacing w:line="331" w:lineRule="auto" w:before="24"/>
        <w:ind w:right="97" w:firstLine="420"/>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29</w:t>
      </w:r>
      <w:r>
        <w:rPr>
          <w:rFonts w:ascii="Times New Roman" w:hAnsi="Times New Roman" w:cs="Times New Roman" w:eastAsia="Times New Roman" w:hint="default"/>
          <w:spacing w:val="8"/>
        </w:rPr>
        <w:t> </w:t>
      </w:r>
      <w:r>
        <w:rPr/>
        <w:t>日，召开了第五届董事局第十三次会议，共</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名董事参与表决，审议 </w:t>
      </w:r>
      <w:r>
        <w:rPr>
          <w:spacing w:val="-9"/>
        </w:rPr>
        <w:t>通过了《公司</w:t>
      </w:r>
      <w:r>
        <w:rPr>
          <w:spacing w:val="-50"/>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3"/>
        </w:rPr>
        <w:t> </w:t>
      </w:r>
      <w:r>
        <w:rPr>
          <w:spacing w:val="-8"/>
        </w:rPr>
        <w:t>年度第一季度报告》、《关于向中国工商银行股份有限公司深圳罗湖支行申请</w:t>
      </w:r>
      <w:r>
        <w:rPr>
          <w:spacing w:val="-98"/>
        </w:rPr>
        <w:t> </w:t>
      </w:r>
      <w:r>
        <w:rPr>
          <w:spacing w:val="-98"/>
        </w:rPr>
      </w:r>
      <w:r>
        <w:rPr>
          <w:rFonts w:ascii="Times New Roman" w:hAnsi="Times New Roman" w:cs="Times New Roman" w:eastAsia="Times New Roman" w:hint="default"/>
          <w:spacing w:val="-1"/>
        </w:rPr>
        <w:t>“</w:t>
      </w:r>
      <w:r>
        <w:rPr>
          <w:spacing w:val="-1"/>
        </w:rPr>
        <w:t>鸿翠苑</w:t>
      </w:r>
      <w:r>
        <w:rPr>
          <w:rFonts w:ascii="Times New Roman" w:hAnsi="Times New Roman" w:cs="Times New Roman" w:eastAsia="Times New Roman" w:hint="default"/>
          <w:spacing w:val="-1"/>
        </w:rPr>
        <w:t>”</w:t>
      </w:r>
      <w:r>
        <w:rPr>
          <w:spacing w:val="-1"/>
        </w:rPr>
        <w:t>项目楼宇按揭贷款额度</w:t>
      </w:r>
      <w:r>
        <w:rPr/>
        <w:t> </w:t>
      </w:r>
      <w:r>
        <w:rPr>
          <w:rFonts w:ascii="Times New Roman" w:hAnsi="Times New Roman" w:cs="Times New Roman" w:eastAsia="Times New Roman" w:hint="default"/>
        </w:rPr>
        <w:t>1 </w:t>
      </w:r>
      <w:r>
        <w:rPr>
          <w:spacing w:val="-7"/>
        </w:rPr>
        <w:t>亿元的议案》，会议决议公告以及《</w:t>
      </w:r>
      <w:r>
        <w:rPr>
          <w:rFonts w:ascii="Times New Roman" w:hAnsi="Times New Roman" w:cs="Times New Roman" w:eastAsia="Times New Roman" w:hint="default"/>
          <w:spacing w:val="-7"/>
        </w:rPr>
        <w:t>2009</w:t>
      </w:r>
      <w:r>
        <w:rPr>
          <w:rFonts w:ascii="Times New Roman" w:hAnsi="Times New Roman" w:cs="Times New Roman" w:eastAsia="Times New Roman" w:hint="default"/>
          <w:spacing w:val="-25"/>
        </w:rPr>
        <w:t> </w:t>
      </w:r>
      <w:r>
        <w:rPr>
          <w:spacing w:val="-1"/>
        </w:rPr>
        <w:t>年度第一季度报告》</w:t>
      </w:r>
      <w:r>
        <w:rPr/>
        <w:t> 刊登于</w:t>
      </w:r>
      <w:r>
        <w:rPr>
          <w:spacing w:val="-52"/>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30</w:t>
      </w:r>
      <w:r>
        <w:rPr>
          <w:rFonts w:ascii="Times New Roman" w:hAnsi="Times New Roman" w:cs="Times New Roman" w:eastAsia="Times New Roman" w:hint="default"/>
          <w:spacing w:val="1"/>
        </w:rPr>
        <w:t> </w:t>
      </w:r>
      <w:r>
        <w:rPr>
          <w:spacing w:val="-15"/>
        </w:rPr>
        <w:t>日《证券时报》、《中国证券报》、巨潮资讯网。</w:t>
      </w:r>
    </w:p>
    <w:p>
      <w:pPr>
        <w:pStyle w:val="BodyText"/>
        <w:spacing w:line="331" w:lineRule="auto" w:before="20"/>
        <w:ind w:right="210" w:firstLine="420"/>
        <w:jc w:val="both"/>
      </w:pPr>
      <w:r>
        <w:rPr>
          <w:rFonts w:ascii="Times New Roman" w:hAnsi="Times New Roman" w:cs="Times New Roman" w:eastAsia="Times New Roman" w:hint="default"/>
          <w:spacing w:val="-3"/>
        </w:rPr>
        <w:t>7</w:t>
      </w:r>
      <w:r>
        <w:rPr>
          <w:spacing w:val="-3"/>
        </w:rPr>
        <w:t>、</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6"/>
        </w:rPr>
        <w:t> </w:t>
      </w:r>
      <w:r>
        <w:rPr/>
        <w:t>年</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日，以通讯方式召开了第五届董事局第二十六次临时会议，共</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名董事 </w:t>
      </w:r>
      <w:r>
        <w:rPr>
          <w:spacing w:val="-4"/>
        </w:rPr>
        <w:t>参与表决，审议通过了关于修改《公司章程》的预案、《关于召开公司</w:t>
      </w:r>
      <w:r>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22"/>
        </w:rPr>
        <w:t> </w:t>
      </w:r>
      <w:r>
        <w:rPr>
          <w:spacing w:val="-1"/>
        </w:rPr>
        <w:t>年度股东大会的议</w:t>
      </w:r>
      <w:r>
        <w:rPr/>
        <w:t> </w:t>
      </w:r>
      <w:r>
        <w:rPr>
          <w:spacing w:val="-14"/>
        </w:rPr>
        <w:t>案》，会议决议公告以及公司</w:t>
      </w:r>
      <w:r>
        <w:rPr>
          <w:spacing w:val="-51"/>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2"/>
        </w:rPr>
        <w:t> </w:t>
      </w:r>
      <w:r>
        <w:rPr>
          <w:spacing w:val="-1"/>
        </w:rPr>
        <w:t>年度股东大会通知刊登于</w:t>
      </w:r>
      <w:r>
        <w:rPr>
          <w:spacing w:val="-51"/>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2"/>
        </w:rPr>
        <w:t> </w:t>
      </w:r>
      <w:r>
        <w:rPr>
          <w:spacing w:val="-35"/>
        </w:rPr>
        <w:t>日《证券时报》、《中</w:t>
      </w:r>
      <w:r>
        <w:rPr/>
        <w:t> </w:t>
      </w:r>
      <w:r>
        <w:rPr>
          <w:spacing w:val="-9"/>
        </w:rPr>
        <w:t>国证券报》、巨潮资讯网。</w:t>
      </w:r>
    </w:p>
    <w:p>
      <w:pPr>
        <w:pStyle w:val="BodyText"/>
        <w:spacing w:line="240" w:lineRule="auto" w:before="45"/>
        <w:ind w:left="610" w:right="0"/>
        <w:jc w:val="left"/>
      </w:pPr>
      <w:r>
        <w:rPr>
          <w:rFonts w:ascii="Times New Roman" w:hAnsi="Times New Roman" w:cs="Times New Roman" w:eastAsia="Times New Roman" w:hint="default"/>
        </w:rPr>
        <w:t>8</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t>日，召开了第六届董事局第一次会议，共</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名董事参与表决，审议通</w:t>
      </w:r>
    </w:p>
    <w:p>
      <w:pPr>
        <w:spacing w:after="0" w:line="240" w:lineRule="auto"/>
        <w:jc w:val="left"/>
        <w:sectPr>
          <w:pgSz w:w="11900" w:h="16840"/>
          <w:pgMar w:header="0" w:footer="939" w:top="1380" w:bottom="1120" w:left="1680" w:right="1200"/>
        </w:sectPr>
      </w:pPr>
    </w:p>
    <w:p>
      <w:pPr>
        <w:pStyle w:val="BodyText"/>
        <w:spacing w:line="340" w:lineRule="auto" w:before="15"/>
        <w:ind w:right="211"/>
        <w:jc w:val="both"/>
      </w:pPr>
      <w:r>
        <w:rPr/>
        <w:t>过《关于</w:t>
      </w:r>
      <w:r>
        <w:rPr>
          <w:spacing w:val="1"/>
        </w:rPr>
        <w:t>选</w:t>
      </w:r>
      <w:r>
        <w:rPr/>
        <w:t>举公司第</w:t>
      </w:r>
      <w:r>
        <w:rPr>
          <w:spacing w:val="1"/>
        </w:rPr>
        <w:t>六</w:t>
      </w:r>
      <w:r>
        <w:rPr/>
        <w:t>届董事局</w:t>
      </w:r>
      <w:r>
        <w:rPr>
          <w:spacing w:val="1"/>
        </w:rPr>
        <w:t>主</w:t>
      </w:r>
      <w:r>
        <w:rPr/>
        <w:t>席的议案</w:t>
      </w:r>
      <w:r>
        <w:rPr>
          <w:spacing w:val="-105"/>
        </w:rPr>
        <w:t>》</w:t>
      </w:r>
      <w:r>
        <w:rPr/>
        <w:t>《关于聘任</w:t>
      </w:r>
      <w:r>
        <w:rPr>
          <w:spacing w:val="1"/>
        </w:rPr>
        <w:t>公</w:t>
      </w:r>
      <w:r>
        <w:rPr/>
        <w:t>司总裁的</w:t>
      </w:r>
      <w:r>
        <w:rPr>
          <w:spacing w:val="1"/>
        </w:rPr>
        <w:t>议</w:t>
      </w:r>
      <w:r>
        <w:rPr/>
        <w:t>案</w:t>
      </w:r>
      <w:r>
        <w:rPr>
          <w:spacing w:val="-105"/>
        </w:rPr>
        <w:t>》</w:t>
      </w:r>
      <w:r>
        <w:rPr/>
        <w:t>《关于聘任公司常务</w:t>
      </w:r>
      <w:r>
        <w:rPr/>
        <w:t> 副总裁的议案》等</w:t>
      </w:r>
      <w:r>
        <w:rPr>
          <w:spacing w:val="-53"/>
        </w:rPr>
        <w:t> </w:t>
      </w:r>
      <w:r>
        <w:rPr>
          <w:rFonts w:ascii="Times New Roman" w:hAnsi="Times New Roman" w:cs="Times New Roman" w:eastAsia="Times New Roman" w:hint="default"/>
        </w:rPr>
        <w:t>10 </w:t>
      </w:r>
      <w:r>
        <w:rPr/>
        <w:t>个议案，会议决议公告刊登于</w:t>
      </w:r>
      <w:r>
        <w:rPr>
          <w:spacing w:val="-53"/>
        </w:rPr>
        <w:t> </w:t>
      </w:r>
      <w:r>
        <w:rPr>
          <w:rFonts w:ascii="Times New Roman" w:hAnsi="Times New Roman" w:cs="Times New Roman" w:eastAsia="Times New Roman" w:hint="default"/>
        </w:rPr>
        <w:t>2009 </w:t>
      </w:r>
      <w:r>
        <w:rPr/>
        <w:t>年</w:t>
      </w:r>
      <w:r>
        <w:rPr>
          <w:spacing w:val="-54"/>
        </w:rPr>
        <w:t> </w:t>
      </w:r>
      <w:r>
        <w:rPr>
          <w:rFonts w:ascii="Times New Roman" w:hAnsi="Times New Roman" w:cs="Times New Roman" w:eastAsia="Times New Roman" w:hint="default"/>
        </w:rPr>
        <w:t>7 </w:t>
      </w:r>
      <w:r>
        <w:rPr/>
        <w:t>月</w:t>
      </w:r>
      <w:r>
        <w:rPr>
          <w:spacing w:val="-53"/>
        </w:rPr>
        <w:t> </w:t>
      </w:r>
      <w:r>
        <w:rPr>
          <w:rFonts w:ascii="Times New Roman" w:hAnsi="Times New Roman" w:cs="Times New Roman" w:eastAsia="Times New Roman" w:hint="default"/>
        </w:rPr>
        <w:t>1 </w:t>
      </w:r>
      <w:r>
        <w:rPr/>
        <w:t>日《证券时报</w:t>
      </w:r>
      <w:r>
        <w:rPr>
          <w:spacing w:val="-105"/>
        </w:rPr>
        <w:t>》、</w:t>
      </w:r>
      <w:r>
        <w:rPr>
          <w:spacing w:val="-2"/>
        </w:rPr>
        <w:t>《</w:t>
      </w:r>
      <w:r>
        <w:rPr/>
        <w:t>中国证券</w:t>
      </w:r>
      <w:r>
        <w:rPr/>
        <w:t> 报</w:t>
      </w:r>
      <w:r>
        <w:rPr>
          <w:spacing w:val="-105"/>
        </w:rPr>
        <w:t>》</w:t>
      </w:r>
      <w:r>
        <w:rPr/>
        <w:t>、巨潮</w:t>
      </w:r>
      <w:r>
        <w:rPr>
          <w:spacing w:val="-2"/>
        </w:rPr>
        <w:t>资</w:t>
      </w:r>
      <w:r>
        <w:rPr/>
        <w:t>讯网。</w:t>
      </w:r>
    </w:p>
    <w:p>
      <w:pPr>
        <w:pStyle w:val="BodyText"/>
        <w:spacing w:line="340" w:lineRule="auto" w:before="36"/>
        <w:ind w:right="208" w:firstLine="420"/>
        <w:jc w:val="both"/>
      </w:pPr>
      <w:r>
        <w:rPr>
          <w:rFonts w:ascii="Times New Roman" w:hAnsi="Times New Roman" w:cs="Times New Roman" w:eastAsia="Times New Roman" w:hint="default"/>
        </w:rPr>
        <w:t>9</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13</w:t>
      </w:r>
      <w:r>
        <w:rPr>
          <w:rFonts w:ascii="Times New Roman" w:hAnsi="Times New Roman" w:cs="Times New Roman" w:eastAsia="Times New Roman" w:hint="default"/>
          <w:spacing w:val="8"/>
        </w:rPr>
        <w:t> </w:t>
      </w:r>
      <w:r>
        <w:rPr/>
        <w:t>日，以通讯方式召开了第六届董事局第二次临时会议，共</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名董事参 与表决，审议通过了《关于向中国建设银行股份有限公司深圳布吉支行申请转化流动资金贷款</w:t>
      </w:r>
      <w:r>
        <w:rPr>
          <w:spacing w:val="-99"/>
        </w:rPr>
        <w:t> </w:t>
      </w:r>
      <w:r>
        <w:rPr>
          <w:spacing w:val="-99"/>
        </w:rPr>
      </w:r>
      <w:r>
        <w:rPr>
          <w:rFonts w:ascii="Times New Roman" w:hAnsi="Times New Roman" w:cs="Times New Roman" w:eastAsia="Times New Roman" w:hint="default"/>
          <w:spacing w:val="-1"/>
        </w:rPr>
        <w:t>4,500</w:t>
      </w:r>
      <w:r>
        <w:rPr>
          <w:rFonts w:ascii="Times New Roman" w:hAnsi="Times New Roman" w:cs="Times New Roman" w:eastAsia="Times New Roman" w:hint="default"/>
        </w:rPr>
        <w:t> </w:t>
      </w:r>
      <w:r>
        <w:rPr>
          <w:rFonts w:ascii="Times New Roman" w:hAnsi="Times New Roman" w:cs="Times New Roman" w:eastAsia="Times New Roman" w:hint="default"/>
          <w:spacing w:val="34"/>
        </w:rPr>
        <w:t> </w:t>
      </w:r>
      <w:r>
        <w:rPr>
          <w:spacing w:val="-5"/>
        </w:rPr>
        <w:t>万元的议案》、《关于向上海浦东发展银行股份有限公司深圳分行申请转化流动资金贷款</w:t>
      </w:r>
    </w:p>
    <w:p>
      <w:pPr>
        <w:pStyle w:val="BodyText"/>
        <w:spacing w:line="240" w:lineRule="auto" w:before="11"/>
        <w:ind w:right="0"/>
        <w:jc w:val="both"/>
      </w:pPr>
      <w:r>
        <w:rPr>
          <w:rFonts w:ascii="Times New Roman" w:hAnsi="Times New Roman" w:cs="Times New Roman" w:eastAsia="Times New Roman" w:hint="default"/>
        </w:rPr>
        <w:t>6,000</w:t>
      </w:r>
      <w:r>
        <w:rPr>
          <w:rFonts w:ascii="Times New Roman" w:hAnsi="Times New Roman" w:cs="Times New Roman" w:eastAsia="Times New Roman" w:hint="default"/>
          <w:spacing w:val="-4"/>
        </w:rPr>
        <w:t> </w:t>
      </w:r>
      <w:r>
        <w:rPr/>
        <w:t>万元的议案》。</w:t>
      </w:r>
    </w:p>
    <w:p>
      <w:pPr>
        <w:pStyle w:val="BodyText"/>
        <w:spacing w:line="340" w:lineRule="auto" w:before="109"/>
        <w:ind w:right="208" w:firstLine="420"/>
        <w:jc w:val="both"/>
      </w:pPr>
      <w:r>
        <w:rPr>
          <w:rFonts w:ascii="Times New Roman" w:hAnsi="Times New Roman" w:cs="Times New Roman" w:eastAsia="Times New Roman" w:hint="default"/>
          <w:spacing w:val="-3"/>
        </w:rPr>
        <w:t>10</w:t>
      </w:r>
      <w:r>
        <w:rPr>
          <w:spacing w:val="-3"/>
        </w:rPr>
        <w:t>、</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日，以通讯方式召开了第六届董事局第三次临时会议，共</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名董事参 与表决，审议通过了《关于向中国宝安集团控股有限公司及中国宝安集团股份有限公司提供截</w:t>
      </w:r>
      <w:r>
        <w:rPr>
          <w:spacing w:val="-99"/>
        </w:rPr>
        <w:t> </w:t>
      </w:r>
      <w:r>
        <w:rPr>
          <w:spacing w:val="-99"/>
        </w:rPr>
      </w:r>
      <w:r>
        <w:rPr/>
        <w:t>止</w:t>
      </w:r>
      <w:r>
        <w:rPr>
          <w:spacing w:val="-51"/>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spacing w:val="-1"/>
        </w:rPr>
        <w:t>30</w:t>
      </w:r>
      <w:r>
        <w:rPr>
          <w:rFonts w:ascii="Times New Roman" w:hAnsi="Times New Roman" w:cs="Times New Roman" w:eastAsia="Times New Roman" w:hint="default"/>
          <w:spacing w:val="2"/>
        </w:rPr>
        <w:t> </w:t>
      </w:r>
      <w:r>
        <w:rPr>
          <w:spacing w:val="-9"/>
        </w:rPr>
        <w:t>日未公开财务信息的议案》。</w:t>
      </w:r>
    </w:p>
    <w:p>
      <w:pPr>
        <w:pStyle w:val="BodyText"/>
        <w:spacing w:line="331" w:lineRule="auto" w:before="11"/>
        <w:ind w:right="104" w:firstLine="420"/>
        <w:jc w:val="both"/>
      </w:pPr>
      <w:r>
        <w:rPr>
          <w:rFonts w:ascii="Times New Roman" w:hAnsi="Times New Roman" w:cs="Times New Roman" w:eastAsia="Times New Roman" w:hint="default"/>
          <w:spacing w:val="-3"/>
        </w:rPr>
        <w:t>11</w:t>
      </w:r>
      <w:r>
        <w:rPr>
          <w:spacing w:val="-3"/>
        </w:rPr>
        <w:t>、</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24</w:t>
      </w:r>
      <w:r>
        <w:rPr>
          <w:spacing w:val="-3"/>
        </w:rPr>
        <w:t>日，召开了第六届董事局第一次定期会议，共</w:t>
      </w:r>
      <w:r>
        <w:rPr>
          <w:rFonts w:ascii="Times New Roman" w:hAnsi="Times New Roman" w:cs="Times New Roman" w:eastAsia="Times New Roman" w:hint="default"/>
          <w:spacing w:val="-3"/>
        </w:rPr>
        <w:t>12</w:t>
      </w:r>
      <w:r>
        <w:rPr>
          <w:spacing w:val="-3"/>
        </w:rPr>
        <w:t>名董事参与表决，审议通</w:t>
      </w:r>
      <w:r>
        <w:rPr/>
        <w:t> 过了《公司</w:t>
      </w:r>
      <w:r>
        <w:rPr>
          <w:rFonts w:ascii="Times New Roman" w:hAnsi="Times New Roman" w:cs="Times New Roman" w:eastAsia="Times New Roman" w:hint="default"/>
        </w:rPr>
        <w:t>2009</w:t>
      </w:r>
      <w:r>
        <w:rPr/>
        <w:t>年半年度报告》及其摘要《关于公司为控股子公司西安深鸿基房地产开发有限 公司贷款人民币</w:t>
      </w:r>
      <w:r>
        <w:rPr>
          <w:rFonts w:ascii="Times New Roman" w:hAnsi="Times New Roman" w:cs="Times New Roman" w:eastAsia="Times New Roman" w:hint="default"/>
        </w:rPr>
        <w:t>12,000</w:t>
      </w:r>
      <w:r>
        <w:rPr/>
        <w:t>万元提供担保的议案》等</w:t>
      </w:r>
      <w:r>
        <w:rPr>
          <w:rFonts w:ascii="Times New Roman" w:hAnsi="Times New Roman" w:cs="Times New Roman" w:eastAsia="Times New Roman" w:hint="default"/>
        </w:rPr>
        <w:t>6</w:t>
      </w:r>
      <w:r>
        <w:rPr/>
        <w:t>个议案，会议决议公告以及《</w:t>
      </w:r>
      <w:r>
        <w:rPr>
          <w:rFonts w:ascii="Times New Roman" w:hAnsi="Times New Roman" w:cs="Times New Roman" w:eastAsia="Times New Roman" w:hint="default"/>
        </w:rPr>
        <w:t>2009</w:t>
      </w:r>
      <w:r>
        <w:rPr/>
        <w:t>年半年度报 </w:t>
      </w:r>
      <w:r>
        <w:rPr>
          <w:spacing w:val="-13"/>
        </w:rPr>
        <w:t>告》、《</w:t>
      </w:r>
      <w:r>
        <w:rPr>
          <w:rFonts w:ascii="Times New Roman" w:hAnsi="Times New Roman" w:cs="Times New Roman" w:eastAsia="Times New Roman" w:hint="default"/>
          <w:spacing w:val="-13"/>
        </w:rPr>
        <w:t>2009</w:t>
      </w:r>
      <w:r>
        <w:rPr>
          <w:spacing w:val="-13"/>
        </w:rPr>
        <w:t>年半年度报告摘要》、《</w:t>
      </w:r>
      <w:r>
        <w:rPr>
          <w:rFonts w:ascii="Times New Roman" w:hAnsi="Times New Roman" w:cs="Times New Roman" w:eastAsia="Times New Roman" w:hint="default"/>
          <w:spacing w:val="-13"/>
        </w:rPr>
        <w:t>2009</w:t>
      </w:r>
      <w:r>
        <w:rPr>
          <w:spacing w:val="-13"/>
        </w:rPr>
        <w:t>年半年度财务报告》刊登于</w:t>
      </w:r>
      <w:r>
        <w:rPr>
          <w:rFonts w:ascii="Times New Roman" w:hAnsi="Times New Roman" w:cs="Times New Roman" w:eastAsia="Times New Roman" w:hint="default"/>
          <w:spacing w:val="-13"/>
        </w:rPr>
        <w:t>2009</w:t>
      </w:r>
      <w:r>
        <w:rPr>
          <w:spacing w:val="-13"/>
        </w:rPr>
        <w:t>年</w:t>
      </w:r>
      <w:r>
        <w:rPr>
          <w:rFonts w:ascii="Times New Roman" w:hAnsi="Times New Roman" w:cs="Times New Roman" w:eastAsia="Times New Roman" w:hint="default"/>
          <w:spacing w:val="-13"/>
        </w:rPr>
        <w:t>8</w:t>
      </w:r>
      <w:r>
        <w:rPr>
          <w:spacing w:val="-13"/>
        </w:rPr>
        <w:t>月</w:t>
      </w:r>
      <w:r>
        <w:rPr>
          <w:rFonts w:ascii="Times New Roman" w:hAnsi="Times New Roman" w:cs="Times New Roman" w:eastAsia="Times New Roman" w:hint="default"/>
          <w:spacing w:val="-13"/>
        </w:rPr>
        <w:t>26</w:t>
      </w:r>
      <w:r>
        <w:rPr>
          <w:spacing w:val="-13"/>
        </w:rPr>
        <w:t>日《证券时报》、</w:t>
      </w:r>
    </w:p>
    <w:p>
      <w:pPr>
        <w:pStyle w:val="BodyText"/>
        <w:spacing w:line="240" w:lineRule="auto" w:before="21"/>
        <w:ind w:right="0"/>
        <w:jc w:val="both"/>
      </w:pPr>
      <w:r>
        <w:rPr/>
        <w:t>《中国证券报</w:t>
      </w:r>
      <w:r>
        <w:rPr>
          <w:spacing w:val="-105"/>
        </w:rPr>
        <w:t>》</w:t>
      </w:r>
      <w:r>
        <w:rPr/>
        <w:t>、巨潮</w:t>
      </w:r>
      <w:r>
        <w:rPr>
          <w:spacing w:val="-2"/>
        </w:rPr>
        <w:t>资</w:t>
      </w:r>
      <w:r>
        <w:rPr/>
        <w:t>讯网。</w:t>
      </w:r>
    </w:p>
    <w:p>
      <w:pPr>
        <w:pStyle w:val="BodyText"/>
        <w:spacing w:line="333" w:lineRule="auto" w:before="125"/>
        <w:ind w:right="208" w:firstLine="420"/>
        <w:jc w:val="both"/>
      </w:pPr>
      <w:r>
        <w:rPr>
          <w:rFonts w:ascii="Times New Roman" w:hAnsi="Times New Roman" w:cs="Times New Roman" w:eastAsia="Times New Roman" w:hint="default"/>
        </w:rPr>
        <w:t>12</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8"/>
        </w:rPr>
        <w:t> </w:t>
      </w:r>
      <w:r>
        <w:rPr/>
        <w:t>日，召开了第六届董事局第二次定期会议，共</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名董事参与表决， </w:t>
      </w:r>
      <w:r>
        <w:rPr>
          <w:spacing w:val="-7"/>
        </w:rPr>
        <w:t>审议通过了《公司</w:t>
      </w:r>
      <w:r>
        <w:rPr>
          <w:spacing w:val="-39"/>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14"/>
        </w:rPr>
        <w:t> </w:t>
      </w:r>
      <w:r>
        <w:rPr>
          <w:spacing w:val="-9"/>
        </w:rPr>
        <w:t>年第三季度报告》、《公司与东鸿信公司债权转让暨资产置换的关联交易</w:t>
      </w:r>
      <w:r>
        <w:rPr>
          <w:spacing w:val="-102"/>
        </w:rPr>
        <w:t> </w:t>
      </w:r>
      <w:r>
        <w:rPr>
          <w:spacing w:val="-102"/>
        </w:rPr>
      </w:r>
      <w:r>
        <w:rPr>
          <w:spacing w:val="-6"/>
        </w:rPr>
        <w:t>议案》《公司与东鸿信公司资产置换暨关联交易的议案》等</w:t>
      </w:r>
      <w:r>
        <w:rPr>
          <w:spacing w:val="-54"/>
        </w:rPr>
        <w:t> </w:t>
      </w:r>
      <w:r>
        <w:rPr>
          <w:rFonts w:ascii="Times New Roman" w:hAnsi="Times New Roman" w:cs="Times New Roman" w:eastAsia="Times New Roman" w:hint="default"/>
        </w:rPr>
        <w:t>9 </w:t>
      </w:r>
      <w:r>
        <w:rPr>
          <w:spacing w:val="-3"/>
        </w:rPr>
        <w:t>个议案，会议决议公告以及《</w:t>
      </w:r>
      <w:r>
        <w:rPr>
          <w:rFonts w:ascii="Times New Roman" w:hAnsi="Times New Roman" w:cs="Times New Roman" w:eastAsia="Times New Roman" w:hint="default"/>
          <w:spacing w:val="-3"/>
        </w:rPr>
        <w:t>2009</w:t>
      </w:r>
      <w:r>
        <w:rPr>
          <w:rFonts w:ascii="Times New Roman" w:hAnsi="Times New Roman" w:cs="Times New Roman" w:eastAsia="Times New Roman" w:hint="default"/>
        </w:rPr>
        <w:t> </w:t>
      </w:r>
      <w:r>
        <w:rPr>
          <w:spacing w:val="-10"/>
        </w:rPr>
        <w:t>年第三季度报告》、《公司与东鸿信公司债权转让暨资产置换的关联交易议案》、《公司与东鸿信</w:t>
      </w:r>
      <w:r>
        <w:rPr>
          <w:spacing w:val="-90"/>
        </w:rPr>
        <w:t> </w:t>
      </w:r>
      <w:r>
        <w:rPr>
          <w:spacing w:val="-90"/>
        </w:rPr>
      </w:r>
      <w:r>
        <w:rPr>
          <w:spacing w:val="-9"/>
        </w:rPr>
        <w:t>公司资产置换暨关联交易的议案》、《内部信息知情人登记制度》刊登于</w:t>
      </w:r>
      <w:r>
        <w:rPr>
          <w:spacing w:val="-51"/>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spacing w:val="-11"/>
        </w:rPr>
        <w:t>日《证</w:t>
      </w:r>
      <w:r>
        <w:rPr/>
        <w:t> </w:t>
      </w:r>
      <w:r>
        <w:rPr>
          <w:spacing w:val="-17"/>
        </w:rPr>
        <w:t>券时报》、《中国证券报》、巨潮资讯网。</w:t>
      </w:r>
    </w:p>
    <w:p>
      <w:pPr>
        <w:pStyle w:val="BodyText"/>
        <w:spacing w:line="331" w:lineRule="auto" w:before="43"/>
        <w:ind w:right="210" w:firstLine="420"/>
        <w:jc w:val="both"/>
      </w:pPr>
      <w:r>
        <w:rPr>
          <w:rFonts w:ascii="Times New Roman" w:hAnsi="Times New Roman" w:cs="Times New Roman" w:eastAsia="Times New Roman" w:hint="default"/>
        </w:rPr>
        <w:t>13</w:t>
      </w:r>
      <w:r>
        <w:rPr/>
        <w:t>、</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日，以通讯方式召开第六届董事局第四次临时会议，共</w:t>
      </w:r>
      <w:r>
        <w:rPr>
          <w:rFonts w:ascii="Times New Roman" w:hAnsi="Times New Roman" w:cs="Times New Roman" w:eastAsia="Times New Roman" w:hint="default"/>
        </w:rPr>
        <w:t>12</w:t>
      </w:r>
      <w:r>
        <w:rPr/>
        <w:t>名董事参与表 </w:t>
      </w:r>
      <w:r>
        <w:rPr>
          <w:spacing w:val="-5"/>
        </w:rPr>
        <w:t>决，审议通过了《关于召开公司</w:t>
      </w:r>
      <w:r>
        <w:rPr>
          <w:rFonts w:ascii="Times New Roman" w:hAnsi="Times New Roman" w:cs="Times New Roman" w:eastAsia="Times New Roman" w:hint="default"/>
          <w:spacing w:val="-5"/>
        </w:rPr>
        <w:t>2009</w:t>
      </w:r>
      <w:r>
        <w:rPr>
          <w:spacing w:val="-5"/>
        </w:rPr>
        <w:t>年度第一次临时股东大会的议案》，会议决议公告以及临时</w:t>
      </w:r>
      <w:r>
        <w:rPr>
          <w:spacing w:val="-94"/>
        </w:rPr>
        <w:t> </w:t>
      </w:r>
      <w:r>
        <w:rPr>
          <w:spacing w:val="-94"/>
        </w:rPr>
      </w:r>
      <w:r>
        <w:rPr>
          <w:spacing w:val="-8"/>
        </w:rPr>
        <w:t>股东大会通知刊登于</w:t>
      </w:r>
      <w:r>
        <w:rPr>
          <w:rFonts w:ascii="Times New Roman" w:hAnsi="Times New Roman" w:cs="Times New Roman" w:eastAsia="Times New Roman" w:hint="default"/>
          <w:spacing w:val="-8"/>
        </w:rPr>
        <w:t>2009</w:t>
      </w:r>
      <w:r>
        <w:rPr>
          <w:spacing w:val="-8"/>
        </w:rPr>
        <w:t>年</w:t>
      </w:r>
      <w:r>
        <w:rPr>
          <w:rFonts w:ascii="Times New Roman" w:hAnsi="Times New Roman" w:cs="Times New Roman" w:eastAsia="Times New Roman" w:hint="default"/>
          <w:spacing w:val="-8"/>
        </w:rPr>
        <w:t>10</w:t>
      </w:r>
      <w:r>
        <w:rPr>
          <w:spacing w:val="-8"/>
        </w:rPr>
        <w:t>月</w:t>
      </w:r>
      <w:r>
        <w:rPr>
          <w:rFonts w:ascii="Times New Roman" w:hAnsi="Times New Roman" w:cs="Times New Roman" w:eastAsia="Times New Roman" w:hint="default"/>
          <w:spacing w:val="-8"/>
        </w:rPr>
        <w:t>29</w:t>
      </w:r>
      <w:r>
        <w:rPr>
          <w:spacing w:val="-8"/>
        </w:rPr>
        <w:t>日《证券时报》、《中国证券报》、巨潮资讯网。</w:t>
      </w:r>
    </w:p>
    <w:p>
      <w:pPr>
        <w:pStyle w:val="BodyText"/>
        <w:spacing w:line="331" w:lineRule="auto" w:before="20"/>
        <w:ind w:right="211" w:firstLine="420"/>
        <w:jc w:val="both"/>
      </w:pPr>
      <w:r>
        <w:rPr>
          <w:rFonts w:ascii="Times New Roman" w:hAnsi="Times New Roman" w:cs="Times New Roman" w:eastAsia="Times New Roman" w:hint="default"/>
        </w:rPr>
        <w:t>14</w:t>
      </w:r>
      <w:r>
        <w:rPr/>
        <w:t>、</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日，以通讯方式召开了第六届董事局第五次临时会议，共</w:t>
      </w:r>
      <w:r>
        <w:rPr>
          <w:rFonts w:ascii="Times New Roman" w:hAnsi="Times New Roman" w:cs="Times New Roman" w:eastAsia="Times New Roman" w:hint="default"/>
        </w:rPr>
        <w:t>12</w:t>
      </w:r>
      <w:r>
        <w:rPr/>
        <w:t>名董事参与 </w:t>
      </w:r>
      <w:r>
        <w:rPr>
          <w:spacing w:val="-2"/>
        </w:rPr>
        <w:t>表决，审议通过了《关于向中国建设银行股份有限公司深圳市分行申请流动资金贷款</w:t>
      </w:r>
      <w:r>
        <w:rPr>
          <w:rFonts w:ascii="Times New Roman" w:hAnsi="Times New Roman" w:cs="Times New Roman" w:eastAsia="Times New Roman" w:hint="default"/>
          <w:spacing w:val="-2"/>
        </w:rPr>
        <w:t>6,000</w:t>
      </w:r>
      <w:r>
        <w:rPr>
          <w:spacing w:val="-2"/>
        </w:rPr>
        <w:t>万元</w:t>
      </w:r>
      <w:r>
        <w:rPr>
          <w:spacing w:val="-68"/>
        </w:rPr>
        <w:t> </w:t>
      </w:r>
      <w:r>
        <w:rPr>
          <w:spacing w:val="-21"/>
        </w:rPr>
        <w:t>的议案》。</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ind w:right="0"/>
        <w:jc w:val="both"/>
        <w:rPr>
          <w:rFonts w:ascii="黑体" w:hAnsi="黑体" w:cs="黑体" w:eastAsia="黑体" w:hint="default"/>
        </w:rPr>
      </w:pPr>
      <w:r>
        <w:rPr>
          <w:rFonts w:ascii="黑体" w:hAnsi="黑体" w:cs="黑体" w:eastAsia="黑体" w:hint="default"/>
        </w:rPr>
        <w:t>（二）报告期内董事局对股东大会决议的执行情况</w:t>
      </w:r>
    </w:p>
    <w:p>
      <w:pPr>
        <w:pStyle w:val="BodyText"/>
        <w:spacing w:line="240" w:lineRule="auto" w:before="126"/>
        <w:ind w:left="610" w:right="0"/>
        <w:jc w:val="left"/>
      </w:pPr>
      <w:r>
        <w:rPr>
          <w:rFonts w:ascii="Times New Roman" w:hAnsi="Times New Roman" w:cs="Times New Roman" w:eastAsia="Times New Roman" w:hint="default"/>
        </w:rPr>
        <w:t>1</w:t>
      </w:r>
      <w:r>
        <w:rPr/>
        <w:t>、报告期内</w:t>
      </w:r>
      <w:r>
        <w:rPr>
          <w:rFonts w:ascii="Times New Roman" w:hAnsi="Times New Roman" w:cs="Times New Roman" w:eastAsia="Times New Roman" w:hint="default"/>
        </w:rPr>
        <w:t>,</w:t>
      </w:r>
      <w:r>
        <w:rPr/>
        <w:t>董事局对年度股东大会、临时股东大会通过的各项决议均已执行落实。</w:t>
      </w:r>
    </w:p>
    <w:p>
      <w:pPr>
        <w:pStyle w:val="BodyText"/>
        <w:spacing w:line="240" w:lineRule="auto" w:before="109"/>
        <w:ind w:left="610" w:right="0"/>
        <w:jc w:val="left"/>
      </w:pPr>
      <w:r>
        <w:rPr>
          <w:rFonts w:ascii="Times New Roman" w:hAnsi="Times New Roman" w:cs="Times New Roman" w:eastAsia="Times New Roman" w:hint="default"/>
        </w:rPr>
        <w:t>2</w:t>
      </w:r>
      <w:r>
        <w:rPr/>
        <w:t>、报告期内，公司无利润分配、公积金转增股本以及配股、增发新股等方案的实施。</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pStyle w:val="BodyText"/>
        <w:spacing w:line="240" w:lineRule="auto"/>
        <w:ind w:right="0"/>
        <w:jc w:val="both"/>
        <w:rPr>
          <w:rFonts w:ascii="黑体" w:hAnsi="黑体" w:cs="黑体" w:eastAsia="黑体" w:hint="default"/>
        </w:rPr>
      </w:pPr>
      <w:r>
        <w:rPr>
          <w:rFonts w:ascii="黑体" w:hAnsi="黑体" w:cs="黑体" w:eastAsia="黑体" w:hint="default"/>
        </w:rPr>
        <w:t>（三）董事局专门委员会的履职情况</w:t>
      </w:r>
    </w:p>
    <w:p>
      <w:pPr>
        <w:pStyle w:val="BodyText"/>
        <w:spacing w:line="240" w:lineRule="auto" w:before="125"/>
        <w:ind w:left="610" w:right="0"/>
        <w:jc w:val="left"/>
      </w:pPr>
      <w:r>
        <w:rPr/>
        <w:t>报告期内，董事局审计委员会和薪酬与考核委员会根据《上市公司治理准则》、《公司章</w:t>
      </w:r>
    </w:p>
    <w:p>
      <w:pPr>
        <w:spacing w:after="0" w:line="240" w:lineRule="auto"/>
        <w:jc w:val="left"/>
        <w:sectPr>
          <w:pgSz w:w="11900" w:h="16840"/>
          <w:pgMar w:header="0" w:footer="939" w:top="1500" w:bottom="1120" w:left="1680" w:right="1200"/>
        </w:sectPr>
      </w:pPr>
    </w:p>
    <w:p>
      <w:pPr>
        <w:pStyle w:val="BodyText"/>
        <w:spacing w:line="348" w:lineRule="auto" w:before="15"/>
        <w:ind w:right="200"/>
        <w:jc w:val="left"/>
      </w:pPr>
      <w:r>
        <w:rPr/>
        <w:t>程》和《公司董事局审计委员会工作规程》、《公司董事局薪酬与考核委员会工作规程》，切 实履职，开展了卓有成效的工作，进一步提升公司规范治理水平。</w:t>
      </w:r>
    </w:p>
    <w:p>
      <w:pPr>
        <w:pStyle w:val="BodyText"/>
        <w:spacing w:line="240" w:lineRule="auto" w:before="31"/>
        <w:ind w:left="610" w:right="0"/>
        <w:jc w:val="left"/>
      </w:pPr>
      <w:r>
        <w:rPr>
          <w:rFonts w:ascii="Times New Roman" w:hAnsi="Times New Roman" w:cs="Times New Roman" w:eastAsia="Times New Roman" w:hint="default"/>
        </w:rPr>
        <w:t>1</w:t>
      </w:r>
      <w:r>
        <w:rPr/>
        <w:t>、董事局审计委员履职情况</w:t>
      </w:r>
    </w:p>
    <w:p>
      <w:pPr>
        <w:pStyle w:val="BodyText"/>
        <w:spacing w:line="328" w:lineRule="auto" w:before="109"/>
        <w:ind w:left="610" w:right="200" w:hanging="1"/>
        <w:jc w:val="left"/>
      </w:pPr>
      <w:r>
        <w:rPr/>
        <w:t>（</w:t>
      </w:r>
      <w:r>
        <w:rPr>
          <w:rFonts w:ascii="Times New Roman" w:hAnsi="Times New Roman" w:cs="Times New Roman" w:eastAsia="Times New Roman" w:hint="default"/>
        </w:rPr>
        <w:t>1</w:t>
      </w:r>
      <w:r>
        <w:rPr/>
        <w:t>）第五届、第六届董事局审计委员会日常工作 公司第五届、第六届董事局审计委员会严格按照《董事局审计委员会工作规程》组织开展</w:t>
      </w:r>
    </w:p>
    <w:p>
      <w:pPr>
        <w:pStyle w:val="BodyText"/>
        <w:spacing w:line="328" w:lineRule="auto" w:before="48"/>
        <w:ind w:right="197"/>
        <w:jc w:val="left"/>
      </w:pPr>
      <w:r>
        <w:rPr/>
        <w:t>各项工作，对涉及公司定期报告、</w:t>
      </w:r>
      <w:r>
        <w:rPr>
          <w:rFonts w:ascii="Times New Roman" w:hAnsi="Times New Roman" w:cs="Times New Roman" w:eastAsia="Times New Roman" w:hint="default"/>
        </w:rPr>
        <w:t>2009 </w:t>
      </w:r>
      <w:r>
        <w:rPr/>
        <w:t>年度会计师事务所履职评价及续聘、公司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年度内 控制度执行情况等重大事项进行了审议。</w:t>
      </w:r>
    </w:p>
    <w:p>
      <w:pPr>
        <w:pStyle w:val="BodyText"/>
        <w:spacing w:line="340" w:lineRule="auto" w:before="47"/>
        <w:ind w:right="208" w:firstLine="420"/>
        <w:jc w:val="both"/>
      </w:pPr>
      <w:r>
        <w:rPr>
          <w:spacing w:val="-2"/>
        </w:rPr>
        <w:t>公司第五届董事局审计委员会共召开五次会议，审议通过了《</w:t>
      </w:r>
      <w:r>
        <w:rPr>
          <w:rFonts w:ascii="Times New Roman" w:hAnsi="Times New Roman" w:cs="Times New Roman" w:eastAsia="Times New Roman" w:hint="default"/>
          <w:spacing w:val="-2"/>
        </w:rPr>
        <w:t>2008</w:t>
      </w:r>
      <w:r>
        <w:rPr>
          <w:rFonts w:ascii="Times New Roman" w:hAnsi="Times New Roman" w:cs="Times New Roman" w:eastAsia="Times New Roman" w:hint="default"/>
          <w:spacing w:val="26"/>
        </w:rPr>
        <w:t> </w:t>
      </w:r>
      <w:r>
        <w:rPr>
          <w:spacing w:val="-21"/>
        </w:rPr>
        <w:t>年度财务报告》、《公司</w:t>
      </w:r>
      <w:r>
        <w:rPr/>
        <w:t> </w:t>
      </w:r>
      <w:r>
        <w:rPr>
          <w:rFonts w:ascii="Times New Roman" w:hAnsi="Times New Roman" w:cs="Times New Roman" w:eastAsia="Times New Roman" w:hint="default"/>
        </w:rPr>
        <w:t>2008 </w:t>
      </w:r>
      <w:r>
        <w:rPr/>
        <w:t>年度内控报告》等议案，重点关注公司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年度财务报告的审计工作，切实履行与年度 审计单位的沟通和监督职责。在年审会计师进场前，董事局审计委员会与公司的审计机构协商</w:t>
      </w:r>
      <w:r>
        <w:rPr>
          <w:spacing w:val="-99"/>
        </w:rPr>
        <w:t> </w:t>
      </w:r>
      <w:r>
        <w:rPr>
          <w:spacing w:val="-99"/>
        </w:rPr>
      </w:r>
      <w:r>
        <w:rPr/>
        <w:t>确定年度财务报告审计工作时间安排；在审计过程中与审计机构、公司审计部和财务部进行充</w:t>
      </w:r>
      <w:r>
        <w:rPr>
          <w:spacing w:val="-99"/>
        </w:rPr>
        <w:t> </w:t>
      </w:r>
      <w:r>
        <w:rPr>
          <w:spacing w:val="-99"/>
        </w:rPr>
      </w:r>
      <w:r>
        <w:rPr/>
        <w:t>分沟通，提出相关意见、建议。</w:t>
      </w:r>
    </w:p>
    <w:p>
      <w:pPr>
        <w:pStyle w:val="BodyText"/>
        <w:spacing w:line="340" w:lineRule="auto" w:before="36"/>
        <w:ind w:right="208" w:firstLine="420"/>
        <w:jc w:val="both"/>
      </w:pPr>
      <w:r>
        <w:rPr/>
        <w:t>第六届董事局审计委员会共召开五次会议，审议通过了第六届董事局审计委员会工作组成 </w:t>
      </w:r>
      <w:r>
        <w:rPr>
          <w:spacing w:val="-2"/>
        </w:rPr>
        <w:t>员、公司定期财务报告、</w:t>
      </w:r>
      <w:r>
        <w:rPr>
          <w:rFonts w:ascii="Times New Roman" w:hAnsi="Times New Roman" w:cs="Times New Roman" w:eastAsia="Times New Roman" w:hint="default"/>
          <w:spacing w:val="-2"/>
        </w:rPr>
        <w:t>2009</w:t>
      </w:r>
      <w:r>
        <w:rPr>
          <w:rFonts w:ascii="Times New Roman" w:hAnsi="Times New Roman" w:cs="Times New Roman" w:eastAsia="Times New Roman" w:hint="default"/>
          <w:spacing w:val="4"/>
        </w:rPr>
        <w:t> </w:t>
      </w:r>
      <w:r>
        <w:rPr>
          <w:spacing w:val="-1"/>
        </w:rPr>
        <w:t>年度审计单位履职评价及续聘、公司会计师事务所选聘制度，及</w:t>
      </w:r>
      <w:r>
        <w:rPr/>
        <w:t> 公司与东鸿信公司债权转让暨资产置换等重大事项。</w:t>
      </w:r>
    </w:p>
    <w:p>
      <w:pPr>
        <w:pStyle w:val="BodyText"/>
        <w:spacing w:line="345" w:lineRule="auto" w:before="36"/>
        <w:ind w:right="0" w:firstLine="420"/>
        <w:jc w:val="left"/>
      </w:pPr>
      <w:r>
        <w:rPr>
          <w:spacing w:val="-3"/>
        </w:rPr>
        <w:t>此外，第六届董事局审计委员会还持续关注公司龙岗鸿基花园三期合作项目地价款纠纷案，</w:t>
      </w:r>
      <w:r>
        <w:rPr/>
        <w:t>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日第六届董事局审计委员会第一次临时会议针对龙岗鸿基花园三期合作项目地价 款纠纷案及后续进展情况进行了专项讨论，要求公司尽快成立法律事务部和专项工作小组，专 职负责公司现有及今后日常经营中涉及的法律事务，解决地价款纠纷案后续相关事项的处理， 采取合法有效的手段来规避公司面临的风险，维护公司利益；此外，为调整公司资产结构，进 一步改善公司财务状况，第六届董事局审计委员会积极督促公司组织各方进行沟通讨论，就东 南网络债权转让暨资产置换等历史遗留问题的一揽子解决方案提出了相关建议。</w:t>
      </w:r>
    </w:p>
    <w:p>
      <w:pPr>
        <w:spacing w:line="240" w:lineRule="auto" w:before="0"/>
        <w:rPr>
          <w:rFonts w:ascii="宋体" w:hAnsi="宋体" w:cs="宋体" w:eastAsia="宋体" w:hint="default"/>
          <w:sz w:val="20"/>
          <w:szCs w:val="20"/>
        </w:rPr>
      </w:pPr>
    </w:p>
    <w:p>
      <w:pPr>
        <w:pStyle w:val="BodyText"/>
        <w:spacing w:line="240" w:lineRule="auto" w:before="171"/>
        <w:ind w:left="610" w:right="0"/>
        <w:jc w:val="left"/>
      </w:pPr>
      <w:r>
        <w:rPr/>
        <w:t>（</w:t>
      </w:r>
      <w:r>
        <w:rPr>
          <w:rFonts w:ascii="Times New Roman" w:hAnsi="Times New Roman" w:cs="Times New Roman" w:eastAsia="Times New Roman" w:hint="default"/>
        </w:rPr>
        <w:t>2</w:t>
      </w:r>
      <w:r>
        <w:rPr/>
        <w:t>）第六届董事局审计委员会在公司</w:t>
      </w:r>
      <w:r>
        <w:rPr>
          <w:rFonts w:ascii="Times New Roman" w:hAnsi="Times New Roman" w:cs="Times New Roman" w:eastAsia="Times New Roman" w:hint="default"/>
        </w:rPr>
        <w:t>2009</w:t>
      </w:r>
      <w:r>
        <w:rPr/>
        <w:t>年度审计工作中履职说明</w:t>
      </w:r>
    </w:p>
    <w:p>
      <w:pPr>
        <w:pStyle w:val="BodyText"/>
        <w:spacing w:line="314" w:lineRule="auto" w:before="92"/>
        <w:ind w:right="201" w:firstLine="420"/>
        <w:jc w:val="left"/>
      </w:pP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24"/>
        </w:rPr>
        <w:t> </w:t>
      </w:r>
      <w:r>
        <w:rPr>
          <w:spacing w:val="-2"/>
        </w:rPr>
        <w:t>年年度审计过程中，董事会审计委员会认真履行职责，根据《公司董事局审计委员会</w:t>
      </w:r>
      <w:r>
        <w:rPr/>
        <w:t> 工作规程》的规定，完成了下列工作：</w:t>
      </w:r>
    </w:p>
    <w:p>
      <w:pPr>
        <w:pStyle w:val="BodyText"/>
        <w:spacing w:line="240" w:lineRule="auto" w:before="39"/>
        <w:ind w:left="610" w:right="0"/>
        <w:jc w:val="left"/>
      </w:pPr>
      <w:r>
        <w:rPr>
          <w:rFonts w:ascii="Times New Roman" w:hAnsi="Times New Roman" w:cs="Times New Roman" w:eastAsia="Times New Roman" w:hint="default"/>
        </w:rPr>
        <w:t>1</w:t>
      </w:r>
      <w:r>
        <w:rPr/>
        <w:t>、审计委员会于 </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10 </w:t>
      </w:r>
      <w:r>
        <w:rPr/>
        <w:t>月就年报审计单位深圳市鹏城会计师事务所有限公司提交的</w:t>
      </w:r>
    </w:p>
    <w:p>
      <w:pPr>
        <w:pStyle w:val="BodyText"/>
        <w:spacing w:line="314" w:lineRule="auto" w:before="89"/>
        <w:ind w:right="0" w:hanging="1"/>
        <w:jc w:val="left"/>
      </w:pPr>
      <w:r>
        <w:rPr>
          <w:spacing w:val="-1"/>
        </w:rPr>
        <w:t>《</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15"/>
        </w:rPr>
        <w:t> </w:t>
      </w:r>
      <w:r>
        <w:rPr>
          <w:spacing w:val="-3"/>
        </w:rPr>
        <w:t>年度财务报表审计安排》，与年度审计项目负责人作了充分沟通，协商确定了审计进场</w:t>
      </w:r>
      <w:r>
        <w:rPr/>
        <w:t> 时间及报告签署时间。</w:t>
      </w:r>
    </w:p>
    <w:p>
      <w:pPr>
        <w:pStyle w:val="BodyText"/>
        <w:spacing w:line="319" w:lineRule="auto" w:before="39"/>
        <w:ind w:right="100" w:firstLine="420"/>
        <w:jc w:val="left"/>
      </w:pPr>
      <w:r>
        <w:rPr>
          <w:rFonts w:ascii="Times New Roman" w:hAnsi="Times New Roman" w:cs="Times New Roman" w:eastAsia="Times New Roman" w:hint="default"/>
          <w:spacing w:val="-3"/>
        </w:rPr>
        <w:t>2</w:t>
      </w:r>
      <w:r>
        <w:rPr>
          <w:spacing w:val="-3"/>
        </w:rPr>
        <w:t>、年审会计师按照审计工作计划进场后，审计委员会就会计调整事项、会计政策运用、以</w:t>
      </w:r>
      <w:r>
        <w:rPr/>
        <w:t> 及审计中发现的重要事项及或有风险等情况与项目负责人公司作了持续、充分的沟通。</w:t>
      </w:r>
      <w:r>
        <w:rPr>
          <w:rFonts w:ascii="Times New Roman" w:hAnsi="Times New Roman" w:cs="Times New Roman" w:eastAsia="Times New Roman" w:hint="default"/>
        </w:rPr>
        <w:t>2010</w:t>
      </w:r>
      <w:r>
        <w:rPr>
          <w:rFonts w:ascii="Times New Roman" w:hAnsi="Times New Roman" w:cs="Times New Roman" w:eastAsia="Times New Roman" w:hint="default"/>
          <w:spacing w:val="-16"/>
        </w:rPr>
        <w:t>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spacing w:val="-3"/>
        </w:rPr>
        <w:t>日审计委员会召开会议，以审计单位提交的《与治理层的沟通函》为基础，与其就</w:t>
      </w:r>
      <w:r>
        <w:rPr>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0"/>
        </w:rPr>
        <w:t> </w:t>
      </w:r>
      <w:r>
        <w:rPr>
          <w:rFonts w:ascii="Times New Roman" w:hAnsi="Times New Roman" w:cs="Times New Roman" w:eastAsia="Times New Roman" w:hint="default"/>
          <w:spacing w:val="-50"/>
        </w:rPr>
      </w:r>
      <w:r>
        <w:rPr>
          <w:spacing w:val="-3"/>
        </w:rPr>
        <w:t>年财务审计报告中涉及的重大事项进行了审议，对其中部分问题提出了有效的补充建议和措施，</w:t>
      </w:r>
      <w:r>
        <w:rPr>
          <w:spacing w:val="-78"/>
        </w:rPr>
        <w:t> </w:t>
      </w:r>
      <w:r>
        <w:rPr>
          <w:spacing w:val="-78"/>
        </w:rPr>
      </w:r>
      <w:r>
        <w:rPr/>
        <w:t>同时，重点关注了审计单位的审计进度，进行了必要的督促。</w:t>
      </w:r>
    </w:p>
    <w:p>
      <w:pPr>
        <w:pStyle w:val="BodyText"/>
        <w:spacing w:line="240" w:lineRule="auto" w:before="36"/>
        <w:ind w:left="610"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日，审计委员会审核未经审计的</w:t>
      </w:r>
      <w:r>
        <w:rPr>
          <w:spacing w:val="-4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年财务报告，会上各委员就年报</w:t>
      </w:r>
    </w:p>
    <w:p>
      <w:pPr>
        <w:spacing w:after="0" w:line="240" w:lineRule="auto"/>
        <w:jc w:val="left"/>
        <w:sectPr>
          <w:pgSz w:w="11900" w:h="16840"/>
          <w:pgMar w:header="0" w:footer="939" w:top="1500" w:bottom="1120" w:left="1680" w:right="1200"/>
        </w:sectPr>
      </w:pPr>
    </w:p>
    <w:p>
      <w:pPr>
        <w:pStyle w:val="BodyText"/>
        <w:spacing w:line="331" w:lineRule="auto" w:before="18"/>
        <w:ind w:right="108"/>
        <w:jc w:val="both"/>
      </w:pPr>
      <w:r>
        <w:rPr/>
        <w:t>中涉及的重要调整事项及未确定事项进行了审议并提出意见，审计委员会要求公司应按照审计</w:t>
      </w:r>
      <w:r>
        <w:rPr>
          <w:spacing w:val="-99"/>
        </w:rPr>
        <w:t> </w:t>
      </w:r>
      <w:r>
        <w:rPr>
          <w:spacing w:val="-99"/>
        </w:rPr>
      </w:r>
      <w:r>
        <w:rPr/>
        <w:t>单位的要求尽快完善相关工作，提供充分的书面依据；在此基础上，审计委员会原则同意公司</w:t>
      </w:r>
      <w:r>
        <w:rPr>
          <w:spacing w:val="-99"/>
        </w:rPr>
        <w:t> </w:t>
      </w:r>
      <w:r>
        <w:rPr>
          <w:spacing w:val="-99"/>
        </w:rPr>
      </w:r>
      <w:r>
        <w:rPr/>
        <w:t>编制的</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年度财务报告。</w:t>
      </w:r>
    </w:p>
    <w:p>
      <w:pPr>
        <w:pStyle w:val="BodyText"/>
        <w:spacing w:line="240" w:lineRule="auto" w:before="18"/>
        <w:ind w:left="610"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21</w:t>
      </w:r>
      <w:r>
        <w:rPr>
          <w:rFonts w:ascii="Times New Roman" w:hAnsi="Times New Roman" w:cs="Times New Roman" w:eastAsia="Times New Roman" w:hint="default"/>
          <w:spacing w:val="7"/>
        </w:rPr>
        <w:t> </w:t>
      </w:r>
      <w:r>
        <w:rPr/>
        <w:t>日，审计委员会审核了经审计的公司</w:t>
      </w:r>
      <w:r>
        <w:rPr>
          <w:spacing w:val="-4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年度财务报告，形成书面意</w:t>
      </w:r>
    </w:p>
    <w:p>
      <w:pPr>
        <w:pStyle w:val="BodyText"/>
        <w:spacing w:line="240" w:lineRule="auto" w:before="109"/>
        <w:ind w:right="0"/>
        <w:jc w:val="both"/>
      </w:pPr>
      <w:r>
        <w:rPr/>
        <w:t>见，审计委员会认为：公司 </w:t>
      </w:r>
      <w:r>
        <w:rPr>
          <w:rFonts w:ascii="Times New Roman" w:hAnsi="Times New Roman" w:cs="Times New Roman" w:eastAsia="Times New Roman" w:hint="default"/>
        </w:rPr>
        <w:t>2009  </w:t>
      </w:r>
      <w:r>
        <w:rPr/>
        <w:t>年度财务会计报表在所有重大方面反映了公司截至 </w:t>
      </w:r>
      <w:r>
        <w:rPr>
          <w:rFonts w:ascii="Times New Roman" w:hAnsi="Times New Roman" w:cs="Times New Roman" w:eastAsia="Times New Roman" w:hint="default"/>
        </w:rPr>
        <w:t>2009 </w:t>
      </w:r>
      <w:r>
        <w:rPr>
          <w:rFonts w:ascii="Times New Roman" w:hAnsi="Times New Roman" w:cs="Times New Roman" w:eastAsia="Times New Roman" w:hint="default"/>
          <w:spacing w:val="1"/>
        </w:rPr>
        <w:t> </w:t>
      </w:r>
      <w:r>
        <w:rPr/>
        <w:t>年</w:t>
      </w:r>
    </w:p>
    <w:p>
      <w:pPr>
        <w:pStyle w:val="BodyText"/>
        <w:spacing w:line="343" w:lineRule="auto" w:before="110"/>
        <w:ind w:right="108" w:hanging="1"/>
        <w:jc w:val="both"/>
      </w:pP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日的资产负债状况和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年度的生产经营成果，同意将此报告提交董事会审议。同 时对深圳市鹏城会计师事务所有限公司从事本年度的审计工作进行了总结，认为，年审注册会</w:t>
      </w:r>
      <w:r>
        <w:rPr>
          <w:spacing w:val="-100"/>
        </w:rPr>
        <w:t> </w:t>
      </w:r>
      <w:r>
        <w:rPr>
          <w:spacing w:val="-100"/>
        </w:rPr>
      </w:r>
      <w:r>
        <w:rPr/>
        <w:t>计师严格严格执行相关审计规程，按照中国注册会计师独立审计准则的规定执行了审计工作，</w:t>
      </w:r>
      <w:r>
        <w:rPr>
          <w:spacing w:val="-100"/>
        </w:rPr>
        <w:t> </w:t>
      </w:r>
      <w:r>
        <w:rPr>
          <w:spacing w:val="-100"/>
        </w:rPr>
      </w:r>
      <w:r>
        <w:rPr/>
        <w:t>完成了各项审计任务，出具的审计报表能够充分反映公司</w:t>
      </w:r>
      <w:r>
        <w:rPr>
          <w:spacing w:val="-3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7"/>
        </w:rPr>
        <w:t> </w:t>
      </w:r>
      <w:r>
        <w:rPr/>
        <w:t>年</w:t>
      </w:r>
      <w:r>
        <w:rPr>
          <w:spacing w:val="-36"/>
        </w:rPr>
        <w:t>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月</w:t>
      </w:r>
      <w:r>
        <w:rPr>
          <w:spacing w:val="-36"/>
        </w:rPr>
        <w:t> </w:t>
      </w:r>
      <w:r>
        <w:rPr>
          <w:rFonts w:ascii="Times New Roman" w:hAnsi="Times New Roman" w:cs="Times New Roman" w:eastAsia="Times New Roman" w:hint="default"/>
        </w:rPr>
        <w:t>31</w:t>
      </w:r>
      <w:r>
        <w:rPr>
          <w:rFonts w:ascii="Times New Roman" w:hAnsi="Times New Roman" w:cs="Times New Roman" w:eastAsia="Times New Roman" w:hint="default"/>
          <w:spacing w:val="17"/>
        </w:rPr>
        <w:t> </w:t>
      </w:r>
      <w:r>
        <w:rPr/>
        <w:t>日的财务状况以及</w:t>
      </w:r>
    </w:p>
    <w:p>
      <w:pPr>
        <w:pStyle w:val="BodyText"/>
        <w:spacing w:line="240" w:lineRule="auto" w:before="9"/>
        <w:ind w:right="0"/>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年度的经营成果现金流量，出具的审计结论符合公司的实际情况。</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pStyle w:val="BodyText"/>
        <w:spacing w:line="328" w:lineRule="auto"/>
        <w:ind w:left="610" w:right="95" w:hanging="1"/>
        <w:jc w:val="left"/>
        <w:rPr>
          <w:rFonts w:ascii="Times New Roman" w:hAnsi="Times New Roman" w:cs="Times New Roman" w:eastAsia="Times New Roman" w:hint="default"/>
        </w:rPr>
      </w:pPr>
      <w:r>
        <w:rPr>
          <w:rFonts w:ascii="Times New Roman" w:hAnsi="Times New Roman" w:cs="Times New Roman" w:eastAsia="Times New Roman" w:hint="default"/>
        </w:rPr>
        <w:t>2</w:t>
      </w:r>
      <w:r>
        <w:rPr/>
        <w:t>、董事局薪酬与考核委员会的履职情况 </w:t>
      </w:r>
      <w:r>
        <w:rPr>
          <w:spacing w:val="-2"/>
        </w:rPr>
        <w:t>报告期内，公司第五届董事局薪酬与考核委员会共召开三次会议，主要审议通过公司</w:t>
      </w:r>
      <w:r>
        <w:rPr>
          <w:spacing w:val="-22"/>
        </w:rPr>
        <w:t> </w:t>
      </w:r>
      <w:r>
        <w:rPr>
          <w:rFonts w:ascii="Times New Roman" w:hAnsi="Times New Roman" w:cs="Times New Roman" w:eastAsia="Times New Roman" w:hint="default"/>
          <w:spacing w:val="-1"/>
        </w:rPr>
        <w:t>2008</w:t>
      </w:r>
    </w:p>
    <w:p>
      <w:pPr>
        <w:pStyle w:val="BodyText"/>
        <w:spacing w:line="331" w:lineRule="auto" w:before="23"/>
        <w:ind w:right="111"/>
        <w:jc w:val="both"/>
      </w:pPr>
      <w:r>
        <w:rPr>
          <w:spacing w:val="-5"/>
        </w:rPr>
        <w:t>年度高级管理人员绩效考核等相关事项；组织开展</w:t>
      </w:r>
      <w:r>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27"/>
        </w:rPr>
        <w:t> </w:t>
      </w:r>
      <w:r>
        <w:rPr>
          <w:spacing w:val="-1"/>
        </w:rPr>
        <w:t>年半年度公司高级管理人员绩效考核工</w:t>
      </w:r>
      <w:r>
        <w:rPr/>
        <w:t> 作。</w:t>
      </w:r>
    </w:p>
    <w:p>
      <w:pPr>
        <w:pStyle w:val="BodyText"/>
        <w:spacing w:line="343" w:lineRule="auto" w:before="45"/>
        <w:ind w:right="108" w:firstLine="420"/>
        <w:jc w:val="both"/>
      </w:pPr>
      <w:r>
        <w:rPr/>
        <w:t>第六届董事局薪酬与考核委员会共召开两次会议，审议通过了关于第六届董事局委员会工 作组成员、公司经营班子调整后执行高级管理人员薪酬标准的议案、公司董事和高级管理人员</w:t>
      </w:r>
      <w:r>
        <w:rPr>
          <w:spacing w:val="-99"/>
        </w:rPr>
        <w:t> </w:t>
      </w:r>
      <w:r>
        <w:rPr>
          <w:spacing w:val="-99"/>
        </w:rPr>
      </w:r>
      <w:r>
        <w:rPr>
          <w:rFonts w:ascii="Times New Roman" w:hAnsi="Times New Roman" w:cs="Times New Roman" w:eastAsia="Times New Roman" w:hint="default"/>
        </w:rPr>
        <w:t>2009 </w:t>
      </w:r>
      <w:r>
        <w:rPr/>
        <w:t>年度履职考核工作安排的意见等议案，并对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年度公司高级管理人员绩效考核工作提 出了意见、建议。</w:t>
      </w:r>
    </w:p>
    <w:p>
      <w:pPr>
        <w:spacing w:line="240" w:lineRule="auto" w:before="4"/>
        <w:rPr>
          <w:rFonts w:ascii="宋体" w:hAnsi="宋体" w:cs="宋体" w:eastAsia="宋体" w:hint="default"/>
          <w:sz w:val="17"/>
          <w:szCs w:val="17"/>
        </w:rPr>
      </w:pPr>
    </w:p>
    <w:p>
      <w:pPr>
        <w:pStyle w:val="Heading3"/>
        <w:spacing w:line="240" w:lineRule="auto"/>
        <w:ind w:right="0"/>
        <w:jc w:val="both"/>
      </w:pPr>
      <w:r>
        <w:rPr/>
        <w:t>八、</w:t>
      </w:r>
      <w:r>
        <w:rPr>
          <w:rFonts w:ascii="Times New Roman" w:hAnsi="Times New Roman" w:cs="Times New Roman" w:eastAsia="Times New Roman" w:hint="default"/>
        </w:rPr>
        <w:t>2009 </w:t>
      </w:r>
      <w:r>
        <w:rPr/>
        <w:t>年度利润分配及弥补亏损预案</w:t>
      </w:r>
    </w:p>
    <w:p>
      <w:pPr>
        <w:spacing w:line="240" w:lineRule="auto" w:before="3"/>
        <w:rPr>
          <w:rFonts w:ascii="黑体" w:hAnsi="黑体" w:cs="黑体" w:eastAsia="黑体" w:hint="default"/>
          <w:sz w:val="27"/>
          <w:szCs w:val="27"/>
        </w:rPr>
      </w:pPr>
    </w:p>
    <w:p>
      <w:pPr>
        <w:pStyle w:val="BodyText"/>
        <w:spacing w:line="331" w:lineRule="auto"/>
        <w:ind w:right="111" w:firstLine="420"/>
        <w:jc w:val="left"/>
      </w:pPr>
      <w:r>
        <w:rPr/>
        <w:t>经深圳市鹏城会计师事务所有限公司审计确认，</w:t>
      </w:r>
      <w:r>
        <w:rPr>
          <w:rFonts w:ascii="Times New Roman" w:hAnsi="Times New Roman" w:cs="Times New Roman" w:eastAsia="Times New Roman" w:hint="default"/>
        </w:rPr>
        <w:t>2009</w:t>
      </w:r>
      <w:r>
        <w:rPr/>
        <w:t>年度公司实现归属于母公司所有者的 </w:t>
      </w:r>
      <w:r>
        <w:rPr>
          <w:spacing w:val="-2"/>
        </w:rPr>
        <w:t>净利润为人民币</w:t>
      </w:r>
      <w:r>
        <w:rPr>
          <w:rFonts w:ascii="Times New Roman" w:hAnsi="Times New Roman" w:cs="Times New Roman" w:eastAsia="Times New Roman" w:hint="default"/>
          <w:spacing w:val="-2"/>
        </w:rPr>
        <w:t>64,356,382.89</w:t>
      </w:r>
      <w:r>
        <w:rPr>
          <w:spacing w:val="-2"/>
        </w:rPr>
        <w:t>元，加上年初未分配利润人民币</w:t>
      </w:r>
      <w:r>
        <w:rPr>
          <w:rFonts w:ascii="Times New Roman" w:hAnsi="Times New Roman" w:cs="Times New Roman" w:eastAsia="Times New Roman" w:hint="default"/>
          <w:spacing w:val="-2"/>
        </w:rPr>
        <w:t>-343,040,963.43</w:t>
      </w:r>
      <w:r>
        <w:rPr>
          <w:spacing w:val="-2"/>
        </w:rPr>
        <w:t>元，本次可供股东</w:t>
      </w:r>
      <w:r>
        <w:rPr>
          <w:spacing w:val="-70"/>
        </w:rPr>
        <w:t> </w:t>
      </w:r>
      <w:r>
        <w:rPr>
          <w:spacing w:val="-70"/>
        </w:rPr>
      </w:r>
      <w:r>
        <w:rPr/>
        <w:t>分配利润为人民币</w:t>
      </w:r>
      <w:r>
        <w:rPr>
          <w:rFonts w:ascii="Times New Roman" w:hAnsi="Times New Roman" w:cs="Times New Roman" w:eastAsia="Times New Roman" w:hint="default"/>
        </w:rPr>
        <w:t>-278,684,580.54</w:t>
      </w:r>
      <w:r>
        <w:rPr/>
        <w:t>元。公司</w:t>
      </w:r>
      <w:r>
        <w:rPr>
          <w:rFonts w:ascii="Times New Roman" w:hAnsi="Times New Roman" w:cs="Times New Roman" w:eastAsia="Times New Roman" w:hint="default"/>
        </w:rPr>
        <w:t>2009</w:t>
      </w:r>
      <w:r>
        <w:rPr/>
        <w:t>年度法定盈余公积金余额为人民币 </w:t>
      </w:r>
      <w:r>
        <w:rPr>
          <w:rFonts w:ascii="Times New Roman" w:hAnsi="Times New Roman" w:cs="Times New Roman" w:eastAsia="Times New Roman" w:hint="default"/>
          <w:spacing w:val="-2"/>
        </w:rPr>
        <w:t>212,430,339.50</w:t>
      </w:r>
      <w:r>
        <w:rPr>
          <w:spacing w:val="-2"/>
        </w:rPr>
        <w:t>元，公司</w:t>
      </w:r>
      <w:r>
        <w:rPr>
          <w:rFonts w:ascii="Times New Roman" w:hAnsi="Times New Roman" w:cs="Times New Roman" w:eastAsia="Times New Roman" w:hint="default"/>
          <w:spacing w:val="-2"/>
        </w:rPr>
        <w:t>2009</w:t>
      </w:r>
      <w:r>
        <w:rPr>
          <w:spacing w:val="-2"/>
        </w:rPr>
        <w:t>年度资本公积金余额为人民币</w:t>
      </w:r>
      <w:r>
        <w:rPr>
          <w:rFonts w:ascii="Times New Roman" w:hAnsi="Times New Roman" w:cs="Times New Roman" w:eastAsia="Times New Roman" w:hint="default"/>
          <w:spacing w:val="-2"/>
        </w:rPr>
        <w:t>498,608,202.99</w:t>
      </w:r>
      <w:r>
        <w:rPr>
          <w:spacing w:val="-2"/>
        </w:rPr>
        <w:t>元。公司以本年度实现</w:t>
      </w:r>
      <w:r>
        <w:rPr>
          <w:spacing w:val="-103"/>
        </w:rPr>
        <w:t> </w:t>
      </w:r>
      <w:r>
        <w:rPr>
          <w:spacing w:val="-103"/>
        </w:rPr>
      </w:r>
      <w:r>
        <w:rPr/>
        <w:t>净利润弥补以前年度亏损，公司</w:t>
      </w:r>
      <w:r>
        <w:rPr>
          <w:rFonts w:ascii="Times New Roman" w:hAnsi="Times New Roman" w:cs="Times New Roman" w:eastAsia="Times New Roman" w:hint="default"/>
        </w:rPr>
        <w:t>2009</w:t>
      </w:r>
      <w:r>
        <w:rPr/>
        <w:t>年度不计提法定盈余公积金，公司</w:t>
      </w:r>
      <w:r>
        <w:rPr>
          <w:rFonts w:ascii="Times New Roman" w:hAnsi="Times New Roman" w:cs="Times New Roman" w:eastAsia="Times New Roman" w:hint="default"/>
        </w:rPr>
        <w:t>2009</w:t>
      </w:r>
      <w:r>
        <w:rPr/>
        <w:t>年度无资本公积金 转增股本方案。</w:t>
      </w:r>
    </w:p>
    <w:p>
      <w:pPr>
        <w:pStyle w:val="BodyText"/>
        <w:spacing w:line="328" w:lineRule="auto" w:before="46"/>
        <w:ind w:left="610" w:right="3671" w:hanging="1"/>
        <w:jc w:val="left"/>
      </w:pPr>
      <w:r>
        <w:rPr/>
        <w:pict>
          <v:shape style="position:absolute;margin-left:96.239998pt;margin-top:38.501663pt;width:425.95pt;height:79.7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32"/>
                    <w:gridCol w:w="1326"/>
                    <w:gridCol w:w="2332"/>
                    <w:gridCol w:w="2360"/>
                    <w:gridCol w:w="1440"/>
                  </w:tblGrid>
                  <w:tr>
                    <w:trPr>
                      <w:trHeight w:val="665" w:hRule="exact"/>
                    </w:trPr>
                    <w:tc>
                      <w:tcPr>
                        <w:tcW w:w="1032" w:type="dxa"/>
                        <w:tcBorders>
                          <w:top w:val="single" w:sz="8" w:space="0" w:color="000000"/>
                          <w:left w:val="single" w:sz="8" w:space="0" w:color="000000"/>
                          <w:bottom w:val="single" w:sz="8" w:space="0" w:color="000000"/>
                          <w:right w:val="single" w:sz="8" w:space="0" w:color="000000"/>
                        </w:tcBorders>
                        <w:shd w:val="clear" w:color="auto" w:fill="8D8D8D"/>
                      </w:tcPr>
                      <w:p>
                        <w:pPr>
                          <w:pStyle w:val="TableParagraph"/>
                          <w:spacing w:line="240" w:lineRule="auto" w:before="49"/>
                          <w:ind w:left="326" w:right="324"/>
                          <w:jc w:val="left"/>
                          <w:rPr>
                            <w:rFonts w:ascii="宋体" w:hAnsi="宋体" w:cs="宋体" w:eastAsia="宋体" w:hint="default"/>
                            <w:sz w:val="18"/>
                            <w:szCs w:val="18"/>
                          </w:rPr>
                        </w:pPr>
                        <w:r>
                          <w:rPr>
                            <w:rFonts w:ascii="宋体" w:hAnsi="宋体" w:cs="宋体" w:eastAsia="宋体" w:hint="default"/>
                            <w:sz w:val="18"/>
                            <w:szCs w:val="18"/>
                          </w:rPr>
                          <w:t>分红 年度</w:t>
                        </w:r>
                      </w:p>
                    </w:tc>
                    <w:tc>
                      <w:tcPr>
                        <w:tcW w:w="1326" w:type="dxa"/>
                        <w:tcBorders>
                          <w:top w:val="single" w:sz="8" w:space="0" w:color="000000"/>
                          <w:left w:val="single" w:sz="8" w:space="0" w:color="000000"/>
                          <w:bottom w:val="single" w:sz="8" w:space="0" w:color="000000"/>
                          <w:right w:val="single" w:sz="8" w:space="0" w:color="000000"/>
                        </w:tcBorders>
                        <w:shd w:val="clear" w:color="auto" w:fill="8D8D8D"/>
                      </w:tcPr>
                      <w:p>
                        <w:pPr>
                          <w:pStyle w:val="TableParagraph"/>
                          <w:spacing w:line="235" w:lineRule="exact" w:before="49"/>
                          <w:ind w:left="1"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2332" w:type="dxa"/>
                        <w:tcBorders>
                          <w:top w:val="single" w:sz="8" w:space="0" w:color="000000"/>
                          <w:left w:val="single" w:sz="8" w:space="0" w:color="000000"/>
                          <w:bottom w:val="single" w:sz="8" w:space="0" w:color="000000"/>
                          <w:right w:val="single" w:sz="8" w:space="0" w:color="000000"/>
                        </w:tcBorders>
                        <w:shd w:val="clear" w:color="auto" w:fill="8D8D8D"/>
                      </w:tcPr>
                      <w:p>
                        <w:pPr>
                          <w:pStyle w:val="TableParagraph"/>
                          <w:spacing w:line="240" w:lineRule="auto" w:before="49"/>
                          <w:ind w:left="255" w:right="164" w:hanging="90"/>
                          <w:jc w:val="left"/>
                          <w:rPr>
                            <w:rFonts w:ascii="宋体" w:hAnsi="宋体" w:cs="宋体" w:eastAsia="宋体" w:hint="default"/>
                            <w:sz w:val="18"/>
                            <w:szCs w:val="18"/>
                          </w:rPr>
                        </w:pPr>
                        <w:r>
                          <w:rPr>
                            <w:rFonts w:ascii="宋体" w:hAnsi="宋体" w:cs="宋体" w:eastAsia="宋体" w:hint="default"/>
                            <w:sz w:val="18"/>
                            <w:szCs w:val="18"/>
                          </w:rPr>
                          <w:t>分红年度合并报表中归属 于母公司所有者净利润</w:t>
                        </w:r>
                      </w:p>
                    </w:tc>
                    <w:tc>
                      <w:tcPr>
                        <w:tcW w:w="2360" w:type="dxa"/>
                        <w:tcBorders>
                          <w:top w:val="single" w:sz="8" w:space="0" w:color="000000"/>
                          <w:left w:val="single" w:sz="8" w:space="0" w:color="000000"/>
                          <w:bottom w:val="single" w:sz="8" w:space="0" w:color="000000"/>
                          <w:right w:val="single" w:sz="4" w:space="0" w:color="000000"/>
                        </w:tcBorders>
                        <w:shd w:val="clear" w:color="auto" w:fill="8D8D8D"/>
                      </w:tcPr>
                      <w:p>
                        <w:pPr>
                          <w:pStyle w:val="TableParagraph"/>
                          <w:spacing w:line="240" w:lineRule="auto" w:before="49"/>
                          <w:ind w:left="269" w:right="184" w:hanging="90"/>
                          <w:jc w:val="left"/>
                          <w:rPr>
                            <w:rFonts w:ascii="宋体" w:hAnsi="宋体" w:cs="宋体" w:eastAsia="宋体" w:hint="default"/>
                            <w:sz w:val="18"/>
                            <w:szCs w:val="18"/>
                          </w:rPr>
                        </w:pPr>
                        <w:r>
                          <w:rPr>
                            <w:rFonts w:ascii="宋体" w:hAnsi="宋体" w:cs="宋体" w:eastAsia="宋体" w:hint="default"/>
                            <w:sz w:val="18"/>
                            <w:szCs w:val="18"/>
                          </w:rPr>
                          <w:t>占合并报表中归属于母公 司所有者净利润的比例</w:t>
                        </w:r>
                      </w:p>
                    </w:tc>
                    <w:tc>
                      <w:tcPr>
                        <w:tcW w:w="1440" w:type="dxa"/>
                        <w:tcBorders>
                          <w:top w:val="single" w:sz="8" w:space="0" w:color="000000"/>
                          <w:left w:val="single" w:sz="4" w:space="0" w:color="000000"/>
                          <w:bottom w:val="single" w:sz="8" w:space="0" w:color="000000"/>
                          <w:right w:val="single" w:sz="8" w:space="0" w:color="000000"/>
                        </w:tcBorders>
                        <w:shd w:val="clear" w:color="auto" w:fill="8D8D8D"/>
                      </w:tcPr>
                      <w:p>
                        <w:pPr>
                          <w:pStyle w:val="TableParagraph"/>
                          <w:spacing w:line="240" w:lineRule="auto" w:before="49"/>
                          <w:ind w:left="535" w:right="168" w:hanging="360"/>
                          <w:jc w:val="left"/>
                          <w:rPr>
                            <w:rFonts w:ascii="宋体" w:hAnsi="宋体" w:cs="宋体" w:eastAsia="宋体" w:hint="default"/>
                            <w:sz w:val="18"/>
                            <w:szCs w:val="18"/>
                          </w:rPr>
                        </w:pPr>
                        <w:r>
                          <w:rPr>
                            <w:rFonts w:ascii="宋体" w:hAnsi="宋体" w:cs="宋体" w:eastAsia="宋体" w:hint="default"/>
                            <w:sz w:val="18"/>
                            <w:szCs w:val="18"/>
                          </w:rPr>
                          <w:t>年度可供分配 利润</w:t>
                        </w:r>
                      </w:p>
                    </w:tc>
                  </w:tr>
                  <w:tr>
                    <w:trPr>
                      <w:trHeight w:val="302" w:hRule="exact"/>
                    </w:trPr>
                    <w:tc>
                      <w:tcPr>
                        <w:tcW w:w="1032" w:type="dxa"/>
                        <w:tcBorders>
                          <w:top w:val="single" w:sz="8" w:space="0" w:color="000000"/>
                          <w:left w:val="single" w:sz="8" w:space="0" w:color="000000"/>
                          <w:bottom w:val="single" w:sz="8" w:space="0" w:color="000000"/>
                          <w:right w:val="single" w:sz="8" w:space="0" w:color="000000"/>
                        </w:tcBorders>
                        <w:shd w:val="clear" w:color="auto" w:fill="8D8D8D"/>
                      </w:tcPr>
                      <w:p>
                        <w:pPr>
                          <w:pStyle w:val="TableParagraph"/>
                          <w:spacing w:line="220"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2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w:t>
                        </w:r>
                      </w:p>
                    </w:tc>
                    <w:tc>
                      <w:tcPr>
                        <w:tcW w:w="233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-114,627,831.55</w:t>
                        </w:r>
                      </w:p>
                    </w:tc>
                    <w:tc>
                      <w:tcPr>
                        <w:tcW w:w="2360" w:type="dxa"/>
                        <w:tcBorders>
                          <w:top w:val="single" w:sz="8" w:space="0" w:color="000000"/>
                          <w:left w:val="single" w:sz="8" w:space="0" w:color="000000"/>
                          <w:bottom w:val="single" w:sz="8"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w:t>
                        </w:r>
                      </w:p>
                    </w:tc>
                    <w:tc>
                      <w:tcPr>
                        <w:tcW w:w="1440" w:type="dxa"/>
                        <w:tcBorders>
                          <w:top w:val="single" w:sz="8" w:space="0" w:color="000000"/>
                          <w:left w:val="single" w:sz="4" w:space="0" w:color="000000"/>
                          <w:bottom w:val="single" w:sz="8" w:space="0" w:color="000000"/>
                          <w:right w:val="single" w:sz="8"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04" w:hRule="exact"/>
                    </w:trPr>
                    <w:tc>
                      <w:tcPr>
                        <w:tcW w:w="1032" w:type="dxa"/>
                        <w:tcBorders>
                          <w:top w:val="single" w:sz="8" w:space="0" w:color="000000"/>
                          <w:left w:val="single" w:sz="8" w:space="0" w:color="000000"/>
                          <w:bottom w:val="single" w:sz="8" w:space="0" w:color="000000"/>
                          <w:right w:val="single" w:sz="8" w:space="0" w:color="000000"/>
                        </w:tcBorders>
                        <w:shd w:val="clear" w:color="auto" w:fill="8D8D8D"/>
                      </w:tcPr>
                      <w:p>
                        <w:pPr>
                          <w:pStyle w:val="TableParagraph"/>
                          <w:spacing w:line="220"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2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w:t>
                        </w:r>
                      </w:p>
                    </w:tc>
                    <w:tc>
                      <w:tcPr>
                        <w:tcW w:w="233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76,935,549.83</w:t>
                        </w:r>
                      </w:p>
                    </w:tc>
                    <w:tc>
                      <w:tcPr>
                        <w:tcW w:w="2360" w:type="dxa"/>
                        <w:tcBorders>
                          <w:top w:val="single" w:sz="8" w:space="0" w:color="000000"/>
                          <w:left w:val="single" w:sz="8" w:space="0" w:color="000000"/>
                          <w:bottom w:val="single" w:sz="8"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w:t>
                        </w:r>
                      </w:p>
                    </w:tc>
                    <w:tc>
                      <w:tcPr>
                        <w:tcW w:w="1440" w:type="dxa"/>
                        <w:tcBorders>
                          <w:top w:val="single" w:sz="8" w:space="0" w:color="000000"/>
                          <w:left w:val="single" w:sz="4" w:space="0" w:color="000000"/>
                          <w:bottom w:val="single" w:sz="8" w:space="0" w:color="000000"/>
                          <w:right w:val="single" w:sz="8"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04" w:hRule="exact"/>
                    </w:trPr>
                    <w:tc>
                      <w:tcPr>
                        <w:tcW w:w="1032" w:type="dxa"/>
                        <w:tcBorders>
                          <w:top w:val="single" w:sz="8" w:space="0" w:color="000000"/>
                          <w:left w:val="single" w:sz="8" w:space="0" w:color="000000"/>
                          <w:bottom w:val="single" w:sz="8" w:space="0" w:color="000000"/>
                          <w:right w:val="single" w:sz="8" w:space="0" w:color="000000"/>
                        </w:tcBorders>
                        <w:shd w:val="clear" w:color="auto" w:fill="8D8D8D"/>
                      </w:tcPr>
                      <w:p>
                        <w:pPr>
                          <w:pStyle w:val="TableParagraph"/>
                          <w:spacing w:line="220"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2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w:t>
                        </w:r>
                      </w:p>
                    </w:tc>
                    <w:tc>
                      <w:tcPr>
                        <w:tcW w:w="233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Times New Roman" w:hAnsi="Times New Roman" w:cs="Times New Roman" w:eastAsia="Times New Roman" w:hint="default"/>
                            <w:sz w:val="21"/>
                            <w:szCs w:val="21"/>
                          </w:rPr>
                        </w:pPr>
                        <w:r>
                          <w:rPr>
                            <w:rFonts w:ascii="Times New Roman"/>
                            <w:sz w:val="21"/>
                          </w:rPr>
                          <w:t>-5,422,391.00</w:t>
                        </w:r>
                      </w:p>
                    </w:tc>
                    <w:tc>
                      <w:tcPr>
                        <w:tcW w:w="2360" w:type="dxa"/>
                        <w:tcBorders>
                          <w:top w:val="single" w:sz="8" w:space="0" w:color="000000"/>
                          <w:left w:val="single" w:sz="8" w:space="0" w:color="000000"/>
                          <w:bottom w:val="single" w:sz="8"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w:t>
                        </w:r>
                      </w:p>
                    </w:tc>
                    <w:tc>
                      <w:tcPr>
                        <w:tcW w:w="1440" w:type="dxa"/>
                        <w:tcBorders>
                          <w:top w:val="single" w:sz="8" w:space="0" w:color="000000"/>
                          <w:left w:val="single" w:sz="4" w:space="0" w:color="000000"/>
                          <w:bottom w:val="single" w:sz="8" w:space="0" w:color="000000"/>
                          <w:right w:val="single" w:sz="8"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w:t>
                        </w:r>
                      </w:p>
                    </w:tc>
                  </w:tr>
                </w:tbl>
                <w:p>
                  <w:pPr/>
                </w:p>
              </w:txbxContent>
            </v:textbox>
            <w10:wrap type="none"/>
          </v:shape>
        </w:pict>
      </w:r>
      <w:r>
        <w:rPr/>
        <w:t>上述预案尚需提交公司</w:t>
      </w:r>
      <w:r>
        <w:rPr>
          <w:rFonts w:ascii="Times New Roman" w:hAnsi="Times New Roman" w:cs="Times New Roman" w:eastAsia="Times New Roman" w:hint="default"/>
        </w:rPr>
        <w:t>2009</w:t>
      </w:r>
      <w:r>
        <w:rPr/>
        <w:t>年年度股东大会审议。 公司过去三年现金分红情况：</w:t>
      </w:r>
    </w:p>
    <w:p>
      <w:pPr>
        <w:spacing w:after="0" w:line="328" w:lineRule="auto"/>
        <w:jc w:val="left"/>
        <w:sectPr>
          <w:pgSz w:w="11900" w:h="16840"/>
          <w:pgMar w:header="0" w:footer="939" w:top="1480" w:bottom="1120" w:left="1680" w:right="1300"/>
        </w:sectPr>
      </w:pPr>
    </w:p>
    <w:p>
      <w:pPr>
        <w:pStyle w:val="Heading3"/>
        <w:spacing w:line="240" w:lineRule="auto" w:before="6"/>
        <w:ind w:right="0"/>
        <w:jc w:val="left"/>
      </w:pPr>
      <w:r>
        <w:rPr/>
        <w:t>九、其它事项</w:t>
      </w:r>
    </w:p>
    <w:p>
      <w:pPr>
        <w:spacing w:line="240" w:lineRule="auto" w:before="9"/>
        <w:rPr>
          <w:rFonts w:ascii="黑体" w:hAnsi="黑体" w:cs="黑体" w:eastAsia="黑体" w:hint="default"/>
          <w:sz w:val="28"/>
          <w:szCs w:val="28"/>
        </w:rPr>
      </w:pPr>
    </w:p>
    <w:p>
      <w:pPr>
        <w:pStyle w:val="BodyText"/>
        <w:spacing w:line="240" w:lineRule="auto"/>
        <w:ind w:left="610" w:right="0"/>
        <w:jc w:val="left"/>
      </w:pPr>
      <w:r>
        <w:rPr/>
        <w:t>报告期内公司选定信息披露的报刊为《中国证券报》和《证券时报</w:t>
      </w:r>
      <w:r>
        <w:rPr>
          <w:spacing w:val="-105"/>
        </w:rPr>
        <w:t>》</w:t>
      </w:r>
      <w:r>
        <w:rPr/>
        <w:t>。</w:t>
      </w:r>
    </w:p>
    <w:p>
      <w:pPr>
        <w:spacing w:line="240" w:lineRule="auto" w:before="10"/>
        <w:rPr>
          <w:rFonts w:ascii="宋体" w:hAnsi="宋体" w:cs="宋体" w:eastAsia="宋体" w:hint="default"/>
          <w:sz w:val="26"/>
          <w:szCs w:val="26"/>
        </w:rPr>
      </w:pPr>
    </w:p>
    <w:p>
      <w:pPr>
        <w:pStyle w:val="Heading2"/>
        <w:tabs>
          <w:tab w:pos="1119" w:val="left" w:leader="none"/>
        </w:tabs>
        <w:spacing w:line="240" w:lineRule="auto"/>
        <w:ind w:right="18"/>
        <w:jc w:val="center"/>
      </w:pPr>
      <w:r>
        <w:rPr>
          <w:w w:val="95"/>
        </w:rPr>
        <w:t>第九节</w:t>
        <w:tab/>
      </w:r>
      <w:r>
        <w:rPr/>
        <w:t>监事会报告</w:t>
      </w:r>
    </w:p>
    <w:p>
      <w:pPr>
        <w:spacing w:line="240" w:lineRule="auto" w:before="6"/>
        <w:rPr>
          <w:rFonts w:ascii="黑体" w:hAnsi="黑体" w:cs="黑体" w:eastAsia="黑体" w:hint="default"/>
          <w:sz w:val="29"/>
          <w:szCs w:val="29"/>
        </w:rPr>
      </w:pPr>
    </w:p>
    <w:p>
      <w:pPr>
        <w:pStyle w:val="Heading3"/>
        <w:spacing w:line="240" w:lineRule="auto"/>
        <w:ind w:right="0"/>
        <w:jc w:val="left"/>
      </w:pPr>
      <w:r>
        <w:rPr/>
        <w:t>一、监事会日常工作</w:t>
      </w:r>
    </w:p>
    <w:p>
      <w:pPr>
        <w:spacing w:line="240" w:lineRule="auto" w:before="12"/>
        <w:rPr>
          <w:rFonts w:ascii="黑体" w:hAnsi="黑体" w:cs="黑体" w:eastAsia="黑体" w:hint="default"/>
          <w:sz w:val="28"/>
          <w:szCs w:val="28"/>
        </w:rPr>
      </w:pPr>
    </w:p>
    <w:p>
      <w:pPr>
        <w:pStyle w:val="BodyText"/>
        <w:spacing w:line="240" w:lineRule="auto"/>
        <w:ind w:left="626" w:right="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年度，监事会共召开了</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次会议，会议召开情况及审议事项如下：</w:t>
      </w:r>
    </w:p>
    <w:p>
      <w:pPr>
        <w:pStyle w:val="BodyText"/>
        <w:spacing w:line="331" w:lineRule="auto" w:before="109"/>
        <w:ind w:right="210" w:firstLine="420"/>
        <w:jc w:val="both"/>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8"/>
        </w:rPr>
        <w:t> </w:t>
      </w:r>
      <w:r>
        <w:rPr/>
        <w:t>年</w:t>
      </w:r>
      <w:r>
        <w:rPr>
          <w:spacing w:val="-60"/>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60"/>
        </w:rPr>
        <w:t> </w:t>
      </w:r>
      <w:r>
        <w:rPr>
          <w:rFonts w:ascii="Times New Roman" w:hAnsi="Times New Roman" w:cs="Times New Roman" w:eastAsia="Times New Roman" w:hint="default"/>
        </w:rPr>
        <w:t>27</w:t>
      </w:r>
      <w:r>
        <w:rPr>
          <w:rFonts w:ascii="Times New Roman" w:hAnsi="Times New Roman" w:cs="Times New Roman" w:eastAsia="Times New Roman" w:hint="default"/>
          <w:spacing w:val="-7"/>
        </w:rPr>
        <w:t> </w:t>
      </w:r>
      <w:r>
        <w:rPr/>
        <w:t>日召开了第五届监事会第十九次会议，本次会议全体监事出席会议，审 议并通过了《公司关于</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spacing w:val="-10"/>
        </w:rPr>
        <w:t>年计提各项资产减值准备的专项报告》、《监事会</w:t>
      </w:r>
      <w:r>
        <w:rPr>
          <w:spacing w:val="-49"/>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4"/>
        </w:rPr>
        <w:t> </w:t>
      </w:r>
      <w:r>
        <w:rPr>
          <w:spacing w:val="-1"/>
        </w:rPr>
        <w:t>年度工作报</w:t>
      </w:r>
      <w:r>
        <w:rPr/>
        <w:t> </w:t>
      </w:r>
      <w:r>
        <w:rPr>
          <w:spacing w:val="-35"/>
        </w:rPr>
        <w:t>告》、《公司</w:t>
      </w:r>
      <w:r>
        <w:rPr>
          <w:spacing w:val="-51"/>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3"/>
        </w:rPr>
        <w:t> </w:t>
      </w:r>
      <w:r>
        <w:rPr>
          <w:spacing w:val="-24"/>
        </w:rPr>
        <w:t>年度报告》、《公司</w:t>
      </w:r>
      <w:r>
        <w:rPr>
          <w:spacing w:val="-51"/>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3"/>
        </w:rPr>
        <w:t> </w:t>
      </w:r>
      <w:r>
        <w:rPr>
          <w:spacing w:val="-8"/>
        </w:rPr>
        <w:t>年度内控制度执行情况报告》。</w:t>
      </w:r>
    </w:p>
    <w:p>
      <w:pPr>
        <w:pStyle w:val="BodyText"/>
        <w:spacing w:line="328" w:lineRule="auto" w:before="20"/>
        <w:ind w:right="211" w:firstLine="420"/>
        <w:jc w:val="both"/>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8"/>
        </w:rPr>
        <w:t> </w:t>
      </w:r>
      <w:r>
        <w:rPr/>
        <w:t>年</w:t>
      </w:r>
      <w:r>
        <w:rPr>
          <w:spacing w:val="-60"/>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60"/>
        </w:rPr>
        <w:t> </w:t>
      </w:r>
      <w:r>
        <w:rPr>
          <w:rFonts w:ascii="Times New Roman" w:hAnsi="Times New Roman" w:cs="Times New Roman" w:eastAsia="Times New Roman" w:hint="default"/>
        </w:rPr>
        <w:t>29</w:t>
      </w:r>
      <w:r>
        <w:rPr>
          <w:rFonts w:ascii="Times New Roman" w:hAnsi="Times New Roman" w:cs="Times New Roman" w:eastAsia="Times New Roman" w:hint="default"/>
          <w:spacing w:val="-7"/>
        </w:rPr>
        <w:t> </w:t>
      </w:r>
      <w:r>
        <w:rPr/>
        <w:t>日召开了第五届监事会第二十次会议，本次会议全体监事出席会议，审 议并通过了《公司</w:t>
      </w:r>
      <w:r>
        <w:rPr>
          <w:spacing w:val="-50"/>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2"/>
        </w:rPr>
        <w:t> </w:t>
      </w:r>
      <w:r>
        <w:rPr>
          <w:spacing w:val="-10"/>
        </w:rPr>
        <w:t>年第一季度财务报告》。</w:t>
      </w:r>
    </w:p>
    <w:p>
      <w:pPr>
        <w:pStyle w:val="BodyText"/>
        <w:spacing w:line="328" w:lineRule="auto" w:before="24"/>
        <w:ind w:right="211" w:firstLine="420"/>
        <w:jc w:val="both"/>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8"/>
        </w:rPr>
        <w:t> </w:t>
      </w:r>
      <w:r>
        <w:rPr/>
        <w:t>年</w:t>
      </w:r>
      <w:r>
        <w:rPr>
          <w:spacing w:val="-60"/>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60"/>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t>日召开了第六届监事会第一次会议，本次会议全体监事出席会议，审议 </w:t>
      </w:r>
      <w:r>
        <w:rPr>
          <w:spacing w:val="-3"/>
        </w:rPr>
        <w:t>并通过了《关于选举公司第六届监事会主席的议案》，选举尤明天先生担任监事会主席。</w:t>
      </w:r>
    </w:p>
    <w:p>
      <w:pPr>
        <w:pStyle w:val="BodyText"/>
        <w:spacing w:line="331" w:lineRule="auto" w:before="47"/>
        <w:ind w:right="211" w:firstLine="420"/>
        <w:jc w:val="both"/>
      </w:pPr>
      <w:r>
        <w:rPr>
          <w:rFonts w:ascii="Times New Roman" w:hAnsi="Times New Roman" w:cs="Times New Roman" w:eastAsia="Times New Roman" w:hint="default"/>
          <w:spacing w:val="-3"/>
        </w:rPr>
        <w:t>4</w:t>
      </w:r>
      <w:r>
        <w:rPr>
          <w:spacing w:val="-3"/>
        </w:rPr>
        <w:t>、</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8"/>
        </w:rPr>
        <w:t> </w:t>
      </w:r>
      <w:r>
        <w:rPr/>
        <w:t>年</w:t>
      </w:r>
      <w:r>
        <w:rPr>
          <w:spacing w:val="-60"/>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60"/>
        </w:rPr>
        <w:t> </w:t>
      </w:r>
      <w:r>
        <w:rPr>
          <w:rFonts w:ascii="Times New Roman" w:hAnsi="Times New Roman" w:cs="Times New Roman" w:eastAsia="Times New Roman" w:hint="default"/>
        </w:rPr>
        <w:t>24</w:t>
      </w:r>
      <w:r>
        <w:rPr>
          <w:rFonts w:ascii="Times New Roman" w:hAnsi="Times New Roman" w:cs="Times New Roman" w:eastAsia="Times New Roman" w:hint="default"/>
          <w:spacing w:val="-7"/>
        </w:rPr>
        <w:t> </w:t>
      </w:r>
      <w:r>
        <w:rPr/>
        <w:t>日召开了第六届监事会第二次会议，本次会议全体监事出席会议，审议 并通过了《公司</w:t>
      </w:r>
      <w:r>
        <w:rPr>
          <w:spacing w:val="-47"/>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6"/>
        </w:rPr>
        <w:t> </w:t>
      </w:r>
      <w:r>
        <w:rPr>
          <w:spacing w:val="-11"/>
        </w:rPr>
        <w:t>年度中期财务报告》、《公司第六届监事会监事津贴标准的议案》。</w:t>
      </w:r>
    </w:p>
    <w:p>
      <w:pPr>
        <w:pStyle w:val="BodyText"/>
        <w:spacing w:line="240" w:lineRule="auto" w:before="20"/>
        <w:ind w:left="610" w:right="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日召开了第六届监事会第三次会议，本次会议全体监事出席会议，审</w:t>
      </w:r>
    </w:p>
    <w:p>
      <w:pPr>
        <w:pStyle w:val="BodyText"/>
        <w:spacing w:line="240" w:lineRule="auto" w:before="109"/>
        <w:ind w:right="0"/>
        <w:jc w:val="left"/>
      </w:pPr>
      <w:r>
        <w:rPr/>
        <w:t>议并通过了《公司</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年第三季度财务报告》。</w:t>
      </w:r>
    </w:p>
    <w:p>
      <w:pPr>
        <w:spacing w:line="240" w:lineRule="auto" w:before="5"/>
        <w:rPr>
          <w:rFonts w:ascii="宋体" w:hAnsi="宋体" w:cs="宋体" w:eastAsia="宋体" w:hint="default"/>
          <w:sz w:val="24"/>
          <w:szCs w:val="24"/>
        </w:rPr>
      </w:pPr>
    </w:p>
    <w:p>
      <w:pPr>
        <w:spacing w:before="0"/>
        <w:ind w:left="190" w:right="0" w:firstLine="0"/>
        <w:jc w:val="left"/>
        <w:rPr>
          <w:rFonts w:ascii="宋体" w:hAnsi="宋体" w:cs="宋体" w:eastAsia="宋体" w:hint="default"/>
          <w:sz w:val="24"/>
          <w:szCs w:val="24"/>
        </w:rPr>
      </w:pPr>
      <w:r>
        <w:rPr>
          <w:rFonts w:ascii="宋体" w:hAnsi="宋体" w:cs="宋体" w:eastAsia="宋体" w:hint="default"/>
          <w:sz w:val="24"/>
          <w:szCs w:val="24"/>
        </w:rPr>
        <w:t>二、监事会对公司</w:t>
      </w:r>
      <w:r>
        <w:rPr>
          <w:rFonts w:ascii="宋体" w:hAnsi="宋体" w:cs="宋体" w:eastAsia="宋体" w:hint="default"/>
          <w:spacing w:val="-51"/>
          <w:sz w:val="24"/>
          <w:szCs w:val="24"/>
        </w:rPr>
        <w:t> </w:t>
      </w:r>
      <w:r>
        <w:rPr>
          <w:rFonts w:ascii="Times New Roman" w:hAnsi="Times New Roman" w:cs="Times New Roman" w:eastAsia="Times New Roman" w:hint="default"/>
          <w:b/>
          <w:bCs/>
          <w:sz w:val="24"/>
          <w:szCs w:val="24"/>
        </w:rPr>
        <w:t>2009</w:t>
      </w:r>
      <w:r>
        <w:rPr>
          <w:rFonts w:ascii="Times New Roman" w:hAnsi="Times New Roman" w:cs="Times New Roman" w:eastAsia="Times New Roman" w:hint="default"/>
          <w:b/>
          <w:bCs/>
          <w:spacing w:val="7"/>
          <w:sz w:val="24"/>
          <w:szCs w:val="24"/>
        </w:rPr>
        <w:t> </w:t>
      </w:r>
      <w:r>
        <w:rPr>
          <w:rFonts w:ascii="宋体" w:hAnsi="宋体" w:cs="宋体" w:eastAsia="宋体" w:hint="default"/>
          <w:sz w:val="24"/>
          <w:szCs w:val="24"/>
        </w:rPr>
        <w:t>年度有关事项的意见</w:t>
      </w:r>
    </w:p>
    <w:p>
      <w:pPr>
        <w:spacing w:line="240" w:lineRule="auto" w:before="6"/>
        <w:rPr>
          <w:rFonts w:ascii="宋体" w:hAnsi="宋体" w:cs="宋体" w:eastAsia="宋体" w:hint="default"/>
          <w:sz w:val="27"/>
          <w:szCs w:val="27"/>
        </w:rPr>
      </w:pPr>
    </w:p>
    <w:p>
      <w:pPr>
        <w:pStyle w:val="BodyText"/>
        <w:spacing w:line="338" w:lineRule="auto"/>
        <w:ind w:right="208" w:firstLine="420"/>
        <w:jc w:val="both"/>
      </w:pPr>
      <w:r>
        <w:rPr/>
        <w:t>监事会通过列席董事局会议、总裁办公会议，出席股东大会，按照《公司法》及《公司章 </w:t>
      </w:r>
      <w:r>
        <w:rPr>
          <w:spacing w:val="-5"/>
        </w:rPr>
        <w:t>程》的有关规定，对公司</w:t>
      </w:r>
      <w:r>
        <w:rPr>
          <w:spacing w:val="-7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2"/>
        </w:rPr>
        <w:t> </w:t>
      </w:r>
      <w:r>
        <w:rPr/>
        <w:t>年度各项经营活动、投资决策、财务运作等重大经济活动进行检 查和监督。监事会认为：</w:t>
      </w:r>
    </w:p>
    <w:p>
      <w:pPr>
        <w:pStyle w:val="BodyText"/>
        <w:spacing w:line="328" w:lineRule="auto" w:before="40"/>
        <w:ind w:right="209" w:firstLine="419"/>
        <w:jc w:val="both"/>
      </w:pPr>
      <w:r>
        <w:rPr>
          <w:rFonts w:ascii="Times New Roman" w:hAnsi="Times New Roman" w:cs="Times New Roman" w:eastAsia="Times New Roman" w:hint="default"/>
        </w:rPr>
        <w:t>1</w:t>
      </w:r>
      <w:r>
        <w:rPr/>
        <w:t>、公司在</w:t>
      </w:r>
      <w:r>
        <w:rPr>
          <w:spacing w:val="-5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年度的经营决策，未违背法律法规，经营活动按照《公司章程》规定的权 限和程序进行。</w:t>
      </w:r>
    </w:p>
    <w:p>
      <w:pPr>
        <w:pStyle w:val="BodyText"/>
        <w:spacing w:line="331" w:lineRule="auto" w:before="47"/>
        <w:ind w:right="209" w:firstLine="420"/>
        <w:jc w:val="both"/>
      </w:pPr>
      <w:r>
        <w:rPr>
          <w:rFonts w:ascii="Times New Roman" w:hAnsi="Times New Roman" w:cs="Times New Roman" w:eastAsia="Times New Roman" w:hint="default"/>
          <w:spacing w:val="-3"/>
        </w:rPr>
        <w:t>2</w:t>
      </w:r>
      <w:r>
        <w:rPr>
          <w:spacing w:val="-3"/>
        </w:rPr>
        <w:t>、公司董事及其它高管人员在履行职责时，无违反法律法规和公司章程，亦未发生损害公</w:t>
      </w:r>
      <w:r>
        <w:rPr/>
        <w:t> 司利益行为。</w:t>
      </w:r>
    </w:p>
    <w:p>
      <w:pPr>
        <w:pStyle w:val="BodyText"/>
        <w:spacing w:line="340" w:lineRule="auto" w:before="45"/>
        <w:ind w:right="208" w:firstLine="420"/>
        <w:jc w:val="both"/>
      </w:pPr>
      <w:r>
        <w:rPr>
          <w:rFonts w:ascii="Times New Roman" w:hAnsi="Times New Roman" w:cs="Times New Roman" w:eastAsia="Times New Roman" w:hint="default"/>
          <w:spacing w:val="-5"/>
        </w:rPr>
        <w:t>3</w:t>
      </w:r>
      <w:r>
        <w:rPr>
          <w:spacing w:val="-5"/>
        </w:rPr>
        <w:t>、报告期内监事会对公司财务状况进行了认真检查，审核了公司</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spacing w:val="-7"/>
        </w:rPr>
        <w:t>年度财务报告、</w:t>
      </w:r>
      <w:r>
        <w:rPr>
          <w:rFonts w:ascii="Times New Roman" w:hAnsi="Times New Roman" w:cs="Times New Roman" w:eastAsia="Times New Roman" w:hint="default"/>
          <w:spacing w:val="-7"/>
        </w:rPr>
        <w:t>2009</w:t>
      </w:r>
      <w:r>
        <w:rPr>
          <w:rFonts w:ascii="Times New Roman" w:hAnsi="Times New Roman" w:cs="Times New Roman" w:eastAsia="Times New Roman" w:hint="default"/>
        </w:rPr>
        <w:t> </w:t>
      </w:r>
      <w:r>
        <w:rPr/>
        <w:t>年第一季度、半年度、第三季度财务报告并出具确认意见，认为公司定期报告均真实反映公司</w:t>
      </w:r>
      <w:r>
        <w:rPr>
          <w:spacing w:val="-99"/>
        </w:rPr>
        <w:t> </w:t>
      </w:r>
      <w:r>
        <w:rPr>
          <w:spacing w:val="-99"/>
        </w:rPr>
      </w:r>
      <w:r>
        <w:rPr/>
        <w:t>经营状况。</w:t>
      </w:r>
    </w:p>
    <w:p>
      <w:pPr>
        <w:pStyle w:val="BodyText"/>
        <w:spacing w:line="328" w:lineRule="auto" w:before="36"/>
        <w:ind w:right="209" w:firstLine="420"/>
        <w:jc w:val="both"/>
      </w:pPr>
      <w:r>
        <w:rPr>
          <w:rFonts w:ascii="Times New Roman" w:hAnsi="Times New Roman" w:cs="Times New Roman" w:eastAsia="Times New Roman" w:hint="default"/>
          <w:spacing w:val="-3"/>
        </w:rPr>
        <w:t>4</w:t>
      </w:r>
      <w:r>
        <w:rPr>
          <w:spacing w:val="-3"/>
        </w:rPr>
        <w:t>、报告期内，公司与东鸿信公司资产置换的关联交易事项，程序合法，未发现内幕交易和</w:t>
      </w:r>
      <w:r>
        <w:rPr/>
        <w:t> 损害股东利益行为。</w:t>
      </w:r>
    </w:p>
    <w:p>
      <w:pPr>
        <w:pStyle w:val="BodyText"/>
        <w:spacing w:line="240" w:lineRule="auto" w:before="48"/>
        <w:ind w:left="610" w:right="0"/>
        <w:jc w:val="left"/>
      </w:pPr>
      <w:r>
        <w:rPr>
          <w:rFonts w:ascii="Times New Roman" w:hAnsi="Times New Roman" w:cs="Times New Roman" w:eastAsia="Times New Roman" w:hint="default"/>
        </w:rPr>
        <w:t>5</w:t>
      </w:r>
      <w:r>
        <w:rPr/>
        <w:t>、报告期内，未发现公司存在内幕交易和损害公司股东权益或造成公司资产流失的情况。</w:t>
      </w:r>
    </w:p>
    <w:p>
      <w:pPr>
        <w:spacing w:after="0" w:line="240" w:lineRule="auto"/>
        <w:jc w:val="left"/>
        <w:sectPr>
          <w:pgSz w:w="11900" w:h="16840"/>
          <w:pgMar w:header="0" w:footer="939" w:top="1440" w:bottom="1120" w:left="1680" w:right="1200"/>
        </w:sectPr>
      </w:pPr>
    </w:p>
    <w:p>
      <w:pPr>
        <w:pStyle w:val="BodyText"/>
        <w:spacing w:line="240" w:lineRule="auto" w:before="15"/>
        <w:ind w:left="610" w:right="0"/>
        <w:jc w:val="left"/>
        <w:rPr>
          <w:rFonts w:ascii="Times New Roman" w:hAnsi="Times New Roman" w:cs="Times New Roman" w:eastAsia="Times New Roman" w:hint="default"/>
        </w:rPr>
      </w:pPr>
      <w:r>
        <w:rPr>
          <w:rFonts w:ascii="Times New Roman" w:hAnsi="Times New Roman" w:cs="Times New Roman" w:eastAsia="Times New Roman" w:hint="default"/>
        </w:rPr>
        <w:t>6</w:t>
      </w:r>
      <w:r>
        <w:rPr/>
        <w:t>、深圳市鹏城会计师事务所出具的公司</w:t>
      </w:r>
      <w:r>
        <w:rPr>
          <w:spacing w:val="-7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8"/>
        </w:rPr>
        <w:t> </w:t>
      </w:r>
      <w:r>
        <w:rPr/>
        <w:t>年度审计报告真实、客观地反映了公司</w:t>
      </w:r>
      <w:r>
        <w:rPr>
          <w:spacing w:val="-70"/>
        </w:rPr>
        <w:t> </w:t>
      </w:r>
      <w:r>
        <w:rPr>
          <w:rFonts w:ascii="Times New Roman" w:hAnsi="Times New Roman" w:cs="Times New Roman" w:eastAsia="Times New Roman" w:hint="default"/>
        </w:rPr>
        <w:t>2009</w:t>
      </w:r>
    </w:p>
    <w:p>
      <w:pPr>
        <w:pStyle w:val="BodyText"/>
        <w:spacing w:line="240" w:lineRule="auto" w:before="109"/>
        <w:ind w:right="0"/>
        <w:jc w:val="left"/>
      </w:pPr>
      <w:r>
        <w:rPr/>
        <w:t>年度财务状况和经营成果。</w:t>
      </w:r>
    </w:p>
    <w:p>
      <w:pPr>
        <w:spacing w:line="240" w:lineRule="auto" w:before="11"/>
        <w:rPr>
          <w:rFonts w:ascii="宋体" w:hAnsi="宋体" w:cs="宋体" w:eastAsia="宋体" w:hint="default"/>
          <w:sz w:val="26"/>
          <w:szCs w:val="26"/>
        </w:rPr>
      </w:pPr>
    </w:p>
    <w:p>
      <w:pPr>
        <w:pStyle w:val="Heading2"/>
        <w:tabs>
          <w:tab w:pos="1124" w:val="left" w:leader="none"/>
        </w:tabs>
        <w:spacing w:line="240" w:lineRule="auto"/>
        <w:ind w:right="21"/>
        <w:jc w:val="center"/>
        <w:rPr>
          <w:rFonts w:ascii="宋体" w:hAnsi="宋体" w:cs="宋体" w:eastAsia="宋体" w:hint="default"/>
        </w:rPr>
      </w:pPr>
      <w:r>
        <w:rPr>
          <w:rFonts w:ascii="宋体" w:hAnsi="宋体" w:cs="宋体" w:eastAsia="宋体" w:hint="default"/>
        </w:rPr>
        <w:t>第十节</w:t>
        <w:tab/>
        <w:t>重要事项</w:t>
      </w:r>
    </w:p>
    <w:p>
      <w:pPr>
        <w:spacing w:line="240" w:lineRule="auto" w:before="3"/>
        <w:rPr>
          <w:rFonts w:ascii="宋体" w:hAnsi="宋体" w:cs="宋体" w:eastAsia="宋体" w:hint="default"/>
          <w:sz w:val="28"/>
          <w:szCs w:val="28"/>
        </w:rPr>
      </w:pPr>
    </w:p>
    <w:p>
      <w:pPr>
        <w:pStyle w:val="Heading3"/>
        <w:spacing w:line="240" w:lineRule="auto"/>
        <w:ind w:right="0"/>
        <w:jc w:val="left"/>
      </w:pPr>
      <w:r>
        <w:rPr/>
        <w:t>一、报告期内重大诉讼、仲裁事项</w:t>
      </w:r>
    </w:p>
    <w:p>
      <w:pPr>
        <w:spacing w:line="240" w:lineRule="auto" w:before="9"/>
        <w:rPr>
          <w:rFonts w:ascii="黑体" w:hAnsi="黑体" w:cs="黑体" w:eastAsia="黑体" w:hint="default"/>
          <w:sz w:val="28"/>
          <w:szCs w:val="28"/>
        </w:rPr>
      </w:pPr>
    </w:p>
    <w:p>
      <w:pPr>
        <w:pStyle w:val="BodyText"/>
        <w:spacing w:line="338" w:lineRule="auto"/>
        <w:ind w:left="610" w:right="0" w:firstLine="2"/>
        <w:jc w:val="left"/>
      </w:pPr>
      <w:r>
        <w:rPr/>
        <w:t>以前期间发生并延续至报告期内的重大诉讼事项及其对公司财务状况的影响</w:t>
      </w:r>
      <w:r>
        <w:rPr>
          <w:spacing w:val="-87"/>
        </w:rPr>
        <w:t> </w:t>
      </w:r>
      <w:r>
        <w:rPr>
          <w:spacing w:val="-87"/>
        </w:rPr>
      </w:r>
      <w:r>
        <w:rPr>
          <w:rFonts w:ascii="Times New Roman" w:hAnsi="Times New Roman" w:cs="Times New Roman" w:eastAsia="Times New Roman" w:hint="default"/>
          <w:spacing w:val="-4"/>
        </w:rPr>
        <w:t>1</w:t>
      </w:r>
      <w:r>
        <w:rPr>
          <w:spacing w:val="-4"/>
        </w:rPr>
        <w:t>、公司诉广州金宇房地产开发公司（以下简称“金宇房地产”）合作开发纠纷案</w:t>
      </w:r>
      <w:r>
        <w:rPr>
          <w:spacing w:val="-70"/>
        </w:rPr>
        <w:t> </w:t>
      </w:r>
      <w:r>
        <w:rPr>
          <w:spacing w:val="-70"/>
        </w:rPr>
      </w:r>
      <w:r>
        <w:rPr>
          <w:spacing w:val="-3"/>
        </w:rPr>
        <w:t>此案由广东省高级人民法院（以下简称“省高院”）于</w:t>
      </w:r>
      <w:r>
        <w:rPr>
          <w:rFonts w:ascii="Times New Roman" w:hAnsi="Times New Roman" w:cs="Times New Roman" w:eastAsia="Times New Roman" w:hint="default"/>
          <w:spacing w:val="-3"/>
        </w:rPr>
        <w:t>2004</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12</w:t>
      </w:r>
      <w:r>
        <w:rPr>
          <w:spacing w:val="-3"/>
        </w:rPr>
        <w:t>日作出“（</w:t>
      </w:r>
      <w:r>
        <w:rPr>
          <w:rFonts w:ascii="Times New Roman" w:hAnsi="Times New Roman" w:cs="Times New Roman" w:eastAsia="Times New Roman" w:hint="default"/>
          <w:spacing w:val="-3"/>
        </w:rPr>
        <w:t>2003</w:t>
      </w:r>
      <w:r>
        <w:rPr>
          <w:spacing w:val="-3"/>
        </w:rPr>
        <w:t>）粤高</w:t>
      </w:r>
    </w:p>
    <w:p>
      <w:pPr>
        <w:pStyle w:val="BodyText"/>
        <w:spacing w:line="331" w:lineRule="auto" w:before="14"/>
        <w:ind w:right="208" w:hanging="1"/>
        <w:jc w:val="both"/>
      </w:pPr>
      <w:r>
        <w:rPr>
          <w:spacing w:val="-3"/>
        </w:rPr>
        <w:t>法民一终字第</w:t>
      </w:r>
      <w:r>
        <w:rPr>
          <w:rFonts w:ascii="Times New Roman" w:hAnsi="Times New Roman" w:cs="Times New Roman" w:eastAsia="Times New Roman" w:hint="default"/>
          <w:spacing w:val="-3"/>
        </w:rPr>
        <w:t>332</w:t>
      </w:r>
      <w:r>
        <w:rPr>
          <w:spacing w:val="-3"/>
        </w:rPr>
        <w:t>号”终审民事判决，并于</w:t>
      </w:r>
      <w:r>
        <w:rPr>
          <w:rFonts w:ascii="Times New Roman" w:hAnsi="Times New Roman" w:cs="Times New Roman" w:eastAsia="Times New Roman" w:hint="default"/>
          <w:spacing w:val="-3"/>
        </w:rPr>
        <w:t>2004</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8</w:t>
      </w:r>
      <w:r>
        <w:rPr>
          <w:spacing w:val="-3"/>
        </w:rPr>
        <w:t>日在广州市中级人民法院（以下简称“广</w:t>
      </w:r>
      <w:r>
        <w:rPr>
          <w:spacing w:val="-70"/>
        </w:rPr>
        <w:t> </w:t>
      </w:r>
      <w:r>
        <w:rPr>
          <w:spacing w:val="-70"/>
        </w:rPr>
      </w:r>
      <w:r>
        <w:rPr>
          <w:spacing w:val="-5"/>
        </w:rPr>
        <w:t>州中院”）立案执行。在执行过程中，金宇房地产被查封的物业</w:t>
      </w:r>
      <w:r>
        <w:rPr>
          <w:rFonts w:ascii="Times New Roman" w:hAnsi="Times New Roman" w:cs="Times New Roman" w:eastAsia="Times New Roman" w:hint="default"/>
          <w:spacing w:val="-5"/>
        </w:rPr>
        <w:t>——</w:t>
      </w:r>
      <w:r>
        <w:rPr>
          <w:spacing w:val="-5"/>
        </w:rPr>
        <w:t>广州市芳村区东塱村东南侧</w:t>
      </w:r>
      <w:r>
        <w:rPr>
          <w:spacing w:val="-102"/>
        </w:rPr>
        <w:t> </w:t>
      </w:r>
      <w:r>
        <w:rPr/>
        <w:t>的“金宇花园”</w:t>
      </w:r>
      <w:r>
        <w:rPr>
          <w:rFonts w:ascii="Times New Roman" w:hAnsi="Times New Roman" w:cs="Times New Roman" w:eastAsia="Times New Roman" w:hint="default"/>
        </w:rPr>
        <w:t>27-32</w:t>
      </w:r>
      <w:r>
        <w:rPr/>
        <w:t>栋首、二层商铺以</w:t>
      </w:r>
      <w:r>
        <w:rPr>
          <w:rFonts w:ascii="Times New Roman" w:hAnsi="Times New Roman" w:cs="Times New Roman" w:eastAsia="Times New Roman" w:hint="default"/>
        </w:rPr>
        <w:t>569</w:t>
      </w:r>
      <w:r>
        <w:rPr/>
        <w:t>万元抵偿给公司，并已完成过户手续。因金宇房地 </w:t>
      </w:r>
      <w:r>
        <w:rPr>
          <w:spacing w:val="-3"/>
        </w:rPr>
        <w:t>产公司无其他有效可执行财产，</w:t>
      </w:r>
      <w:r>
        <w:rPr>
          <w:rFonts w:ascii="Times New Roman" w:hAnsi="Times New Roman" w:cs="Times New Roman" w:eastAsia="Times New Roman" w:hint="default"/>
          <w:spacing w:val="-3"/>
        </w:rPr>
        <w:t>2005</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27</w:t>
      </w:r>
      <w:r>
        <w:rPr>
          <w:spacing w:val="-3"/>
        </w:rPr>
        <w:t>日，广州中院以“（</w:t>
      </w:r>
      <w:r>
        <w:rPr>
          <w:rFonts w:ascii="Times New Roman" w:hAnsi="Times New Roman" w:cs="Times New Roman" w:eastAsia="Times New Roman" w:hint="default"/>
          <w:spacing w:val="-3"/>
        </w:rPr>
        <w:t>2004</w:t>
      </w:r>
      <w:r>
        <w:rPr>
          <w:spacing w:val="-3"/>
        </w:rPr>
        <w:t>）穗中法执字第</w:t>
      </w:r>
      <w:r>
        <w:rPr>
          <w:rFonts w:ascii="Times New Roman" w:hAnsi="Times New Roman" w:cs="Times New Roman" w:eastAsia="Times New Roman" w:hint="default"/>
          <w:spacing w:val="-3"/>
        </w:rPr>
        <w:t>1257</w:t>
      </w:r>
      <w:r>
        <w:rPr>
          <w:spacing w:val="-3"/>
        </w:rPr>
        <w:t>号”</w:t>
      </w:r>
      <w:r>
        <w:rPr>
          <w:spacing w:val="-75"/>
        </w:rPr>
        <w:t> </w:t>
      </w:r>
      <w:r>
        <w:rPr>
          <w:spacing w:val="-3"/>
        </w:rPr>
        <w:t>民事裁定书裁定中止执行“（</w:t>
      </w:r>
      <w:r>
        <w:rPr>
          <w:rFonts w:ascii="Times New Roman" w:hAnsi="Times New Roman" w:cs="Times New Roman" w:eastAsia="Times New Roman" w:hint="default"/>
          <w:spacing w:val="-3"/>
        </w:rPr>
        <w:t>2003</w:t>
      </w:r>
      <w:r>
        <w:rPr>
          <w:spacing w:val="-3"/>
        </w:rPr>
        <w:t>）粤高法民一终字第</w:t>
      </w:r>
      <w:r>
        <w:rPr>
          <w:rFonts w:ascii="Times New Roman" w:hAnsi="Times New Roman" w:cs="Times New Roman" w:eastAsia="Times New Roman" w:hint="default"/>
          <w:spacing w:val="-3"/>
        </w:rPr>
        <w:t>332</w:t>
      </w:r>
      <w:r>
        <w:rPr>
          <w:spacing w:val="-3"/>
        </w:rPr>
        <w:t>号”终审民事判决，待公司发现金宇</w:t>
      </w:r>
      <w:r>
        <w:rPr>
          <w:spacing w:val="-83"/>
        </w:rPr>
        <w:t> </w:t>
      </w:r>
      <w:r>
        <w:rPr>
          <w:spacing w:val="-83"/>
        </w:rPr>
      </w:r>
      <w:r>
        <w:rPr/>
        <w:t>房地产有可供执行的财产时再向广州中院申请追偿。此事项，公司已于</w:t>
      </w:r>
      <w:r>
        <w:rPr>
          <w:rFonts w:ascii="Times New Roman" w:hAnsi="Times New Roman" w:cs="Times New Roman" w:eastAsia="Times New Roman" w:hint="default"/>
        </w:rPr>
        <w:t>2007</w:t>
      </w:r>
      <w:r>
        <w:rPr/>
        <w:t>年度全额计提坏帐 </w:t>
      </w:r>
      <w:r>
        <w:rPr>
          <w:spacing w:val="-2"/>
        </w:rPr>
        <w:t>准备</w:t>
      </w:r>
      <w:r>
        <w:rPr>
          <w:rFonts w:ascii="Times New Roman" w:hAnsi="Times New Roman" w:cs="Times New Roman" w:eastAsia="Times New Roman" w:hint="default"/>
          <w:spacing w:val="-2"/>
        </w:rPr>
        <w:t>2572</w:t>
      </w:r>
      <w:r>
        <w:rPr>
          <w:spacing w:val="-2"/>
        </w:rPr>
        <w:t>万元</w:t>
      </w:r>
      <w:r>
        <w:rPr>
          <w:rFonts w:ascii="Times New Roman" w:hAnsi="Times New Roman" w:cs="Times New Roman" w:eastAsia="Times New Roman" w:hint="default"/>
          <w:spacing w:val="-2"/>
        </w:rPr>
        <w:t>,</w:t>
      </w:r>
      <w:r>
        <w:rPr>
          <w:spacing w:val="-2"/>
        </w:rPr>
        <w:t>不影响本期损益。公司将成立债权债务清理专职小组，加大追收力度，加快协调</w:t>
      </w:r>
      <w:r>
        <w:rPr>
          <w:spacing w:val="-69"/>
        </w:rPr>
        <w:t> </w:t>
      </w:r>
      <w:r>
        <w:rPr>
          <w:spacing w:val="-69"/>
        </w:rPr>
      </w:r>
      <w:r>
        <w:rPr/>
        <w:t>此案的执行。</w:t>
      </w:r>
    </w:p>
    <w:p>
      <w:pPr>
        <w:pStyle w:val="BodyText"/>
        <w:spacing w:line="240" w:lineRule="auto" w:before="45"/>
        <w:ind w:left="610" w:right="0"/>
        <w:jc w:val="left"/>
      </w:pPr>
      <w:r>
        <w:rPr/>
        <w:t>（此案诉讼事由及相关情况自</w:t>
      </w:r>
      <w:r>
        <w:rPr>
          <w:spacing w:val="-78"/>
        </w:rPr>
        <w:t> </w:t>
      </w:r>
      <w:r>
        <w:rPr>
          <w:rFonts w:ascii="Arial" w:hAnsi="Arial" w:cs="Arial" w:eastAsia="Arial" w:hint="default"/>
        </w:rPr>
        <w:t>2003</w:t>
      </w:r>
      <w:r>
        <w:rPr>
          <w:rFonts w:ascii="Arial" w:hAnsi="Arial" w:cs="Arial" w:eastAsia="Arial" w:hint="default"/>
          <w:spacing w:val="-32"/>
        </w:rPr>
        <w:t> </w:t>
      </w:r>
      <w:r>
        <w:rPr/>
        <w:t>年起在公司历年中期及年度报告中持续披露）</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17"/>
          <w:szCs w:val="17"/>
        </w:rPr>
      </w:pPr>
    </w:p>
    <w:p>
      <w:pPr>
        <w:pStyle w:val="BodyText"/>
        <w:spacing w:line="328" w:lineRule="auto"/>
        <w:ind w:right="0" w:firstLine="419"/>
        <w:jc w:val="left"/>
      </w:pPr>
      <w:r>
        <w:rPr>
          <w:rFonts w:ascii="Times New Roman" w:hAnsi="Times New Roman" w:cs="Times New Roman" w:eastAsia="Times New Roman" w:hint="default"/>
          <w:spacing w:val="-8"/>
        </w:rPr>
        <w:t>2</w:t>
      </w:r>
      <w:r>
        <w:rPr>
          <w:spacing w:val="-8"/>
        </w:rPr>
        <w:t>、公司诉深圳市海龙王房地产开发有限公司（以下简称“海龙王房地产”、“被执行人”）</w:t>
      </w:r>
      <w:r>
        <w:rPr/>
        <w:t> 欠款纠纷案</w:t>
      </w:r>
    </w:p>
    <w:p>
      <w:pPr>
        <w:pStyle w:val="BodyText"/>
        <w:spacing w:line="240" w:lineRule="auto" w:before="48"/>
        <w:ind w:left="610" w:right="0"/>
        <w:jc w:val="left"/>
      </w:pPr>
      <w:r>
        <w:rPr/>
        <w:t>此案，已由广东省高院于</w:t>
      </w:r>
      <w:r>
        <w:rPr>
          <w:spacing w:val="-53"/>
        </w:rPr>
        <w:t> </w:t>
      </w:r>
      <w:r>
        <w:rPr>
          <w:rFonts w:ascii="Times New Roman" w:hAnsi="Times New Roman" w:cs="Times New Roman" w:eastAsia="Times New Roman" w:hint="default"/>
        </w:rPr>
        <w:t>2004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6 </w:t>
      </w:r>
      <w:r>
        <w:rPr/>
        <w:t>日作出</w:t>
      </w:r>
      <w:r>
        <w:rPr>
          <w:spacing w:val="-105"/>
        </w:rPr>
        <w:t>“</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4</w:t>
      </w:r>
      <w:r>
        <w:rPr/>
        <w:t>）</w:t>
      </w:r>
      <w:r>
        <w:rPr>
          <w:spacing w:val="-2"/>
        </w:rPr>
        <w:t>粤</w:t>
      </w:r>
      <w:r>
        <w:rPr/>
        <w:t>高法民一终字第</w:t>
      </w:r>
      <w:r>
        <w:rPr>
          <w:spacing w:val="-53"/>
        </w:rPr>
        <w:t> </w:t>
      </w:r>
      <w:r>
        <w:rPr>
          <w:rFonts w:ascii="Times New Roman" w:hAnsi="Times New Roman" w:cs="Times New Roman" w:eastAsia="Times New Roman" w:hint="default"/>
        </w:rPr>
        <w:t>190 </w:t>
      </w:r>
      <w:r>
        <w:rPr>
          <w:spacing w:val="-2"/>
        </w:rPr>
        <w:t>号</w:t>
      </w:r>
      <w:r>
        <w:rPr/>
        <w:t>”</w:t>
      </w:r>
      <w:r>
        <w:rPr>
          <w:spacing w:val="1"/>
        </w:rPr>
        <w:t>终</w:t>
      </w:r>
      <w:r>
        <w:rPr/>
        <w:t>审</w:t>
      </w:r>
    </w:p>
    <w:p>
      <w:pPr>
        <w:pStyle w:val="BodyText"/>
        <w:spacing w:line="331" w:lineRule="auto" w:before="109"/>
        <w:ind w:right="97"/>
        <w:jc w:val="left"/>
      </w:pPr>
      <w:r>
        <w:rPr>
          <w:spacing w:val="-4"/>
        </w:rPr>
        <w:t>判决，判决海龙王房地产返还公司</w:t>
      </w:r>
      <w:r>
        <w:rPr>
          <w:spacing w:val="-53"/>
        </w:rPr>
        <w:t> </w:t>
      </w:r>
      <w:r>
        <w:rPr>
          <w:rFonts w:ascii="Times New Roman" w:hAnsi="Times New Roman" w:cs="Times New Roman" w:eastAsia="Times New Roman" w:hint="default"/>
        </w:rPr>
        <w:t>4975.5</w:t>
      </w:r>
      <w:r>
        <w:rPr>
          <w:rFonts w:ascii="Times New Roman" w:hAnsi="Times New Roman" w:cs="Times New Roman" w:eastAsia="Times New Roman" w:hint="default"/>
          <w:spacing w:val="1"/>
        </w:rPr>
        <w:t> </w:t>
      </w:r>
      <w:r>
        <w:rPr>
          <w:spacing w:val="-7"/>
        </w:rPr>
        <w:t>万元等。</w:t>
      </w:r>
      <w:r>
        <w:rPr>
          <w:rFonts w:ascii="Times New Roman" w:hAnsi="Times New Roman" w:cs="Times New Roman" w:eastAsia="Times New Roman" w:hint="default"/>
          <w:spacing w:val="-7"/>
        </w:rPr>
        <w:t>2005</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8 </w:t>
      </w:r>
      <w:r>
        <w:rPr/>
        <w:t>月</w:t>
      </w:r>
      <w:r>
        <w:rPr>
          <w:spacing w:val="-54"/>
        </w:rPr>
        <w:t> </w:t>
      </w:r>
      <w:r>
        <w:rPr>
          <w:rFonts w:ascii="Times New Roman" w:hAnsi="Times New Roman" w:cs="Times New Roman" w:eastAsia="Times New Roman" w:hint="default"/>
        </w:rPr>
        <w:t>16 </w:t>
      </w:r>
      <w:r>
        <w:rPr/>
        <w:t>日和</w:t>
      </w:r>
      <w:r>
        <w:rPr>
          <w:spacing w:val="-54"/>
        </w:rPr>
        <w:t> </w:t>
      </w:r>
      <w:r>
        <w:rPr>
          <w:rFonts w:ascii="Times New Roman" w:hAnsi="Times New Roman" w:cs="Times New Roman" w:eastAsia="Times New Roman" w:hint="default"/>
        </w:rPr>
        <w:t>8 </w:t>
      </w:r>
      <w:r>
        <w:rPr/>
        <w:t>月</w:t>
      </w:r>
      <w:r>
        <w:rPr>
          <w:spacing w:val="-54"/>
        </w:rPr>
        <w:t> </w:t>
      </w:r>
      <w:r>
        <w:rPr>
          <w:rFonts w:ascii="Times New Roman" w:hAnsi="Times New Roman" w:cs="Times New Roman" w:eastAsia="Times New Roman" w:hint="default"/>
        </w:rPr>
        <w:t>25 </w:t>
      </w:r>
      <w:r>
        <w:rPr/>
        <w:t>日公司分别收到 </w:t>
      </w:r>
      <w:r>
        <w:rPr>
          <w:spacing w:val="-8"/>
        </w:rPr>
        <w:t>深圳中院“（</w:t>
      </w:r>
      <w:r>
        <w:rPr>
          <w:rFonts w:ascii="Times New Roman" w:hAnsi="Times New Roman" w:cs="Times New Roman" w:eastAsia="Times New Roman" w:hint="default"/>
          <w:spacing w:val="-8"/>
        </w:rPr>
        <w:t>2004</w:t>
      </w:r>
      <w:r>
        <w:rPr>
          <w:spacing w:val="-8"/>
        </w:rPr>
        <w:t>）深中法执行字第</w:t>
      </w:r>
      <w:r>
        <w:rPr>
          <w:spacing w:val="-50"/>
        </w:rPr>
        <w:t> </w:t>
      </w:r>
      <w:r>
        <w:rPr>
          <w:rFonts w:ascii="Times New Roman" w:hAnsi="Times New Roman" w:cs="Times New Roman" w:eastAsia="Times New Roman" w:hint="default"/>
          <w:spacing w:val="-1"/>
        </w:rPr>
        <w:t>40-1610</w:t>
      </w:r>
      <w:r>
        <w:rPr>
          <w:rFonts w:ascii="Times New Roman" w:hAnsi="Times New Roman" w:cs="Times New Roman" w:eastAsia="Times New Roman" w:hint="default"/>
          <w:spacing w:val="2"/>
        </w:rPr>
        <w:t> </w:t>
      </w:r>
      <w:r>
        <w:rPr>
          <w:spacing w:val="-2"/>
        </w:rPr>
        <w:t>号”通知书和广东省汕尾市中级人民法院（以下简</w:t>
      </w:r>
      <w:r>
        <w:rPr>
          <w:spacing w:val="-96"/>
        </w:rPr>
        <w:t> </w:t>
      </w:r>
      <w:r>
        <w:rPr>
          <w:spacing w:val="-96"/>
        </w:rPr>
      </w:r>
      <w:r>
        <w:rPr>
          <w:spacing w:val="-15"/>
        </w:rPr>
        <w:t>称“汕尾中院”）“（</w:t>
      </w:r>
      <w:r>
        <w:rPr>
          <w:rFonts w:ascii="Times New Roman" w:hAnsi="Times New Roman" w:cs="Times New Roman" w:eastAsia="Times New Roman" w:hint="default"/>
          <w:spacing w:val="-15"/>
        </w:rPr>
        <w:t>2005</w:t>
      </w:r>
      <w:r>
        <w:rPr>
          <w:spacing w:val="-15"/>
        </w:rPr>
        <w:t>）汕中法执二字第</w:t>
      </w:r>
      <w:r>
        <w:rPr>
          <w:spacing w:val="-29"/>
        </w:rPr>
        <w:t> </w:t>
      </w:r>
      <w:r>
        <w:rPr>
          <w:rFonts w:ascii="Times New Roman" w:hAnsi="Times New Roman" w:cs="Times New Roman" w:eastAsia="Times New Roman" w:hint="default"/>
        </w:rPr>
        <w:t>72-1</w:t>
      </w:r>
      <w:r>
        <w:rPr>
          <w:rFonts w:ascii="Times New Roman" w:hAnsi="Times New Roman" w:cs="Times New Roman" w:eastAsia="Times New Roman" w:hint="default"/>
          <w:spacing w:val="23"/>
        </w:rPr>
        <w:t> </w:t>
      </w:r>
      <w:r>
        <w:rPr/>
        <w:t>号”通知书，获悉此案已转由汕尾中院负责执</w:t>
      </w:r>
      <w:r>
        <w:rPr>
          <w:spacing w:val="-101"/>
        </w:rPr>
        <w:t> </w:t>
      </w:r>
      <w:r>
        <w:rPr>
          <w:spacing w:val="-1"/>
        </w:rPr>
        <w:t>行，</w:t>
      </w:r>
      <w:r>
        <w:rPr>
          <w:rFonts w:ascii="Times New Roman" w:hAnsi="Times New Roman" w:cs="Times New Roman" w:eastAsia="Times New Roman" w:hint="default"/>
          <w:spacing w:val="-1"/>
        </w:rPr>
        <w:t>2006</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spacing w:val="-1"/>
        </w:rPr>
        <w:t>17</w:t>
      </w:r>
      <w:r>
        <w:rPr>
          <w:rFonts w:ascii="Times New Roman" w:hAnsi="Times New Roman" w:cs="Times New Roman" w:eastAsia="Times New Roman" w:hint="default"/>
          <w:spacing w:val="12"/>
        </w:rPr>
        <w:t> </w:t>
      </w:r>
      <w:r>
        <w:rPr>
          <w:spacing w:val="-6"/>
        </w:rPr>
        <w:t>日，汕尾中院下达“（</w:t>
      </w:r>
      <w:r>
        <w:rPr>
          <w:rFonts w:ascii="Times New Roman" w:hAnsi="Times New Roman" w:cs="Times New Roman" w:eastAsia="Times New Roman" w:hint="default"/>
          <w:spacing w:val="-6"/>
        </w:rPr>
        <w:t>2005</w:t>
      </w:r>
      <w:r>
        <w:rPr>
          <w:spacing w:val="-6"/>
        </w:rPr>
        <w:t>）汕中法执字第</w:t>
      </w:r>
      <w:r>
        <w:rPr>
          <w:spacing w:val="-41"/>
        </w:rPr>
        <w:t> </w:t>
      </w:r>
      <w:r>
        <w:rPr>
          <w:rFonts w:ascii="Times New Roman" w:hAnsi="Times New Roman" w:cs="Times New Roman" w:eastAsia="Times New Roman" w:hint="default"/>
          <w:spacing w:val="-1"/>
        </w:rPr>
        <w:t>72</w:t>
      </w:r>
      <w:r>
        <w:rPr>
          <w:rFonts w:ascii="Times New Roman" w:hAnsi="Times New Roman" w:cs="Times New Roman" w:eastAsia="Times New Roman" w:hint="default"/>
          <w:spacing w:val="12"/>
        </w:rPr>
        <w:t> </w:t>
      </w:r>
      <w:r>
        <w:rPr/>
        <w:t>号”</w:t>
      </w:r>
      <w:r>
        <w:rPr>
          <w:spacing w:val="3"/>
        </w:rPr>
        <w:t> </w:t>
      </w:r>
      <w:r>
        <w:rPr>
          <w:spacing w:val="-1"/>
        </w:rPr>
        <w:t>通知书，要求公司提</w:t>
      </w:r>
      <w:r>
        <w:rPr>
          <w:spacing w:val="-100"/>
        </w:rPr>
        <w:t> </w:t>
      </w:r>
      <w:r>
        <w:rPr>
          <w:spacing w:val="-100"/>
        </w:rPr>
      </w:r>
      <w:r>
        <w:rPr>
          <w:spacing w:val="-3"/>
        </w:rPr>
        <w:t>供海龙王房地产可供执行的财产线索，目前此案已中止执行。此事项，公司已于</w:t>
      </w:r>
      <w:r>
        <w:rPr>
          <w:spacing w:val="-53"/>
        </w:rPr>
        <w:t> </w:t>
      </w:r>
      <w:r>
        <w:rPr>
          <w:rFonts w:ascii="Times New Roman" w:hAnsi="Times New Roman" w:cs="Times New Roman" w:eastAsia="Times New Roman" w:hint="default"/>
        </w:rPr>
        <w:t>2007 </w:t>
      </w:r>
      <w:r>
        <w:rPr/>
        <w:t>年度全额 计提坏帐准备</w:t>
      </w:r>
      <w:r>
        <w:rPr>
          <w:spacing w:val="-40"/>
        </w:rPr>
        <w:t> </w:t>
      </w:r>
      <w:r>
        <w:rPr>
          <w:rFonts w:ascii="Times New Roman" w:hAnsi="Times New Roman" w:cs="Times New Roman" w:eastAsia="Times New Roman" w:hint="default"/>
        </w:rPr>
        <w:t>4010</w:t>
      </w:r>
      <w:r>
        <w:rPr>
          <w:rFonts w:ascii="Times New Roman" w:hAnsi="Times New Roman" w:cs="Times New Roman" w:eastAsia="Times New Roman" w:hint="default"/>
          <w:spacing w:val="13"/>
        </w:rPr>
        <w:t> </w:t>
      </w:r>
      <w:r>
        <w:rPr>
          <w:spacing w:val="-7"/>
        </w:rPr>
        <w:t>万元，不影响本期损益。公司将成立债权债务清理专职小组，加大追收力度，</w:t>
      </w:r>
      <w:r>
        <w:rPr>
          <w:spacing w:val="-103"/>
        </w:rPr>
        <w:t> </w:t>
      </w:r>
      <w:r>
        <w:rPr>
          <w:spacing w:val="-103"/>
        </w:rPr>
      </w:r>
      <w:r>
        <w:rPr/>
        <w:t>加快协调此案的执行。</w:t>
      </w:r>
    </w:p>
    <w:p>
      <w:pPr>
        <w:pStyle w:val="BodyText"/>
        <w:spacing w:line="240" w:lineRule="auto" w:before="45"/>
        <w:ind w:left="602" w:right="0"/>
        <w:jc w:val="left"/>
      </w:pPr>
      <w:r>
        <w:rPr/>
        <w:t>（此案诉讼事由及相关情况自</w:t>
      </w:r>
      <w:r>
        <w:rPr>
          <w:spacing w:val="-78"/>
        </w:rPr>
        <w:t> </w:t>
      </w:r>
      <w:r>
        <w:rPr>
          <w:rFonts w:ascii="Arial" w:hAnsi="Arial" w:cs="Arial" w:eastAsia="Arial" w:hint="default"/>
        </w:rPr>
        <w:t>2003</w:t>
      </w:r>
      <w:r>
        <w:rPr>
          <w:rFonts w:ascii="Arial" w:hAnsi="Arial" w:cs="Arial" w:eastAsia="Arial" w:hint="default"/>
          <w:spacing w:val="-32"/>
        </w:rPr>
        <w:t> </w:t>
      </w:r>
      <w:r>
        <w:rPr/>
        <w:t>年起在公司历年中期及年度报告中持续披露）</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17"/>
          <w:szCs w:val="17"/>
        </w:rPr>
      </w:pPr>
    </w:p>
    <w:p>
      <w:pPr>
        <w:pStyle w:val="BodyText"/>
        <w:spacing w:line="328" w:lineRule="auto"/>
        <w:ind w:right="209" w:firstLine="411"/>
        <w:jc w:val="left"/>
      </w:pPr>
      <w:r>
        <w:rPr>
          <w:rFonts w:ascii="Times New Roman" w:hAnsi="Times New Roman" w:cs="Times New Roman" w:eastAsia="Times New Roman" w:hint="default"/>
          <w:spacing w:val="-2"/>
        </w:rPr>
        <w:t>3</w:t>
      </w:r>
      <w:r>
        <w:rPr>
          <w:spacing w:val="-2"/>
        </w:rPr>
        <w:t>、公司与正中置业集团有限公司（以下简称</w:t>
      </w:r>
      <w:r>
        <w:rPr>
          <w:rFonts w:ascii="Times New Roman" w:hAnsi="Times New Roman" w:cs="Times New Roman" w:eastAsia="Times New Roman" w:hint="default"/>
          <w:spacing w:val="-2"/>
        </w:rPr>
        <w:t>“</w:t>
      </w:r>
      <w:r>
        <w:rPr>
          <w:spacing w:val="-2"/>
        </w:rPr>
        <w:t>正中置业</w:t>
      </w:r>
      <w:r>
        <w:rPr>
          <w:rFonts w:ascii="Times New Roman" w:hAnsi="Times New Roman" w:cs="Times New Roman" w:eastAsia="Times New Roman" w:hint="default"/>
          <w:spacing w:val="-2"/>
        </w:rPr>
        <w:t>”</w:t>
      </w:r>
      <w:r>
        <w:rPr>
          <w:spacing w:val="-2"/>
        </w:rPr>
        <w:t>）合作开发龙岗鸿基花园三期项目</w:t>
      </w:r>
      <w:r>
        <w:rPr/>
        <w:t> 合同纠纷</w:t>
      </w:r>
    </w:p>
    <w:p>
      <w:pPr>
        <w:pStyle w:val="BodyText"/>
        <w:spacing w:line="240" w:lineRule="auto" w:before="48"/>
        <w:ind w:left="610" w:right="0"/>
        <w:jc w:val="left"/>
      </w:pP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日，公司（</w:t>
      </w:r>
      <w:r>
        <w:rPr>
          <w:rFonts w:ascii="Times New Roman" w:hAnsi="Times New Roman" w:cs="Times New Roman" w:eastAsia="Times New Roman" w:hint="default"/>
        </w:rPr>
        <w:t>“</w:t>
      </w:r>
      <w:r>
        <w:rPr/>
        <w:t>原告</w:t>
      </w:r>
      <w:r>
        <w:rPr>
          <w:rFonts w:ascii="Times New Roman" w:hAnsi="Times New Roman" w:cs="Times New Roman" w:eastAsia="Times New Roman" w:hint="default"/>
        </w:rPr>
        <w:t>”</w:t>
      </w:r>
      <w:r>
        <w:rPr/>
        <w:t>）与正中置业（</w:t>
      </w:r>
      <w:r>
        <w:rPr>
          <w:rFonts w:ascii="Times New Roman" w:hAnsi="Times New Roman" w:cs="Times New Roman" w:eastAsia="Times New Roman" w:hint="default"/>
        </w:rPr>
        <w:t>“</w:t>
      </w:r>
      <w:r>
        <w:rPr/>
        <w:t>被告</w:t>
      </w:r>
      <w:r>
        <w:rPr>
          <w:rFonts w:ascii="Times New Roman" w:hAnsi="Times New Roman" w:cs="Times New Roman" w:eastAsia="Times New Roman" w:hint="default"/>
        </w:rPr>
        <w:t>”</w:t>
      </w:r>
      <w:r>
        <w:rPr/>
        <w:t>）签订《关于鸿基花园三期合作开</w:t>
      </w:r>
    </w:p>
    <w:p>
      <w:pPr>
        <w:spacing w:after="0" w:line="240" w:lineRule="auto"/>
        <w:jc w:val="left"/>
        <w:sectPr>
          <w:pgSz w:w="11900" w:h="16840"/>
          <w:pgMar w:header="0" w:footer="939" w:top="1500" w:bottom="1120" w:left="1680" w:right="1200"/>
        </w:sectPr>
      </w:pPr>
    </w:p>
    <w:p>
      <w:pPr>
        <w:pStyle w:val="BodyText"/>
        <w:spacing w:line="331" w:lineRule="auto" w:before="15"/>
        <w:ind w:right="86"/>
        <w:jc w:val="left"/>
      </w:pPr>
      <w:r>
        <w:rPr>
          <w:spacing w:val="-7"/>
        </w:rPr>
        <w:t>发协议书》（以下简称</w:t>
      </w:r>
      <w:r>
        <w:rPr>
          <w:rFonts w:ascii="Times New Roman" w:hAnsi="Times New Roman" w:cs="Times New Roman" w:eastAsia="Times New Roman" w:hint="default"/>
          <w:spacing w:val="-7"/>
        </w:rPr>
        <w:t>“</w:t>
      </w:r>
      <w:r>
        <w:rPr>
          <w:spacing w:val="-7"/>
        </w:rPr>
        <w:t>《协议书》</w:t>
      </w:r>
      <w:r>
        <w:rPr>
          <w:rFonts w:ascii="Times New Roman" w:hAnsi="Times New Roman" w:cs="Times New Roman" w:eastAsia="Times New Roman" w:hint="default"/>
          <w:spacing w:val="-7"/>
        </w:rPr>
        <w:t>”</w:t>
      </w:r>
      <w:r>
        <w:rPr>
          <w:spacing w:val="-7"/>
        </w:rPr>
        <w:t>），合作开发深圳市龙岗区中心城</w:t>
      </w:r>
      <w:r>
        <w:rPr>
          <w:spacing w:val="7"/>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区宗地号为</w:t>
      </w:r>
      <w:r>
        <w:rPr>
          <w:spacing w:val="8"/>
        </w:rPr>
        <w:t> </w:t>
      </w:r>
      <w:r>
        <w:rPr>
          <w:rFonts w:ascii="Times New Roman" w:hAnsi="Times New Roman" w:cs="Times New Roman" w:eastAsia="Times New Roman" w:hint="default"/>
          <w:spacing w:val="-1"/>
        </w:rPr>
        <w:t>G01004-3</w:t>
      </w:r>
      <w:r>
        <w:rPr>
          <w:rFonts w:ascii="Times New Roman" w:hAnsi="Times New Roman" w:cs="Times New Roman" w:eastAsia="Times New Roman" w:hint="default"/>
          <w:spacing w:val="-46"/>
        </w:rPr>
        <w:t> </w:t>
      </w:r>
      <w:r>
        <w:rPr>
          <w:rFonts w:ascii="Times New Roman" w:hAnsi="Times New Roman" w:cs="Times New Roman" w:eastAsia="Times New Roman" w:hint="default"/>
          <w:spacing w:val="-46"/>
        </w:rPr>
      </w:r>
      <w:r>
        <w:rPr/>
        <w:t>地块鸿基花园三期项目，协议约定：</w:t>
      </w:r>
      <w:r>
        <w:rPr>
          <w:rFonts w:ascii="Times New Roman" w:hAnsi="Times New Roman" w:cs="Times New Roman" w:eastAsia="Times New Roman" w:hint="default"/>
        </w:rPr>
        <w:t>“</w:t>
      </w:r>
      <w:r>
        <w:rPr/>
        <w:t>项目合作的方式由公司作为发展商提供可开发建设用地， 正中置业作为投资商，负责项目全程开发、投资建设及销售等工作，按合作项目面积</w:t>
      </w:r>
      <w:r>
        <w:rPr>
          <w:spacing w:val="-79"/>
        </w:rPr>
        <w:t> </w:t>
      </w:r>
      <w:r>
        <w:rPr>
          <w:rFonts w:ascii="Times New Roman" w:hAnsi="Times New Roman" w:cs="Times New Roman" w:eastAsia="Times New Roman" w:hint="default"/>
        </w:rPr>
        <w:t>85,229</w:t>
      </w:r>
      <w:r>
        <w:rPr>
          <w:rFonts w:ascii="Times New Roman" w:hAnsi="Times New Roman" w:cs="Times New Roman" w:eastAsia="Times New Roman" w:hint="default"/>
          <w:spacing w:val="-26"/>
        </w:rPr>
        <w:t> </w:t>
      </w:r>
      <w:r>
        <w:rPr/>
        <w:t>平</w:t>
      </w:r>
    </w:p>
    <w:p>
      <w:pPr>
        <w:pStyle w:val="BodyText"/>
        <w:spacing w:line="331" w:lineRule="auto" w:before="20"/>
        <w:ind w:right="191"/>
        <w:jc w:val="both"/>
      </w:pPr>
      <w:r>
        <w:rPr/>
        <w:t>方米，以每平方米</w:t>
      </w:r>
      <w:r>
        <w:rPr>
          <w:spacing w:val="-61"/>
        </w:rPr>
        <w:t> </w:t>
      </w:r>
      <w:r>
        <w:rPr>
          <w:rFonts w:ascii="Times New Roman" w:hAnsi="Times New Roman" w:cs="Times New Roman" w:eastAsia="Times New Roman" w:hint="default"/>
        </w:rPr>
        <w:t>2,700</w:t>
      </w:r>
      <w:r>
        <w:rPr>
          <w:rFonts w:ascii="Times New Roman" w:hAnsi="Times New Roman" w:cs="Times New Roman" w:eastAsia="Times New Roman" w:hint="default"/>
          <w:spacing w:val="-9"/>
        </w:rPr>
        <w:t> </w:t>
      </w:r>
      <w:r>
        <w:rPr/>
        <w:t>元的单价分期支付公司固定收益，合计</w:t>
      </w:r>
      <w:r>
        <w:rPr>
          <w:spacing w:val="-61"/>
        </w:rPr>
        <w:t> </w:t>
      </w:r>
      <w:r>
        <w:rPr>
          <w:rFonts w:ascii="Times New Roman" w:hAnsi="Times New Roman" w:cs="Times New Roman" w:eastAsia="Times New Roman" w:hint="default"/>
        </w:rPr>
        <w:t>230,118,300</w:t>
      </w:r>
      <w:r>
        <w:rPr>
          <w:rFonts w:ascii="Times New Roman" w:hAnsi="Times New Roman" w:cs="Times New Roman" w:eastAsia="Times New Roman" w:hint="default"/>
          <w:spacing w:val="-8"/>
        </w:rPr>
        <w:t> </w:t>
      </w:r>
      <w:r>
        <w:rPr>
          <w:spacing w:val="-3"/>
        </w:rPr>
        <w:t>元；同时，公司需</w:t>
      </w:r>
      <w:r>
        <w:rPr/>
        <w:t> 对合作项目延长</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年土地使用权补交地价款</w:t>
      </w:r>
      <w:r>
        <w:rPr>
          <w:spacing w:val="-55"/>
        </w:rPr>
        <w:t> </w:t>
      </w:r>
      <w:r>
        <w:rPr>
          <w:rFonts w:ascii="Times New Roman" w:hAnsi="Times New Roman" w:cs="Times New Roman" w:eastAsia="Times New Roman" w:hint="default"/>
        </w:rPr>
        <w:t>31,248,900</w:t>
      </w:r>
      <w:r>
        <w:rPr>
          <w:rFonts w:ascii="Times New Roman" w:hAnsi="Times New Roman" w:cs="Times New Roman" w:eastAsia="Times New Roman" w:hint="default"/>
          <w:spacing w:val="-1"/>
        </w:rPr>
        <w:t> </w:t>
      </w:r>
      <w:r>
        <w:rPr>
          <w:spacing w:val="-6"/>
        </w:rPr>
        <w:t>元，该笔地价款由正中置业垫付，并在</w:t>
      </w:r>
      <w:r>
        <w:rPr/>
        <w:t> 公司收取的固定收益中抵扣，正中置业负责办理延长土地使用年期相关手续</w:t>
      </w:r>
      <w:r>
        <w:rPr>
          <w:rFonts w:ascii="Times New Roman" w:hAnsi="Times New Roman" w:cs="Times New Roman" w:eastAsia="Times New Roman" w:hint="default"/>
        </w:rPr>
        <w:t>”</w:t>
      </w:r>
      <w:r>
        <w:rPr/>
        <w:t>。</w:t>
      </w:r>
    </w:p>
    <w:p>
      <w:pPr>
        <w:pStyle w:val="BodyText"/>
        <w:spacing w:line="348" w:lineRule="auto" w:before="20"/>
        <w:ind w:right="188" w:firstLine="420"/>
        <w:jc w:val="both"/>
        <w:rPr>
          <w:rFonts w:ascii="Times New Roman" w:hAnsi="Times New Roman" w:cs="Times New Roman" w:eastAsia="Times New Roman" w:hint="default"/>
        </w:rPr>
      </w:pPr>
      <w:r>
        <w:rPr/>
        <w:t>鉴于正中置业未按《协议书》约定办理延长土地使用年期的相关报建手续，也未将在公司 固定收益中扣除的用于办理延长土地使用年期的 </w:t>
      </w:r>
      <w:r>
        <w:rPr>
          <w:rFonts w:ascii="Times New Roman" w:hAnsi="Times New Roman" w:cs="Times New Roman" w:eastAsia="Times New Roman" w:hint="default"/>
        </w:rPr>
        <w:t>31,248,900 </w:t>
      </w:r>
      <w:r>
        <w:rPr/>
        <w:t>元支付给公司，公司于 </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2</w:t>
      </w:r>
    </w:p>
    <w:p>
      <w:pPr>
        <w:pStyle w:val="BodyText"/>
        <w:spacing w:line="240" w:lineRule="auto" w:before="5"/>
        <w:ind w:right="86"/>
        <w:jc w:val="left"/>
      </w:pPr>
      <w:r>
        <w:rPr/>
        <w:t>月</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8 </w:t>
      </w:r>
      <w:r>
        <w:rPr/>
        <w:t>日向</w:t>
      </w:r>
      <w:r>
        <w:rPr>
          <w:spacing w:val="-2"/>
        </w:rPr>
        <w:t>龙</w:t>
      </w:r>
      <w:r>
        <w:rPr/>
        <w:t>岗区人民法院提起诉讼</w:t>
      </w:r>
      <w:r>
        <w:rPr>
          <w:spacing w:val="-99"/>
        </w:rPr>
        <w:t>，</w:t>
      </w:r>
      <w:r>
        <w:rPr/>
        <w:t>要求正中置业向公司支付</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48</w:t>
      </w:r>
      <w:r>
        <w:rPr>
          <w:rFonts w:ascii="Times New Roman" w:hAnsi="Times New Roman" w:cs="Times New Roman" w:eastAsia="Times New Roman" w:hint="default"/>
          <w:spacing w:val="-1"/>
        </w:rPr>
        <w:t>,</w:t>
      </w:r>
      <w:r>
        <w:rPr>
          <w:rFonts w:ascii="Times New Roman" w:hAnsi="Times New Roman" w:cs="Times New Roman" w:eastAsia="Times New Roman" w:hint="default"/>
        </w:rPr>
        <w:t>9</w:t>
      </w:r>
      <w:r>
        <w:rPr>
          <w:rFonts w:ascii="Times New Roman" w:hAnsi="Times New Roman" w:cs="Times New Roman" w:eastAsia="Times New Roman" w:hint="default"/>
          <w:spacing w:val="-1"/>
        </w:rPr>
        <w:t>0</w:t>
      </w:r>
      <w:r>
        <w:rPr>
          <w:rFonts w:ascii="Times New Roman" w:hAnsi="Times New Roman" w:cs="Times New Roman" w:eastAsia="Times New Roman" w:hint="default"/>
        </w:rPr>
        <w:t>0 </w:t>
      </w:r>
      <w:r>
        <w:rPr/>
        <w:t>元人民币</w:t>
      </w:r>
      <w:r>
        <w:rPr>
          <w:spacing w:val="-2"/>
        </w:rPr>
        <w:t>及</w:t>
      </w:r>
      <w:r>
        <w:rPr/>
        <w:t>相应利息</w:t>
      </w:r>
    </w:p>
    <w:p>
      <w:pPr>
        <w:pStyle w:val="BodyText"/>
        <w:spacing w:line="240" w:lineRule="auto" w:before="109"/>
        <w:ind w:right="86"/>
        <w:jc w:val="left"/>
      </w:pPr>
      <w:r>
        <w:rPr/>
        <w:t>共计</w:t>
      </w:r>
      <w:r>
        <w:rPr>
          <w:spacing w:val="-56"/>
        </w:rPr>
        <w:t> </w:t>
      </w:r>
      <w:r>
        <w:rPr>
          <w:rFonts w:ascii="Times New Roman" w:hAnsi="Times New Roman" w:cs="Times New Roman" w:eastAsia="Times New Roman" w:hint="default"/>
        </w:rPr>
        <w:t>35,529,452</w:t>
      </w:r>
      <w:r>
        <w:rPr>
          <w:rFonts w:ascii="Times New Roman" w:hAnsi="Times New Roman" w:cs="Times New Roman" w:eastAsia="Times New Roman" w:hint="default"/>
          <w:spacing w:val="-3"/>
        </w:rPr>
        <w:t> </w:t>
      </w:r>
      <w:r>
        <w:rPr/>
        <w:t>元人民币。</w:t>
      </w:r>
    </w:p>
    <w:p>
      <w:pPr>
        <w:pStyle w:val="BodyText"/>
        <w:spacing w:line="340" w:lineRule="auto" w:before="109"/>
        <w:ind w:right="188" w:firstLine="420"/>
        <w:jc w:val="both"/>
      </w:pPr>
      <w:r>
        <w:rPr/>
        <w:t>法院立案受理后，正中置业提出管辖权异议，</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日龙岗区人民法 院、深圳市中级人民法院分别作出民事裁定书，裁定驳回正中置业对此案的管辖权异议，及其</w:t>
      </w:r>
      <w:r>
        <w:rPr>
          <w:spacing w:val="-99"/>
        </w:rPr>
        <w:t> </w:t>
      </w:r>
      <w:r>
        <w:rPr>
          <w:spacing w:val="-99"/>
        </w:rPr>
      </w:r>
      <w:r>
        <w:rPr>
          <w:spacing w:val="-3"/>
        </w:rPr>
        <w:t>不服裁定的上诉。此案于</w:t>
      </w:r>
      <w:r>
        <w:rPr>
          <w:spacing w:val="-53"/>
        </w:rPr>
        <w:t> </w:t>
      </w:r>
      <w:r>
        <w:rPr>
          <w:rFonts w:ascii="Times New Roman" w:hAnsi="Times New Roman" w:cs="Times New Roman" w:eastAsia="Times New Roman" w:hint="default"/>
        </w:rPr>
        <w:t>2009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9 </w:t>
      </w:r>
      <w:r>
        <w:rPr>
          <w:spacing w:val="-3"/>
        </w:rPr>
        <w:t>日开庭审理，后经龙岗区人民法院主持调解，公司与正</w:t>
      </w:r>
    </w:p>
    <w:p>
      <w:pPr>
        <w:pStyle w:val="BodyText"/>
        <w:spacing w:line="331" w:lineRule="auto" w:before="11"/>
        <w:ind w:right="184"/>
        <w:jc w:val="left"/>
      </w:pPr>
      <w:r>
        <w:rPr/>
        <w:t>中置业自愿达成调解协议（龙岗区人民法院于</w:t>
      </w:r>
      <w:r>
        <w:rPr>
          <w:spacing w:val="-4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日发出民事调解书</w:t>
      </w:r>
      <w:r>
        <w:rPr>
          <w:rFonts w:ascii="Times New Roman" w:hAnsi="Times New Roman" w:cs="Times New Roman" w:eastAsia="Times New Roman" w:hint="default"/>
        </w:rPr>
        <w:t>[</w:t>
      </w:r>
      <w:r>
        <w:rPr/>
        <w:t>（</w:t>
      </w:r>
      <w:r>
        <w:rPr>
          <w:rFonts w:ascii="Times New Roman" w:hAnsi="Times New Roman" w:cs="Times New Roman" w:eastAsia="Times New Roman" w:hint="default"/>
        </w:rPr>
        <w:t>2009</w:t>
      </w:r>
      <w:r>
        <w:rPr/>
        <w:t>）深 龙法民初字第</w:t>
      </w:r>
      <w:r>
        <w:rPr>
          <w:spacing w:val="-51"/>
        </w:rPr>
        <w:t> </w:t>
      </w:r>
      <w:r>
        <w:rPr>
          <w:rFonts w:ascii="Times New Roman" w:hAnsi="Times New Roman" w:cs="Times New Roman" w:eastAsia="Times New Roman" w:hint="default"/>
          <w:spacing w:val="-1"/>
        </w:rPr>
        <w:t>3319</w:t>
      </w:r>
      <w:r>
        <w:rPr>
          <w:rFonts w:ascii="Times New Roman" w:hAnsi="Times New Roman" w:cs="Times New Roman" w:eastAsia="Times New Roman" w:hint="default"/>
          <w:spacing w:val="2"/>
        </w:rPr>
        <w:t> </w:t>
      </w:r>
      <w:r>
        <w:rPr>
          <w:spacing w:val="-10"/>
        </w:rPr>
        <w:t>号</w:t>
      </w:r>
      <w:r>
        <w:rPr>
          <w:rFonts w:ascii="Times New Roman" w:hAnsi="Times New Roman" w:cs="Times New Roman" w:eastAsia="Times New Roman" w:hint="default"/>
          <w:spacing w:val="-10"/>
        </w:rPr>
        <w:t>]</w:t>
      </w:r>
      <w:r>
        <w:rPr>
          <w:spacing w:val="-10"/>
        </w:rPr>
        <w:t>），调解协议如下：</w:t>
      </w:r>
    </w:p>
    <w:p>
      <w:pPr>
        <w:pStyle w:val="BodyText"/>
        <w:spacing w:line="328" w:lineRule="auto" w:before="20"/>
        <w:ind w:right="196" w:firstLine="315"/>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rFonts w:ascii="Times New Roman" w:hAnsi="Times New Roman" w:cs="Times New Roman" w:eastAsia="Times New Roman" w:hint="default"/>
        </w:rPr>
        <w:t>1</w:t>
      </w:r>
      <w:r>
        <w:rPr/>
        <w:t>、原、被告双方同意将人民币</w:t>
      </w:r>
      <w:r>
        <w:rPr>
          <w:spacing w:val="-54"/>
        </w:rPr>
        <w:t> </w:t>
      </w:r>
      <w:r>
        <w:rPr>
          <w:rFonts w:ascii="Times New Roman" w:hAnsi="Times New Roman" w:cs="Times New Roman" w:eastAsia="Times New Roman" w:hint="default"/>
        </w:rPr>
        <w:t>31,248,900</w:t>
      </w:r>
      <w:r>
        <w:rPr>
          <w:rFonts w:ascii="Times New Roman" w:hAnsi="Times New Roman" w:cs="Times New Roman" w:eastAsia="Times New Roman" w:hint="default"/>
          <w:spacing w:val="-1"/>
        </w:rPr>
        <w:t> </w:t>
      </w:r>
      <w:r>
        <w:rPr/>
        <w:t>元按四六的比例进行分配，即原告应分得款项 为人民币</w:t>
      </w:r>
      <w:r>
        <w:rPr>
          <w:spacing w:val="-57"/>
        </w:rPr>
        <w:t> </w:t>
      </w:r>
      <w:r>
        <w:rPr>
          <w:rFonts w:ascii="Times New Roman" w:hAnsi="Times New Roman" w:cs="Times New Roman" w:eastAsia="Times New Roman" w:hint="default"/>
        </w:rPr>
        <w:t>12,499,560</w:t>
      </w:r>
      <w:r>
        <w:rPr>
          <w:rFonts w:ascii="Times New Roman" w:hAnsi="Times New Roman" w:cs="Times New Roman" w:eastAsia="Times New Roman" w:hint="default"/>
          <w:spacing w:val="-3"/>
        </w:rPr>
        <w:t> </w:t>
      </w:r>
      <w:r>
        <w:rPr/>
        <w:t>元，被告应分得款项为人民币</w:t>
      </w:r>
      <w:r>
        <w:rPr>
          <w:spacing w:val="-57"/>
        </w:rPr>
        <w:t> </w:t>
      </w:r>
      <w:r>
        <w:rPr>
          <w:rFonts w:ascii="Times New Roman" w:hAnsi="Times New Roman" w:cs="Times New Roman" w:eastAsia="Times New Roman" w:hint="default"/>
        </w:rPr>
        <w:t>18,749,340</w:t>
      </w:r>
      <w:r>
        <w:rPr>
          <w:rFonts w:ascii="Times New Roman" w:hAnsi="Times New Roman" w:cs="Times New Roman" w:eastAsia="Times New Roman" w:hint="default"/>
          <w:spacing w:val="-4"/>
        </w:rPr>
        <w:t> </w:t>
      </w:r>
      <w:r>
        <w:rPr/>
        <w:t>元。协议生效后，原告对被告享</w:t>
      </w:r>
    </w:p>
    <w:p>
      <w:pPr>
        <w:pStyle w:val="BodyText"/>
        <w:spacing w:line="240" w:lineRule="auto" w:before="24"/>
        <w:ind w:right="86"/>
        <w:jc w:val="left"/>
      </w:pPr>
      <w:r>
        <w:rPr/>
        <w:t>有人民币</w:t>
      </w:r>
      <w:r>
        <w:rPr>
          <w:spacing w:val="-57"/>
        </w:rPr>
        <w:t> </w:t>
      </w:r>
      <w:r>
        <w:rPr>
          <w:rFonts w:ascii="Times New Roman" w:hAnsi="Times New Roman" w:cs="Times New Roman" w:eastAsia="Times New Roman" w:hint="default"/>
        </w:rPr>
        <w:t>12,499,560</w:t>
      </w:r>
      <w:r>
        <w:rPr>
          <w:rFonts w:ascii="Times New Roman" w:hAnsi="Times New Roman" w:cs="Times New Roman" w:eastAsia="Times New Roman" w:hint="default"/>
          <w:spacing w:val="-4"/>
        </w:rPr>
        <w:t> </w:t>
      </w:r>
      <w:r>
        <w:rPr/>
        <w:t>元的债权。</w:t>
      </w:r>
    </w:p>
    <w:p>
      <w:pPr>
        <w:pStyle w:val="BodyText"/>
        <w:spacing w:line="336" w:lineRule="auto" w:before="109"/>
        <w:ind w:right="190" w:firstLine="420"/>
        <w:jc w:val="both"/>
      </w:pPr>
      <w:r>
        <w:rPr>
          <w:rFonts w:ascii="Times New Roman" w:hAnsi="Times New Roman" w:cs="Times New Roman" w:eastAsia="Times New Roman" w:hint="default"/>
        </w:rPr>
        <w:t>2</w:t>
      </w:r>
      <w:r>
        <w:rPr/>
        <w:t>、被告承诺以</w:t>
      </w:r>
      <w:r>
        <w:rPr>
          <w:rFonts w:ascii="Times New Roman" w:hAnsi="Times New Roman" w:cs="Times New Roman" w:eastAsia="Times New Roman" w:hint="default"/>
        </w:rPr>
        <w:t>“</w:t>
      </w:r>
      <w:r>
        <w:rPr/>
        <w:t>龙岗鸿基花园三期</w:t>
      </w:r>
      <w:r>
        <w:rPr>
          <w:rFonts w:ascii="Times New Roman" w:hAnsi="Times New Roman" w:cs="Times New Roman" w:eastAsia="Times New Roman" w:hint="default"/>
        </w:rPr>
        <w:t>”</w:t>
      </w:r>
      <w:r>
        <w:rPr/>
        <w:t>中价值人民币</w:t>
      </w:r>
      <w:r>
        <w:rPr>
          <w:spacing w:val="-67"/>
        </w:rPr>
        <w:t> </w:t>
      </w:r>
      <w:r>
        <w:rPr>
          <w:rFonts w:ascii="Times New Roman" w:hAnsi="Times New Roman" w:cs="Times New Roman" w:eastAsia="Times New Roman" w:hint="default"/>
        </w:rPr>
        <w:t>12,499,560</w:t>
      </w:r>
      <w:r>
        <w:rPr>
          <w:rFonts w:ascii="Times New Roman" w:hAnsi="Times New Roman" w:cs="Times New Roman" w:eastAsia="Times New Roman" w:hint="default"/>
          <w:spacing w:val="-14"/>
        </w:rPr>
        <w:t> </w:t>
      </w:r>
      <w:r>
        <w:rPr>
          <w:spacing w:val="-4"/>
        </w:rPr>
        <w:t>元的未售房产抵偿债权，原告</w:t>
      </w:r>
      <w:r>
        <w:rPr/>
        <w:t> 亦予以同意。被告承诺原告销售抵债房产所产生的相关税费由被告承担；房产交付时间为本协 </w:t>
      </w:r>
      <w:r>
        <w:rPr>
          <w:spacing w:val="-2"/>
        </w:rPr>
        <w:t>议生效后三日之内（</w:t>
      </w:r>
      <w:r>
        <w:rPr>
          <w:rFonts w:ascii="Times New Roman" w:hAnsi="Times New Roman" w:cs="Times New Roman" w:eastAsia="Times New Roman" w:hint="default"/>
          <w:spacing w:val="-2"/>
        </w:rPr>
        <w:t>B605</w:t>
      </w:r>
      <w:r>
        <w:rPr>
          <w:rFonts w:ascii="Times New Roman" w:hAnsi="Times New Roman" w:cs="Times New Roman" w:eastAsia="Times New Roman" w:hint="default"/>
        </w:rPr>
        <w:t> </w:t>
      </w:r>
      <w:r>
        <w:rPr>
          <w:spacing w:val="-3"/>
        </w:rPr>
        <w:t>房除外，</w:t>
      </w:r>
      <w:r>
        <w:rPr>
          <w:rFonts w:ascii="Times New Roman" w:hAnsi="Times New Roman" w:cs="Times New Roman" w:eastAsia="Times New Roman" w:hint="default"/>
          <w:spacing w:val="-3"/>
        </w:rPr>
        <w:t>B605</w:t>
      </w:r>
      <w:r>
        <w:rPr>
          <w:rFonts w:ascii="Times New Roman" w:hAnsi="Times New Roman" w:cs="Times New Roman" w:eastAsia="Times New Roman" w:hint="default"/>
          <w:spacing w:val="17"/>
        </w:rPr>
        <w:t> </w:t>
      </w:r>
      <w:r>
        <w:rPr>
          <w:spacing w:val="-6"/>
        </w:rPr>
        <w:t>房交付时间为本协议生效后三十日内）。如被告不能按</w:t>
      </w:r>
      <w:r>
        <w:rPr/>
        <w:t> </w:t>
      </w:r>
      <w:r>
        <w:rPr>
          <w:spacing w:val="-4"/>
        </w:rPr>
        <w:t>期交付房产原告有权要求被告以现金方式全额支付，被告应当在</w:t>
      </w:r>
      <w:r>
        <w:rPr>
          <w:spacing w:val="-50"/>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spacing w:val="-1"/>
        </w:rPr>
        <w:t>15</w:t>
      </w:r>
      <w:r>
        <w:rPr>
          <w:rFonts w:ascii="Times New Roman" w:hAnsi="Times New Roman" w:cs="Times New Roman" w:eastAsia="Times New Roman" w:hint="default"/>
          <w:spacing w:val="3"/>
        </w:rPr>
        <w:t> </w:t>
      </w:r>
      <w:r>
        <w:rPr>
          <w:spacing w:val="-1"/>
        </w:rPr>
        <w:t>日前将人民币</w:t>
      </w:r>
    </w:p>
    <w:p>
      <w:pPr>
        <w:pStyle w:val="BodyText"/>
        <w:spacing w:line="240" w:lineRule="auto" w:before="16"/>
        <w:ind w:right="86"/>
        <w:jc w:val="left"/>
      </w:pPr>
      <w:r>
        <w:rPr>
          <w:rFonts w:ascii="Times New Roman" w:hAnsi="Times New Roman" w:cs="Times New Roman" w:eastAsia="Times New Roman" w:hint="default"/>
        </w:rPr>
        <w:t>12,499,560</w:t>
      </w:r>
      <w:r>
        <w:rPr>
          <w:rFonts w:ascii="Times New Roman" w:hAnsi="Times New Roman" w:cs="Times New Roman" w:eastAsia="Times New Roman" w:hint="default"/>
          <w:spacing w:val="-6"/>
        </w:rPr>
        <w:t> </w:t>
      </w:r>
      <w:r>
        <w:rPr/>
        <w:t>元一次性付至原告指定账号。</w:t>
      </w:r>
    </w:p>
    <w:p>
      <w:pPr>
        <w:pStyle w:val="BodyText"/>
        <w:spacing w:line="336" w:lineRule="auto" w:before="110"/>
        <w:ind w:right="187" w:firstLine="420"/>
        <w:jc w:val="both"/>
        <w:rPr>
          <w:rFonts w:ascii="Times New Roman" w:hAnsi="Times New Roman" w:cs="Times New Roman" w:eastAsia="Times New Roman" w:hint="default"/>
        </w:rPr>
      </w:pPr>
      <w:r>
        <w:rPr>
          <w:rFonts w:ascii="Times New Roman" w:hAnsi="Times New Roman" w:cs="Times New Roman" w:eastAsia="Times New Roman" w:hint="default"/>
          <w:spacing w:val="-3"/>
        </w:rPr>
        <w:t>3</w:t>
      </w:r>
      <w:r>
        <w:rPr>
          <w:spacing w:val="-3"/>
        </w:rPr>
        <w:t>、被告保证向原告交付的所有房产均未出售，且产权无任何瑕疵，如有违反此项约定，原</w:t>
      </w:r>
      <w:r>
        <w:rPr/>
        <w:t> 告有权要求被告立即全额支付现金。被告如未能按期交付房产，原告有权要求被告以现金方式 于</w:t>
      </w:r>
      <w:r>
        <w:rPr>
          <w:spacing w:val="-5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日前全额付清。每延期一天，则被告应当按日向原告支付逾期应付款</w:t>
      </w:r>
      <w:r>
        <w:rPr>
          <w:spacing w:val="-56"/>
        </w:rPr>
        <w:t> </w:t>
      </w:r>
      <w:r>
        <w:rPr>
          <w:rFonts w:ascii="Times New Roman" w:hAnsi="Times New Roman" w:cs="Times New Roman" w:eastAsia="Times New Roman" w:hint="default"/>
        </w:rPr>
        <w:t>1%</w:t>
      </w:r>
      <w:r>
        <w:rPr/>
        <w:t>的 违约金，直至全额付清之日止。</w:t>
      </w:r>
      <w:r>
        <w:rPr>
          <w:rFonts w:ascii="Times New Roman" w:hAnsi="Times New Roman" w:cs="Times New Roman" w:eastAsia="Times New Roman" w:hint="default"/>
        </w:rPr>
        <w:t>”</w:t>
      </w:r>
    </w:p>
    <w:p>
      <w:pPr>
        <w:pStyle w:val="BodyText"/>
        <w:spacing w:line="240" w:lineRule="auto" w:before="16"/>
        <w:ind w:left="610" w:right="86"/>
        <w:jc w:val="left"/>
      </w:pPr>
      <w:r>
        <w:rPr/>
        <w:t>截止报告期末，前述事项已按调解书执行完毕。</w:t>
      </w:r>
    </w:p>
    <w:p>
      <w:pPr>
        <w:pStyle w:val="BodyText"/>
        <w:spacing w:line="331" w:lineRule="auto" w:before="125"/>
        <w:ind w:right="190" w:firstLine="420"/>
        <w:jc w:val="both"/>
      </w:pPr>
      <w:r>
        <w:rPr/>
        <w:t>（具体内容详见公司</w:t>
      </w:r>
      <w:r>
        <w:rPr>
          <w:spacing w:val="-52"/>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spacing w:val="-17"/>
        </w:rPr>
        <w:t>日于《中国证券报》、《证券</w:t>
      </w:r>
      <w:r>
        <w:rPr/>
        <w:t> 时报》及巨潮资讯网 </w:t>
      </w:r>
      <w:hyperlink r:id="rId9">
        <w:r>
          <w:rPr>
            <w:rFonts w:ascii="Times New Roman" w:hAnsi="Times New Roman" w:cs="Times New Roman" w:eastAsia="Times New Roman" w:hint="default"/>
          </w:rPr>
          <w:t>www.cninfo.com.cn</w:t>
        </w:r>
      </w:hyperlink>
      <w:r>
        <w:rPr>
          <w:rFonts w:ascii="Times New Roman" w:hAnsi="Times New Roman" w:cs="Times New Roman" w:eastAsia="Times New Roman" w:hint="default"/>
        </w:rPr>
        <w:t> </w:t>
      </w:r>
      <w:r>
        <w:rPr/>
        <w:t>披露的《诉讼事项公告》及《</w:t>
      </w:r>
      <w:r>
        <w:rPr>
          <w:rFonts w:ascii="Times New Roman" w:hAnsi="Times New Roman" w:cs="Times New Roman" w:eastAsia="Times New Roman" w:hint="default"/>
        </w:rPr>
        <w:t>2009</w:t>
      </w:r>
      <w:r>
        <w:rPr>
          <w:rFonts w:ascii="Times New Roman" w:hAnsi="Times New Roman" w:cs="Times New Roman" w:eastAsia="Times New Roman" w:hint="default"/>
          <w:spacing w:val="-33"/>
        </w:rPr>
        <w:t> </w:t>
      </w:r>
      <w:r>
        <w:rPr/>
        <w:t>年度半年度报告》 之相关内容）</w:t>
      </w:r>
    </w:p>
    <w:p>
      <w:pPr>
        <w:spacing w:line="240" w:lineRule="auto" w:before="1"/>
        <w:rPr>
          <w:rFonts w:ascii="宋体" w:hAnsi="宋体" w:cs="宋体" w:eastAsia="宋体" w:hint="default"/>
          <w:sz w:val="18"/>
          <w:szCs w:val="18"/>
        </w:rPr>
      </w:pPr>
    </w:p>
    <w:p>
      <w:pPr>
        <w:pStyle w:val="Heading3"/>
        <w:spacing w:line="240" w:lineRule="auto"/>
        <w:ind w:right="86"/>
        <w:jc w:val="left"/>
      </w:pPr>
      <w:r>
        <w:rPr/>
        <w:t>二、报告期内持有、出售其他上市公司股权、参股金融企业股权情况：</w:t>
      </w:r>
    </w:p>
    <w:p>
      <w:pPr>
        <w:spacing w:line="240" w:lineRule="auto" w:before="2"/>
        <w:rPr>
          <w:rFonts w:ascii="黑体" w:hAnsi="黑体" w:cs="黑体" w:eastAsia="黑体" w:hint="default"/>
          <w:sz w:val="26"/>
          <w:szCs w:val="26"/>
        </w:rPr>
      </w:pPr>
    </w:p>
    <w:p>
      <w:pPr>
        <w:pStyle w:val="BodyText"/>
        <w:spacing w:line="240" w:lineRule="auto"/>
        <w:ind w:right="86"/>
        <w:jc w:val="left"/>
        <w:rPr>
          <w:rFonts w:ascii="黑体" w:hAnsi="黑体" w:cs="黑体" w:eastAsia="黑体" w:hint="default"/>
        </w:rPr>
      </w:pPr>
      <w:r>
        <w:rPr>
          <w:rFonts w:ascii="Times New Roman" w:hAnsi="Times New Roman" w:cs="Times New Roman" w:eastAsia="Times New Roman" w:hint="default"/>
        </w:rPr>
        <w:t>1</w:t>
      </w:r>
      <w:r>
        <w:rPr>
          <w:rFonts w:ascii="黑体" w:hAnsi="黑体" w:cs="黑体" w:eastAsia="黑体" w:hint="default"/>
        </w:rPr>
        <w:t>、持有其他上市公司股权情况</w:t>
      </w:r>
    </w:p>
    <w:p>
      <w:pPr>
        <w:spacing w:after="0" w:line="240" w:lineRule="auto"/>
        <w:jc w:val="left"/>
        <w:rPr>
          <w:rFonts w:ascii="黑体" w:hAnsi="黑体" w:cs="黑体" w:eastAsia="黑体" w:hint="default"/>
        </w:rPr>
        <w:sectPr>
          <w:pgSz w:w="11900" w:h="16840"/>
          <w:pgMar w:header="0" w:footer="939" w:top="1500" w:bottom="1120" w:left="1680" w:right="1220"/>
        </w:sectPr>
      </w:pPr>
    </w:p>
    <w:p>
      <w:pPr>
        <w:spacing w:line="240" w:lineRule="auto" w:before="4"/>
        <w:rPr>
          <w:rFonts w:ascii="黑体" w:hAnsi="黑体" w:cs="黑体" w:eastAsia="黑体" w:hint="default"/>
          <w:sz w:val="15"/>
          <w:szCs w:val="15"/>
        </w:rPr>
      </w:pPr>
    </w:p>
    <w:tbl>
      <w:tblPr>
        <w:tblW w:w="0" w:type="auto"/>
        <w:jc w:val="left"/>
        <w:tblInd w:w="104" w:type="dxa"/>
        <w:tblLayout w:type="fixed"/>
        <w:tblCellMar>
          <w:top w:w="0" w:type="dxa"/>
          <w:left w:w="0" w:type="dxa"/>
          <w:bottom w:w="0" w:type="dxa"/>
          <w:right w:w="0" w:type="dxa"/>
        </w:tblCellMar>
        <w:tblLook w:val="01E0"/>
      </w:tblPr>
      <w:tblGrid>
        <w:gridCol w:w="799"/>
        <w:gridCol w:w="1080"/>
        <w:gridCol w:w="1537"/>
        <w:gridCol w:w="922"/>
        <w:gridCol w:w="1339"/>
        <w:gridCol w:w="1276"/>
        <w:gridCol w:w="1398"/>
        <w:gridCol w:w="1404"/>
        <w:gridCol w:w="1145"/>
      </w:tblGrid>
      <w:tr>
        <w:trPr>
          <w:trHeight w:val="554" w:hRule="exact"/>
        </w:trPr>
        <w:tc>
          <w:tcPr>
            <w:tcW w:w="7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82" w:right="0"/>
              <w:jc w:val="left"/>
              <w:rPr>
                <w:rFonts w:ascii="宋体" w:hAnsi="宋体" w:cs="宋体" w:eastAsia="宋体" w:hint="default"/>
                <w:sz w:val="21"/>
                <w:szCs w:val="21"/>
              </w:rPr>
            </w:pPr>
            <w:r>
              <w:rPr>
                <w:rFonts w:ascii="宋体" w:hAnsi="宋体" w:cs="宋体" w:eastAsia="宋体" w:hint="default"/>
                <w:sz w:val="21"/>
                <w:szCs w:val="21"/>
              </w:rPr>
              <w:t>证券</w:t>
            </w:r>
          </w:p>
          <w:p>
            <w:pPr>
              <w:pStyle w:val="TableParagraph"/>
              <w:spacing w:line="274" w:lineRule="exact"/>
              <w:ind w:left="182" w:right="0"/>
              <w:jc w:val="left"/>
              <w:rPr>
                <w:rFonts w:ascii="宋体" w:hAnsi="宋体" w:cs="宋体" w:eastAsia="宋体" w:hint="default"/>
                <w:sz w:val="21"/>
                <w:szCs w:val="21"/>
              </w:rPr>
            </w:pPr>
            <w:r>
              <w:rPr>
                <w:rFonts w:ascii="宋体" w:hAnsi="宋体" w:cs="宋体" w:eastAsia="宋体" w:hint="default"/>
                <w:sz w:val="21"/>
                <w:szCs w:val="21"/>
              </w:rPr>
              <w:t>代码</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111" w:right="0"/>
              <w:jc w:val="left"/>
              <w:rPr>
                <w:rFonts w:ascii="宋体" w:hAnsi="宋体" w:cs="宋体" w:eastAsia="宋体" w:hint="default"/>
                <w:sz w:val="21"/>
                <w:szCs w:val="21"/>
              </w:rPr>
            </w:pPr>
            <w:r>
              <w:rPr>
                <w:rFonts w:ascii="宋体" w:hAnsi="宋体" w:cs="宋体" w:eastAsia="宋体" w:hint="default"/>
                <w:sz w:val="21"/>
                <w:szCs w:val="21"/>
              </w:rPr>
              <w:t>证券简称</w:t>
            </w:r>
          </w:p>
        </w:tc>
        <w:tc>
          <w:tcPr>
            <w:tcW w:w="1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初始投资金额</w:t>
            </w:r>
          </w:p>
        </w:tc>
        <w:tc>
          <w:tcPr>
            <w:tcW w:w="9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33" w:right="0"/>
              <w:jc w:val="left"/>
              <w:rPr>
                <w:rFonts w:ascii="宋体" w:hAnsi="宋体" w:cs="宋体" w:eastAsia="宋体" w:hint="default"/>
                <w:sz w:val="21"/>
                <w:szCs w:val="21"/>
              </w:rPr>
            </w:pPr>
            <w:r>
              <w:rPr>
                <w:rFonts w:ascii="宋体" w:hAnsi="宋体" w:cs="宋体" w:eastAsia="宋体" w:hint="default"/>
                <w:sz w:val="21"/>
                <w:szCs w:val="21"/>
              </w:rPr>
              <w:t>占该公司</w:t>
            </w:r>
          </w:p>
          <w:p>
            <w:pPr>
              <w:pStyle w:val="TableParagraph"/>
              <w:spacing w:line="274" w:lineRule="exact"/>
              <w:ind w:left="33" w:right="0"/>
              <w:jc w:val="left"/>
              <w:rPr>
                <w:rFonts w:ascii="宋体" w:hAnsi="宋体" w:cs="宋体" w:eastAsia="宋体" w:hint="default"/>
                <w:sz w:val="21"/>
                <w:szCs w:val="21"/>
              </w:rPr>
            </w:pPr>
            <w:r>
              <w:rPr>
                <w:rFonts w:ascii="宋体" w:hAnsi="宋体" w:cs="宋体" w:eastAsia="宋体" w:hint="default"/>
                <w:sz w:val="21"/>
                <w:szCs w:val="21"/>
              </w:rPr>
              <w:t>股权比例</w:t>
            </w:r>
          </w:p>
        </w:tc>
        <w:tc>
          <w:tcPr>
            <w:tcW w:w="13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期末账面值</w:t>
            </w:r>
          </w:p>
        </w:tc>
        <w:tc>
          <w:tcPr>
            <w:tcW w:w="1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报告期损益</w:t>
            </w:r>
          </w:p>
        </w:tc>
        <w:tc>
          <w:tcPr>
            <w:tcW w:w="13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pacing w:val="13"/>
                <w:sz w:val="21"/>
                <w:szCs w:val="21"/>
              </w:rPr>
              <w:t>报告期所有者</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权益变动</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会计核算科目</w:t>
            </w:r>
          </w:p>
        </w:tc>
        <w:tc>
          <w:tcPr>
            <w:tcW w:w="11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股份来源</w:t>
            </w:r>
          </w:p>
        </w:tc>
      </w:tr>
      <w:tr>
        <w:trPr>
          <w:trHeight w:val="28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000509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SST </w:t>
            </w:r>
            <w:r>
              <w:rPr>
                <w:rFonts w:ascii="宋体" w:hAnsi="宋体" w:cs="宋体" w:eastAsia="宋体" w:hint="default"/>
                <w:sz w:val="21"/>
                <w:szCs w:val="21"/>
              </w:rPr>
              <w:t>华塑</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1,500,000.00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0.33%</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1,500,000.00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7"/>
              <w:jc w:val="center"/>
              <w:rPr>
                <w:rFonts w:ascii="宋体" w:hAnsi="宋体" w:cs="宋体" w:eastAsia="宋体" w:hint="default"/>
                <w:sz w:val="21"/>
                <w:szCs w:val="21"/>
              </w:rPr>
            </w:pPr>
            <w:r>
              <w:rPr>
                <w:rFonts w:ascii="宋体" w:hAnsi="宋体" w:cs="宋体" w:eastAsia="宋体" w:hint="default"/>
                <w:sz w:val="21"/>
                <w:szCs w:val="21"/>
              </w:rPr>
              <w:t>社会法人股</w:t>
            </w:r>
          </w:p>
        </w:tc>
      </w:tr>
      <w:tr>
        <w:trPr>
          <w:trHeight w:val="282"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000506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ST </w:t>
            </w:r>
            <w:r>
              <w:rPr>
                <w:rFonts w:ascii="宋体" w:hAnsi="宋体" w:cs="宋体" w:eastAsia="宋体" w:hint="default"/>
                <w:sz w:val="21"/>
                <w:szCs w:val="21"/>
              </w:rPr>
              <w:t>中润</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3,172,173.65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0.27%</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3,172,173.65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7"/>
              <w:jc w:val="center"/>
              <w:rPr>
                <w:rFonts w:ascii="宋体" w:hAnsi="宋体" w:cs="宋体" w:eastAsia="宋体" w:hint="default"/>
                <w:sz w:val="21"/>
                <w:szCs w:val="21"/>
              </w:rPr>
            </w:pPr>
            <w:r>
              <w:rPr>
                <w:rFonts w:ascii="宋体" w:hAnsi="宋体" w:cs="宋体" w:eastAsia="宋体" w:hint="default"/>
                <w:sz w:val="21"/>
                <w:szCs w:val="21"/>
              </w:rPr>
              <w:t>社会法人股</w:t>
            </w:r>
          </w:p>
        </w:tc>
      </w:tr>
      <w:tr>
        <w:trPr>
          <w:trHeight w:val="554"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2" w:right="0"/>
              <w:jc w:val="left"/>
              <w:rPr>
                <w:rFonts w:ascii="Times New Roman" w:hAnsi="Times New Roman" w:cs="Times New Roman" w:eastAsia="Times New Roman" w:hint="default"/>
                <w:sz w:val="21"/>
                <w:szCs w:val="21"/>
              </w:rPr>
            </w:pPr>
            <w:r>
              <w:rPr>
                <w:rFonts w:ascii="Times New Roman"/>
                <w:sz w:val="21"/>
              </w:rPr>
              <w:t>600999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招商证券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1,938,251.50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0.08%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 w:right="0"/>
              <w:jc w:val="center"/>
              <w:rPr>
                <w:rFonts w:ascii="Times New Roman" w:hAnsi="Times New Roman" w:cs="Times New Roman" w:eastAsia="Times New Roman" w:hint="default"/>
                <w:sz w:val="21"/>
                <w:szCs w:val="21"/>
              </w:rPr>
            </w:pPr>
            <w:r>
              <w:rPr>
                <w:rFonts w:ascii="Times New Roman"/>
                <w:sz w:val="21"/>
              </w:rPr>
              <w:t>1,938,251.50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pacing w:val="14"/>
                <w:sz w:val="21"/>
                <w:szCs w:val="21"/>
              </w:rPr>
              <w:t>可供出售金融</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7"/>
              <w:jc w:val="center"/>
              <w:rPr>
                <w:rFonts w:ascii="宋体" w:hAnsi="宋体" w:cs="宋体" w:eastAsia="宋体" w:hint="default"/>
                <w:sz w:val="21"/>
                <w:szCs w:val="21"/>
              </w:rPr>
            </w:pPr>
            <w:r>
              <w:rPr>
                <w:rFonts w:ascii="宋体" w:hAnsi="宋体" w:cs="宋体" w:eastAsia="宋体" w:hint="default"/>
                <w:sz w:val="21"/>
                <w:szCs w:val="21"/>
              </w:rPr>
              <w:t>社会法人股</w:t>
            </w:r>
          </w:p>
        </w:tc>
      </w:tr>
      <w:tr>
        <w:trPr>
          <w:trHeight w:val="282"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400033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斯达高科</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8,724,000.00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1.50%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8,724,000.00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7"/>
              <w:jc w:val="center"/>
              <w:rPr>
                <w:rFonts w:ascii="宋体" w:hAnsi="宋体" w:cs="宋体" w:eastAsia="宋体" w:hint="default"/>
                <w:sz w:val="21"/>
                <w:szCs w:val="21"/>
              </w:rPr>
            </w:pPr>
            <w:r>
              <w:rPr>
                <w:rFonts w:ascii="宋体" w:hAnsi="宋体" w:cs="宋体" w:eastAsia="宋体" w:hint="default"/>
                <w:sz w:val="21"/>
                <w:szCs w:val="21"/>
              </w:rPr>
              <w:t>社会法人股</w:t>
            </w:r>
          </w:p>
        </w:tc>
      </w:tr>
      <w:tr>
        <w:trPr>
          <w:trHeight w:val="556"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2" w:right="0"/>
              <w:jc w:val="left"/>
              <w:rPr>
                <w:rFonts w:ascii="Times New Roman" w:hAnsi="Times New Roman" w:cs="Times New Roman" w:eastAsia="Times New Roman" w:hint="default"/>
                <w:sz w:val="21"/>
                <w:szCs w:val="21"/>
              </w:rPr>
            </w:pPr>
            <w:r>
              <w:rPr>
                <w:rFonts w:ascii="Times New Roman"/>
                <w:sz w:val="21"/>
              </w:rPr>
              <w:t>601601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中国太保</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2,496,000.00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0.01%</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9" w:right="0"/>
              <w:jc w:val="left"/>
              <w:rPr>
                <w:rFonts w:ascii="Times New Roman" w:hAnsi="Times New Roman" w:cs="Times New Roman" w:eastAsia="Times New Roman" w:hint="default"/>
                <w:sz w:val="21"/>
                <w:szCs w:val="21"/>
              </w:rPr>
            </w:pPr>
            <w:r>
              <w:rPr>
                <w:rFonts w:ascii="Times New Roman"/>
                <w:sz w:val="21"/>
              </w:rPr>
              <w:t>25,233,786.41</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25,233,786.41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pacing w:val="14"/>
                <w:sz w:val="21"/>
                <w:szCs w:val="21"/>
              </w:rPr>
              <w:t>可供出售金融</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7"/>
              <w:jc w:val="center"/>
              <w:rPr>
                <w:rFonts w:ascii="宋体" w:hAnsi="宋体" w:cs="宋体" w:eastAsia="宋体" w:hint="default"/>
                <w:sz w:val="21"/>
                <w:szCs w:val="21"/>
              </w:rPr>
            </w:pPr>
            <w:r>
              <w:rPr>
                <w:rFonts w:ascii="宋体" w:hAnsi="宋体" w:cs="宋体" w:eastAsia="宋体" w:hint="default"/>
                <w:sz w:val="21"/>
                <w:szCs w:val="21"/>
              </w:rPr>
              <w:t>社会法人股</w:t>
            </w:r>
          </w:p>
        </w:tc>
      </w:tr>
    </w:tbl>
    <w:p>
      <w:pPr>
        <w:spacing w:line="240" w:lineRule="auto" w:before="1"/>
        <w:rPr>
          <w:rFonts w:ascii="黑体" w:hAnsi="黑体" w:cs="黑体" w:eastAsia="黑体" w:hint="default"/>
          <w:sz w:val="28"/>
          <w:szCs w:val="28"/>
        </w:rPr>
      </w:pPr>
    </w:p>
    <w:p>
      <w:pPr>
        <w:pStyle w:val="BodyText"/>
        <w:spacing w:line="286" w:lineRule="exact" w:before="35"/>
        <w:ind w:left="1250" w:right="3492"/>
        <w:jc w:val="left"/>
        <w:rPr>
          <w:rFonts w:ascii="黑体" w:hAnsi="黑体" w:cs="黑体" w:eastAsia="黑体" w:hint="default"/>
        </w:rPr>
      </w:pPr>
      <w:r>
        <w:rPr>
          <w:rFonts w:ascii="Times New Roman" w:hAnsi="Times New Roman" w:cs="Times New Roman" w:eastAsia="Times New Roman" w:hint="default"/>
        </w:rPr>
        <w:t>2</w:t>
      </w:r>
      <w:r>
        <w:rPr>
          <w:rFonts w:ascii="黑体" w:hAnsi="黑体" w:cs="黑体" w:eastAsia="黑体" w:hint="default"/>
        </w:rPr>
        <w:t>、出售其他上市公司股权情况</w:t>
      </w:r>
    </w:p>
    <w:p>
      <w:pPr>
        <w:pStyle w:val="BodyText"/>
        <w:spacing w:line="585" w:lineRule="auto"/>
        <w:ind w:left="1250" w:right="3492"/>
        <w:jc w:val="left"/>
        <w:rPr>
          <w:rFonts w:ascii="黑体" w:hAnsi="黑体" w:cs="黑体" w:eastAsia="黑体" w:hint="default"/>
        </w:rPr>
      </w:pPr>
      <w:r>
        <w:rPr/>
        <w:t>详见本节</w:t>
      </w:r>
      <w:r>
        <w:rPr>
          <w:rFonts w:ascii="Times New Roman" w:hAnsi="Times New Roman" w:cs="Times New Roman" w:eastAsia="Times New Roman" w:hint="default"/>
        </w:rPr>
        <w:t>“</w:t>
      </w:r>
      <w:r>
        <w:rPr/>
        <w:t>三、</w:t>
      </w:r>
      <w:r>
        <w:rPr>
          <w:rFonts w:ascii="Times New Roman" w:hAnsi="Times New Roman" w:cs="Times New Roman" w:eastAsia="Times New Roman" w:hint="default"/>
        </w:rPr>
        <w:t>1</w:t>
      </w:r>
      <w:r>
        <w:rPr/>
        <w:t>、公司出售持有的</w:t>
      </w:r>
      <w:r>
        <w:rPr>
          <w:rFonts w:ascii="Times New Roman" w:hAnsi="Times New Roman" w:cs="Times New Roman" w:eastAsia="Times New Roman" w:hint="default"/>
        </w:rPr>
        <w:t>“</w:t>
      </w:r>
      <w:r>
        <w:rPr/>
        <w:t>中国太保</w:t>
      </w:r>
      <w:r>
        <w:rPr>
          <w:rFonts w:ascii="Times New Roman" w:hAnsi="Times New Roman" w:cs="Times New Roman" w:eastAsia="Times New Roman" w:hint="default"/>
        </w:rPr>
        <w:t>”</w:t>
      </w:r>
      <w:r>
        <w:rPr/>
        <w:t>无限售条件流通股事项</w:t>
      </w:r>
      <w:r>
        <w:rPr>
          <w:rFonts w:ascii="Times New Roman" w:hAnsi="Times New Roman" w:cs="Times New Roman" w:eastAsia="Times New Roman" w:hint="default"/>
        </w:rPr>
        <w:t>” 3</w:t>
      </w:r>
      <w:r>
        <w:rPr>
          <w:rFonts w:ascii="黑体" w:hAnsi="黑体" w:cs="黑体" w:eastAsia="黑体" w:hint="default"/>
        </w:rPr>
        <w:t>、公司无持有非上市金融企业、拟上市公司股权情况</w:t>
      </w:r>
    </w:p>
    <w:p>
      <w:pPr>
        <w:pStyle w:val="BodyText"/>
        <w:spacing w:line="240" w:lineRule="auto" w:before="94"/>
        <w:ind w:left="1250" w:right="3492"/>
        <w:jc w:val="left"/>
        <w:rPr>
          <w:rFonts w:ascii="黑体" w:hAnsi="黑体" w:cs="黑体" w:eastAsia="黑体" w:hint="default"/>
        </w:rPr>
      </w:pPr>
      <w:r>
        <w:rPr>
          <w:rFonts w:ascii="Times New Roman" w:hAnsi="Times New Roman" w:cs="Times New Roman" w:eastAsia="Times New Roman" w:hint="default"/>
        </w:rPr>
        <w:t>4</w:t>
      </w:r>
      <w:r>
        <w:rPr>
          <w:rFonts w:ascii="黑体" w:hAnsi="黑体" w:cs="黑体" w:eastAsia="黑体" w:hint="default"/>
        </w:rPr>
        <w:t>、公司无衍生品投资情况</w:t>
      </w:r>
    </w:p>
    <w:p>
      <w:pPr>
        <w:spacing w:line="240" w:lineRule="auto" w:before="0"/>
        <w:rPr>
          <w:rFonts w:ascii="黑体" w:hAnsi="黑体" w:cs="黑体" w:eastAsia="黑体" w:hint="default"/>
          <w:sz w:val="22"/>
          <w:szCs w:val="22"/>
        </w:rPr>
      </w:pPr>
    </w:p>
    <w:p>
      <w:pPr>
        <w:spacing w:line="240" w:lineRule="auto" w:before="11"/>
        <w:rPr>
          <w:rFonts w:ascii="黑体" w:hAnsi="黑体" w:cs="黑体" w:eastAsia="黑体" w:hint="default"/>
          <w:sz w:val="18"/>
          <w:szCs w:val="18"/>
        </w:rPr>
      </w:pPr>
    </w:p>
    <w:p>
      <w:pPr>
        <w:pStyle w:val="Heading3"/>
        <w:spacing w:line="240" w:lineRule="auto"/>
        <w:ind w:left="1250" w:right="3492"/>
        <w:jc w:val="left"/>
      </w:pPr>
      <w:r>
        <w:rPr/>
        <w:t>三、报告期内公司重大资产出售情况</w:t>
      </w:r>
    </w:p>
    <w:p>
      <w:pPr>
        <w:spacing w:line="240" w:lineRule="auto" w:before="7"/>
        <w:rPr>
          <w:rFonts w:ascii="黑体" w:hAnsi="黑体" w:cs="黑体" w:eastAsia="黑体" w:hint="default"/>
          <w:sz w:val="28"/>
          <w:szCs w:val="28"/>
        </w:rPr>
      </w:pPr>
    </w:p>
    <w:p>
      <w:pPr>
        <w:pStyle w:val="BodyText"/>
        <w:spacing w:line="240" w:lineRule="auto"/>
        <w:ind w:left="1670" w:right="3492"/>
        <w:jc w:val="left"/>
      </w:pPr>
      <w:r>
        <w:rPr>
          <w:rFonts w:ascii="Times New Roman" w:hAnsi="Times New Roman" w:cs="Times New Roman" w:eastAsia="Times New Roman" w:hint="default"/>
        </w:rPr>
        <w:t>1</w:t>
      </w:r>
      <w:r>
        <w:rPr/>
        <w:t>、公司出售持有的</w:t>
      </w:r>
      <w:r>
        <w:rPr>
          <w:rFonts w:ascii="Times New Roman" w:hAnsi="Times New Roman" w:cs="Times New Roman" w:eastAsia="Times New Roman" w:hint="default"/>
        </w:rPr>
        <w:t>“</w:t>
      </w:r>
      <w:r>
        <w:rPr/>
        <w:t>中国太保</w:t>
      </w:r>
      <w:r>
        <w:rPr>
          <w:rFonts w:ascii="Times New Roman" w:hAnsi="Times New Roman" w:cs="Times New Roman" w:eastAsia="Times New Roman" w:hint="default"/>
        </w:rPr>
        <w:t>”</w:t>
      </w:r>
      <w:r>
        <w:rPr/>
        <w:t>无限售条件流通股事项</w:t>
      </w:r>
    </w:p>
    <w:p>
      <w:pPr>
        <w:pStyle w:val="BodyText"/>
        <w:spacing w:line="240" w:lineRule="auto" w:before="110"/>
        <w:ind w:left="1670" w:right="0"/>
        <w:jc w:val="left"/>
      </w:pPr>
      <w:r>
        <w:rPr/>
        <w:t>公司于</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日通过证券交易系统出售持有的</w:t>
      </w:r>
      <w:r>
        <w:rPr>
          <w:rFonts w:ascii="Times New Roman" w:hAnsi="Times New Roman" w:cs="Times New Roman" w:eastAsia="Times New Roman" w:hint="default"/>
        </w:rPr>
        <w:t>“</w:t>
      </w:r>
      <w:r>
        <w:rPr/>
        <w:t>中国太保</w:t>
      </w:r>
      <w:r>
        <w:rPr>
          <w:rFonts w:ascii="Times New Roman" w:hAnsi="Times New Roman" w:cs="Times New Roman" w:eastAsia="Times New Roman" w:hint="default"/>
        </w:rPr>
        <w:t>”</w:t>
      </w:r>
      <w:r>
        <w:rPr/>
        <w:t>无限售条件流通股</w:t>
      </w:r>
    </w:p>
    <w:p>
      <w:pPr>
        <w:pStyle w:val="BodyText"/>
        <w:spacing w:line="240" w:lineRule="auto" w:before="109"/>
        <w:ind w:left="1250" w:right="3492"/>
        <w:jc w:val="left"/>
      </w:pPr>
      <w:r>
        <w:rPr>
          <w:rFonts w:ascii="Times New Roman" w:hAnsi="Times New Roman" w:cs="Times New Roman" w:eastAsia="Times New Roman" w:hint="default"/>
        </w:rPr>
        <w:t>200</w:t>
      </w:r>
      <w:r>
        <w:rPr>
          <w:rFonts w:ascii="Times New Roman" w:hAnsi="Times New Roman" w:cs="Times New Roman" w:eastAsia="Times New Roman" w:hint="default"/>
          <w:spacing w:val="-2"/>
        </w:rPr>
        <w:t> </w:t>
      </w:r>
      <w:r>
        <w:rPr/>
        <w:t>万股，实现投资收益</w:t>
      </w:r>
      <w:r>
        <w:rPr>
          <w:spacing w:val="-55"/>
        </w:rPr>
        <w:t> </w:t>
      </w:r>
      <w:r>
        <w:rPr>
          <w:rFonts w:ascii="Times New Roman" w:hAnsi="Times New Roman" w:cs="Times New Roman" w:eastAsia="Times New Roman" w:hint="default"/>
        </w:rPr>
        <w:t>2523</w:t>
      </w:r>
      <w:r>
        <w:rPr>
          <w:rFonts w:ascii="Times New Roman" w:hAnsi="Times New Roman" w:cs="Times New Roman" w:eastAsia="Times New Roman" w:hint="default"/>
          <w:spacing w:val="-2"/>
        </w:rPr>
        <w:t> </w:t>
      </w:r>
      <w:r>
        <w:rPr/>
        <w:t>万元。</w:t>
      </w:r>
    </w:p>
    <w:p>
      <w:pPr>
        <w:pStyle w:val="BodyText"/>
        <w:spacing w:line="240" w:lineRule="auto" w:before="109"/>
        <w:ind w:left="1670" w:right="0"/>
        <w:jc w:val="left"/>
        <w:rPr>
          <w:rFonts w:ascii="Times New Roman" w:hAnsi="Times New Roman" w:cs="Times New Roman" w:eastAsia="Times New Roman" w:hint="default"/>
        </w:rPr>
      </w:pPr>
      <w:r>
        <w:rPr/>
        <w:t>（具体内容详见</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9 </w:t>
      </w:r>
      <w:r>
        <w:rPr/>
        <w:t>年</w:t>
      </w:r>
      <w:r>
        <w:rPr>
          <w:spacing w:val="-54"/>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rPr>
        <w:t>14 </w:t>
      </w:r>
      <w:r>
        <w:rPr>
          <w:spacing w:val="-100"/>
        </w:rPr>
        <w:t>日</w:t>
      </w:r>
      <w:r>
        <w:rPr/>
        <w:t>《</w:t>
      </w:r>
      <w:r>
        <w:rPr>
          <w:spacing w:val="-2"/>
        </w:rPr>
        <w:t>中</w:t>
      </w:r>
      <w:r>
        <w:rPr/>
        <w:t>国证券报</w:t>
      </w:r>
      <w:r>
        <w:rPr>
          <w:spacing w:val="-99"/>
        </w:rPr>
        <w:t>》</w:t>
      </w:r>
      <w:r>
        <w:rPr>
          <w:spacing w:val="-197"/>
        </w:rPr>
        <w:t>、</w:t>
      </w:r>
      <w:r>
        <w:rPr>
          <w:spacing w:val="-2"/>
        </w:rPr>
        <w:t>《</w:t>
      </w:r>
      <w:r>
        <w:rPr/>
        <w:t>证券时报</w:t>
      </w:r>
      <w:r>
        <w:rPr>
          <w:spacing w:val="-99"/>
        </w:rPr>
        <w:t>》</w:t>
      </w:r>
      <w:r>
        <w:rPr/>
        <w:t>及巨潮网</w:t>
      </w:r>
      <w:r>
        <w:rPr>
          <w:spacing w:val="-53"/>
        </w:rPr>
        <w:t> </w:t>
      </w:r>
      <w:hyperlink r:id="rId9">
        <w:r>
          <w:rPr>
            <w:rFonts w:ascii="Times New Roman" w:hAnsi="Times New Roman" w:cs="Times New Roman" w:eastAsia="Times New Roman" w:hint="default"/>
            <w:spacing w:val="-1"/>
          </w:rPr>
          <w:t>www</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c</w:t>
        </w:r>
        <w:r>
          <w:rPr>
            <w:rFonts w:ascii="Times New Roman" w:hAnsi="Times New Roman" w:cs="Times New Roman" w:eastAsia="Times New Roman" w:hint="default"/>
          </w:rPr>
          <w:t>n</w:t>
        </w:r>
        <w:r>
          <w:rPr>
            <w:rFonts w:ascii="Times New Roman" w:hAnsi="Times New Roman" w:cs="Times New Roman" w:eastAsia="Times New Roman" w:hint="default"/>
            <w:spacing w:val="-1"/>
          </w:rPr>
          <w:t>i</w:t>
        </w:r>
        <w:r>
          <w:rPr>
            <w:rFonts w:ascii="Times New Roman" w:hAnsi="Times New Roman" w:cs="Times New Roman" w:eastAsia="Times New Roman" w:hint="default"/>
          </w:rPr>
          <w:t>n</w:t>
        </w:r>
        <w:r>
          <w:rPr>
            <w:rFonts w:ascii="Times New Roman" w:hAnsi="Times New Roman" w:cs="Times New Roman" w:eastAsia="Times New Roman" w:hint="default"/>
            <w:spacing w:val="-1"/>
          </w:rPr>
          <w:t>f</w:t>
        </w:r>
        <w:r>
          <w:rPr>
            <w:rFonts w:ascii="Times New Roman" w:hAnsi="Times New Roman" w:cs="Times New Roman" w:eastAsia="Times New Roman" w:hint="default"/>
          </w:rPr>
          <w:t>o</w:t>
        </w:r>
        <w:r>
          <w:rPr>
            <w:rFonts w:ascii="Times New Roman" w:hAnsi="Times New Roman" w:cs="Times New Roman" w:eastAsia="Times New Roman" w:hint="default"/>
            <w:spacing w:val="-1"/>
          </w:rPr>
          <w:t>.c</w:t>
        </w:r>
        <w:r>
          <w:rPr>
            <w:rFonts w:ascii="Times New Roman" w:hAnsi="Times New Roman" w:cs="Times New Roman" w:eastAsia="Times New Roman" w:hint="default"/>
          </w:rPr>
          <w:t>o</w:t>
        </w:r>
        <w:r>
          <w:rPr>
            <w:rFonts w:ascii="Times New Roman" w:hAnsi="Times New Roman" w:cs="Times New Roman" w:eastAsia="Times New Roman" w:hint="default"/>
            <w:spacing w:val="-3"/>
          </w:rPr>
          <w:t>m</w:t>
        </w:r>
        <w:r>
          <w:rPr>
            <w:rFonts w:ascii="Times New Roman" w:hAnsi="Times New Roman" w:cs="Times New Roman" w:eastAsia="Times New Roman" w:hint="default"/>
            <w:spacing w:val="-1"/>
          </w:rPr>
          <w:t>.cn</w:t>
        </w:r>
        <w:r>
          <w:rPr>
            <w:rFonts w:ascii="Times New Roman" w:hAnsi="Times New Roman" w:cs="Times New Roman" w:eastAsia="Times New Roman" w:hint="default"/>
          </w:rPr>
        </w:r>
      </w:hyperlink>
    </w:p>
    <w:p>
      <w:pPr>
        <w:pStyle w:val="BodyText"/>
        <w:spacing w:line="240" w:lineRule="auto" w:before="110"/>
        <w:ind w:left="1250" w:right="3492"/>
        <w:jc w:val="left"/>
      </w:pPr>
      <w:r>
        <w:rPr/>
        <w:t>相关公告）</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331" w:lineRule="auto"/>
        <w:ind w:left="1670" w:right="0"/>
        <w:jc w:val="left"/>
      </w:pPr>
      <w:r>
        <w:rPr>
          <w:rFonts w:ascii="Times New Roman" w:hAnsi="Times New Roman" w:cs="Times New Roman" w:eastAsia="Times New Roman" w:hint="default"/>
        </w:rPr>
        <w:t>2</w:t>
      </w:r>
      <w:r>
        <w:rPr/>
        <w:t>、公司转让长沙鸿基运输实业有限公司</w:t>
      </w:r>
      <w:r>
        <w:rPr>
          <w:spacing w:val="-54"/>
        </w:rPr>
        <w:t> </w:t>
      </w:r>
      <w:r>
        <w:rPr>
          <w:rFonts w:ascii="Times New Roman" w:hAnsi="Times New Roman" w:cs="Times New Roman" w:eastAsia="Times New Roman" w:hint="default"/>
        </w:rPr>
        <w:t>100%</w:t>
      </w:r>
      <w:r>
        <w:rPr/>
        <w:t>股权事项 </w:t>
      </w:r>
      <w:r>
        <w:rPr>
          <w:spacing w:val="-3"/>
        </w:rPr>
        <w:t>为实施公司集中资源发展房地产开发业务的战略目标，调整公司产业结构、优化资源配置，</w:t>
      </w:r>
    </w:p>
    <w:p>
      <w:pPr>
        <w:pStyle w:val="BodyText"/>
        <w:spacing w:line="331" w:lineRule="auto" w:before="45"/>
        <w:ind w:left="1250" w:right="1241"/>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t>年</w:t>
      </w:r>
      <w:r>
        <w:rPr>
          <w:spacing w:val="-63"/>
        </w:rPr>
        <w:t> </w:t>
      </w:r>
      <w:r>
        <w:rPr>
          <w:rFonts w:ascii="Times New Roman" w:hAnsi="Times New Roman" w:cs="Times New Roman" w:eastAsia="Times New Roman" w:hint="default"/>
        </w:rPr>
        <w:t>11</w:t>
      </w:r>
      <w:r>
        <w:rPr>
          <w:rFonts w:ascii="Times New Roman" w:hAnsi="Times New Roman" w:cs="Times New Roman" w:eastAsia="Times New Roman" w:hint="default"/>
          <w:spacing w:val="-11"/>
        </w:rPr>
        <w:t> </w:t>
      </w:r>
      <w:r>
        <w:rPr/>
        <w:t>月</w:t>
      </w:r>
      <w:r>
        <w:rPr>
          <w:spacing w:val="-63"/>
        </w:rPr>
        <w:t> </w:t>
      </w:r>
      <w:r>
        <w:rPr>
          <w:rFonts w:ascii="Times New Roman" w:hAnsi="Times New Roman" w:cs="Times New Roman" w:eastAsia="Times New Roman" w:hint="default"/>
        </w:rPr>
        <w:t>19</w:t>
      </w:r>
      <w:r>
        <w:rPr>
          <w:rFonts w:ascii="Times New Roman" w:hAnsi="Times New Roman" w:cs="Times New Roman" w:eastAsia="Times New Roman" w:hint="default"/>
          <w:spacing w:val="-11"/>
        </w:rPr>
        <w:t> </w:t>
      </w:r>
      <w:r>
        <w:rPr/>
        <w:t>日，公司、自然人戴石英（以下统称转让方）与湖南汽车城永通有限公司（以 下简称</w:t>
      </w:r>
      <w:r>
        <w:rPr>
          <w:rFonts w:ascii="Times New Roman" w:hAnsi="Times New Roman" w:cs="Times New Roman" w:eastAsia="Times New Roman" w:hint="default"/>
        </w:rPr>
        <w:t>“</w:t>
      </w:r>
      <w:r>
        <w:rPr/>
        <w:t>永通公司</w:t>
      </w:r>
      <w:r>
        <w:rPr>
          <w:rFonts w:ascii="Times New Roman" w:hAnsi="Times New Roman" w:cs="Times New Roman" w:eastAsia="Times New Roman" w:hint="default"/>
        </w:rPr>
        <w:t>”</w:t>
      </w:r>
      <w:r>
        <w:rPr/>
        <w:t>）、自然人蒋宗平签订了《长沙鸿基运输实业有限公司股权转让协议》，转 让方以公司控股子公司长沙鸿基运输实业有限公司（以下简称</w:t>
      </w:r>
      <w:r>
        <w:rPr>
          <w:rFonts w:ascii="Times New Roman" w:hAnsi="Times New Roman" w:cs="Times New Roman" w:eastAsia="Times New Roman" w:hint="default"/>
        </w:rPr>
        <w:t>“</w:t>
      </w:r>
      <w:r>
        <w:rPr/>
        <w:t>长沙鸿基运输公司</w:t>
      </w:r>
      <w:r>
        <w:rPr>
          <w:rFonts w:ascii="Times New Roman" w:hAnsi="Times New Roman" w:cs="Times New Roman" w:eastAsia="Times New Roman" w:hint="default"/>
        </w:rPr>
        <w:t>”</w:t>
      </w:r>
      <w:r>
        <w:rPr/>
        <w:t>）经评估、 审计后的净资产为依据，协商确定股权转让价格为人民币</w:t>
      </w:r>
      <w:r>
        <w:rPr>
          <w:spacing w:val="-55"/>
        </w:rPr>
        <w:t> </w:t>
      </w:r>
      <w:r>
        <w:rPr>
          <w:rFonts w:ascii="Times New Roman" w:hAnsi="Times New Roman" w:cs="Times New Roman" w:eastAsia="Times New Roman" w:hint="default"/>
        </w:rPr>
        <w:t>4,880</w:t>
      </w:r>
      <w:r>
        <w:rPr>
          <w:rFonts w:ascii="Times New Roman" w:hAnsi="Times New Roman" w:cs="Times New Roman" w:eastAsia="Times New Roman" w:hint="default"/>
          <w:spacing w:val="-2"/>
        </w:rPr>
        <w:t> </w:t>
      </w:r>
      <w:r>
        <w:rPr/>
        <w:t>万元，其中：公司转让长沙鸿 基运输公司</w:t>
      </w:r>
      <w:r>
        <w:rPr>
          <w:spacing w:val="-55"/>
        </w:rPr>
        <w:t> </w:t>
      </w:r>
      <w:r>
        <w:rPr>
          <w:rFonts w:ascii="Times New Roman" w:hAnsi="Times New Roman" w:cs="Times New Roman" w:eastAsia="Times New Roman" w:hint="default"/>
        </w:rPr>
        <w:t>60%</w:t>
      </w:r>
      <w:r>
        <w:rPr/>
        <w:t>股权给永通公司，转让</w:t>
      </w:r>
      <w:r>
        <w:rPr>
          <w:spacing w:val="-55"/>
        </w:rPr>
        <w:t> </w:t>
      </w:r>
      <w:r>
        <w:rPr>
          <w:rFonts w:ascii="Times New Roman" w:hAnsi="Times New Roman" w:cs="Times New Roman" w:eastAsia="Times New Roman" w:hint="default"/>
        </w:rPr>
        <w:t>35%</w:t>
      </w:r>
      <w:r>
        <w:rPr/>
        <w:t>股权给蒋宗平；戴石英转让长沙鸿基运输公司</w:t>
      </w:r>
      <w:r>
        <w:rPr>
          <w:spacing w:val="-55"/>
        </w:rPr>
        <w:t> </w:t>
      </w:r>
      <w:r>
        <w:rPr>
          <w:rFonts w:ascii="Times New Roman" w:hAnsi="Times New Roman" w:cs="Times New Roman" w:eastAsia="Times New Roman" w:hint="default"/>
        </w:rPr>
        <w:t>5% </w:t>
      </w:r>
      <w:r>
        <w:rPr/>
        <w:t>股权给蒋宗平。鉴于戴石英持有的</w:t>
      </w:r>
      <w:r>
        <w:rPr>
          <w:spacing w:val="-54"/>
        </w:rPr>
        <w:t> </w:t>
      </w:r>
      <w:r>
        <w:rPr>
          <w:rFonts w:ascii="Times New Roman" w:hAnsi="Times New Roman" w:cs="Times New Roman" w:eastAsia="Times New Roman" w:hint="default"/>
        </w:rPr>
        <w:t>5%</w:t>
      </w:r>
      <w:r>
        <w:rPr/>
        <w:t>股权为代公司持有，其对该股权不享有任何权益，本次 股权转让为公司向永通公司及蒋宗平转让长沙鸿基运输公司</w:t>
      </w:r>
      <w:r>
        <w:rPr>
          <w:spacing w:val="-54"/>
        </w:rPr>
        <w:t> </w:t>
      </w:r>
      <w:r>
        <w:rPr>
          <w:rFonts w:ascii="Times New Roman" w:hAnsi="Times New Roman" w:cs="Times New Roman" w:eastAsia="Times New Roman" w:hint="default"/>
        </w:rPr>
        <w:t>100%</w:t>
      </w:r>
      <w:r>
        <w:rPr/>
        <w:t>股权，股权转让后，公司不 再持有长沙鸿基运输公司股权。本次股权转让事项经公司总裁办公会议审议通过。</w:t>
      </w:r>
    </w:p>
    <w:p>
      <w:pPr>
        <w:pStyle w:val="BodyText"/>
        <w:spacing w:line="240" w:lineRule="auto" w:before="46"/>
        <w:ind w:left="1670" w:right="0"/>
        <w:jc w:val="left"/>
      </w:pPr>
      <w:r>
        <w:rPr/>
        <w:t>（具体内容详见</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日《中国证券报》、《证券时报》及巨潮资讯网</w:t>
      </w:r>
    </w:p>
    <w:p>
      <w:pPr>
        <w:pStyle w:val="BodyText"/>
        <w:spacing w:line="240" w:lineRule="auto" w:before="109"/>
        <w:ind w:left="1250" w:right="3492"/>
        <w:jc w:val="left"/>
      </w:pPr>
      <w:hyperlink r:id="rId9">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37"/>
        </w:rPr>
        <w:t> </w:t>
      </w:r>
      <w:r>
        <w:rPr/>
        <w:t>相关公告）</w:t>
      </w:r>
    </w:p>
    <w:p>
      <w:pPr>
        <w:spacing w:after="0" w:line="240" w:lineRule="auto"/>
        <w:jc w:val="left"/>
        <w:sectPr>
          <w:pgSz w:w="11900" w:h="16840"/>
          <w:pgMar w:header="0" w:footer="939" w:top="1600" w:bottom="1120" w:left="620" w:right="160"/>
        </w:sectPr>
      </w:pPr>
    </w:p>
    <w:p>
      <w:pPr>
        <w:pStyle w:val="Heading3"/>
        <w:spacing w:line="487" w:lineRule="auto" w:before="6"/>
        <w:ind w:right="3790"/>
        <w:jc w:val="left"/>
      </w:pPr>
      <w:r>
        <w:rPr/>
        <w:t>四、报告期内，公司无重大资产收购、及资产重组事项 五、报告期内，公司与关联方资金往来情况 </w:t>
      </w:r>
      <w:r>
        <w:rPr>
          <w:rFonts w:ascii="宋体" w:hAnsi="宋体" w:cs="宋体" w:eastAsia="宋体" w:hint="default"/>
        </w:rPr>
        <w:t>公司第一大股东及其他关联方占用公司资金的情况</w:t>
      </w:r>
      <w:r>
        <w:rPr/>
        <w:t>：</w:t>
      </w:r>
    </w:p>
    <w:p>
      <w:pPr>
        <w:pStyle w:val="BodyText"/>
        <w:spacing w:line="331" w:lineRule="auto" w:before="133"/>
        <w:ind w:right="940" w:firstLine="420"/>
        <w:jc w:val="left"/>
      </w:pPr>
      <w:r>
        <w:rPr>
          <w:rFonts w:ascii="Times New Roman" w:hAnsi="Times New Roman" w:cs="Times New Roman" w:eastAsia="Times New Roman" w:hint="default"/>
        </w:rPr>
        <w:t>1</w:t>
      </w:r>
      <w:r>
        <w:rPr/>
        <w:t>、截止报告期期末，公司第一大股东</w:t>
      </w:r>
      <w:r>
        <w:rPr>
          <w:rFonts w:ascii="Times New Roman" w:hAnsi="Times New Roman" w:cs="Times New Roman" w:eastAsia="Times New Roman" w:hint="default"/>
        </w:rPr>
        <w:t>——</w:t>
      </w:r>
      <w:r>
        <w:rPr/>
        <w:t>中国宝安集团控股有限公司（以下简称</w:t>
      </w:r>
      <w:r>
        <w:rPr>
          <w:rFonts w:ascii="Times New Roman" w:hAnsi="Times New Roman" w:cs="Times New Roman" w:eastAsia="Times New Roman" w:hint="default"/>
        </w:rPr>
        <w:t>“</w:t>
      </w:r>
      <w:r>
        <w:rPr/>
        <w:t>宝安控 股</w:t>
      </w:r>
      <w:r>
        <w:rPr>
          <w:rFonts w:ascii="Times New Roman" w:hAnsi="Times New Roman" w:cs="Times New Roman" w:eastAsia="Times New Roman" w:hint="default"/>
        </w:rPr>
        <w:t>”</w:t>
      </w:r>
      <w:r>
        <w:rPr/>
        <w:t>）及其子公司无占用公司资金的情况。</w:t>
      </w:r>
    </w:p>
    <w:p>
      <w:pPr>
        <w:pStyle w:val="BodyText"/>
        <w:spacing w:line="348" w:lineRule="auto" w:before="20"/>
        <w:ind w:right="940" w:firstLine="420"/>
        <w:jc w:val="left"/>
      </w:pPr>
      <w:r>
        <w:rPr/>
        <w:t>深圳市鹏城会计师事务所有限公司对公司宝安控股及其它关联方占用资金情况的出具了专 项说明，详见巨潮资讯网</w:t>
      </w:r>
      <w:r>
        <w:rPr>
          <w:spacing w:val="-23"/>
        </w:rPr>
        <w:t> </w:t>
      </w:r>
      <w:hyperlink r:id="rId9">
        <w:r>
          <w:rPr>
            <w:rFonts w:ascii="Times New Roman" w:hAnsi="Times New Roman" w:cs="Times New Roman" w:eastAsia="Times New Roman" w:hint="default"/>
          </w:rPr>
          <w:t>http://www.cninfo.com.cn/</w:t>
        </w:r>
      </w:hyperlink>
      <w:r>
        <w:rPr/>
        <w:t>。</w:t>
      </w:r>
    </w:p>
    <w:p>
      <w:pPr>
        <w:pStyle w:val="BodyText"/>
        <w:spacing w:line="240" w:lineRule="auto" w:before="5"/>
        <w:ind w:left="610" w:right="3790"/>
        <w:jc w:val="left"/>
      </w:pPr>
      <w:r>
        <w:rPr>
          <w:rFonts w:ascii="Times New Roman" w:hAnsi="Times New Roman" w:cs="Times New Roman" w:eastAsia="Times New Roman" w:hint="default"/>
        </w:rPr>
        <w:t>2</w:t>
      </w:r>
      <w:r>
        <w:rPr/>
        <w:t>、其他关联方与公司债权债务往来情况</w:t>
      </w:r>
    </w:p>
    <w:p>
      <w:pPr>
        <w:pStyle w:val="BodyText"/>
        <w:tabs>
          <w:tab w:pos="7642" w:val="left" w:leader="none"/>
        </w:tabs>
        <w:spacing w:line="240" w:lineRule="auto" w:before="109"/>
        <w:ind w:left="610" w:right="0"/>
        <w:jc w:val="left"/>
      </w:pPr>
      <w:r>
        <w:rPr>
          <w:spacing w:val="-1"/>
        </w:rPr>
        <w:t>（</w:t>
      </w:r>
      <w:r>
        <w:rPr>
          <w:rFonts w:ascii="Times New Roman" w:hAnsi="Times New Roman" w:cs="Times New Roman" w:eastAsia="Times New Roman" w:hint="default"/>
          <w:spacing w:val="-1"/>
        </w:rPr>
        <w:t>1</w:t>
      </w:r>
      <w:r>
        <w:rPr>
          <w:spacing w:val="-1"/>
        </w:rPr>
        <w:t>）关联债权</w:t>
        <w:tab/>
      </w:r>
      <w:r>
        <w:rPr/>
        <w:t>（单位：元）</w:t>
      </w:r>
    </w:p>
    <w:p>
      <w:pPr>
        <w:spacing w:line="240" w:lineRule="auto" w:before="8"/>
        <w:rPr>
          <w:rFonts w:ascii="宋体" w:hAnsi="宋体" w:cs="宋体" w:eastAsia="宋体" w:hint="default"/>
          <w:sz w:val="2"/>
          <w:szCs w:val="2"/>
        </w:rPr>
      </w:pPr>
    </w:p>
    <w:tbl>
      <w:tblPr>
        <w:tblW w:w="0" w:type="auto"/>
        <w:jc w:val="left"/>
        <w:tblInd w:w="188" w:type="dxa"/>
        <w:tblLayout w:type="fixed"/>
        <w:tblCellMar>
          <w:top w:w="0" w:type="dxa"/>
          <w:left w:w="0" w:type="dxa"/>
          <w:bottom w:w="0" w:type="dxa"/>
          <w:right w:w="0" w:type="dxa"/>
        </w:tblCellMar>
        <w:tblLook w:val="01E0"/>
      </w:tblPr>
      <w:tblGrid>
        <w:gridCol w:w="2520"/>
        <w:gridCol w:w="2368"/>
        <w:gridCol w:w="2160"/>
        <w:gridCol w:w="2369"/>
      </w:tblGrid>
      <w:tr>
        <w:trPr>
          <w:trHeight w:val="640" w:hRule="exact"/>
        </w:trPr>
        <w:tc>
          <w:tcPr>
            <w:tcW w:w="2520" w:type="dxa"/>
            <w:tcBorders>
              <w:top w:val="single" w:sz="2" w:space="0" w:color="000000"/>
              <w:left w:val="single" w:sz="2" w:space="0" w:color="000000"/>
              <w:bottom w:val="single" w:sz="2" w:space="0" w:color="000000"/>
              <w:right w:val="single" w:sz="4" w:space="0" w:color="000000"/>
            </w:tcBorders>
            <w:shd w:val="clear" w:color="auto" w:fill="DCDCDC"/>
          </w:tcPr>
          <w:p>
            <w:pPr>
              <w:pStyle w:val="TableParagraph"/>
              <w:spacing w:line="240" w:lineRule="auto" w:before="145"/>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368" w:type="dxa"/>
            <w:tcBorders>
              <w:top w:val="single" w:sz="2" w:space="0" w:color="000000"/>
              <w:left w:val="single" w:sz="4" w:space="0" w:color="000000"/>
              <w:bottom w:val="single" w:sz="2" w:space="0" w:color="000000"/>
              <w:right w:val="single" w:sz="2" w:space="0" w:color="000000"/>
            </w:tcBorders>
            <w:shd w:val="clear" w:color="auto" w:fill="DCDCDC"/>
          </w:tcPr>
          <w:p>
            <w:pPr>
              <w:pStyle w:val="TableParagraph"/>
              <w:spacing w:line="240" w:lineRule="auto" w:before="145"/>
              <w:ind w:left="339" w:right="0"/>
              <w:jc w:val="left"/>
              <w:rPr>
                <w:rFonts w:ascii="宋体" w:hAnsi="宋体" w:cs="宋体" w:eastAsia="宋体" w:hint="default"/>
                <w:sz w:val="21"/>
                <w:szCs w:val="21"/>
              </w:rPr>
            </w:pPr>
            <w:r>
              <w:rPr>
                <w:rFonts w:ascii="宋体" w:hAnsi="宋体" w:cs="宋体" w:eastAsia="宋体" w:hint="default"/>
                <w:sz w:val="21"/>
                <w:szCs w:val="21"/>
              </w:rPr>
              <w:t>与上市公司的关系</w:t>
            </w:r>
          </w:p>
        </w:tc>
        <w:tc>
          <w:tcPr>
            <w:tcW w:w="2160" w:type="dxa"/>
            <w:tcBorders>
              <w:top w:val="single" w:sz="2" w:space="0" w:color="000000"/>
              <w:left w:val="single" w:sz="2" w:space="0" w:color="000000"/>
              <w:bottom w:val="single" w:sz="2" w:space="0" w:color="000000"/>
              <w:right w:val="single" w:sz="4" w:space="0" w:color="000000"/>
            </w:tcBorders>
            <w:shd w:val="clear" w:color="auto" w:fill="DCDCDC"/>
          </w:tcPr>
          <w:p>
            <w:pPr>
              <w:pStyle w:val="TableParagraph"/>
              <w:spacing w:line="240" w:lineRule="auto" w:before="145"/>
              <w:ind w:right="49"/>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369" w:type="dxa"/>
            <w:tcBorders>
              <w:top w:val="single" w:sz="2" w:space="0" w:color="000000"/>
              <w:left w:val="single" w:sz="4" w:space="0" w:color="000000"/>
              <w:bottom w:val="single" w:sz="2" w:space="0" w:color="000000"/>
              <w:right w:val="single" w:sz="4" w:space="0" w:color="000000"/>
            </w:tcBorders>
            <w:shd w:val="clear" w:color="auto" w:fill="DCDCDC"/>
          </w:tcPr>
          <w:p>
            <w:pPr>
              <w:pStyle w:val="TableParagraph"/>
              <w:spacing w:line="240" w:lineRule="auto" w:before="145"/>
              <w:ind w:left="73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794" w:hRule="exact"/>
        </w:trPr>
        <w:tc>
          <w:tcPr>
            <w:tcW w:w="2520" w:type="dxa"/>
            <w:tcBorders>
              <w:top w:val="single" w:sz="2" w:space="0" w:color="000000"/>
              <w:left w:val="single" w:sz="2" w:space="0" w:color="000000"/>
              <w:bottom w:val="single" w:sz="4" w:space="0" w:color="000000"/>
              <w:right w:val="single" w:sz="4" w:space="0" w:color="000000"/>
            </w:tcBorders>
          </w:tcPr>
          <w:p>
            <w:pPr>
              <w:pStyle w:val="TableParagraph"/>
              <w:spacing w:line="232" w:lineRule="exact" w:before="154"/>
              <w:ind w:right="170"/>
              <w:jc w:val="left"/>
              <w:rPr>
                <w:rFonts w:ascii="宋体" w:hAnsi="宋体" w:cs="宋体" w:eastAsia="宋体" w:hint="default"/>
                <w:sz w:val="18"/>
                <w:szCs w:val="18"/>
              </w:rPr>
            </w:pPr>
            <w:r>
              <w:rPr>
                <w:rFonts w:ascii="宋体" w:hAnsi="宋体" w:cs="宋体" w:eastAsia="宋体" w:hint="default"/>
                <w:sz w:val="18"/>
                <w:szCs w:val="18"/>
              </w:rPr>
              <w:t>福建东南广播电视网络有限公 司</w:t>
            </w:r>
          </w:p>
        </w:tc>
        <w:tc>
          <w:tcPr>
            <w:tcW w:w="2368" w:type="dxa"/>
            <w:tcBorders>
              <w:top w:val="single" w:sz="2" w:space="0" w:color="000000"/>
              <w:left w:val="single" w:sz="4" w:space="0" w:color="000000"/>
              <w:bottom w:val="single" w:sz="4" w:space="0" w:color="000000"/>
              <w:right w:val="single" w:sz="2" w:space="0" w:color="000000"/>
            </w:tcBorders>
          </w:tcPr>
          <w:p>
            <w:pPr>
              <w:pStyle w:val="TableParagraph"/>
              <w:spacing w:line="232" w:lineRule="exact" w:before="154"/>
              <w:ind w:left="-1" w:right="4"/>
              <w:jc w:val="left"/>
              <w:rPr>
                <w:rFonts w:ascii="宋体" w:hAnsi="宋体" w:cs="宋体" w:eastAsia="宋体" w:hint="default"/>
                <w:sz w:val="18"/>
                <w:szCs w:val="18"/>
              </w:rPr>
            </w:pPr>
            <w:r>
              <w:rPr>
                <w:rFonts w:ascii="宋体" w:hAnsi="宋体" w:cs="宋体" w:eastAsia="宋体" w:hint="default"/>
                <w:sz w:val="18"/>
                <w:szCs w:val="18"/>
              </w:rPr>
              <w:t>公司持有</w:t>
            </w:r>
            <w:r>
              <w:rPr>
                <w:rFonts w:ascii="Times New Roman" w:hAnsi="Times New Roman" w:cs="Times New Roman" w:eastAsia="Times New Roman" w:hint="default"/>
                <w:sz w:val="18"/>
                <w:szCs w:val="18"/>
              </w:rPr>
              <w:t>18.51%</w:t>
            </w:r>
            <w:r>
              <w:rPr>
                <w:rFonts w:ascii="宋体" w:hAnsi="宋体" w:cs="宋体" w:eastAsia="宋体" w:hint="default"/>
                <w:sz w:val="18"/>
                <w:szCs w:val="18"/>
              </w:rPr>
              <w:t>股权之参股企 业</w:t>
            </w:r>
          </w:p>
        </w:tc>
        <w:tc>
          <w:tcPr>
            <w:tcW w:w="2160" w:type="dxa"/>
            <w:tcBorders>
              <w:top w:val="single" w:sz="2" w:space="0" w:color="000000"/>
              <w:left w:val="single" w:sz="2"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2"/>
              <w:jc w:val="right"/>
              <w:rPr>
                <w:rFonts w:ascii="Times New Roman" w:hAnsi="Times New Roman" w:cs="Times New Roman" w:eastAsia="Times New Roman" w:hint="default"/>
                <w:sz w:val="21"/>
                <w:szCs w:val="21"/>
              </w:rPr>
            </w:pPr>
            <w:r>
              <w:rPr>
                <w:rFonts w:ascii="Times New Roman"/>
                <w:spacing w:val="-1"/>
                <w:sz w:val="21"/>
              </w:rPr>
              <w:t>130,934,941.00</w:t>
            </w:r>
          </w:p>
        </w:tc>
        <w:tc>
          <w:tcPr>
            <w:tcW w:w="2369"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5"/>
              <w:jc w:val="right"/>
              <w:rPr>
                <w:rFonts w:ascii="Times New Roman" w:hAnsi="Times New Roman" w:cs="Times New Roman" w:eastAsia="Times New Roman" w:hint="default"/>
                <w:sz w:val="21"/>
                <w:szCs w:val="21"/>
              </w:rPr>
            </w:pPr>
            <w:r>
              <w:rPr>
                <w:rFonts w:ascii="Times New Roman"/>
                <w:sz w:val="21"/>
              </w:rPr>
              <w:t>0</w:t>
            </w:r>
          </w:p>
        </w:tc>
      </w:tr>
      <w:tr>
        <w:trPr>
          <w:trHeight w:val="237" w:hRule="exact"/>
        </w:trPr>
        <w:tc>
          <w:tcPr>
            <w:tcW w:w="2520" w:type="dxa"/>
            <w:tcBorders>
              <w:top w:val="single" w:sz="4" w:space="0" w:color="000000"/>
              <w:left w:val="single" w:sz="2" w:space="0" w:color="000000"/>
              <w:bottom w:val="nil" w:sz="6" w:space="0" w:color="auto"/>
              <w:right w:val="single" w:sz="4" w:space="0" w:color="000000"/>
            </w:tcBorders>
          </w:tcPr>
          <w:p>
            <w:pPr/>
          </w:p>
        </w:tc>
        <w:tc>
          <w:tcPr>
            <w:tcW w:w="2368" w:type="dxa"/>
            <w:tcBorders>
              <w:top w:val="single" w:sz="4" w:space="0" w:color="000000"/>
              <w:left w:val="single" w:sz="4" w:space="0" w:color="000000"/>
              <w:bottom w:val="nil" w:sz="6" w:space="0" w:color="auto"/>
              <w:right w:val="single" w:sz="2"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本公司间接控股子公司深圳市</w:t>
            </w:r>
          </w:p>
        </w:tc>
        <w:tc>
          <w:tcPr>
            <w:tcW w:w="2160" w:type="dxa"/>
            <w:tcBorders>
              <w:top w:val="single" w:sz="4" w:space="0" w:color="000000"/>
              <w:left w:val="single" w:sz="2" w:space="0" w:color="000000"/>
              <w:bottom w:val="nil" w:sz="6" w:space="0" w:color="auto"/>
              <w:right w:val="single" w:sz="4" w:space="0" w:color="000000"/>
            </w:tcBorders>
          </w:tcPr>
          <w:p>
            <w:pPr/>
          </w:p>
        </w:tc>
        <w:tc>
          <w:tcPr>
            <w:tcW w:w="2369" w:type="dxa"/>
            <w:tcBorders>
              <w:top w:val="single" w:sz="4" w:space="0" w:color="000000"/>
              <w:left w:val="single" w:sz="4" w:space="0" w:color="000000"/>
              <w:bottom w:val="nil" w:sz="6" w:space="0" w:color="auto"/>
              <w:right w:val="single" w:sz="4" w:space="0" w:color="000000"/>
            </w:tcBorders>
          </w:tcPr>
          <w:p>
            <w:pPr/>
          </w:p>
        </w:tc>
      </w:tr>
      <w:tr>
        <w:trPr>
          <w:trHeight w:val="261" w:hRule="exact"/>
        </w:trPr>
        <w:tc>
          <w:tcPr>
            <w:tcW w:w="2520" w:type="dxa"/>
            <w:tcBorders>
              <w:top w:val="nil" w:sz="6" w:space="0" w:color="auto"/>
              <w:left w:val="single" w:sz="2" w:space="0" w:color="000000"/>
              <w:bottom w:val="nil" w:sz="6" w:space="0" w:color="auto"/>
              <w:right w:val="single" w:sz="4" w:space="0" w:color="000000"/>
            </w:tcBorders>
          </w:tcPr>
          <w:p>
            <w:pPr>
              <w:pStyle w:val="TableParagraph"/>
              <w:spacing w:line="206" w:lineRule="exact"/>
              <w:ind w:right="0"/>
              <w:jc w:val="left"/>
              <w:rPr>
                <w:rFonts w:ascii="宋体" w:hAnsi="宋体" w:cs="宋体" w:eastAsia="宋体" w:hint="default"/>
                <w:sz w:val="18"/>
                <w:szCs w:val="18"/>
              </w:rPr>
            </w:pPr>
            <w:r>
              <w:rPr>
                <w:rFonts w:ascii="宋体" w:hAnsi="宋体" w:cs="宋体" w:eastAsia="宋体" w:hint="default"/>
                <w:sz w:val="18"/>
                <w:szCs w:val="18"/>
              </w:rPr>
              <w:t>深圳市鸿丰酒店管理有限公司</w:t>
            </w:r>
          </w:p>
        </w:tc>
        <w:tc>
          <w:tcPr>
            <w:tcW w:w="2368" w:type="dxa"/>
            <w:tcBorders>
              <w:top w:val="nil" w:sz="6" w:space="0" w:color="auto"/>
              <w:left w:val="single" w:sz="4" w:space="0" w:color="000000"/>
              <w:bottom w:val="nil" w:sz="6" w:space="0" w:color="auto"/>
              <w:right w:val="single" w:sz="2" w:space="0" w:color="000000"/>
            </w:tcBorders>
          </w:tcPr>
          <w:p>
            <w:pPr>
              <w:pStyle w:val="TableParagraph"/>
              <w:spacing w:line="206" w:lineRule="exact"/>
              <w:ind w:left="-1" w:right="0"/>
              <w:jc w:val="left"/>
              <w:rPr>
                <w:rFonts w:ascii="宋体" w:hAnsi="宋体" w:cs="宋体" w:eastAsia="宋体" w:hint="default"/>
                <w:sz w:val="18"/>
                <w:szCs w:val="18"/>
              </w:rPr>
            </w:pPr>
            <w:r>
              <w:rPr>
                <w:rFonts w:ascii="宋体" w:hAnsi="宋体" w:cs="宋体" w:eastAsia="宋体" w:hint="default"/>
                <w:sz w:val="18"/>
                <w:szCs w:val="18"/>
              </w:rPr>
              <w:t>鸿基酒店管理有限公司之联营</w:t>
            </w:r>
          </w:p>
        </w:tc>
        <w:tc>
          <w:tcPr>
            <w:tcW w:w="2160" w:type="dxa"/>
            <w:tcBorders>
              <w:top w:val="nil" w:sz="6" w:space="0" w:color="auto"/>
              <w:left w:val="single" w:sz="2" w:space="0" w:color="000000"/>
              <w:bottom w:val="nil" w:sz="6" w:space="0" w:color="auto"/>
              <w:right w:val="single" w:sz="4" w:space="0" w:color="000000"/>
            </w:tcBorders>
          </w:tcPr>
          <w:p>
            <w:pPr>
              <w:pStyle w:val="TableParagraph"/>
              <w:spacing w:line="240" w:lineRule="auto" w:before="24"/>
              <w:ind w:right="191"/>
              <w:jc w:val="right"/>
              <w:rPr>
                <w:rFonts w:ascii="Times New Roman" w:hAnsi="Times New Roman" w:cs="Times New Roman" w:eastAsia="Times New Roman" w:hint="default"/>
                <w:sz w:val="21"/>
                <w:szCs w:val="21"/>
              </w:rPr>
            </w:pPr>
            <w:r>
              <w:rPr>
                <w:rFonts w:ascii="Times New Roman"/>
                <w:spacing w:val="-1"/>
                <w:sz w:val="21"/>
              </w:rPr>
              <w:t>1,639,301.86</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93"/>
              <w:jc w:val="right"/>
              <w:rPr>
                <w:rFonts w:ascii="Times New Roman" w:hAnsi="Times New Roman" w:cs="Times New Roman" w:eastAsia="Times New Roman" w:hint="default"/>
                <w:sz w:val="21"/>
                <w:szCs w:val="21"/>
              </w:rPr>
            </w:pPr>
            <w:r>
              <w:rPr>
                <w:rFonts w:ascii="Times New Roman"/>
                <w:spacing w:val="-1"/>
                <w:sz w:val="21"/>
              </w:rPr>
              <w:t>1,601,164.27</w:t>
            </w:r>
          </w:p>
        </w:tc>
      </w:tr>
      <w:tr>
        <w:trPr>
          <w:trHeight w:val="210" w:hRule="exact"/>
        </w:trPr>
        <w:tc>
          <w:tcPr>
            <w:tcW w:w="2520" w:type="dxa"/>
            <w:tcBorders>
              <w:top w:val="nil" w:sz="6" w:space="0" w:color="auto"/>
              <w:left w:val="single" w:sz="2" w:space="0" w:color="000000"/>
              <w:bottom w:val="single" w:sz="2" w:space="0" w:color="000000"/>
              <w:right w:val="single" w:sz="4" w:space="0" w:color="000000"/>
            </w:tcBorders>
          </w:tcPr>
          <w:p>
            <w:pPr/>
          </w:p>
        </w:tc>
        <w:tc>
          <w:tcPr>
            <w:tcW w:w="2368" w:type="dxa"/>
            <w:tcBorders>
              <w:top w:val="nil" w:sz="6" w:space="0" w:color="auto"/>
              <w:left w:val="single" w:sz="4" w:space="0" w:color="000000"/>
              <w:bottom w:val="single" w:sz="2" w:space="0" w:color="000000"/>
              <w:right w:val="single" w:sz="2" w:space="0" w:color="000000"/>
            </w:tcBorders>
          </w:tcPr>
          <w:p>
            <w:pPr>
              <w:pStyle w:val="TableParagraph"/>
              <w:spacing w:line="179" w:lineRule="exact"/>
              <w:ind w:left="-1"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2160" w:type="dxa"/>
            <w:tcBorders>
              <w:top w:val="nil" w:sz="6" w:space="0" w:color="auto"/>
              <w:left w:val="single" w:sz="2" w:space="0" w:color="000000"/>
              <w:bottom w:val="single" w:sz="2" w:space="0" w:color="000000"/>
              <w:right w:val="single" w:sz="4" w:space="0" w:color="000000"/>
            </w:tcBorders>
          </w:tcPr>
          <w:p>
            <w:pPr/>
          </w:p>
        </w:tc>
        <w:tc>
          <w:tcPr>
            <w:tcW w:w="2369" w:type="dxa"/>
            <w:tcBorders>
              <w:top w:val="nil" w:sz="6" w:space="0" w:color="auto"/>
              <w:left w:val="single" w:sz="4" w:space="0" w:color="000000"/>
              <w:bottom w:val="single" w:sz="2" w:space="0" w:color="000000"/>
              <w:right w:val="single" w:sz="4" w:space="0" w:color="000000"/>
            </w:tcBorders>
          </w:tcPr>
          <w:p>
            <w:pPr/>
          </w:p>
        </w:tc>
      </w:tr>
    </w:tbl>
    <w:p>
      <w:pPr>
        <w:spacing w:line="240" w:lineRule="auto" w:before="8"/>
        <w:rPr>
          <w:rFonts w:ascii="宋体" w:hAnsi="宋体" w:cs="宋体" w:eastAsia="宋体" w:hint="default"/>
          <w:sz w:val="11"/>
          <w:szCs w:val="11"/>
        </w:rPr>
      </w:pPr>
    </w:p>
    <w:p>
      <w:pPr>
        <w:pStyle w:val="BodyText"/>
        <w:spacing w:line="240" w:lineRule="auto" w:before="35"/>
        <w:ind w:left="610" w:right="3790"/>
        <w:jc w:val="left"/>
      </w:pPr>
      <w:r>
        <w:rPr/>
        <w:t>（</w:t>
      </w:r>
      <w:r>
        <w:rPr>
          <w:rFonts w:ascii="Times New Roman" w:hAnsi="Times New Roman" w:cs="Times New Roman" w:eastAsia="Times New Roman" w:hint="default"/>
        </w:rPr>
        <w:t>2</w:t>
      </w:r>
      <w:r>
        <w:rPr/>
        <w:t>）其他关联债务</w:t>
      </w:r>
    </w:p>
    <w:p>
      <w:pPr>
        <w:spacing w:line="240" w:lineRule="auto" w:before="10"/>
        <w:rPr>
          <w:rFonts w:ascii="宋体" w:hAnsi="宋体" w:cs="宋体" w:eastAsia="宋体" w:hint="default"/>
          <w:sz w:val="4"/>
          <w:szCs w:val="4"/>
        </w:rPr>
      </w:pPr>
    </w:p>
    <w:tbl>
      <w:tblPr>
        <w:tblW w:w="0" w:type="auto"/>
        <w:jc w:val="left"/>
        <w:tblInd w:w="188" w:type="dxa"/>
        <w:tblLayout w:type="fixed"/>
        <w:tblCellMar>
          <w:top w:w="0" w:type="dxa"/>
          <w:left w:w="0" w:type="dxa"/>
          <w:bottom w:w="0" w:type="dxa"/>
          <w:right w:w="0" w:type="dxa"/>
        </w:tblCellMar>
        <w:tblLook w:val="01E0"/>
      </w:tblPr>
      <w:tblGrid>
        <w:gridCol w:w="2568"/>
        <w:gridCol w:w="2472"/>
        <w:gridCol w:w="2029"/>
        <w:gridCol w:w="2391"/>
      </w:tblGrid>
      <w:tr>
        <w:trPr>
          <w:trHeight w:val="649" w:hRule="exact"/>
        </w:trPr>
        <w:tc>
          <w:tcPr>
            <w:tcW w:w="2568" w:type="dxa"/>
            <w:tcBorders>
              <w:top w:val="single" w:sz="2" w:space="0" w:color="000000"/>
              <w:left w:val="single" w:sz="2" w:space="0" w:color="000000"/>
              <w:bottom w:val="single" w:sz="4" w:space="0" w:color="000000"/>
              <w:right w:val="single" w:sz="4" w:space="0" w:color="000000"/>
            </w:tcBorders>
            <w:shd w:val="clear" w:color="auto" w:fill="DCDCDC"/>
          </w:tcPr>
          <w:p>
            <w:pPr>
              <w:pStyle w:val="TableParagraph"/>
              <w:spacing w:line="240" w:lineRule="auto" w:before="150"/>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472" w:type="dxa"/>
            <w:tcBorders>
              <w:top w:val="single" w:sz="2" w:space="0" w:color="000000"/>
              <w:left w:val="single" w:sz="4" w:space="0" w:color="000000"/>
              <w:bottom w:val="single" w:sz="4" w:space="0" w:color="000000"/>
              <w:right w:val="single" w:sz="2" w:space="0" w:color="000000"/>
            </w:tcBorders>
            <w:shd w:val="clear" w:color="auto" w:fill="DCDCDC"/>
          </w:tcPr>
          <w:p>
            <w:pPr>
              <w:pStyle w:val="TableParagraph"/>
              <w:spacing w:line="240" w:lineRule="auto" w:before="150"/>
              <w:ind w:left="391" w:right="0"/>
              <w:jc w:val="left"/>
              <w:rPr>
                <w:rFonts w:ascii="宋体" w:hAnsi="宋体" w:cs="宋体" w:eastAsia="宋体" w:hint="default"/>
                <w:sz w:val="21"/>
                <w:szCs w:val="21"/>
              </w:rPr>
            </w:pPr>
            <w:r>
              <w:rPr>
                <w:rFonts w:ascii="宋体" w:hAnsi="宋体" w:cs="宋体" w:eastAsia="宋体" w:hint="default"/>
                <w:sz w:val="21"/>
                <w:szCs w:val="21"/>
              </w:rPr>
              <w:t>与上市公司的关系</w:t>
            </w:r>
          </w:p>
        </w:tc>
        <w:tc>
          <w:tcPr>
            <w:tcW w:w="2029" w:type="dxa"/>
            <w:tcBorders>
              <w:top w:val="single" w:sz="4" w:space="0" w:color="000000"/>
              <w:left w:val="single" w:sz="2" w:space="0" w:color="000000"/>
              <w:bottom w:val="single" w:sz="4" w:space="0" w:color="000000"/>
              <w:right w:val="single" w:sz="4" w:space="0" w:color="000000"/>
            </w:tcBorders>
            <w:shd w:val="clear" w:color="auto" w:fill="DCDCDC"/>
          </w:tcPr>
          <w:p>
            <w:pPr>
              <w:pStyle w:val="TableParagraph"/>
              <w:spacing w:line="240" w:lineRule="auto" w:before="148"/>
              <w:ind w:left="63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3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8"/>
              <w:ind w:left="73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78" w:hRule="exact"/>
        </w:trPr>
        <w:tc>
          <w:tcPr>
            <w:tcW w:w="2568"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sz w:val="18"/>
                <w:szCs w:val="18"/>
              </w:rPr>
              <w:t>深圳市新鸿泰投资发展有限公司</w:t>
            </w:r>
          </w:p>
        </w:tc>
        <w:tc>
          <w:tcPr>
            <w:tcW w:w="2472" w:type="dxa"/>
            <w:tcBorders>
              <w:top w:val="single" w:sz="4" w:space="0" w:color="000000"/>
              <w:left w:val="single" w:sz="4" w:space="0" w:color="000000"/>
              <w:bottom w:val="single" w:sz="4" w:space="0" w:color="000000"/>
              <w:right w:val="single" w:sz="2"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pacing w:val="8"/>
                <w:sz w:val="18"/>
                <w:szCs w:val="18"/>
              </w:rPr>
              <w:t>公司第二大股东之股东的控股</w:t>
            </w:r>
          </w:p>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02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111"/>
              <w:ind w:left="815" w:right="0"/>
              <w:jc w:val="left"/>
              <w:rPr>
                <w:rFonts w:ascii="Times New Roman" w:hAnsi="Times New Roman" w:cs="Times New Roman" w:eastAsia="Times New Roman" w:hint="default"/>
                <w:sz w:val="21"/>
                <w:szCs w:val="21"/>
              </w:rPr>
            </w:pPr>
            <w:r>
              <w:rPr>
                <w:rFonts w:ascii="Times New Roman"/>
                <w:sz w:val="21"/>
              </w:rPr>
              <w:t>9,059,959.12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172" w:right="0"/>
              <w:jc w:val="left"/>
              <w:rPr>
                <w:rFonts w:ascii="Times New Roman" w:hAnsi="Times New Roman" w:cs="Times New Roman" w:eastAsia="Times New Roman" w:hint="default"/>
                <w:sz w:val="21"/>
                <w:szCs w:val="21"/>
              </w:rPr>
            </w:pPr>
            <w:r>
              <w:rPr>
                <w:rFonts w:ascii="Times New Roman"/>
                <w:sz w:val="21"/>
              </w:rPr>
              <w:t>8,709,959.12</w:t>
            </w:r>
          </w:p>
        </w:tc>
      </w:tr>
    </w:tbl>
    <w:p>
      <w:pPr>
        <w:spacing w:line="240" w:lineRule="auto" w:before="5"/>
        <w:rPr>
          <w:rFonts w:ascii="宋体" w:hAnsi="宋体" w:cs="宋体" w:eastAsia="宋体" w:hint="default"/>
          <w:sz w:val="20"/>
          <w:szCs w:val="20"/>
        </w:rPr>
      </w:pPr>
    </w:p>
    <w:p>
      <w:pPr>
        <w:pStyle w:val="BodyText"/>
        <w:spacing w:line="240" w:lineRule="auto" w:before="35"/>
        <w:ind w:right="3790"/>
        <w:jc w:val="left"/>
      </w:pPr>
      <w:r>
        <w:rPr/>
        <w:t>上述关联债权债务成因：</w:t>
      </w:r>
    </w:p>
    <w:p>
      <w:pPr>
        <w:spacing w:line="240" w:lineRule="auto" w:before="12"/>
        <w:rPr>
          <w:rFonts w:ascii="宋体" w:hAnsi="宋体" w:cs="宋体" w:eastAsia="宋体" w:hint="default"/>
          <w:sz w:val="28"/>
          <w:szCs w:val="28"/>
        </w:rPr>
      </w:pPr>
    </w:p>
    <w:p>
      <w:pPr>
        <w:pStyle w:val="BodyText"/>
        <w:spacing w:line="336" w:lineRule="auto"/>
        <w:ind w:right="948" w:firstLine="420"/>
        <w:jc w:val="both"/>
      </w:pPr>
      <w:r>
        <w:rPr>
          <w:rFonts w:ascii="Times New Roman" w:hAnsi="Times New Roman" w:cs="Times New Roman" w:eastAsia="Times New Roman" w:hint="default"/>
        </w:rPr>
        <w:t>1</w:t>
      </w:r>
      <w:r>
        <w:rPr/>
        <w:t>、公司对福建东南广播电视网络有限公司其他应收帐款期初余额为</w:t>
      </w:r>
      <w:r>
        <w:rPr>
          <w:spacing w:val="-66"/>
        </w:rPr>
        <w:t> </w:t>
      </w:r>
      <w:r>
        <w:rPr>
          <w:rFonts w:ascii="Times New Roman" w:hAnsi="Times New Roman" w:cs="Times New Roman" w:eastAsia="Times New Roman" w:hint="default"/>
        </w:rPr>
        <w:t>130,934,941.00</w:t>
      </w:r>
      <w:r>
        <w:rPr>
          <w:rFonts w:ascii="Times New Roman" w:hAnsi="Times New Roman" w:cs="Times New Roman" w:eastAsia="Times New Roman" w:hint="default"/>
          <w:spacing w:val="-14"/>
        </w:rPr>
        <w:t> </w:t>
      </w:r>
      <w:r>
        <w:rPr>
          <w:spacing w:val="-8"/>
        </w:rPr>
        <w:t>元。该</w:t>
      </w:r>
      <w:r>
        <w:rPr/>
        <w:t> 款项主要为公司自</w:t>
      </w:r>
      <w:r>
        <w:rPr>
          <w:spacing w:val="-41"/>
        </w:rPr>
        <w:t> </w:t>
      </w:r>
      <w:r>
        <w:rPr>
          <w:rFonts w:ascii="Times New Roman" w:hAnsi="Times New Roman" w:cs="Times New Roman" w:eastAsia="Times New Roman" w:hint="default"/>
          <w:spacing w:val="-1"/>
        </w:rPr>
        <w:t>1999</w:t>
      </w:r>
      <w:r>
        <w:rPr>
          <w:rFonts w:ascii="Times New Roman" w:hAnsi="Times New Roman" w:cs="Times New Roman" w:eastAsia="Times New Roman" w:hint="default"/>
          <w:spacing w:val="11"/>
        </w:rPr>
        <w:t> </w:t>
      </w:r>
      <w:r>
        <w:rPr>
          <w:spacing w:val="-4"/>
        </w:rPr>
        <w:t>年作为东南网络控股股东，为其所开发的福建省有线干线网络建设投资</w:t>
      </w:r>
      <w:r>
        <w:rPr>
          <w:spacing w:val="-103"/>
        </w:rPr>
        <w:t> </w:t>
      </w:r>
      <w:r>
        <w:rPr>
          <w:spacing w:val="-103"/>
        </w:rPr>
      </w:r>
      <w:r>
        <w:rPr/>
        <w:t>垫付的工程款项以及在业务运营发展所提供的流动资金的借款而形成。报告期内，公司以对东</w:t>
      </w:r>
      <w:r>
        <w:rPr>
          <w:spacing w:val="-99"/>
        </w:rPr>
        <w:t> </w:t>
      </w:r>
      <w:r>
        <w:rPr>
          <w:spacing w:val="-99"/>
        </w:rPr>
      </w:r>
      <w:r>
        <w:rPr/>
        <w:t>南网络债权与东鸿信公司拥有的南山综合楼（整栋）等五项物业资产进行置换。</w:t>
      </w:r>
    </w:p>
    <w:p>
      <w:pPr>
        <w:pStyle w:val="BodyText"/>
        <w:spacing w:line="338" w:lineRule="auto" w:before="42"/>
        <w:ind w:right="948" w:firstLine="419"/>
        <w:jc w:val="both"/>
      </w:pPr>
      <w:r>
        <w:rPr>
          <w:rFonts w:ascii="Times New Roman" w:hAnsi="Times New Roman" w:cs="Times New Roman" w:eastAsia="Times New Roman" w:hint="default"/>
        </w:rPr>
        <w:t>2</w:t>
      </w:r>
      <w:r>
        <w:rPr/>
        <w:t>、公司对深圳市鸿丰酒店管理有限公司其他应收帐款期初余额为</w:t>
      </w:r>
      <w:r>
        <w:rPr>
          <w:spacing w:val="-65"/>
        </w:rPr>
        <w:t> </w:t>
      </w:r>
      <w:r>
        <w:rPr>
          <w:rFonts w:ascii="Times New Roman" w:hAnsi="Times New Roman" w:cs="Times New Roman" w:eastAsia="Times New Roman" w:hint="default"/>
        </w:rPr>
        <w:t>1,639,301.86</w:t>
      </w:r>
      <w:r>
        <w:rPr>
          <w:rFonts w:ascii="Times New Roman" w:hAnsi="Times New Roman" w:cs="Times New Roman" w:eastAsia="Times New Roman" w:hint="default"/>
          <w:spacing w:val="-13"/>
        </w:rPr>
        <w:t> </w:t>
      </w:r>
      <w:r>
        <w:rPr>
          <w:spacing w:val="-5"/>
        </w:rPr>
        <w:t>元。该款项</w:t>
      </w:r>
      <w:r>
        <w:rPr/>
        <w:t> 主要是公司对鸿丰酒店公司的应收投资收益和为鸿丰酒店管理公司代垫的日常经营资金。截止</w:t>
      </w:r>
      <w:r>
        <w:rPr>
          <w:spacing w:val="-99"/>
        </w:rPr>
        <w:t> </w:t>
      </w:r>
      <w:r>
        <w:rPr>
          <w:spacing w:val="-99"/>
        </w:rPr>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日，余额为</w:t>
      </w:r>
      <w:r>
        <w:rPr>
          <w:spacing w:val="-55"/>
        </w:rPr>
        <w:t> </w:t>
      </w:r>
      <w:r>
        <w:rPr>
          <w:rFonts w:ascii="Times New Roman" w:hAnsi="Times New Roman" w:cs="Times New Roman" w:eastAsia="Times New Roman" w:hint="default"/>
        </w:rPr>
        <w:t>1,601,164.27</w:t>
      </w:r>
      <w:r>
        <w:rPr>
          <w:rFonts w:ascii="Times New Roman" w:hAnsi="Times New Roman" w:cs="Times New Roman" w:eastAsia="Times New Roman" w:hint="default"/>
          <w:spacing w:val="-2"/>
        </w:rPr>
        <w:t> </w:t>
      </w:r>
      <w:r>
        <w:rPr/>
        <w:t>元。</w:t>
      </w:r>
    </w:p>
    <w:p>
      <w:pPr>
        <w:pStyle w:val="BodyText"/>
        <w:spacing w:line="240" w:lineRule="auto" w:before="14"/>
        <w:ind w:left="610"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、公司对深圳市新鸿泰投资发展有限公司其他应付款期初余额为 </w:t>
      </w:r>
      <w:r>
        <w:rPr>
          <w:rFonts w:ascii="Times New Roman" w:hAnsi="Times New Roman" w:cs="Times New Roman" w:eastAsia="Times New Roman" w:hint="default"/>
        </w:rPr>
        <w:t>9,059,959.12 </w:t>
      </w:r>
      <w:r>
        <w:rPr>
          <w:rFonts w:ascii="Times New Roman" w:hAnsi="Times New Roman" w:cs="Times New Roman" w:eastAsia="Times New Roman" w:hint="default"/>
          <w:spacing w:val="42"/>
        </w:rPr>
        <w:t> </w:t>
      </w:r>
      <w:r>
        <w:rPr/>
        <w:t>元。</w:t>
      </w:r>
      <w:r>
        <w:rPr>
          <w:rFonts w:ascii="Times New Roman" w:hAnsi="Times New Roman" w:cs="Times New Roman" w:eastAsia="Times New Roman" w:hint="default"/>
        </w:rPr>
        <w:t>2007</w:t>
      </w:r>
    </w:p>
    <w:p>
      <w:pPr>
        <w:pStyle w:val="BodyText"/>
        <w:spacing w:line="240" w:lineRule="auto" w:before="109"/>
        <w:ind w:right="0"/>
        <w:jc w:val="left"/>
      </w:pPr>
      <w:r>
        <w:rPr/>
        <w:t>年度公司以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亿元出售深圳市鸿基出口监管仓库有限公司，该款项主要是公司欠新鸿泰公司</w:t>
      </w:r>
    </w:p>
    <w:p>
      <w:pPr>
        <w:pStyle w:val="BodyText"/>
        <w:spacing w:line="240" w:lineRule="auto" w:before="109"/>
        <w:ind w:right="0"/>
        <w:jc w:val="left"/>
        <w:rPr>
          <w:rFonts w:ascii="Times New Roman" w:hAnsi="Times New Roman" w:cs="Times New Roman" w:eastAsia="Times New Roman" w:hint="default"/>
        </w:rPr>
      </w:pPr>
      <w:r>
        <w:rPr/>
        <w:t>的股权转让款（新鸿泰公司占深圳市鸿基出口监管仓库有限公司</w:t>
      </w:r>
      <w:r>
        <w:rPr>
          <w:spacing w:val="-25"/>
        </w:rPr>
        <w:t> </w:t>
      </w:r>
      <w:r>
        <w:rPr>
          <w:rFonts w:ascii="Times New Roman" w:hAnsi="Times New Roman" w:cs="Times New Roman" w:eastAsia="Times New Roman" w:hint="default"/>
        </w:rPr>
        <w:t>10</w:t>
      </w:r>
      <w:r>
        <w:rPr>
          <w:spacing w:val="-2"/>
        </w:rPr>
        <w:t>％</w:t>
      </w:r>
      <w:r>
        <w:rPr/>
        <w:t>股权</w:t>
      </w:r>
      <w:r>
        <w:rPr>
          <w:spacing w:val="-105"/>
        </w:rPr>
        <w:t>）</w:t>
      </w:r>
      <w:r>
        <w:rPr/>
        <w:t>，</w:t>
      </w:r>
      <w:r>
        <w:rPr>
          <w:spacing w:val="-2"/>
        </w:rPr>
        <w:t>截</w:t>
      </w:r>
      <w:r>
        <w:rPr/>
        <w:t>止</w:t>
      </w:r>
      <w:r>
        <w:rPr>
          <w:spacing w:val="-25"/>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0</w:t>
      </w:r>
      <w:r>
        <w:rPr>
          <w:rFonts w:ascii="Times New Roman" w:hAnsi="Times New Roman" w:cs="Times New Roman" w:eastAsia="Times New Roman" w:hint="default"/>
        </w:rPr>
        <w:t>9 </w:t>
      </w:r>
      <w:r>
        <w:rPr>
          <w:rFonts w:ascii="Times New Roman" w:hAnsi="Times New Roman" w:cs="Times New Roman" w:eastAsia="Times New Roman" w:hint="default"/>
          <w:spacing w:val="-24"/>
        </w:rPr>
        <w:t> </w:t>
      </w:r>
      <w:r>
        <w:rPr/>
        <w:t>年</w:t>
      </w:r>
      <w:r>
        <w:rPr>
          <w:spacing w:val="-25"/>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rPr>
      </w:r>
    </w:p>
    <w:p>
      <w:pPr>
        <w:pStyle w:val="BodyText"/>
        <w:spacing w:line="240" w:lineRule="auto" w:before="110"/>
        <w:ind w:right="3790"/>
        <w:jc w:val="left"/>
      </w:pP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日，余额为</w:t>
      </w:r>
      <w:r>
        <w:rPr>
          <w:spacing w:val="-55"/>
        </w:rPr>
        <w:t> </w:t>
      </w:r>
      <w:r>
        <w:rPr>
          <w:rFonts w:ascii="Times New Roman" w:hAnsi="Times New Roman" w:cs="Times New Roman" w:eastAsia="Times New Roman" w:hint="default"/>
        </w:rPr>
        <w:t>8,709,959.12</w:t>
      </w:r>
      <w:r>
        <w:rPr>
          <w:rFonts w:ascii="Times New Roman" w:hAnsi="Times New Roman" w:cs="Times New Roman" w:eastAsia="Times New Roman" w:hint="default"/>
          <w:spacing w:val="-2"/>
        </w:rPr>
        <w:t> </w:t>
      </w:r>
      <w:r>
        <w:rPr/>
        <w:t>元。</w:t>
      </w:r>
    </w:p>
    <w:p>
      <w:pPr>
        <w:spacing w:after="0" w:line="240" w:lineRule="auto"/>
        <w:jc w:val="left"/>
        <w:sectPr>
          <w:pgSz w:w="11900" w:h="16840"/>
          <w:pgMar w:header="0" w:footer="939" w:top="1440" w:bottom="1120" w:left="1680" w:right="460"/>
        </w:sectPr>
      </w:pPr>
    </w:p>
    <w:p>
      <w:pPr>
        <w:pStyle w:val="Heading3"/>
        <w:spacing w:line="240" w:lineRule="auto" w:before="6"/>
        <w:ind w:right="0"/>
        <w:jc w:val="both"/>
      </w:pPr>
      <w:r>
        <w:rPr/>
        <w:t>六、报告期内公司重大关联交易事项</w:t>
      </w:r>
    </w:p>
    <w:p>
      <w:pPr>
        <w:spacing w:line="240" w:lineRule="auto" w:before="9"/>
        <w:rPr>
          <w:rFonts w:ascii="黑体" w:hAnsi="黑体" w:cs="黑体" w:eastAsia="黑体" w:hint="default"/>
          <w:sz w:val="28"/>
          <w:szCs w:val="28"/>
        </w:rPr>
      </w:pPr>
    </w:p>
    <w:p>
      <w:pPr>
        <w:pStyle w:val="BodyText"/>
        <w:spacing w:line="328" w:lineRule="auto"/>
        <w:ind w:left="610" w:right="200" w:hanging="1"/>
        <w:jc w:val="left"/>
      </w:pPr>
      <w:r>
        <w:rPr>
          <w:rFonts w:ascii="Times New Roman" w:hAnsi="Times New Roman" w:cs="Times New Roman" w:eastAsia="Times New Roman" w:hint="default"/>
        </w:rPr>
        <w:t>1</w:t>
      </w:r>
      <w:r>
        <w:rPr/>
        <w:t>、公司与东鸿信公司债权转让暨资产置换的关联交易事项 为优化公司资产结构，提高公司资产质量；逐步实施产业结构调整，进一步改善公司财务</w:t>
      </w:r>
    </w:p>
    <w:p>
      <w:pPr>
        <w:pStyle w:val="BodyText"/>
        <w:spacing w:line="350" w:lineRule="auto" w:before="47"/>
        <w:ind w:right="95"/>
        <w:jc w:val="left"/>
      </w:pPr>
      <w:r>
        <w:rPr/>
        <w:t>状况；同时合理有效解决福建东南广播电视网络有限公司原投资各方的遗留问题，公司与公司</w:t>
      </w:r>
      <w:r>
        <w:rPr>
          <w:spacing w:val="-99"/>
        </w:rPr>
        <w:t> </w:t>
      </w:r>
      <w:r>
        <w:rPr>
          <w:spacing w:val="-99"/>
        </w:rPr>
      </w:r>
      <w:r>
        <w:rPr/>
        <w:t>第二大股东</w:t>
      </w:r>
      <w:r>
        <w:rPr>
          <w:rFonts w:ascii="Times New Roman" w:hAnsi="Times New Roman" w:cs="Times New Roman" w:eastAsia="Times New Roman" w:hint="default"/>
        </w:rPr>
        <w:t>——</w:t>
      </w:r>
      <w:r>
        <w:rPr/>
        <w:t>深圳市东鸿信投资发展有限公司于</w:t>
      </w:r>
      <w:r>
        <w:rPr>
          <w:spacing w:val="-50"/>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spacing w:val="-1"/>
        </w:rPr>
        <w:t>23</w:t>
      </w:r>
      <w:r>
        <w:rPr>
          <w:rFonts w:ascii="Times New Roman" w:hAnsi="Times New Roman" w:cs="Times New Roman" w:eastAsia="Times New Roman" w:hint="default"/>
          <w:spacing w:val="3"/>
        </w:rPr>
        <w:t> </w:t>
      </w:r>
      <w:r>
        <w:rPr>
          <w:spacing w:val="-7"/>
        </w:rPr>
        <w:t>日签署《债权转让暨资产置换协议》</w:t>
      </w:r>
    </w:p>
    <w:p>
      <w:pPr>
        <w:pStyle w:val="BodyText"/>
        <w:spacing w:line="240" w:lineRule="auto" w:before="2"/>
        <w:ind w:right="0"/>
        <w:jc w:val="both"/>
      </w:pPr>
      <w:r>
        <w:rPr/>
        <w:t>及《债权转让暨资产置换协议之补充约定》，将截止</w:t>
      </w:r>
      <w:r>
        <w:rPr>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日公司对福建东南广播电</w:t>
      </w:r>
    </w:p>
    <w:p>
      <w:pPr>
        <w:pStyle w:val="BodyText"/>
        <w:spacing w:line="345" w:lineRule="auto" w:before="109"/>
        <w:ind w:right="96"/>
        <w:jc w:val="left"/>
      </w:pPr>
      <w:r>
        <w:rPr/>
        <w:t>视网络有限公司历年形成的债权余额 </w:t>
      </w:r>
      <w:r>
        <w:rPr>
          <w:rFonts w:ascii="Times New Roman" w:hAnsi="Times New Roman" w:cs="Times New Roman" w:eastAsia="Times New Roman" w:hint="default"/>
        </w:rPr>
        <w:t>130,934,941.00</w:t>
      </w:r>
      <w:r>
        <w:rPr>
          <w:rFonts w:ascii="Times New Roman" w:hAnsi="Times New Roman" w:cs="Times New Roman" w:eastAsia="Times New Roman" w:hint="default"/>
          <w:spacing w:val="2"/>
        </w:rPr>
        <w:t> </w:t>
      </w:r>
      <w:r>
        <w:rPr/>
        <w:t>元（已全额计提减值准备）与东鸿信公司 拥有并经评估的南山综合楼（整栋）、鸿基花园裙楼（第一层）、鸿基花园裙楼（第二层）</w:t>
      </w:r>
      <w:r>
        <w:rPr>
          <w:spacing w:val="-1"/>
        </w:rPr>
        <w:t> </w:t>
      </w:r>
      <w:r>
        <w:rPr/>
        <w:t>、</w:t>
      </w:r>
      <w:r>
        <w:rPr/>
        <w:t> 鸿基大厦东港中心商铺（第四层）、鸿基大厦二十五楼（部分）等五项物业资产进行置换。本</w:t>
      </w:r>
      <w:r>
        <w:rPr>
          <w:spacing w:val="-99"/>
        </w:rPr>
        <w:t> </w:t>
      </w:r>
      <w:r>
        <w:rPr>
          <w:spacing w:val="-99"/>
        </w:rPr>
      </w:r>
      <w:r>
        <w:rPr/>
        <w:t>次资产置换以经具有证券从业资格的评估机构对该五项物业资产的评估值为依据，协商确定资</w:t>
      </w:r>
      <w:r>
        <w:rPr>
          <w:spacing w:val="-99"/>
        </w:rPr>
        <w:t> </w:t>
      </w:r>
      <w:r>
        <w:rPr>
          <w:spacing w:val="-99"/>
        </w:rPr>
      </w:r>
      <w:r>
        <w:rPr/>
        <w:t>产置换对价为</w:t>
      </w:r>
      <w:r>
        <w:rPr>
          <w:spacing w:val="-56"/>
        </w:rPr>
        <w:t> </w:t>
      </w:r>
      <w:r>
        <w:rPr>
          <w:rFonts w:ascii="Times New Roman" w:hAnsi="Times New Roman" w:cs="Times New Roman" w:eastAsia="Times New Roman" w:hint="default"/>
        </w:rPr>
        <w:t>106,244,662.00</w:t>
      </w:r>
      <w:r>
        <w:rPr>
          <w:rFonts w:ascii="Times New Roman" w:hAnsi="Times New Roman" w:cs="Times New Roman" w:eastAsia="Times New Roman" w:hint="default"/>
          <w:spacing w:val="-3"/>
        </w:rPr>
        <w:t> </w:t>
      </w:r>
      <w:r>
        <w:rPr/>
        <w:t>元。</w:t>
      </w:r>
    </w:p>
    <w:p>
      <w:pPr>
        <w:pStyle w:val="BodyText"/>
        <w:spacing w:line="240" w:lineRule="auto" w:before="6"/>
        <w:ind w:left="610" w:right="0"/>
        <w:jc w:val="left"/>
      </w:pPr>
      <w:r>
        <w:rPr/>
        <w:t>本次资产置换暨关联交易事项经</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日公司</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年度第一次临时股东大会审</w:t>
      </w:r>
    </w:p>
    <w:p>
      <w:pPr>
        <w:pStyle w:val="BodyText"/>
        <w:spacing w:line="240" w:lineRule="auto" w:before="109"/>
        <w:ind w:right="0"/>
        <w:jc w:val="both"/>
      </w:pPr>
      <w:r>
        <w:rPr>
          <w:spacing w:val="5"/>
        </w:rPr>
        <w:t>议通过。相关内容详见 </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29 </w:t>
      </w:r>
      <w:r>
        <w:rPr>
          <w:rFonts w:ascii="Times New Roman" w:hAnsi="Times New Roman" w:cs="Times New Roman" w:eastAsia="Times New Roman" w:hint="default"/>
          <w:spacing w:val="36"/>
        </w:rPr>
        <w:t> </w:t>
      </w:r>
      <w:r>
        <w:rPr>
          <w:spacing w:val="6"/>
        </w:rPr>
        <w:t>日《中国证券报》、《证券时报》及巨潮资讯网</w:t>
      </w:r>
      <w:r>
        <w:rPr/>
      </w:r>
    </w:p>
    <w:p>
      <w:pPr>
        <w:pStyle w:val="BodyText"/>
        <w:spacing w:line="328" w:lineRule="auto" w:before="110"/>
        <w:ind w:left="610" w:right="200" w:hanging="420"/>
        <w:jc w:val="left"/>
      </w:pPr>
      <w:hyperlink r:id="rId9">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2"/>
        </w:rPr>
        <w:t> </w:t>
      </w:r>
      <w:r>
        <w:rPr/>
        <w:t>披露的《公司与东鸿信公司债权转让暨资产置换的关联交易公告》。 鉴于置换入公司前述五项物业资产产权均登记在公司名下，并已完成资产交付使用，但东</w:t>
      </w:r>
    </w:p>
    <w:p>
      <w:pPr>
        <w:pStyle w:val="BodyText"/>
        <w:spacing w:line="343" w:lineRule="auto" w:before="47"/>
        <w:ind w:right="208"/>
        <w:jc w:val="both"/>
      </w:pPr>
      <w:r>
        <w:rPr/>
        <w:t>鸿信公司未解除与深圳市金特汇通投资发展有限公司签订的南山综合楼买卖合同。经公司总裁</w:t>
      </w:r>
      <w:r>
        <w:rPr>
          <w:spacing w:val="-99"/>
        </w:rPr>
        <w:t> </w:t>
      </w:r>
      <w:r>
        <w:rPr>
          <w:spacing w:val="-99"/>
        </w:rPr>
      </w:r>
      <w:r>
        <w:rPr/>
        <w:t>办公会议、第六届董事局第三次定期会议审议同意，公司与东鸿信公司就延长解除与金特汇通</w:t>
      </w:r>
      <w:r>
        <w:rPr>
          <w:spacing w:val="-99"/>
        </w:rPr>
        <w:t> </w:t>
      </w:r>
      <w:r>
        <w:rPr>
          <w:spacing w:val="-99"/>
        </w:rPr>
      </w:r>
      <w:r>
        <w:rPr>
          <w:spacing w:val="-3"/>
        </w:rPr>
        <w:t>买卖合同的期限事项签署了《债权转让暨资产置换协议之补充约定二》，约定：</w:t>
      </w:r>
      <w:r>
        <w:rPr>
          <w:rFonts w:ascii="Times New Roman" w:hAnsi="Times New Roman" w:cs="Times New Roman" w:eastAsia="Times New Roman" w:hint="default"/>
          <w:spacing w:val="-3"/>
        </w:rPr>
        <w:t>“</w:t>
      </w:r>
      <w:r>
        <w:rPr>
          <w:spacing w:val="-3"/>
        </w:rPr>
        <w:t>东鸿信公司应</w:t>
      </w:r>
      <w:r>
        <w:rPr>
          <w:spacing w:val="-67"/>
        </w:rPr>
        <w:t> </w:t>
      </w:r>
      <w:r>
        <w:rPr/>
        <w:t>当在</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日前解除与金特汇通的买卖关系；如东鸿信公司未按以上期限解除与金特</w:t>
      </w:r>
    </w:p>
    <w:p>
      <w:pPr>
        <w:pStyle w:val="BodyText"/>
        <w:spacing w:line="328" w:lineRule="auto" w:before="10"/>
        <w:ind w:right="203" w:hanging="1"/>
        <w:jc w:val="left"/>
      </w:pPr>
      <w:r>
        <w:rPr/>
        <w:t>汇通的买卖关系，应按</w:t>
      </w:r>
      <w:r>
        <w:rPr>
          <w:spacing w:val="-4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t>年</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月</w:t>
      </w:r>
      <w:r>
        <w:rPr>
          <w:spacing w:val="-3"/>
        </w:rPr>
        <w:t> </w:t>
      </w:r>
      <w:r>
        <w:rPr>
          <w:rFonts w:ascii="Times New Roman" w:hAnsi="Times New Roman" w:cs="Times New Roman" w:eastAsia="Times New Roman" w:hint="default"/>
        </w:rPr>
        <w:t>23</w:t>
      </w:r>
      <w:r>
        <w:rPr>
          <w:rFonts w:ascii="Times New Roman" w:hAnsi="Times New Roman" w:cs="Times New Roman" w:eastAsia="Times New Roman" w:hint="default"/>
          <w:spacing w:val="11"/>
        </w:rPr>
        <w:t> </w:t>
      </w:r>
      <w:r>
        <w:rPr/>
        <w:t>日签订的《债权转让暨资产置换协议之补充约定》第 三条、第四条的约定承担责任</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32"/>
          <w:szCs w:val="32"/>
        </w:rPr>
      </w:pPr>
    </w:p>
    <w:p>
      <w:pPr>
        <w:pStyle w:val="BodyText"/>
        <w:spacing w:line="328" w:lineRule="auto"/>
        <w:ind w:left="610" w:right="200" w:hanging="1"/>
        <w:jc w:val="left"/>
      </w:pPr>
      <w:r>
        <w:rPr>
          <w:rFonts w:ascii="Times New Roman" w:hAnsi="Times New Roman" w:cs="Times New Roman" w:eastAsia="Times New Roman" w:hint="default"/>
        </w:rPr>
        <w:t>2</w:t>
      </w:r>
      <w:r>
        <w:rPr/>
        <w:t>、公司与东鸿信公司资产置换暨关联交易的事项 为优化公司资产结构、配合公司战略发展方向逐步向专业性房地产开发业务调整，进一步</w:t>
      </w:r>
    </w:p>
    <w:p>
      <w:pPr>
        <w:pStyle w:val="BodyText"/>
        <w:spacing w:line="336" w:lineRule="auto" w:before="47"/>
        <w:ind w:right="201"/>
        <w:jc w:val="both"/>
      </w:pPr>
      <w:r>
        <w:rPr>
          <w:spacing w:val="5"/>
        </w:rPr>
        <w:t>完善上市公司运作的独立性，公司与公司第二大股东</w:t>
      </w:r>
      <w:r>
        <w:rPr>
          <w:rFonts w:ascii="Times New Roman" w:hAnsi="Times New Roman" w:cs="Times New Roman" w:eastAsia="Times New Roman" w:hint="default"/>
          <w:spacing w:val="5"/>
        </w:rPr>
        <w:t>——</w:t>
      </w:r>
      <w:r>
        <w:rPr>
          <w:spacing w:val="5"/>
        </w:rPr>
        <w:t>深圳市东鸿信投资发展有限公司于</w:t>
      </w:r>
      <w:r>
        <w:rPr>
          <w:spacing w:val="-87"/>
        </w:rPr>
        <w:t> </w:t>
      </w:r>
      <w:r>
        <w:rPr>
          <w:spacing w:val="-87"/>
        </w:rPr>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23</w:t>
      </w:r>
      <w:r>
        <w:rPr>
          <w:rFonts w:ascii="Times New Roman" w:hAnsi="Times New Roman" w:cs="Times New Roman" w:eastAsia="Times New Roman" w:hint="default"/>
          <w:spacing w:val="4"/>
        </w:rPr>
        <w:t> </w:t>
      </w:r>
      <w:r>
        <w:rPr/>
        <w:t>日签署《资产置换协议》，将公司拥有的鸿基综合楼</w:t>
      </w:r>
      <w:r>
        <w:rPr>
          <w:rFonts w:ascii="Times New Roman" w:hAnsi="Times New Roman" w:cs="Times New Roman" w:eastAsia="Times New Roman" w:hint="default"/>
        </w:rPr>
        <w:t>(</w:t>
      </w:r>
      <w:r>
        <w:rPr/>
        <w:t>全栋</w:t>
      </w:r>
      <w:r>
        <w:rPr>
          <w:rFonts w:ascii="Times New Roman" w:hAnsi="Times New Roman" w:cs="Times New Roman" w:eastAsia="Times New Roman" w:hint="default"/>
        </w:rPr>
        <w:t>)</w:t>
      </w:r>
      <w:r>
        <w:rPr/>
        <w:t>物业资产与东鸿信 公司拥有的鸿基大厦七楼物业资产进行置换，以经具有证券从业资格的评估机构对前述资产的</w:t>
      </w:r>
      <w:r>
        <w:rPr>
          <w:spacing w:val="-99"/>
        </w:rPr>
        <w:t> </w:t>
      </w:r>
      <w:r>
        <w:rPr>
          <w:spacing w:val="-99"/>
        </w:rPr>
      </w:r>
      <w:r>
        <w:rPr/>
        <w:t>评估值为依据，协商作为资产置换对价。本次资产置换暨关联交易事项经</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日第六届董 事局第四次临时会议审议通过。</w:t>
      </w:r>
    </w:p>
    <w:p>
      <w:pPr>
        <w:pStyle w:val="BodyText"/>
        <w:spacing w:line="240" w:lineRule="auto" w:before="41"/>
        <w:ind w:left="391" w:right="0"/>
        <w:jc w:val="left"/>
      </w:pPr>
      <w:r>
        <w:rPr/>
        <w:t>（相关内容详见</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日《中国证券报》、《证券时报》及巨潮资讯网</w:t>
      </w:r>
    </w:p>
    <w:p>
      <w:pPr>
        <w:pStyle w:val="BodyText"/>
        <w:spacing w:line="240" w:lineRule="auto" w:before="109"/>
        <w:ind w:right="0"/>
        <w:jc w:val="both"/>
      </w:pPr>
      <w:hyperlink r:id="rId9">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15"/>
        </w:rPr>
        <w:t> </w:t>
      </w:r>
      <w:r>
        <w:rPr/>
        <w:t>披露的《公司与东鸿信公司资产置换暨关联交易的公告》）</w:t>
      </w:r>
    </w:p>
    <w:p>
      <w:pPr>
        <w:spacing w:line="240" w:lineRule="auto" w:before="1"/>
        <w:rPr>
          <w:rFonts w:ascii="宋体" w:hAnsi="宋体" w:cs="宋体" w:eastAsia="宋体" w:hint="default"/>
          <w:sz w:val="23"/>
          <w:szCs w:val="23"/>
        </w:rPr>
      </w:pPr>
    </w:p>
    <w:p>
      <w:pPr>
        <w:pStyle w:val="Heading3"/>
        <w:spacing w:line="240" w:lineRule="auto"/>
        <w:ind w:right="0"/>
        <w:jc w:val="both"/>
      </w:pPr>
      <w:r>
        <w:rPr/>
        <w:t>七、报告期内公司重大合同及其履行情况</w:t>
      </w:r>
    </w:p>
    <w:p>
      <w:pPr>
        <w:spacing w:line="240" w:lineRule="auto" w:before="7"/>
        <w:rPr>
          <w:rFonts w:ascii="黑体" w:hAnsi="黑体" w:cs="黑体" w:eastAsia="黑体" w:hint="default"/>
          <w:sz w:val="28"/>
          <w:szCs w:val="28"/>
        </w:rPr>
      </w:pPr>
    </w:p>
    <w:p>
      <w:pPr>
        <w:pStyle w:val="BodyText"/>
        <w:spacing w:line="240" w:lineRule="auto"/>
        <w:ind w:left="610" w:right="0"/>
        <w:jc w:val="left"/>
      </w:pPr>
      <w:r>
        <w:rPr>
          <w:rFonts w:ascii="Times New Roman" w:hAnsi="Times New Roman" w:cs="Times New Roman" w:eastAsia="Times New Roman" w:hint="default"/>
          <w:spacing w:val="-3"/>
        </w:rPr>
        <w:t>1</w:t>
      </w:r>
      <w:r>
        <w:rPr>
          <w:spacing w:val="-3"/>
        </w:rPr>
        <w:t>、公司无重大托管、承包、租赁其他公司资产或其他公司托管、承包、租赁公司资产的事</w:t>
      </w:r>
    </w:p>
    <w:p>
      <w:pPr>
        <w:spacing w:after="0" w:line="240" w:lineRule="auto"/>
        <w:jc w:val="left"/>
        <w:sectPr>
          <w:pgSz w:w="11900" w:h="16840"/>
          <w:pgMar w:header="0" w:footer="939" w:top="1440" w:bottom="1120" w:left="1680" w:right="1200"/>
        </w:sectPr>
      </w:pPr>
    </w:p>
    <w:p>
      <w:pPr>
        <w:pStyle w:val="BodyText"/>
        <w:spacing w:line="240" w:lineRule="auto" w:before="15"/>
        <w:ind w:left="730" w:right="0"/>
        <w:jc w:val="both"/>
      </w:pPr>
      <w:r>
        <w:rPr/>
        <w:t>项。</w:t>
      </w:r>
    </w:p>
    <w:p>
      <w:pPr>
        <w:pStyle w:val="BodyText"/>
        <w:spacing w:line="240" w:lineRule="auto" w:before="125"/>
        <w:ind w:left="1150" w:right="729"/>
        <w:jc w:val="left"/>
      </w:pPr>
      <w:r>
        <w:rPr>
          <w:rFonts w:ascii="Times New Roman" w:hAnsi="Times New Roman" w:cs="Times New Roman" w:eastAsia="Times New Roman" w:hint="default"/>
        </w:rPr>
        <w:t>2</w:t>
      </w:r>
      <w:r>
        <w:rPr/>
        <w:t>、重大担保事项</w:t>
      </w:r>
    </w:p>
    <w:p>
      <w:pPr>
        <w:pStyle w:val="BodyText"/>
        <w:spacing w:line="328" w:lineRule="auto" w:before="110"/>
        <w:ind w:left="1150" w:right="729" w:hanging="1"/>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）公司对外担保情况 </w:t>
      </w:r>
      <w:r>
        <w:rPr>
          <w:spacing w:val="-1"/>
        </w:rPr>
        <w:t>根据证监会、银监会发布的《关于规范上市公司对外担保行为的通知》（证监发</w:t>
      </w:r>
      <w:r>
        <w:rPr>
          <w:rFonts w:ascii="Times New Roman" w:hAnsi="Times New Roman" w:cs="Times New Roman" w:eastAsia="Times New Roman" w:hint="default"/>
          <w:spacing w:val="-1"/>
        </w:rPr>
        <w:t>[2005]120</w:t>
      </w:r>
    </w:p>
    <w:p>
      <w:pPr>
        <w:pStyle w:val="BodyText"/>
        <w:spacing w:line="331" w:lineRule="auto" w:before="23"/>
        <w:ind w:left="730" w:right="729"/>
        <w:jc w:val="both"/>
      </w:pPr>
      <w:r>
        <w:rPr/>
        <w:pict>
          <v:shape style="position:absolute;margin-left:62.279999pt;margin-top:57.39233pt;width:493.6pt;height:440.2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31"/>
                    <w:gridCol w:w="1427"/>
                    <w:gridCol w:w="1117"/>
                    <w:gridCol w:w="1043"/>
                    <w:gridCol w:w="1099"/>
                    <w:gridCol w:w="1421"/>
                    <w:gridCol w:w="1919"/>
                  </w:tblGrid>
                  <w:tr>
                    <w:trPr>
                      <w:trHeight w:val="570" w:hRule="exact"/>
                    </w:trPr>
                    <w:tc>
                      <w:tcPr>
                        <w:tcW w:w="9857" w:type="dxa"/>
                        <w:gridSpan w:val="7"/>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604"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公司对外担保情况（不包括对控股子公司的担保）</w:t>
                        </w:r>
                      </w:p>
                    </w:tc>
                  </w:tr>
                  <w:tr>
                    <w:trPr>
                      <w:trHeight w:val="1130" w:hRule="exact"/>
                    </w:trPr>
                    <w:tc>
                      <w:tcPr>
                        <w:tcW w:w="183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4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发生日期</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55" w:right="0"/>
                          <w:jc w:val="center"/>
                          <w:rPr>
                            <w:rFonts w:ascii="宋体" w:hAnsi="宋体" w:cs="宋体" w:eastAsia="宋体" w:hint="default"/>
                            <w:sz w:val="18"/>
                            <w:szCs w:val="18"/>
                          </w:rPr>
                        </w:pPr>
                        <w:r>
                          <w:rPr>
                            <w:rFonts w:ascii="宋体" w:hAnsi="宋体" w:cs="宋体" w:eastAsia="宋体" w:hint="default"/>
                            <w:sz w:val="18"/>
                            <w:szCs w:val="18"/>
                          </w:rPr>
                          <w:t>（协议签署日）</w:t>
                        </w:r>
                      </w:p>
                    </w:tc>
                    <w:tc>
                      <w:tcPr>
                        <w:tcW w:w="111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担保金额</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19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9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142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是否履行完毕</w:t>
                        </w:r>
                      </w:p>
                    </w:tc>
                    <w:tc>
                      <w:tcPr>
                        <w:tcW w:w="191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是否为关联方担保</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sz w:val="18"/>
                            <w:szCs w:val="18"/>
                          </w:rPr>
                          <w:t>（是或否）</w:t>
                        </w:r>
                      </w:p>
                    </w:tc>
                  </w:tr>
                  <w:tr>
                    <w:trPr>
                      <w:trHeight w:val="420" w:hRule="exact"/>
                    </w:trPr>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427"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919"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375"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报告期内担保发生额合计</w:t>
                        </w:r>
                      </w:p>
                    </w:tc>
                    <w:tc>
                      <w:tcPr>
                        <w:tcW w:w="54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Times New Roman" w:hAnsi="Times New Roman" w:cs="Times New Roman" w:eastAsia="Times New Roman" w:hint="default"/>
                            <w:sz w:val="21"/>
                            <w:szCs w:val="21"/>
                          </w:rPr>
                        </w:pPr>
                        <w:r>
                          <w:rPr>
                            <w:rFonts w:ascii="Times New Roman"/>
                            <w:sz w:val="21"/>
                          </w:rPr>
                          <w:t>0</w:t>
                        </w:r>
                      </w:p>
                    </w:tc>
                  </w:tr>
                  <w:tr>
                    <w:trPr>
                      <w:trHeight w:val="409" w:hRule="exact"/>
                    </w:trPr>
                    <w:tc>
                      <w:tcPr>
                        <w:tcW w:w="4375"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p>
                    </w:tc>
                    <w:tc>
                      <w:tcPr>
                        <w:tcW w:w="54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Times New Roman" w:hAnsi="Times New Roman" w:cs="Times New Roman" w:eastAsia="Times New Roman" w:hint="default"/>
                            <w:sz w:val="21"/>
                            <w:szCs w:val="21"/>
                          </w:rPr>
                        </w:pPr>
                        <w:r>
                          <w:rPr>
                            <w:rFonts w:ascii="Times New Roman"/>
                            <w:sz w:val="21"/>
                          </w:rPr>
                          <w:t>0</w:t>
                        </w:r>
                      </w:p>
                    </w:tc>
                  </w:tr>
                  <w:tr>
                    <w:trPr>
                      <w:trHeight w:val="410" w:hRule="exact"/>
                    </w:trPr>
                    <w:tc>
                      <w:tcPr>
                        <w:tcW w:w="9857" w:type="dxa"/>
                        <w:gridSpan w:val="7"/>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公司对控股子公司的担保情况</w:t>
                        </w:r>
                      </w:p>
                    </w:tc>
                  </w:tr>
                  <w:tr>
                    <w:trPr>
                      <w:trHeight w:val="410" w:hRule="exact"/>
                    </w:trPr>
                    <w:tc>
                      <w:tcPr>
                        <w:tcW w:w="4375"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报告期内对控股子公司担保发生额合计</w:t>
                        </w:r>
                      </w:p>
                    </w:tc>
                    <w:tc>
                      <w:tcPr>
                        <w:tcW w:w="54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Times New Roman" w:hAnsi="Times New Roman" w:cs="Times New Roman" w:eastAsia="Times New Roman" w:hint="default"/>
                            <w:sz w:val="21"/>
                            <w:szCs w:val="21"/>
                          </w:rPr>
                        </w:pPr>
                        <w:r>
                          <w:rPr>
                            <w:rFonts w:ascii="Times New Roman"/>
                            <w:sz w:val="21"/>
                          </w:rPr>
                          <w:t>34500</w:t>
                        </w:r>
                      </w:p>
                    </w:tc>
                  </w:tr>
                  <w:tr>
                    <w:trPr>
                      <w:trHeight w:val="409" w:hRule="exact"/>
                    </w:trPr>
                    <w:tc>
                      <w:tcPr>
                        <w:tcW w:w="4375"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报告期末对控股子公司担保余额合计</w:t>
                        </w:r>
                      </w:p>
                    </w:tc>
                    <w:tc>
                      <w:tcPr>
                        <w:tcW w:w="54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34500</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r>
                  <w:tr>
                    <w:trPr>
                      <w:trHeight w:val="410" w:hRule="exact"/>
                    </w:trPr>
                    <w:tc>
                      <w:tcPr>
                        <w:tcW w:w="9857" w:type="dxa"/>
                        <w:gridSpan w:val="7"/>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5"/>
                          <w:ind w:left="2718" w:right="0"/>
                          <w:jc w:val="left"/>
                          <w:rPr>
                            <w:rFonts w:ascii="宋体" w:hAnsi="宋体" w:cs="宋体" w:eastAsia="宋体" w:hint="default"/>
                            <w:sz w:val="21"/>
                            <w:szCs w:val="21"/>
                          </w:rPr>
                        </w:pPr>
                        <w:r>
                          <w:rPr>
                            <w:rFonts w:ascii="宋体" w:hAnsi="宋体" w:cs="宋体" w:eastAsia="宋体" w:hint="default"/>
                            <w:sz w:val="21"/>
                            <w:szCs w:val="21"/>
                          </w:rPr>
                          <w:t>公司担保总额情况（包括对控股子公司的担保）</w:t>
                        </w:r>
                      </w:p>
                    </w:tc>
                  </w:tr>
                  <w:tr>
                    <w:trPr>
                      <w:trHeight w:val="554" w:hRule="exact"/>
                    </w:trPr>
                    <w:tc>
                      <w:tcPr>
                        <w:tcW w:w="4375"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担保总额</w:t>
                        </w:r>
                      </w:p>
                    </w:tc>
                    <w:tc>
                      <w:tcPr>
                        <w:tcW w:w="54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Times New Roman" w:hAnsi="Times New Roman" w:cs="Times New Roman" w:eastAsia="Times New Roman" w:hint="default"/>
                            <w:sz w:val="21"/>
                            <w:szCs w:val="21"/>
                          </w:rPr>
                        </w:pPr>
                        <w:r>
                          <w:rPr>
                            <w:rFonts w:ascii="Times New Roman"/>
                            <w:sz w:val="21"/>
                          </w:rPr>
                          <w:t>34500</w:t>
                        </w:r>
                      </w:p>
                    </w:tc>
                  </w:tr>
                  <w:tr>
                    <w:trPr>
                      <w:trHeight w:val="810" w:hRule="exact"/>
                    </w:trPr>
                    <w:tc>
                      <w:tcPr>
                        <w:tcW w:w="4375"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400" w:lineRule="exact"/>
                          <w:ind w:left="103" w:right="101"/>
                          <w:jc w:val="left"/>
                          <w:rPr>
                            <w:rFonts w:ascii="宋体" w:hAnsi="宋体" w:cs="宋体" w:eastAsia="宋体" w:hint="default"/>
                            <w:sz w:val="21"/>
                            <w:szCs w:val="21"/>
                          </w:rPr>
                        </w:pPr>
                        <w:r>
                          <w:rPr>
                            <w:rFonts w:ascii="宋体" w:hAnsi="宋体" w:cs="宋体" w:eastAsia="宋体" w:hint="default"/>
                            <w:spacing w:val="-3"/>
                            <w:sz w:val="21"/>
                            <w:szCs w:val="21"/>
                          </w:rPr>
                          <w:t>担保总额占公司净资产（归属以母公司所有者</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权益）的比例</w:t>
                        </w:r>
                      </w:p>
                    </w:tc>
                    <w:tc>
                      <w:tcPr>
                        <w:tcW w:w="54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Times New Roman" w:hAnsi="Times New Roman" w:cs="Times New Roman" w:eastAsia="Times New Roman" w:hint="default"/>
                            <w:sz w:val="21"/>
                            <w:szCs w:val="21"/>
                          </w:rPr>
                        </w:pPr>
                        <w:r>
                          <w:rPr>
                            <w:rFonts w:ascii="Times New Roman"/>
                            <w:sz w:val="21"/>
                          </w:rPr>
                          <w:t>38.25%</w:t>
                        </w:r>
                      </w:p>
                    </w:tc>
                  </w:tr>
                  <w:tr>
                    <w:trPr>
                      <w:trHeight w:val="409" w:hRule="exact"/>
                    </w:trPr>
                    <w:tc>
                      <w:tcPr>
                        <w:tcW w:w="9857" w:type="dxa"/>
                        <w:gridSpan w:val="7"/>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810" w:hRule="exact"/>
                    </w:trPr>
                    <w:tc>
                      <w:tcPr>
                        <w:tcW w:w="4375"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pacing w:val="-3"/>
                            <w:sz w:val="21"/>
                            <w:szCs w:val="21"/>
                          </w:rPr>
                          <w:t>为股东、实际控制人及其关联方提供担保的金</w:t>
                        </w:r>
                      </w:p>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54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Times New Roman" w:hAnsi="Times New Roman" w:cs="Times New Roman" w:eastAsia="Times New Roman" w:hint="default"/>
                            <w:sz w:val="21"/>
                            <w:szCs w:val="21"/>
                          </w:rPr>
                        </w:pPr>
                        <w:r>
                          <w:rPr>
                            <w:rFonts w:ascii="Times New Roman"/>
                            <w:sz w:val="21"/>
                          </w:rPr>
                          <w:t>0</w:t>
                        </w:r>
                      </w:p>
                    </w:tc>
                  </w:tr>
                  <w:tr>
                    <w:trPr>
                      <w:trHeight w:val="810" w:hRule="exact"/>
                    </w:trPr>
                    <w:tc>
                      <w:tcPr>
                        <w:tcW w:w="4375"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31" w:lineRule="auto" w:before="75"/>
                          <w:ind w:left="103" w:right="95"/>
                          <w:jc w:val="left"/>
                          <w:rPr>
                            <w:rFonts w:ascii="宋体" w:hAnsi="宋体" w:cs="宋体" w:eastAsia="宋体" w:hint="default"/>
                            <w:sz w:val="21"/>
                            <w:szCs w:val="21"/>
                          </w:rPr>
                        </w:pPr>
                        <w:r>
                          <w:rPr>
                            <w:rFonts w:ascii="宋体" w:hAnsi="宋体" w:cs="宋体" w:eastAsia="宋体" w:hint="default"/>
                            <w:spacing w:val="5"/>
                            <w:sz w:val="21"/>
                            <w:szCs w:val="21"/>
                          </w:rPr>
                          <w:t>直接或间接为资产负债率超过</w:t>
                        </w:r>
                        <w:r>
                          <w:rPr>
                            <w:rFonts w:ascii="宋体" w:hAnsi="宋体" w:cs="宋体" w:eastAsia="宋体" w:hint="default"/>
                            <w:spacing w:val="8"/>
                            <w:sz w:val="21"/>
                            <w:szCs w:val="21"/>
                          </w:rPr>
                          <w:t> </w:t>
                        </w:r>
                        <w:r>
                          <w:rPr>
                            <w:rFonts w:ascii="Times New Roman" w:hAnsi="Times New Roman" w:cs="Times New Roman" w:eastAsia="Times New Roman" w:hint="default"/>
                            <w:spacing w:val="4"/>
                            <w:sz w:val="21"/>
                            <w:szCs w:val="21"/>
                          </w:rPr>
                          <w:t>70%</w:t>
                        </w:r>
                        <w:r>
                          <w:rPr>
                            <w:rFonts w:ascii="宋体" w:hAnsi="宋体" w:cs="宋体" w:eastAsia="宋体" w:hint="default"/>
                            <w:spacing w:val="4"/>
                            <w:sz w:val="21"/>
                            <w:szCs w:val="21"/>
                          </w:rPr>
                          <w:t>的被担保</w:t>
                        </w:r>
                        <w:r>
                          <w:rPr>
                            <w:rFonts w:ascii="宋体" w:hAnsi="宋体" w:cs="宋体" w:eastAsia="宋体" w:hint="default"/>
                            <w:spacing w:val="6"/>
                            <w:sz w:val="21"/>
                            <w:szCs w:val="21"/>
                          </w:rPr>
                          <w:t> </w:t>
                        </w:r>
                        <w:r>
                          <w:rPr>
                            <w:rFonts w:ascii="宋体" w:hAnsi="宋体" w:cs="宋体" w:eastAsia="宋体" w:hint="default"/>
                            <w:sz w:val="21"/>
                            <w:szCs w:val="21"/>
                          </w:rPr>
                          <w:t>对象提供的债务担保金额</w:t>
                        </w:r>
                      </w:p>
                    </w:tc>
                    <w:tc>
                      <w:tcPr>
                        <w:tcW w:w="54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32000</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r>
                  <w:tr>
                    <w:trPr>
                      <w:trHeight w:val="410" w:hRule="exact"/>
                    </w:trPr>
                    <w:tc>
                      <w:tcPr>
                        <w:tcW w:w="4375"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p>
                    </w:tc>
                    <w:tc>
                      <w:tcPr>
                        <w:tcW w:w="54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Times New Roman" w:hAnsi="Times New Roman" w:cs="Times New Roman" w:eastAsia="Times New Roman" w:hint="default"/>
                            <w:sz w:val="21"/>
                            <w:szCs w:val="21"/>
                          </w:rPr>
                        </w:pPr>
                        <w:r>
                          <w:rPr>
                            <w:rFonts w:ascii="Times New Roman"/>
                            <w:sz w:val="21"/>
                          </w:rPr>
                          <w:t>0</w:t>
                        </w:r>
                      </w:p>
                    </w:tc>
                  </w:tr>
                  <w:tr>
                    <w:trPr>
                      <w:trHeight w:val="410" w:hRule="exact"/>
                    </w:trPr>
                    <w:tc>
                      <w:tcPr>
                        <w:tcW w:w="4375"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p>
                    </w:tc>
                    <w:tc>
                      <w:tcPr>
                        <w:tcW w:w="54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Times New Roman" w:hAnsi="Times New Roman" w:cs="Times New Roman" w:eastAsia="Times New Roman" w:hint="default"/>
                            <w:sz w:val="21"/>
                            <w:szCs w:val="21"/>
                          </w:rPr>
                        </w:pPr>
                        <w:r>
                          <w:rPr>
                            <w:rFonts w:ascii="Times New Roman"/>
                            <w:sz w:val="21"/>
                          </w:rPr>
                          <w:t>32000</w:t>
                        </w:r>
                      </w:p>
                    </w:tc>
                  </w:tr>
                </w:tbl>
                <w:p>
                  <w:pPr/>
                </w:p>
              </w:txbxContent>
            </v:textbox>
            <w10:wrap type="none"/>
          </v:shape>
        </w:pict>
      </w:r>
      <w:r>
        <w:rPr>
          <w:spacing w:val="-11"/>
        </w:rPr>
        <w:t>号）（以下简称</w:t>
      </w:r>
      <w:r>
        <w:rPr>
          <w:rFonts w:ascii="Times New Roman" w:hAnsi="Times New Roman" w:cs="Times New Roman" w:eastAsia="Times New Roman" w:hint="default"/>
          <w:spacing w:val="-11"/>
        </w:rPr>
        <w:t>“120</w:t>
      </w:r>
      <w:r>
        <w:rPr>
          <w:rFonts w:ascii="Times New Roman" w:hAnsi="Times New Roman" w:cs="Times New Roman" w:eastAsia="Times New Roman" w:hint="default"/>
          <w:spacing w:val="18"/>
        </w:rPr>
        <w:t> </w:t>
      </w:r>
      <w:r>
        <w:rPr>
          <w:spacing w:val="-1"/>
        </w:rPr>
        <w:t>号文</w:t>
      </w:r>
      <w:r>
        <w:rPr>
          <w:rFonts w:ascii="Times New Roman" w:hAnsi="Times New Roman" w:cs="Times New Roman" w:eastAsia="Times New Roman" w:hint="default"/>
          <w:spacing w:val="-1"/>
        </w:rPr>
        <w:t>”</w:t>
      </w:r>
      <w:r>
        <w:rPr>
          <w:spacing w:val="-1"/>
        </w:rPr>
        <w:t>）及证监会《关于规范上市公司与关联方资金往来及上市公司对外担</w:t>
      </w:r>
      <w:r>
        <w:rPr>
          <w:spacing w:val="-102"/>
        </w:rPr>
        <w:t> </w:t>
      </w:r>
      <w:r>
        <w:rPr>
          <w:spacing w:val="-102"/>
        </w:rPr>
      </w:r>
      <w:r>
        <w:rPr>
          <w:spacing w:val="-7"/>
        </w:rPr>
        <w:t>保若干问题的通知》（证监发【</w:t>
      </w:r>
      <w:r>
        <w:rPr>
          <w:rFonts w:ascii="Times New Roman" w:hAnsi="Times New Roman" w:cs="Times New Roman" w:eastAsia="Times New Roman" w:hint="default"/>
          <w:spacing w:val="-7"/>
        </w:rPr>
        <w:t>2003</w:t>
      </w:r>
      <w:r>
        <w:rPr>
          <w:spacing w:val="-7"/>
        </w:rPr>
        <w:t>】</w:t>
      </w:r>
      <w:r>
        <w:rPr>
          <w:rFonts w:ascii="Times New Roman" w:hAnsi="Times New Roman" w:cs="Times New Roman" w:eastAsia="Times New Roman" w:hint="default"/>
          <w:spacing w:val="-7"/>
        </w:rPr>
        <w:t>56</w:t>
      </w:r>
      <w:r>
        <w:rPr>
          <w:rFonts w:ascii="Times New Roman" w:hAnsi="Times New Roman" w:cs="Times New Roman" w:eastAsia="Times New Roman" w:hint="default"/>
          <w:spacing w:val="12"/>
        </w:rPr>
        <w:t> </w:t>
      </w:r>
      <w:r>
        <w:rPr>
          <w:spacing w:val="-13"/>
        </w:rPr>
        <w:t>号）（以下简称</w:t>
      </w:r>
      <w:r>
        <w:rPr>
          <w:rFonts w:ascii="Times New Roman" w:hAnsi="Times New Roman" w:cs="Times New Roman" w:eastAsia="Times New Roman" w:hint="default"/>
          <w:spacing w:val="-13"/>
        </w:rPr>
        <w:t>“56</w:t>
      </w:r>
      <w:r>
        <w:rPr>
          <w:rFonts w:ascii="Times New Roman" w:hAnsi="Times New Roman" w:cs="Times New Roman" w:eastAsia="Times New Roman" w:hint="default"/>
          <w:spacing w:val="12"/>
        </w:rPr>
        <w:t> </w:t>
      </w:r>
      <w:r>
        <w:rPr>
          <w:spacing w:val="-3"/>
        </w:rPr>
        <w:t>号文</w:t>
      </w:r>
      <w:r>
        <w:rPr>
          <w:rFonts w:ascii="Times New Roman" w:hAnsi="Times New Roman" w:cs="Times New Roman" w:eastAsia="Times New Roman" w:hint="default"/>
          <w:spacing w:val="-3"/>
        </w:rPr>
        <w:t>”</w:t>
      </w:r>
      <w:r>
        <w:rPr>
          <w:spacing w:val="-3"/>
        </w:rPr>
        <w:t>）要求，经公司自查，截至报</w:t>
      </w:r>
      <w:r>
        <w:rPr>
          <w:spacing w:val="-102"/>
        </w:rPr>
        <w:t> </w:t>
      </w:r>
      <w:r>
        <w:rPr>
          <w:spacing w:val="-102"/>
        </w:rPr>
      </w:r>
      <w:r>
        <w:rPr/>
        <w:t>告期末，对外担保情况如下：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left="1150" w:right="729"/>
        <w:jc w:val="left"/>
      </w:pPr>
      <w:r>
        <w:rPr/>
        <w:t>注</w:t>
      </w:r>
      <w:r>
        <w:rPr>
          <w:spacing w:val="-55"/>
        </w:rPr>
        <w:t> </w:t>
      </w:r>
      <w:r>
        <w:rPr>
          <w:rFonts w:ascii="Times New Roman" w:hAnsi="Times New Roman" w:cs="Times New Roman" w:eastAsia="Times New Roman" w:hint="default"/>
        </w:rPr>
        <w:t>1</w:t>
      </w:r>
      <w:r>
        <w:rPr/>
        <w:t>：截止报告期末，公司对控股子公司担保余额</w:t>
      </w:r>
      <w:r>
        <w:rPr>
          <w:spacing w:val="-55"/>
        </w:rPr>
        <w:t> </w:t>
      </w:r>
      <w:r>
        <w:rPr>
          <w:rFonts w:ascii="Times New Roman" w:hAnsi="Times New Roman" w:cs="Times New Roman" w:eastAsia="Times New Roman" w:hint="default"/>
        </w:rPr>
        <w:t>34,500</w:t>
      </w:r>
      <w:r>
        <w:rPr>
          <w:rFonts w:ascii="Times New Roman" w:hAnsi="Times New Roman" w:cs="Times New Roman" w:eastAsia="Times New Roman" w:hint="default"/>
          <w:spacing w:val="-2"/>
        </w:rPr>
        <w:t> </w:t>
      </w:r>
      <w:r>
        <w:rPr/>
        <w:t>万元。其中：</w:t>
      </w:r>
    </w:p>
    <w:p>
      <w:pPr>
        <w:pStyle w:val="BodyText"/>
        <w:spacing w:line="240" w:lineRule="auto" w:before="109"/>
        <w:ind w:left="1046" w:right="0"/>
        <w:jc w:val="left"/>
      </w:pPr>
      <w:r>
        <w:rPr/>
        <w:t>（</w:t>
      </w:r>
      <w:r>
        <w:rPr>
          <w:rFonts w:ascii="Times New Roman" w:hAnsi="Times New Roman" w:cs="Times New Roman" w:eastAsia="Times New Roman" w:hint="default"/>
        </w:rPr>
        <w:t>1</w:t>
      </w:r>
      <w:r>
        <w:rPr/>
        <w:t>）为西安新鸿业投资发展有限公司房地产项目开发贷款提供担保余额</w:t>
      </w:r>
      <w:r>
        <w:rPr>
          <w:spacing w:val="-66"/>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13"/>
        </w:rPr>
        <w:t> </w:t>
      </w:r>
      <w:r>
        <w:rPr>
          <w:spacing w:val="-5"/>
        </w:rPr>
        <w:t>万元，该事</w:t>
      </w:r>
    </w:p>
    <w:p>
      <w:pPr>
        <w:pStyle w:val="BodyText"/>
        <w:spacing w:line="240" w:lineRule="auto" w:before="110"/>
        <w:ind w:left="730" w:right="0"/>
        <w:jc w:val="left"/>
      </w:pPr>
      <w:r>
        <w:rPr/>
        <w:t>项经</w:t>
      </w:r>
      <w:r>
        <w:rPr>
          <w:spacing w:val="-4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日第五届董事局第十六次临时会议审议通过，担保期限</w:t>
      </w:r>
      <w:r>
        <w:rPr>
          <w:spacing w:val="-4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44"/>
        </w:rPr>
        <w:t> </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t>日</w:t>
      </w:r>
    </w:p>
    <w:p>
      <w:pPr>
        <w:pStyle w:val="BodyText"/>
        <w:spacing w:line="240" w:lineRule="auto" w:before="109"/>
        <w:ind w:left="730" w:right="729"/>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30 </w:t>
      </w:r>
      <w:r>
        <w:rPr/>
        <w:t>日。</w:t>
      </w:r>
    </w:p>
    <w:p>
      <w:pPr>
        <w:pStyle w:val="BodyText"/>
        <w:spacing w:line="240" w:lineRule="auto" w:before="109"/>
        <w:ind w:left="1046"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）为深圳市迅达汽车运输企业公司提供担保余额 </w:t>
      </w:r>
      <w:r>
        <w:rPr>
          <w:rFonts w:ascii="Times New Roman" w:hAnsi="Times New Roman" w:cs="Times New Roman" w:eastAsia="Times New Roman" w:hint="default"/>
        </w:rPr>
        <w:t>2500 </w:t>
      </w:r>
      <w:r>
        <w:rPr/>
        <w:t>万元，该事项经 </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12 </w:t>
      </w:r>
      <w:r>
        <w:rPr/>
        <w:t>月</w:t>
      </w:r>
      <w:r>
        <w:rPr>
          <w:spacing w:val="-57"/>
        </w:rPr>
        <w:t> </w:t>
      </w:r>
      <w:r>
        <w:rPr>
          <w:rFonts w:ascii="Times New Roman" w:hAnsi="Times New Roman" w:cs="Times New Roman" w:eastAsia="Times New Roman" w:hint="default"/>
        </w:rPr>
        <w:t>4</w:t>
      </w:r>
    </w:p>
    <w:p>
      <w:pPr>
        <w:spacing w:after="0" w:line="240" w:lineRule="auto"/>
        <w:jc w:val="left"/>
        <w:rPr>
          <w:rFonts w:ascii="Times New Roman" w:hAnsi="Times New Roman" w:cs="Times New Roman" w:eastAsia="Times New Roman" w:hint="default"/>
        </w:rPr>
        <w:sectPr>
          <w:pgSz w:w="11900" w:h="16840"/>
          <w:pgMar w:header="0" w:footer="939" w:top="1500" w:bottom="1120" w:left="1140" w:right="680"/>
        </w:sectPr>
      </w:pPr>
    </w:p>
    <w:p>
      <w:pPr>
        <w:pStyle w:val="BodyText"/>
        <w:spacing w:line="240" w:lineRule="auto" w:before="15"/>
        <w:ind w:right="0"/>
        <w:jc w:val="both"/>
        <w:rPr>
          <w:rFonts w:ascii="Times New Roman" w:hAnsi="Times New Roman" w:cs="Times New Roman" w:eastAsia="Times New Roman" w:hint="default"/>
        </w:rPr>
      </w:pPr>
      <w:r>
        <w:rPr/>
        <w:t>日第五届董事局第二十次临时会议审议通过，担保期限为</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——2010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5</w:t>
      </w:r>
    </w:p>
    <w:p>
      <w:pPr>
        <w:pStyle w:val="BodyText"/>
        <w:spacing w:line="240" w:lineRule="auto" w:before="109"/>
        <w:ind w:right="0"/>
        <w:jc w:val="both"/>
      </w:pPr>
      <w:r>
        <w:rPr/>
        <w:t>日（该贷款已于到期日全额偿还</w:t>
      </w:r>
      <w:r>
        <w:rPr>
          <w:spacing w:val="-105"/>
        </w:rPr>
        <w:t>）</w:t>
      </w:r>
      <w:r>
        <w:rPr>
          <w:spacing w:val="-2"/>
        </w:rPr>
        <w:t>，</w:t>
      </w:r>
      <w:r>
        <w:rPr/>
        <w:t>公司担保责任已解除。</w:t>
      </w:r>
    </w:p>
    <w:p>
      <w:pPr>
        <w:pStyle w:val="BodyText"/>
        <w:spacing w:line="240" w:lineRule="auto" w:before="126"/>
        <w:ind w:left="315" w:right="21"/>
        <w:jc w:val="center"/>
      </w:pPr>
      <w:r>
        <w:rPr/>
        <w:t>（</w:t>
      </w:r>
      <w:r>
        <w:rPr>
          <w:rFonts w:ascii="Times New Roman" w:hAnsi="Times New Roman" w:cs="Times New Roman" w:eastAsia="Times New Roman" w:hint="default"/>
        </w:rPr>
        <w:t>3</w:t>
      </w:r>
      <w:r>
        <w:rPr/>
        <w:t>）为西安深鸿基房地产有限公司房地产项目开发贷款提供担保余额</w:t>
      </w:r>
      <w:r>
        <w:rPr>
          <w:spacing w:val="-77"/>
        </w:rPr>
        <w:t> </w:t>
      </w:r>
      <w:r>
        <w:rPr>
          <w:rFonts w:ascii="Times New Roman" w:hAnsi="Times New Roman" w:cs="Times New Roman" w:eastAsia="Times New Roman" w:hint="default"/>
        </w:rPr>
        <w:t>9000</w:t>
      </w:r>
      <w:r>
        <w:rPr>
          <w:rFonts w:ascii="Times New Roman" w:hAnsi="Times New Roman" w:cs="Times New Roman" w:eastAsia="Times New Roman" w:hint="default"/>
          <w:spacing w:val="-25"/>
        </w:rPr>
        <w:t> </w:t>
      </w:r>
      <w:r>
        <w:rPr>
          <w:spacing w:val="-8"/>
        </w:rPr>
        <w:t>万元，该事项经</w:t>
      </w:r>
    </w:p>
    <w:p>
      <w:pPr>
        <w:pStyle w:val="BodyText"/>
        <w:spacing w:line="240" w:lineRule="auto" w:before="109"/>
        <w:ind w:right="0"/>
        <w:jc w:val="both"/>
        <w:rPr>
          <w:rFonts w:ascii="Times New Roman" w:hAnsi="Times New Roman" w:cs="Times New Roman" w:eastAsia="Times New Roman" w:hint="default"/>
        </w:rPr>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rFonts w:ascii="Times New Roman" w:hAnsi="Times New Roman" w:cs="Times New Roman" w:eastAsia="Times New Roman" w:hint="default"/>
          <w:spacing w:val="-13"/>
        </w:rPr>
        <w:t> </w:t>
      </w:r>
      <w:r>
        <w:rPr/>
        <w:t>年</w:t>
      </w:r>
      <w:r>
        <w:rPr>
          <w:spacing w:val="-67"/>
        </w:rPr>
        <w:t>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月</w:t>
      </w:r>
      <w:r>
        <w:rPr>
          <w:spacing w:val="-6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日第五届</w:t>
      </w:r>
      <w:r>
        <w:rPr>
          <w:spacing w:val="-2"/>
        </w:rPr>
        <w:t>董</w:t>
      </w:r>
      <w:r>
        <w:rPr/>
        <w:t>事局第二十二次临时会议审议通过</w:t>
      </w:r>
      <w:r>
        <w:rPr>
          <w:spacing w:val="-106"/>
        </w:rPr>
        <w:t>，</w:t>
      </w:r>
      <w:r>
        <w:rPr/>
        <w:t>担保期限</w:t>
      </w:r>
      <w:r>
        <w:rPr>
          <w:spacing w:val="-6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年</w:t>
      </w:r>
      <w:r>
        <w:rPr>
          <w:spacing w:val="-66"/>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w:t>
      </w:r>
      <w:r>
        <w:rPr>
          <w:spacing w:val="-67"/>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spacing w:val="-2"/>
        </w:rPr>
        <w:t>日</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p>
    <w:p>
      <w:pPr>
        <w:pStyle w:val="BodyText"/>
        <w:spacing w:line="240" w:lineRule="auto" w:before="109"/>
        <w:ind w:right="0"/>
        <w:jc w:val="both"/>
        <w:rPr>
          <w:rFonts w:ascii="Times New Roman" w:hAnsi="Times New Roman" w:cs="Times New Roman" w:eastAsia="Times New Roman" w:hint="default"/>
        </w:rPr>
      </w:pP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17"/>
        </w:rPr>
        <w:t>日；于</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日新增贷款担保</w:t>
      </w:r>
      <w:r>
        <w:rPr>
          <w:spacing w:val="-54"/>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spacing w:val="-8"/>
        </w:rPr>
        <w:t>万元，担保期限</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—2012</w:t>
      </w:r>
    </w:p>
    <w:p>
      <w:pPr>
        <w:pStyle w:val="BodyText"/>
        <w:spacing w:line="240" w:lineRule="auto" w:before="110"/>
        <w:ind w:right="0"/>
        <w:jc w:val="both"/>
      </w:pP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日。</w:t>
      </w:r>
    </w:p>
    <w:p>
      <w:pPr>
        <w:pStyle w:val="BodyText"/>
        <w:spacing w:line="331" w:lineRule="auto" w:before="109"/>
        <w:ind w:right="105" w:firstLine="315"/>
        <w:jc w:val="both"/>
      </w:pPr>
      <w:r>
        <w:rPr/>
        <w:t>注</w:t>
      </w:r>
      <w:r>
        <w:rPr>
          <w:spacing w:val="-69"/>
        </w:rPr>
        <w:t> </w:t>
      </w:r>
      <w:r>
        <w:rPr>
          <w:rFonts w:ascii="Times New Roman" w:hAnsi="Times New Roman" w:cs="Times New Roman" w:eastAsia="Times New Roman" w:hint="default"/>
        </w:rPr>
        <w:t>2</w:t>
      </w:r>
      <w:r>
        <w:rPr/>
        <w:t>：公司董事局在审议为西安新鸿业投资发展有限公司、西安深鸿基房地产开发有限公司 提供担保的事项时，该等公司资产负债率均低于</w:t>
      </w:r>
      <w:r>
        <w:rPr>
          <w:spacing w:val="-40"/>
        </w:rPr>
        <w:t> </w:t>
      </w:r>
      <w:r>
        <w:rPr>
          <w:rFonts w:ascii="Times New Roman" w:hAnsi="Times New Roman" w:cs="Times New Roman" w:eastAsia="Times New Roman" w:hint="default"/>
        </w:rPr>
        <w:t>70%</w:t>
      </w:r>
      <w:r>
        <w:rPr/>
        <w:t>，截止</w:t>
      </w:r>
      <w:r>
        <w:rPr>
          <w:spacing w:val="-4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40"/>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日，西安新鸿业 投资发展有限公司资产负债率为</w:t>
      </w:r>
      <w:r>
        <w:rPr>
          <w:spacing w:val="-70"/>
        </w:rPr>
        <w:t> </w:t>
      </w:r>
      <w:r>
        <w:rPr>
          <w:rFonts w:ascii="Times New Roman" w:hAnsi="Times New Roman" w:cs="Times New Roman" w:eastAsia="Times New Roman" w:hint="default"/>
        </w:rPr>
        <w:t>76.9%</w:t>
      </w:r>
      <w:r>
        <w:rPr/>
        <w:t>，西安深鸿基房地产开发有限公司资产负债率为</w:t>
      </w:r>
      <w:r>
        <w:rPr>
          <w:spacing w:val="-70"/>
        </w:rPr>
        <w:t> </w:t>
      </w:r>
      <w:r>
        <w:rPr>
          <w:rFonts w:ascii="Times New Roman" w:hAnsi="Times New Roman" w:cs="Times New Roman" w:eastAsia="Times New Roman" w:hint="default"/>
        </w:rPr>
        <w:t>86.3%</w:t>
      </w:r>
      <w:r>
        <w:rPr/>
        <w:t>。</w:t>
      </w:r>
    </w:p>
    <w:p>
      <w:pPr>
        <w:pStyle w:val="BodyText"/>
        <w:spacing w:line="328" w:lineRule="auto" w:before="20"/>
        <w:ind w:left="610" w:right="0" w:hanging="1"/>
        <w:jc w:val="left"/>
      </w:pPr>
      <w:r>
        <w:rPr/>
        <w:t>（</w:t>
      </w:r>
      <w:r>
        <w:rPr>
          <w:rFonts w:ascii="Times New Roman" w:hAnsi="Times New Roman" w:cs="Times New Roman" w:eastAsia="Times New Roman" w:hint="default"/>
        </w:rPr>
        <w:t>2</w:t>
      </w:r>
      <w:r>
        <w:rPr/>
        <w:t>）关于对外担保情况的独立意见： </w:t>
      </w:r>
      <w:r>
        <w:rPr>
          <w:spacing w:val="-3"/>
        </w:rPr>
        <w:t>根据</w:t>
      </w:r>
      <w:r>
        <w:rPr>
          <w:rFonts w:ascii="Times New Roman" w:hAnsi="Times New Roman" w:cs="Times New Roman" w:eastAsia="Times New Roman" w:hint="default"/>
          <w:spacing w:val="-3"/>
        </w:rPr>
        <w:t>56</w:t>
      </w:r>
      <w:r>
        <w:rPr>
          <w:spacing w:val="-3"/>
        </w:rPr>
        <w:t>号文和</w:t>
      </w:r>
      <w:r>
        <w:rPr>
          <w:rFonts w:ascii="Times New Roman" w:hAnsi="Times New Roman" w:cs="Times New Roman" w:eastAsia="Times New Roman" w:hint="default"/>
          <w:spacing w:val="-3"/>
        </w:rPr>
        <w:t>120</w:t>
      </w:r>
      <w:r>
        <w:rPr>
          <w:spacing w:val="-3"/>
        </w:rPr>
        <w:t>号文，作为公司独立董事，本着对全体股东负责的态度，我们对公司截止</w:t>
      </w:r>
    </w:p>
    <w:p>
      <w:pPr>
        <w:pStyle w:val="BodyText"/>
        <w:spacing w:line="240" w:lineRule="auto" w:before="24"/>
        <w:ind w:right="0"/>
        <w:jc w:val="both"/>
      </w:pPr>
      <w:r>
        <w:rPr/>
        <w:t>报告期末的对外担保情况核查如下：</w:t>
      </w:r>
    </w:p>
    <w:p>
      <w:pPr>
        <w:pStyle w:val="BodyText"/>
        <w:spacing w:line="240" w:lineRule="auto" w:before="125"/>
        <w:ind w:left="610" w:right="0"/>
        <w:jc w:val="left"/>
      </w:pPr>
      <w:r>
        <w:rPr>
          <w:rFonts w:ascii="新宋体" w:hAnsi="新宋体" w:cs="新宋体" w:eastAsia="新宋体" w:hint="default"/>
        </w:rPr>
        <w:t>①</w:t>
      </w:r>
      <w:r>
        <w:rPr/>
        <w:t>公司对外担保中没有为股东、实际控制人及其关联方提供担保。</w:t>
      </w:r>
    </w:p>
    <w:p>
      <w:pPr>
        <w:pStyle w:val="BodyText"/>
        <w:spacing w:line="331" w:lineRule="auto" w:before="125"/>
        <w:ind w:right="200" w:firstLine="420"/>
        <w:jc w:val="left"/>
      </w:pPr>
      <w:r>
        <w:rPr>
          <w:rFonts w:ascii="新宋体" w:hAnsi="新宋体" w:cs="新宋体" w:eastAsia="新宋体" w:hint="default"/>
        </w:rPr>
        <w:t>②</w:t>
      </w:r>
      <w:r>
        <w:rPr/>
        <w:t>公司对控股子公司的担保余额较上年度大幅增加，且存在为资产负债率超过</w:t>
      </w:r>
      <w:r>
        <w:rPr>
          <w:rFonts w:ascii="Times New Roman" w:hAnsi="Times New Roman" w:cs="Times New Roman" w:eastAsia="Times New Roman" w:hint="default"/>
        </w:rPr>
        <w:t>70</w:t>
      </w:r>
      <w:r>
        <w:rPr/>
        <w:t>％的控股 子公司提供担保。</w:t>
      </w:r>
    </w:p>
    <w:p>
      <w:pPr>
        <w:pStyle w:val="BodyText"/>
        <w:spacing w:line="240" w:lineRule="auto" w:before="45"/>
        <w:ind w:left="610" w:right="0"/>
        <w:jc w:val="left"/>
      </w:pPr>
      <w:r>
        <w:rPr>
          <w:rFonts w:ascii="新宋体" w:hAnsi="新宋体" w:cs="新宋体" w:eastAsia="新宋体" w:hint="default"/>
        </w:rPr>
        <w:t>③</w:t>
      </w:r>
      <w:r>
        <w:rPr/>
        <w:t>公司对外担保总额占</w:t>
      </w:r>
      <w:r>
        <w:rPr>
          <w:rFonts w:ascii="Times New Roman" w:hAnsi="Times New Roman" w:cs="Times New Roman" w:eastAsia="Times New Roman" w:hint="default"/>
        </w:rPr>
        <w:t>2009</w:t>
      </w:r>
      <w:r>
        <w:rPr/>
        <w:t>年度经审计净资产（归属于母公司所有者权益）的比例为</w:t>
      </w:r>
    </w:p>
    <w:p>
      <w:pPr>
        <w:pStyle w:val="BodyText"/>
        <w:spacing w:line="331" w:lineRule="auto" w:before="109"/>
        <w:ind w:left="610" w:right="200" w:hanging="420"/>
        <w:jc w:val="left"/>
      </w:pPr>
      <w:r>
        <w:rPr>
          <w:rFonts w:ascii="Times New Roman" w:hAnsi="Times New Roman" w:cs="Times New Roman" w:eastAsia="Times New Roman" w:hint="default"/>
        </w:rPr>
        <w:t>38.25%</w:t>
      </w:r>
      <w:r>
        <w:rPr/>
        <w:t>，较上年同期</w:t>
      </w:r>
      <w:r>
        <w:rPr>
          <w:rFonts w:ascii="Times New Roman" w:hAnsi="Times New Roman" w:cs="Times New Roman" w:eastAsia="Times New Roman" w:hint="default"/>
        </w:rPr>
        <w:t>19.2%</w:t>
      </w:r>
      <w:r>
        <w:rPr/>
        <w:t>增加</w:t>
      </w:r>
      <w:r>
        <w:rPr>
          <w:rFonts w:ascii="Times New Roman" w:hAnsi="Times New Roman" w:cs="Times New Roman" w:eastAsia="Times New Roman" w:hint="default"/>
        </w:rPr>
        <w:t>19.05</w:t>
      </w:r>
      <w:r>
        <w:rPr/>
        <w:t>个百分点。 我们认为：报告期内，公司对控股子公司的担保均为公司主营业务经营需要而提供，并按</w:t>
      </w:r>
    </w:p>
    <w:p>
      <w:pPr>
        <w:pStyle w:val="BodyText"/>
        <w:spacing w:line="340" w:lineRule="auto" w:before="45"/>
        <w:ind w:right="217"/>
        <w:jc w:val="both"/>
      </w:pPr>
      <w:r>
        <w:rPr/>
        <w:t>相关法律、法规及规定的要求履行了相应的审批程序，不存在违规担保的情况。同时我们关注 到，担保对象西安两家项目公司的资产负债率超过</w:t>
      </w:r>
      <w:r>
        <w:rPr>
          <w:rFonts w:ascii="Times New Roman" w:hAnsi="Times New Roman" w:cs="Times New Roman" w:eastAsia="Times New Roman" w:hint="default"/>
        </w:rPr>
        <w:t>70%</w:t>
      </w:r>
      <w:r>
        <w:rPr/>
        <w:t>。我们要求，公司应强化西安项目公司 的内部控制管理流程，加快项目资金回笼，降低公司或有风险。</w:t>
      </w:r>
    </w:p>
    <w:p>
      <w:pPr>
        <w:pStyle w:val="BodyText"/>
        <w:spacing w:line="240" w:lineRule="auto" w:before="36"/>
        <w:ind w:left="610" w:right="0"/>
        <w:jc w:val="left"/>
      </w:pPr>
      <w:r>
        <w:rPr>
          <w:rFonts w:ascii="Times New Roman" w:hAnsi="Times New Roman" w:cs="Times New Roman" w:eastAsia="Times New Roman" w:hint="default"/>
        </w:rPr>
        <w:t>3</w:t>
      </w:r>
      <w:r>
        <w:rPr/>
        <w:t>．报告期内公司无委托他人进行现金资产管理事项。</w:t>
      </w:r>
    </w:p>
    <w:p>
      <w:pPr>
        <w:spacing w:line="240" w:lineRule="auto" w:before="13"/>
        <w:rPr>
          <w:rFonts w:ascii="宋体" w:hAnsi="宋体" w:cs="宋体" w:eastAsia="宋体" w:hint="default"/>
          <w:sz w:val="22"/>
          <w:szCs w:val="22"/>
        </w:rPr>
      </w:pPr>
    </w:p>
    <w:p>
      <w:pPr>
        <w:pStyle w:val="Heading3"/>
        <w:spacing w:line="240" w:lineRule="auto"/>
        <w:ind w:right="0"/>
        <w:jc w:val="both"/>
      </w:pPr>
      <w:r>
        <w:rPr/>
        <w:t>八、报告期内的其他事项</w:t>
      </w:r>
    </w:p>
    <w:p>
      <w:pPr>
        <w:spacing w:line="240" w:lineRule="auto" w:before="9"/>
        <w:rPr>
          <w:rFonts w:ascii="黑体" w:hAnsi="黑体" w:cs="黑体" w:eastAsia="黑体" w:hint="default"/>
          <w:sz w:val="28"/>
          <w:szCs w:val="28"/>
        </w:rPr>
      </w:pPr>
    </w:p>
    <w:p>
      <w:pPr>
        <w:pStyle w:val="BodyText"/>
        <w:spacing w:line="240" w:lineRule="auto"/>
        <w:ind w:left="611" w:right="0"/>
        <w:jc w:val="left"/>
        <w:rPr>
          <w:rFonts w:ascii="Times New Roman" w:hAnsi="Times New Roman" w:cs="Times New Roman" w:eastAsia="Times New Roman" w:hint="default"/>
        </w:rPr>
      </w:pPr>
      <w:r>
        <w:rPr>
          <w:spacing w:val="2"/>
        </w:rPr>
        <w:t>公</w:t>
      </w:r>
      <w:r>
        <w:rPr>
          <w:spacing w:val="3"/>
        </w:rPr>
        <w:t>司</w:t>
      </w:r>
      <w:r>
        <w:rPr>
          <w:spacing w:val="2"/>
        </w:rPr>
        <w:t>与</w:t>
      </w:r>
      <w:r>
        <w:rPr>
          <w:spacing w:val="3"/>
        </w:rPr>
        <w:t>深圳市</w:t>
      </w:r>
      <w:r>
        <w:rPr>
          <w:spacing w:val="2"/>
        </w:rPr>
        <w:t>永浩</w:t>
      </w:r>
      <w:r>
        <w:rPr>
          <w:spacing w:val="3"/>
        </w:rPr>
        <w:t>房地产</w:t>
      </w:r>
      <w:r>
        <w:rPr>
          <w:spacing w:val="2"/>
        </w:rPr>
        <w:t>开发</w:t>
      </w:r>
      <w:r>
        <w:rPr>
          <w:spacing w:val="3"/>
        </w:rPr>
        <w:t>有限公</w:t>
      </w:r>
      <w:r>
        <w:rPr>
          <w:spacing w:val="2"/>
        </w:rPr>
        <w:t>司（</w:t>
      </w:r>
      <w:r>
        <w:rPr>
          <w:spacing w:val="3"/>
        </w:rPr>
        <w:t>以下简</w:t>
      </w:r>
      <w:r>
        <w:rPr>
          <w:spacing w:val="2"/>
        </w:rPr>
        <w:t>称“</w:t>
      </w:r>
      <w:r>
        <w:rPr>
          <w:spacing w:val="3"/>
        </w:rPr>
        <w:t>永浩公司</w:t>
      </w:r>
      <w:r>
        <w:rPr>
          <w:spacing w:val="-103"/>
        </w:rPr>
        <w:t>”</w:t>
      </w:r>
      <w:r>
        <w:rPr>
          <w:spacing w:val="2"/>
        </w:rPr>
        <w:t>）</w:t>
      </w:r>
      <w:r>
        <w:rPr>
          <w:spacing w:val="3"/>
        </w:rPr>
        <w:t>合作开</w:t>
      </w:r>
      <w:r>
        <w:rPr>
          <w:spacing w:val="2"/>
        </w:rPr>
        <w:t>发梅</w:t>
      </w:r>
      <w:r>
        <w:rPr/>
        <w:t>林</w:t>
      </w:r>
      <w:r>
        <w:rPr>
          <w:spacing w:val="3"/>
        </w:rPr>
        <w:t> </w:t>
      </w:r>
      <w:r>
        <w:rPr>
          <w:rFonts w:ascii="Times New Roman" w:hAnsi="Times New Roman" w:cs="Times New Roman" w:eastAsia="Times New Roman" w:hint="default"/>
        </w:rPr>
        <w:t>B403-</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p>
    <w:p>
      <w:pPr>
        <w:pStyle w:val="BodyText"/>
        <w:spacing w:line="240" w:lineRule="auto" w:before="109"/>
        <w:ind w:right="0"/>
        <w:jc w:val="both"/>
      </w:pPr>
      <w:r>
        <w:rPr/>
        <w:t>地块事项</w:t>
      </w:r>
    </w:p>
    <w:p>
      <w:pPr>
        <w:pStyle w:val="BodyText"/>
        <w:spacing w:line="336" w:lineRule="auto" w:before="125"/>
        <w:ind w:right="208" w:firstLine="420"/>
        <w:jc w:val="both"/>
      </w:pPr>
      <w:r>
        <w:rPr/>
        <w:t>公司梅林</w:t>
      </w:r>
      <w:r>
        <w:rPr>
          <w:spacing w:val="-52"/>
        </w:rPr>
        <w:t> </w:t>
      </w:r>
      <w:r>
        <w:rPr>
          <w:rFonts w:ascii="Times New Roman" w:hAnsi="Times New Roman" w:cs="Times New Roman" w:eastAsia="Times New Roman" w:hint="default"/>
        </w:rPr>
        <w:t>B403-19</w:t>
      </w:r>
      <w:r>
        <w:rPr>
          <w:rFonts w:ascii="Times New Roman" w:hAnsi="Times New Roman" w:cs="Times New Roman" w:eastAsia="Times New Roman" w:hint="default"/>
          <w:spacing w:val="1"/>
        </w:rPr>
        <w:t> </w:t>
      </w:r>
      <w:r>
        <w:rPr/>
        <w:t>地块（用地面积</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万平方米）位于福田区下梅林二街西侧，为政府征用 公司原东门用地置换而得的综合用地，其后该地块部分面积被政府改变用地功能，调整为公交</w:t>
      </w:r>
      <w:r>
        <w:rPr>
          <w:spacing w:val="-99"/>
        </w:rPr>
        <w:t> </w:t>
      </w:r>
      <w:r>
        <w:rPr>
          <w:spacing w:val="-99"/>
        </w:rPr>
      </w:r>
      <w:r>
        <w:rPr>
          <w:spacing w:val="-3"/>
        </w:rPr>
        <w:t>场站。无奈之下，</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12"/>
        </w:rPr>
        <w:t> </w:t>
      </w:r>
      <w:r>
        <w:rPr/>
        <w:t>年公司采取合作的方式，要求合作方永浩公司争取将该地块调整为居住 用地，直至</w:t>
      </w:r>
      <w:r>
        <w:rPr>
          <w:spacing w:val="-4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月该地块（建设用地面积</w:t>
      </w:r>
      <w:r>
        <w:rPr>
          <w:spacing w:val="-47"/>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万平方米）被纳入深圳市</w:t>
      </w:r>
      <w:r>
        <w:rPr>
          <w:spacing w:val="-4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年保障性住</w:t>
      </w:r>
    </w:p>
    <w:p>
      <w:pPr>
        <w:pStyle w:val="BodyText"/>
        <w:spacing w:line="343" w:lineRule="auto" w:before="17"/>
        <w:ind w:right="208" w:hanging="1"/>
        <w:jc w:val="both"/>
      </w:pPr>
      <w:r>
        <w:rPr/>
        <w:t>房建设计划，</w:t>
      </w:r>
      <w:r>
        <w:rPr>
          <w:rFonts w:ascii="Times New Roman" w:hAnsi="Times New Roman" w:cs="Times New Roman" w:eastAsia="Times New Roman" w:hint="default"/>
        </w:rPr>
        <w:t>2009</w:t>
      </w:r>
      <w:r>
        <w:rPr>
          <w:rFonts w:ascii="Times New Roman" w:hAnsi="Times New Roman" w:cs="Times New Roman" w:eastAsia="Times New Roman" w:hint="default"/>
          <w:spacing w:val="10"/>
        </w:rPr>
        <w:t> </w:t>
      </w:r>
      <w:r>
        <w:rPr/>
        <w:t>年</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月</w:t>
      </w:r>
      <w:r>
        <w:rPr>
          <w:spacing w:val="-42"/>
        </w:rPr>
        <w:t> </w:t>
      </w:r>
      <w:r>
        <w:rPr>
          <w:rFonts w:ascii="Times New Roman" w:hAnsi="Times New Roman" w:cs="Times New Roman" w:eastAsia="Times New Roman" w:hint="default"/>
        </w:rPr>
        <w:t>29</w:t>
      </w:r>
      <w:r>
        <w:rPr>
          <w:rFonts w:ascii="Times New Roman" w:hAnsi="Times New Roman" w:cs="Times New Roman" w:eastAsia="Times New Roman" w:hint="default"/>
          <w:spacing w:val="11"/>
        </w:rPr>
        <w:t> </w:t>
      </w:r>
      <w:r>
        <w:rPr/>
        <w:t>日公司与永浩公司签订拟成立项目公司的意向。为顺利完成该地 块保障性住房项目建设任务，永浩公司协助公司向相关部门申请成立项目公司全面负责该项目</w:t>
      </w:r>
      <w:r>
        <w:rPr>
          <w:spacing w:val="-100"/>
        </w:rPr>
        <w:t> </w:t>
      </w:r>
      <w:r>
        <w:rPr>
          <w:spacing w:val="-100"/>
        </w:rPr>
      </w:r>
      <w:r>
        <w:rPr/>
        <w:t>建设过程中的各项工作。待项目公司获批后，公司将按《公司章程》的规定履行相关程序，签</w:t>
      </w:r>
      <w:r>
        <w:rPr>
          <w:spacing w:val="-100"/>
        </w:rPr>
        <w:t> </w:t>
      </w:r>
      <w:r>
        <w:rPr>
          <w:spacing w:val="-100"/>
        </w:rPr>
      </w:r>
      <w:r>
        <w:rPr/>
        <w:t>订正式合作协议，同时履行相应披露义务。</w:t>
      </w:r>
    </w:p>
    <w:p>
      <w:pPr>
        <w:spacing w:after="0" w:line="343" w:lineRule="auto"/>
        <w:jc w:val="both"/>
        <w:sectPr>
          <w:pgSz w:w="11900" w:h="16840"/>
          <w:pgMar w:header="0" w:footer="939" w:top="1500" w:bottom="1120" w:left="1680" w:right="1200"/>
        </w:sectPr>
      </w:pPr>
    </w:p>
    <w:p>
      <w:pPr>
        <w:pStyle w:val="Heading3"/>
        <w:spacing w:line="240" w:lineRule="auto" w:before="6"/>
        <w:ind w:left="850" w:right="0"/>
        <w:jc w:val="left"/>
      </w:pPr>
      <w:r>
        <w:rPr/>
        <w:t>九、报告期内公司或持股</w:t>
      </w:r>
      <w:r>
        <w:rPr>
          <w:spacing w:val="-60"/>
        </w:rPr>
        <w:t> </w:t>
      </w:r>
      <w:r>
        <w:rPr>
          <w:rFonts w:ascii="Times New Roman" w:hAnsi="Times New Roman" w:cs="Times New Roman" w:eastAsia="Times New Roman" w:hint="default"/>
        </w:rPr>
        <w:t>5%</w:t>
      </w:r>
      <w:r>
        <w:rPr/>
        <w:t>以上股东承诺事项：</w:t>
      </w:r>
    </w:p>
    <w:p>
      <w:pPr>
        <w:spacing w:line="240" w:lineRule="auto" w:before="7"/>
        <w:rPr>
          <w:rFonts w:ascii="黑体" w:hAnsi="黑体" w:cs="黑体" w:eastAsia="黑体" w:hint="default"/>
          <w:sz w:val="21"/>
          <w:szCs w:val="21"/>
        </w:rPr>
      </w:pPr>
    </w:p>
    <w:tbl>
      <w:tblPr>
        <w:tblW w:w="0" w:type="auto"/>
        <w:jc w:val="left"/>
        <w:tblInd w:w="500" w:type="dxa"/>
        <w:tblLayout w:type="fixed"/>
        <w:tblCellMar>
          <w:top w:w="0" w:type="dxa"/>
          <w:left w:w="0" w:type="dxa"/>
          <w:bottom w:w="0" w:type="dxa"/>
          <w:right w:w="0" w:type="dxa"/>
        </w:tblCellMar>
        <w:tblLook w:val="01E0"/>
      </w:tblPr>
      <w:tblGrid>
        <w:gridCol w:w="1560"/>
        <w:gridCol w:w="2689"/>
        <w:gridCol w:w="3835"/>
        <w:gridCol w:w="1223"/>
      </w:tblGrid>
      <w:tr>
        <w:trPr>
          <w:trHeight w:val="482" w:hRule="exact"/>
        </w:trPr>
        <w:tc>
          <w:tcPr>
            <w:tcW w:w="1560"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65"/>
              <w:ind w:right="0"/>
              <w:jc w:val="center"/>
              <w:rPr>
                <w:rFonts w:ascii="宋体" w:hAnsi="宋体" w:cs="宋体" w:eastAsia="宋体" w:hint="default"/>
                <w:sz w:val="21"/>
                <w:szCs w:val="21"/>
              </w:rPr>
            </w:pPr>
            <w:r>
              <w:rPr>
                <w:rFonts w:ascii="宋体" w:hAnsi="宋体" w:cs="宋体" w:eastAsia="宋体" w:hint="default"/>
                <w:sz w:val="21"/>
                <w:szCs w:val="21"/>
              </w:rPr>
              <w:t>承诺事项</w:t>
            </w:r>
          </w:p>
        </w:tc>
        <w:tc>
          <w:tcPr>
            <w:tcW w:w="2689"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65"/>
              <w:ind w:right="1"/>
              <w:jc w:val="center"/>
              <w:rPr>
                <w:rFonts w:ascii="宋体" w:hAnsi="宋体" w:cs="宋体" w:eastAsia="宋体" w:hint="default"/>
                <w:sz w:val="21"/>
                <w:szCs w:val="21"/>
              </w:rPr>
            </w:pPr>
            <w:r>
              <w:rPr>
                <w:rFonts w:ascii="宋体" w:hAnsi="宋体" w:cs="宋体" w:eastAsia="宋体" w:hint="default"/>
                <w:sz w:val="21"/>
                <w:szCs w:val="21"/>
              </w:rPr>
              <w:t>承诺人</w:t>
            </w:r>
          </w:p>
        </w:tc>
        <w:tc>
          <w:tcPr>
            <w:tcW w:w="3835"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65"/>
              <w:ind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1223"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65"/>
              <w:ind w:right="1"/>
              <w:jc w:val="center"/>
              <w:rPr>
                <w:rFonts w:ascii="宋体" w:hAnsi="宋体" w:cs="宋体" w:eastAsia="宋体" w:hint="default"/>
                <w:sz w:val="21"/>
                <w:szCs w:val="21"/>
              </w:rPr>
            </w:pPr>
            <w:r>
              <w:rPr>
                <w:rFonts w:ascii="宋体" w:hAnsi="宋体" w:cs="宋体" w:eastAsia="宋体" w:hint="default"/>
                <w:sz w:val="21"/>
                <w:szCs w:val="21"/>
              </w:rPr>
              <w:t>履行情况</w:t>
            </w:r>
          </w:p>
        </w:tc>
      </w:tr>
      <w:tr>
        <w:trPr>
          <w:trHeight w:val="554" w:hRule="exact"/>
        </w:trPr>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6"/>
              <w:ind w:right="83"/>
              <w:jc w:val="center"/>
              <w:rPr>
                <w:rFonts w:ascii="宋体" w:hAnsi="宋体" w:cs="宋体" w:eastAsia="宋体" w:hint="default"/>
                <w:sz w:val="21"/>
                <w:szCs w:val="21"/>
              </w:rPr>
            </w:pPr>
            <w:r>
              <w:rPr>
                <w:rFonts w:ascii="宋体" w:hAnsi="宋体" w:cs="宋体" w:eastAsia="宋体" w:hint="default"/>
                <w:sz w:val="21"/>
                <w:szCs w:val="21"/>
              </w:rPr>
              <w:t>股份限售承诺</w:t>
            </w:r>
          </w:p>
        </w:tc>
        <w:tc>
          <w:tcPr>
            <w:tcW w:w="2689"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中国宝安集团控股有限公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835" w:type="dxa"/>
            <w:tcBorders>
              <w:top w:val="single" w:sz="4" w:space="0" w:color="000000"/>
              <w:left w:val="single" w:sz="4" w:space="0" w:color="000000"/>
              <w:bottom w:val="nil" w:sz="6" w:space="0" w:color="auto"/>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自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日起，其持有的本</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公司股份中的 </w:t>
            </w:r>
            <w:r>
              <w:rPr>
                <w:rFonts w:ascii="Times New Roman" w:hAnsi="Times New Roman" w:cs="Times New Roman" w:eastAsia="Times New Roman" w:hint="default"/>
                <w:sz w:val="21"/>
                <w:szCs w:val="21"/>
              </w:rPr>
              <w:t>70,000,000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股在未来十二</w:t>
            </w:r>
          </w:p>
        </w:tc>
        <w:tc>
          <w:tcPr>
            <w:tcW w:w="1223"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履行中</w:t>
            </w:r>
          </w:p>
        </w:tc>
      </w:tr>
      <w:tr>
        <w:trPr>
          <w:trHeight w:val="266" w:hRule="exact"/>
        </w:trPr>
        <w:tc>
          <w:tcPr>
            <w:tcW w:w="1560" w:type="dxa"/>
            <w:tcBorders>
              <w:top w:val="nil" w:sz="6" w:space="0" w:color="auto"/>
              <w:left w:val="single" w:sz="4" w:space="0" w:color="000000"/>
              <w:bottom w:val="nil" w:sz="6" w:space="0" w:color="auto"/>
              <w:right w:val="single" w:sz="4" w:space="0" w:color="000000"/>
            </w:tcBorders>
          </w:tcPr>
          <w:p>
            <w:pPr/>
          </w:p>
        </w:tc>
        <w:tc>
          <w:tcPr>
            <w:tcW w:w="2689" w:type="dxa"/>
            <w:tcBorders>
              <w:top w:val="nil" w:sz="6" w:space="0" w:color="auto"/>
              <w:left w:val="single" w:sz="4" w:space="0" w:color="000000"/>
              <w:bottom w:val="nil" w:sz="6" w:space="0" w:color="auto"/>
              <w:right w:val="single" w:sz="4" w:space="0" w:color="000000"/>
            </w:tcBorders>
          </w:tcPr>
          <w:p>
            <w:pPr/>
          </w:p>
        </w:tc>
        <w:tc>
          <w:tcPr>
            <w:tcW w:w="3835"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个月内不会进入二级市场交易，如有违</w:t>
            </w:r>
            <w:r>
              <w:rPr>
                <w:rFonts w:ascii="宋体" w:hAnsi="宋体" w:cs="宋体" w:eastAsia="宋体" w:hint="default"/>
                <w:sz w:val="21"/>
                <w:szCs w:val="21"/>
              </w:rPr>
            </w:r>
          </w:p>
        </w:tc>
        <w:tc>
          <w:tcPr>
            <w:tcW w:w="1223"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560" w:type="dxa"/>
            <w:tcBorders>
              <w:top w:val="nil" w:sz="6" w:space="0" w:color="auto"/>
              <w:left w:val="single" w:sz="4" w:space="0" w:color="000000"/>
              <w:bottom w:val="nil" w:sz="6" w:space="0" w:color="auto"/>
              <w:right w:val="single" w:sz="4" w:space="0" w:color="000000"/>
            </w:tcBorders>
          </w:tcPr>
          <w:p>
            <w:pPr/>
          </w:p>
        </w:tc>
        <w:tc>
          <w:tcPr>
            <w:tcW w:w="2689" w:type="dxa"/>
            <w:tcBorders>
              <w:top w:val="nil" w:sz="6" w:space="0" w:color="auto"/>
              <w:left w:val="single" w:sz="4" w:space="0" w:color="000000"/>
              <w:bottom w:val="nil" w:sz="6" w:space="0" w:color="auto"/>
              <w:right w:val="single" w:sz="4" w:space="0" w:color="000000"/>
            </w:tcBorders>
          </w:tcPr>
          <w:p>
            <w:pPr/>
          </w:p>
        </w:tc>
        <w:tc>
          <w:tcPr>
            <w:tcW w:w="383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反承诺交易前述股票，所得收益归上市</w:t>
            </w:r>
            <w:r>
              <w:rPr>
                <w:rFonts w:ascii="宋体" w:hAnsi="宋体" w:cs="宋体" w:eastAsia="宋体" w:hint="default"/>
                <w:sz w:val="21"/>
                <w:szCs w:val="21"/>
              </w:rPr>
            </w:r>
          </w:p>
        </w:tc>
        <w:tc>
          <w:tcPr>
            <w:tcW w:w="1223" w:type="dxa"/>
            <w:tcBorders>
              <w:top w:val="nil" w:sz="6" w:space="0" w:color="auto"/>
              <w:left w:val="single" w:sz="4" w:space="0" w:color="000000"/>
              <w:bottom w:val="nil" w:sz="6" w:space="0" w:color="auto"/>
              <w:right w:val="single" w:sz="4" w:space="0" w:color="000000"/>
            </w:tcBorders>
          </w:tcPr>
          <w:p>
            <w:pPr/>
          </w:p>
        </w:tc>
      </w:tr>
      <w:tr>
        <w:trPr>
          <w:trHeight w:val="555" w:hRule="exact"/>
        </w:trPr>
        <w:tc>
          <w:tcPr>
            <w:tcW w:w="1560" w:type="dxa"/>
            <w:tcBorders>
              <w:top w:val="nil" w:sz="6" w:space="0" w:color="auto"/>
              <w:left w:val="single" w:sz="4" w:space="0" w:color="000000"/>
              <w:bottom w:val="single" w:sz="4" w:space="0" w:color="000000"/>
              <w:right w:val="single" w:sz="4" w:space="0" w:color="000000"/>
            </w:tcBorders>
          </w:tcPr>
          <w:p>
            <w:pPr/>
          </w:p>
        </w:tc>
        <w:tc>
          <w:tcPr>
            <w:tcW w:w="2689" w:type="dxa"/>
            <w:tcBorders>
              <w:top w:val="nil" w:sz="6" w:space="0" w:color="auto"/>
              <w:left w:val="single" w:sz="4" w:space="0" w:color="000000"/>
              <w:bottom w:val="single" w:sz="4" w:space="0" w:color="000000"/>
              <w:right w:val="single" w:sz="4" w:space="0" w:color="000000"/>
            </w:tcBorders>
          </w:tcPr>
          <w:p>
            <w:pPr/>
          </w:p>
        </w:tc>
        <w:tc>
          <w:tcPr>
            <w:tcW w:w="3835"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公司所有。</w:t>
            </w:r>
          </w:p>
        </w:tc>
        <w:tc>
          <w:tcPr>
            <w:tcW w:w="1223" w:type="dxa"/>
            <w:tcBorders>
              <w:top w:val="nil" w:sz="6" w:space="0" w:color="auto"/>
              <w:left w:val="single" w:sz="4" w:space="0" w:color="000000"/>
              <w:bottom w:val="single" w:sz="4" w:space="0" w:color="000000"/>
              <w:right w:val="single" w:sz="4" w:space="0" w:color="000000"/>
            </w:tcBorders>
          </w:tcPr>
          <w:p>
            <w:pPr/>
          </w:p>
        </w:tc>
      </w:tr>
    </w:tbl>
    <w:p>
      <w:pPr>
        <w:spacing w:line="240" w:lineRule="auto" w:before="5"/>
        <w:rPr>
          <w:rFonts w:ascii="黑体" w:hAnsi="黑体" w:cs="黑体" w:eastAsia="黑体" w:hint="default"/>
          <w:sz w:val="18"/>
          <w:szCs w:val="18"/>
        </w:rPr>
      </w:pPr>
    </w:p>
    <w:p>
      <w:pPr>
        <w:spacing w:before="26"/>
        <w:ind w:left="850" w:right="0" w:firstLine="0"/>
        <w:jc w:val="left"/>
        <w:rPr>
          <w:rFonts w:ascii="黑体" w:hAnsi="黑体" w:cs="黑体" w:eastAsia="黑体" w:hint="default"/>
          <w:sz w:val="24"/>
          <w:szCs w:val="24"/>
        </w:rPr>
      </w:pPr>
      <w:r>
        <w:rPr>
          <w:rFonts w:ascii="黑体" w:hAnsi="黑体" w:cs="黑体" w:eastAsia="黑体" w:hint="default"/>
          <w:sz w:val="24"/>
          <w:szCs w:val="24"/>
        </w:rPr>
        <w:t>十、公司股权分置改革原非流通股股东承诺及履行情况：</w:t>
      </w:r>
    </w:p>
    <w:p>
      <w:pPr>
        <w:spacing w:line="240" w:lineRule="auto" w:before="11"/>
        <w:rPr>
          <w:rFonts w:ascii="黑体" w:hAnsi="黑体" w:cs="黑体" w:eastAsia="黑体" w:hint="default"/>
          <w:sz w:val="22"/>
          <w:szCs w:val="22"/>
        </w:rPr>
      </w:pPr>
    </w:p>
    <w:tbl>
      <w:tblPr>
        <w:tblW w:w="0" w:type="auto"/>
        <w:jc w:val="left"/>
        <w:tblInd w:w="112" w:type="dxa"/>
        <w:tblLayout w:type="fixed"/>
        <w:tblCellMar>
          <w:top w:w="0" w:type="dxa"/>
          <w:left w:w="0" w:type="dxa"/>
          <w:bottom w:w="0" w:type="dxa"/>
          <w:right w:w="0" w:type="dxa"/>
        </w:tblCellMar>
        <w:tblLook w:val="01E0"/>
      </w:tblPr>
      <w:tblGrid>
        <w:gridCol w:w="1080"/>
        <w:gridCol w:w="2675"/>
        <w:gridCol w:w="3960"/>
        <w:gridCol w:w="2369"/>
      </w:tblGrid>
      <w:tr>
        <w:trPr>
          <w:trHeight w:val="482" w:hRule="exact"/>
        </w:trPr>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5"/>
              <w:ind w:right="0"/>
              <w:jc w:val="center"/>
              <w:rPr>
                <w:rFonts w:ascii="宋体" w:hAnsi="宋体" w:cs="宋体" w:eastAsia="宋体" w:hint="default"/>
                <w:sz w:val="21"/>
                <w:szCs w:val="21"/>
              </w:rPr>
            </w:pPr>
            <w:r>
              <w:rPr>
                <w:rFonts w:ascii="宋体" w:hAnsi="宋体" w:cs="宋体" w:eastAsia="宋体" w:hint="default"/>
                <w:sz w:val="21"/>
                <w:szCs w:val="21"/>
              </w:rPr>
              <w:t>承诺事项</w:t>
            </w:r>
          </w:p>
        </w:tc>
        <w:tc>
          <w:tcPr>
            <w:tcW w:w="26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承诺人</w:t>
            </w:r>
          </w:p>
        </w:tc>
        <w:tc>
          <w:tcPr>
            <w:tcW w:w="39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23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4"/>
              <w:ind w:left="756" w:right="0"/>
              <w:jc w:val="left"/>
              <w:rPr>
                <w:rFonts w:ascii="宋体" w:hAnsi="宋体" w:cs="宋体" w:eastAsia="宋体" w:hint="default"/>
                <w:sz w:val="21"/>
                <w:szCs w:val="21"/>
              </w:rPr>
            </w:pPr>
            <w:r>
              <w:rPr>
                <w:rFonts w:ascii="宋体" w:hAnsi="宋体" w:cs="宋体" w:eastAsia="宋体" w:hint="default"/>
                <w:sz w:val="21"/>
                <w:szCs w:val="21"/>
              </w:rPr>
              <w:t>履行情况</w:t>
            </w:r>
          </w:p>
        </w:tc>
      </w:tr>
      <w:tr>
        <w:trPr>
          <w:trHeight w:val="525" w:hRule="exact"/>
        </w:trPr>
        <w:tc>
          <w:tcPr>
            <w:tcW w:w="1080" w:type="dxa"/>
            <w:tcBorders>
              <w:top w:val="single" w:sz="4" w:space="0" w:color="000000"/>
              <w:left w:val="single" w:sz="4" w:space="0" w:color="000000"/>
              <w:bottom w:val="nil" w:sz="6" w:space="0" w:color="auto"/>
              <w:right w:val="single" w:sz="4" w:space="0" w:color="000000"/>
            </w:tcBorders>
          </w:tcPr>
          <w:p>
            <w:pPr/>
          </w:p>
        </w:tc>
        <w:tc>
          <w:tcPr>
            <w:tcW w:w="2675" w:type="dxa"/>
            <w:tcBorders>
              <w:top w:val="single" w:sz="4" w:space="0" w:color="000000"/>
              <w:left w:val="single" w:sz="4" w:space="0" w:color="000000"/>
              <w:bottom w:val="nil" w:sz="6" w:space="0" w:color="auto"/>
              <w:right w:val="single" w:sz="4" w:space="0" w:color="000000"/>
            </w:tcBorders>
          </w:tcPr>
          <w:p>
            <w:pPr/>
          </w:p>
        </w:tc>
        <w:tc>
          <w:tcPr>
            <w:tcW w:w="3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黑体" w:hAnsi="黑体" w:cs="黑体" w:eastAsia="黑体" w:hint="default"/>
                <w:sz w:val="19"/>
                <w:szCs w:val="19"/>
              </w:rPr>
            </w:pPr>
          </w:p>
          <w:p>
            <w:pPr>
              <w:pStyle w:val="TableParagraph"/>
              <w:spacing w:line="240" w:lineRule="auto"/>
              <w:ind w:right="21"/>
              <w:jc w:val="righ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、自改革方案实施日起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个月内不上市交易</w:t>
            </w:r>
          </w:p>
        </w:tc>
        <w:tc>
          <w:tcPr>
            <w:tcW w:w="2369" w:type="dxa"/>
            <w:tcBorders>
              <w:top w:val="single" w:sz="4" w:space="0" w:color="000000"/>
              <w:left w:val="single" w:sz="4" w:space="0" w:color="000000"/>
              <w:bottom w:val="nil" w:sz="6" w:space="0" w:color="auto"/>
              <w:right w:val="single" w:sz="4" w:space="0" w:color="000000"/>
            </w:tcBorders>
          </w:tcPr>
          <w:p>
            <w:pPr/>
          </w:p>
        </w:tc>
      </w:tr>
      <w:tr>
        <w:trPr>
          <w:trHeight w:val="228" w:hRule="exact"/>
        </w:trPr>
        <w:tc>
          <w:tcPr>
            <w:tcW w:w="1080" w:type="dxa"/>
            <w:tcBorders>
              <w:top w:val="nil" w:sz="6" w:space="0" w:color="auto"/>
              <w:left w:val="single" w:sz="4" w:space="0" w:color="000000"/>
              <w:bottom w:val="nil" w:sz="6" w:space="0" w:color="auto"/>
              <w:right w:val="single" w:sz="4" w:space="0" w:color="000000"/>
            </w:tcBorders>
          </w:tcPr>
          <w:p>
            <w:pPr/>
          </w:p>
        </w:tc>
        <w:tc>
          <w:tcPr>
            <w:tcW w:w="2675" w:type="dxa"/>
            <w:tcBorders>
              <w:top w:val="nil" w:sz="6" w:space="0" w:color="auto"/>
              <w:left w:val="single" w:sz="4" w:space="0" w:color="000000"/>
              <w:bottom w:val="nil" w:sz="6" w:space="0" w:color="auto"/>
              <w:right w:val="single" w:sz="4" w:space="0" w:color="000000"/>
            </w:tcBorders>
          </w:tcPr>
          <w:p>
            <w:pP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或转让；在禁售期满后上市交易出售原非流通股股</w:t>
            </w:r>
          </w:p>
        </w:tc>
        <w:tc>
          <w:tcPr>
            <w:tcW w:w="2369"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1080" w:type="dxa"/>
            <w:tcBorders>
              <w:top w:val="nil" w:sz="6" w:space="0" w:color="auto"/>
              <w:left w:val="single" w:sz="4" w:space="0" w:color="000000"/>
              <w:bottom w:val="nil" w:sz="6" w:space="0" w:color="auto"/>
              <w:right w:val="single" w:sz="4" w:space="0" w:color="000000"/>
            </w:tcBorders>
          </w:tcPr>
          <w:p>
            <w:pPr/>
          </w:p>
        </w:tc>
        <w:tc>
          <w:tcPr>
            <w:tcW w:w="2675" w:type="dxa"/>
            <w:tcBorders>
              <w:top w:val="nil" w:sz="6" w:space="0" w:color="auto"/>
              <w:left w:val="single" w:sz="4" w:space="0" w:color="000000"/>
              <w:bottom w:val="nil" w:sz="6" w:space="0" w:color="auto"/>
              <w:right w:val="single" w:sz="4" w:space="0" w:color="000000"/>
            </w:tcBorders>
          </w:tcPr>
          <w:p>
            <w:pP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t>份数量占股份总数的比例在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个月内不超过百分</w:t>
            </w:r>
          </w:p>
        </w:tc>
        <w:tc>
          <w:tcPr>
            <w:tcW w:w="2369"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080" w:type="dxa"/>
            <w:tcBorders>
              <w:top w:val="nil" w:sz="6" w:space="0" w:color="auto"/>
              <w:left w:val="single" w:sz="4" w:space="0" w:color="000000"/>
              <w:bottom w:val="nil" w:sz="6" w:space="0" w:color="auto"/>
              <w:right w:val="single" w:sz="4" w:space="0" w:color="000000"/>
            </w:tcBorders>
          </w:tcPr>
          <w:p>
            <w:pPr/>
          </w:p>
        </w:tc>
        <w:tc>
          <w:tcPr>
            <w:tcW w:w="2675" w:type="dxa"/>
            <w:tcBorders>
              <w:top w:val="nil" w:sz="6" w:space="0" w:color="auto"/>
              <w:left w:val="single" w:sz="4" w:space="0" w:color="000000"/>
              <w:bottom w:val="nil" w:sz="6" w:space="0" w:color="auto"/>
              <w:right w:val="single" w:sz="4" w:space="0" w:color="000000"/>
            </w:tcBorders>
          </w:tcPr>
          <w:p>
            <w:pP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4" w:right="0"/>
              <w:jc w:val="left"/>
              <w:rPr>
                <w:rFonts w:ascii="宋体" w:hAnsi="宋体" w:cs="宋体" w:eastAsia="宋体" w:hint="default"/>
                <w:sz w:val="18"/>
                <w:szCs w:val="18"/>
              </w:rPr>
            </w:pPr>
            <w:r>
              <w:rPr>
                <w:rFonts w:ascii="宋体" w:hAnsi="宋体" w:cs="宋体" w:eastAsia="宋体" w:hint="default"/>
                <w:sz w:val="18"/>
                <w:szCs w:val="18"/>
              </w:rPr>
              <w:t>之五、</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个月内不超过百分之十。</w:t>
            </w:r>
          </w:p>
        </w:tc>
        <w:tc>
          <w:tcPr>
            <w:tcW w:w="2369"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080" w:type="dxa"/>
            <w:tcBorders>
              <w:top w:val="nil" w:sz="6" w:space="0" w:color="auto"/>
              <w:left w:val="single" w:sz="4" w:space="0" w:color="000000"/>
              <w:bottom w:val="nil" w:sz="6" w:space="0" w:color="auto"/>
              <w:right w:val="single" w:sz="4" w:space="0" w:color="000000"/>
            </w:tcBorders>
          </w:tcPr>
          <w:p>
            <w:pPr/>
          </w:p>
        </w:tc>
        <w:tc>
          <w:tcPr>
            <w:tcW w:w="2675" w:type="dxa"/>
            <w:tcBorders>
              <w:top w:val="nil" w:sz="6" w:space="0" w:color="auto"/>
              <w:left w:val="single" w:sz="4" w:space="0" w:color="000000"/>
              <w:bottom w:val="nil" w:sz="6" w:space="0" w:color="auto"/>
              <w:right w:val="single" w:sz="4" w:space="0" w:color="000000"/>
            </w:tcBorders>
          </w:tcPr>
          <w:p>
            <w:pP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16" w:lineRule="exact"/>
              <w:ind w:right="54"/>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、为未明确表示同意进行股权分置改革的非</w:t>
            </w:r>
          </w:p>
        </w:tc>
        <w:tc>
          <w:tcPr>
            <w:tcW w:w="2369" w:type="dxa"/>
            <w:tcBorders>
              <w:top w:val="nil" w:sz="6" w:space="0" w:color="auto"/>
              <w:left w:val="single" w:sz="4" w:space="0" w:color="000000"/>
              <w:bottom w:val="nil" w:sz="6" w:space="0" w:color="auto"/>
              <w:right w:val="single" w:sz="4" w:space="0" w:color="000000"/>
            </w:tcBorders>
          </w:tcPr>
          <w:p>
            <w:pPr/>
          </w:p>
        </w:tc>
      </w:tr>
      <w:tr>
        <w:trPr>
          <w:trHeight w:val="695"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股改承诺</w:t>
            </w:r>
          </w:p>
        </w:tc>
        <w:tc>
          <w:tcPr>
            <w:tcW w:w="267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深圳市东鸿信投资发展有限公司</w:t>
            </w: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4" w:right="0"/>
              <w:jc w:val="left"/>
              <w:rPr>
                <w:rFonts w:ascii="宋体" w:hAnsi="宋体" w:cs="宋体" w:eastAsia="宋体" w:hint="default"/>
                <w:sz w:val="18"/>
                <w:szCs w:val="18"/>
              </w:rPr>
            </w:pPr>
            <w:r>
              <w:rPr>
                <w:rFonts w:ascii="宋体" w:hAnsi="宋体" w:cs="宋体" w:eastAsia="宋体" w:hint="default"/>
                <w:sz w:val="18"/>
                <w:szCs w:val="18"/>
              </w:rPr>
              <w:t>流通股股东垫付其持有的非流通股份获得上市流</w:t>
            </w:r>
          </w:p>
          <w:p>
            <w:pPr>
              <w:pStyle w:val="TableParagraph"/>
              <w:spacing w:line="240" w:lineRule="auto"/>
              <w:ind w:left="24" w:right="21"/>
              <w:jc w:val="left"/>
              <w:rPr>
                <w:rFonts w:ascii="宋体" w:hAnsi="宋体" w:cs="宋体" w:eastAsia="宋体" w:hint="default"/>
                <w:sz w:val="18"/>
                <w:szCs w:val="18"/>
              </w:rPr>
            </w:pPr>
            <w:r>
              <w:rPr>
                <w:rFonts w:ascii="宋体" w:hAnsi="宋体" w:cs="宋体" w:eastAsia="宋体" w:hint="default"/>
                <w:sz w:val="18"/>
                <w:szCs w:val="18"/>
              </w:rPr>
              <w:t>通权所需执行的对价安排。东鸿信公司代为垫付 </w:t>
            </w:r>
            <w:r>
              <w:rPr>
                <w:rFonts w:ascii="宋体" w:hAnsi="宋体" w:cs="宋体" w:eastAsia="宋体" w:hint="default"/>
                <w:spacing w:val="-3"/>
                <w:sz w:val="18"/>
                <w:szCs w:val="18"/>
              </w:rPr>
              <w:t>后，未明确表示同意进行股权分置改革的非流通股</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41" w:lineRule="exact" w:before="8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条已履行完毕；第</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3</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条未达履行条件。</w:t>
            </w:r>
          </w:p>
        </w:tc>
      </w:tr>
      <w:tr>
        <w:trPr>
          <w:trHeight w:val="233" w:hRule="exact"/>
        </w:trPr>
        <w:tc>
          <w:tcPr>
            <w:tcW w:w="1080" w:type="dxa"/>
            <w:tcBorders>
              <w:top w:val="nil" w:sz="6" w:space="0" w:color="auto"/>
              <w:left w:val="single" w:sz="4" w:space="0" w:color="000000"/>
              <w:bottom w:val="nil" w:sz="6" w:space="0" w:color="auto"/>
              <w:right w:val="single" w:sz="4" w:space="0" w:color="000000"/>
            </w:tcBorders>
          </w:tcPr>
          <w:p>
            <w:pPr/>
          </w:p>
        </w:tc>
        <w:tc>
          <w:tcPr>
            <w:tcW w:w="2675" w:type="dxa"/>
            <w:tcBorders>
              <w:top w:val="nil" w:sz="6" w:space="0" w:color="auto"/>
              <w:left w:val="single" w:sz="4" w:space="0" w:color="000000"/>
              <w:bottom w:val="nil" w:sz="6" w:space="0" w:color="auto"/>
              <w:right w:val="single" w:sz="4" w:space="0" w:color="000000"/>
            </w:tcBorders>
          </w:tcPr>
          <w:p>
            <w:pP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股东所持股份如上市流通，应当向代为垫付的东鸿</w:t>
            </w:r>
          </w:p>
        </w:tc>
        <w:tc>
          <w:tcPr>
            <w:tcW w:w="2369"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080" w:type="dxa"/>
            <w:tcBorders>
              <w:top w:val="nil" w:sz="6" w:space="0" w:color="auto"/>
              <w:left w:val="single" w:sz="4" w:space="0" w:color="000000"/>
              <w:bottom w:val="nil" w:sz="6" w:space="0" w:color="auto"/>
              <w:right w:val="single" w:sz="4" w:space="0" w:color="000000"/>
            </w:tcBorders>
          </w:tcPr>
          <w:p>
            <w:pPr/>
          </w:p>
        </w:tc>
        <w:tc>
          <w:tcPr>
            <w:tcW w:w="2675" w:type="dxa"/>
            <w:tcBorders>
              <w:top w:val="nil" w:sz="6" w:space="0" w:color="auto"/>
              <w:left w:val="single" w:sz="4" w:space="0" w:color="000000"/>
              <w:bottom w:val="nil" w:sz="6" w:space="0" w:color="auto"/>
              <w:right w:val="single" w:sz="4" w:space="0" w:color="000000"/>
            </w:tcBorders>
          </w:tcPr>
          <w:p>
            <w:pP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信公司偿还代为垫付的款项，或者取得代为垫付的</w:t>
            </w:r>
          </w:p>
        </w:tc>
        <w:tc>
          <w:tcPr>
            <w:tcW w:w="2369"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080" w:type="dxa"/>
            <w:tcBorders>
              <w:top w:val="nil" w:sz="6" w:space="0" w:color="auto"/>
              <w:left w:val="single" w:sz="4" w:space="0" w:color="000000"/>
              <w:bottom w:val="nil" w:sz="6" w:space="0" w:color="auto"/>
              <w:right w:val="single" w:sz="4" w:space="0" w:color="000000"/>
            </w:tcBorders>
          </w:tcPr>
          <w:p>
            <w:pPr/>
          </w:p>
        </w:tc>
        <w:tc>
          <w:tcPr>
            <w:tcW w:w="2675" w:type="dxa"/>
            <w:tcBorders>
              <w:top w:val="nil" w:sz="6" w:space="0" w:color="auto"/>
              <w:left w:val="single" w:sz="4" w:space="0" w:color="000000"/>
              <w:bottom w:val="nil" w:sz="6" w:space="0" w:color="auto"/>
              <w:right w:val="single" w:sz="4" w:space="0" w:color="000000"/>
            </w:tcBorders>
          </w:tcPr>
          <w:p>
            <w:pP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东鸿信公司的同意。</w:t>
            </w:r>
          </w:p>
        </w:tc>
        <w:tc>
          <w:tcPr>
            <w:tcW w:w="2369"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1080" w:type="dxa"/>
            <w:tcBorders>
              <w:top w:val="nil" w:sz="6" w:space="0" w:color="auto"/>
              <w:left w:val="single" w:sz="4" w:space="0" w:color="000000"/>
              <w:bottom w:val="nil" w:sz="6" w:space="0" w:color="auto"/>
              <w:right w:val="single" w:sz="4" w:space="0" w:color="000000"/>
            </w:tcBorders>
          </w:tcPr>
          <w:p>
            <w:pPr/>
          </w:p>
        </w:tc>
        <w:tc>
          <w:tcPr>
            <w:tcW w:w="2675" w:type="dxa"/>
            <w:tcBorders>
              <w:top w:val="nil" w:sz="6" w:space="0" w:color="auto"/>
              <w:left w:val="single" w:sz="4" w:space="0" w:color="000000"/>
              <w:bottom w:val="nil" w:sz="6" w:space="0" w:color="auto"/>
              <w:right w:val="single" w:sz="4" w:space="0" w:color="000000"/>
            </w:tcBorders>
          </w:tcPr>
          <w:p>
            <w:pP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21" w:lineRule="exact"/>
              <w:ind w:right="54"/>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、承诺人保证其不履行或者不完全履行承诺</w:t>
            </w:r>
          </w:p>
        </w:tc>
        <w:tc>
          <w:tcPr>
            <w:tcW w:w="2369" w:type="dxa"/>
            <w:tcBorders>
              <w:top w:val="nil" w:sz="6" w:space="0" w:color="auto"/>
              <w:left w:val="single" w:sz="4" w:space="0" w:color="000000"/>
              <w:bottom w:val="nil" w:sz="6" w:space="0" w:color="auto"/>
              <w:right w:val="single" w:sz="4" w:space="0" w:color="000000"/>
            </w:tcBorders>
          </w:tcPr>
          <w:p>
            <w:pPr/>
          </w:p>
        </w:tc>
      </w:tr>
      <w:tr>
        <w:trPr>
          <w:trHeight w:val="518" w:hRule="exact"/>
        </w:trPr>
        <w:tc>
          <w:tcPr>
            <w:tcW w:w="1080" w:type="dxa"/>
            <w:tcBorders>
              <w:top w:val="nil" w:sz="6" w:space="0" w:color="auto"/>
              <w:left w:val="single" w:sz="4" w:space="0" w:color="000000"/>
              <w:bottom w:val="single" w:sz="4" w:space="0" w:color="000000"/>
              <w:right w:val="single" w:sz="4" w:space="0" w:color="000000"/>
            </w:tcBorders>
          </w:tcPr>
          <w:p>
            <w:pPr/>
          </w:p>
        </w:tc>
        <w:tc>
          <w:tcPr>
            <w:tcW w:w="2675" w:type="dxa"/>
            <w:tcBorders>
              <w:top w:val="nil" w:sz="6" w:space="0" w:color="auto"/>
              <w:left w:val="single" w:sz="4" w:space="0" w:color="000000"/>
              <w:bottom w:val="single" w:sz="4" w:space="0" w:color="000000"/>
              <w:right w:val="single" w:sz="4" w:space="0" w:color="000000"/>
            </w:tcBorders>
          </w:tcPr>
          <w:p>
            <w:pPr/>
          </w:p>
        </w:tc>
        <w:tc>
          <w:tcPr>
            <w:tcW w:w="3960"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24" w:right="0"/>
              <w:jc w:val="left"/>
              <w:rPr>
                <w:rFonts w:ascii="宋体" w:hAnsi="宋体" w:cs="宋体" w:eastAsia="宋体" w:hint="default"/>
                <w:sz w:val="18"/>
                <w:szCs w:val="18"/>
              </w:rPr>
            </w:pPr>
            <w:r>
              <w:rPr>
                <w:rFonts w:ascii="宋体" w:hAnsi="宋体" w:cs="宋体" w:eastAsia="宋体" w:hint="default"/>
                <w:sz w:val="18"/>
                <w:szCs w:val="18"/>
              </w:rPr>
              <w:t>的，赔偿其他股东因此而遭受的损失。</w:t>
            </w:r>
          </w:p>
        </w:tc>
        <w:tc>
          <w:tcPr>
            <w:tcW w:w="2369"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080" w:type="dxa"/>
            <w:tcBorders>
              <w:top w:val="single" w:sz="4" w:space="0" w:color="000000"/>
              <w:left w:val="single" w:sz="4" w:space="0" w:color="000000"/>
              <w:bottom w:val="nil" w:sz="6" w:space="0" w:color="auto"/>
              <w:right w:val="single" w:sz="4" w:space="0" w:color="000000"/>
            </w:tcBorders>
          </w:tcPr>
          <w:p>
            <w:pPr/>
          </w:p>
        </w:tc>
        <w:tc>
          <w:tcPr>
            <w:tcW w:w="2675" w:type="dxa"/>
            <w:tcBorders>
              <w:top w:val="single" w:sz="4" w:space="0" w:color="000000"/>
              <w:left w:val="single" w:sz="4" w:space="0" w:color="000000"/>
              <w:bottom w:val="nil" w:sz="6" w:space="0" w:color="auto"/>
              <w:right w:val="single" w:sz="4" w:space="0" w:color="000000"/>
            </w:tcBorders>
          </w:tcPr>
          <w:p>
            <w:pPr/>
          </w:p>
        </w:tc>
        <w:tc>
          <w:tcPr>
            <w:tcW w:w="3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9"/>
              <w:ind w:right="22"/>
              <w:jc w:val="right"/>
              <w:rPr>
                <w:rFonts w:ascii="宋体" w:hAnsi="宋体" w:cs="宋体" w:eastAsia="宋体" w:hint="default"/>
                <w:sz w:val="18"/>
                <w:szCs w:val="18"/>
              </w:rPr>
            </w:pPr>
            <w:r>
              <w:rPr>
                <w:rFonts w:ascii="宋体" w:hAnsi="宋体" w:cs="宋体" w:eastAsia="宋体" w:hint="default"/>
                <w:spacing w:val="6"/>
                <w:sz w:val="18"/>
                <w:szCs w:val="18"/>
              </w:rPr>
              <w:t>承诺其持有的公司限售流通股股份自改革方</w:t>
            </w:r>
          </w:p>
        </w:tc>
        <w:tc>
          <w:tcPr>
            <w:tcW w:w="2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日正中公司向</w:t>
            </w:r>
          </w:p>
        </w:tc>
      </w:tr>
      <w:tr>
        <w:trPr>
          <w:trHeight w:val="233" w:hRule="exact"/>
        </w:trPr>
        <w:tc>
          <w:tcPr>
            <w:tcW w:w="1080" w:type="dxa"/>
            <w:tcBorders>
              <w:top w:val="nil" w:sz="6" w:space="0" w:color="auto"/>
              <w:left w:val="single" w:sz="4" w:space="0" w:color="000000"/>
              <w:bottom w:val="nil" w:sz="6" w:space="0" w:color="auto"/>
              <w:right w:val="single" w:sz="4" w:space="0" w:color="000000"/>
            </w:tcBorders>
          </w:tcPr>
          <w:p>
            <w:pPr/>
          </w:p>
        </w:tc>
        <w:tc>
          <w:tcPr>
            <w:tcW w:w="2675" w:type="dxa"/>
            <w:tcBorders>
              <w:top w:val="nil" w:sz="6" w:space="0" w:color="auto"/>
              <w:left w:val="single" w:sz="4" w:space="0" w:color="000000"/>
              <w:bottom w:val="nil" w:sz="6" w:space="0" w:color="auto"/>
              <w:right w:val="single" w:sz="4" w:space="0" w:color="000000"/>
            </w:tcBorders>
          </w:tcPr>
          <w:p>
            <w:pP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4" w:right="0"/>
              <w:jc w:val="left"/>
              <w:rPr>
                <w:rFonts w:ascii="宋体" w:hAnsi="宋体" w:cs="宋体" w:eastAsia="宋体" w:hint="default"/>
                <w:sz w:val="18"/>
                <w:szCs w:val="18"/>
              </w:rPr>
            </w:pPr>
            <w:r>
              <w:rPr>
                <w:rFonts w:ascii="宋体" w:hAnsi="宋体" w:cs="宋体" w:eastAsia="宋体" w:hint="default"/>
                <w:sz w:val="18"/>
                <w:szCs w:val="18"/>
              </w:rPr>
              <w:t>案实施日起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个月内不上市交易或转让；其所持</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垫付方深圳市东鸿信投资发</w:t>
            </w:r>
          </w:p>
        </w:tc>
      </w:tr>
      <w:tr>
        <w:trPr>
          <w:trHeight w:val="467"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股改承诺</w:t>
            </w:r>
          </w:p>
        </w:tc>
        <w:tc>
          <w:tcPr>
            <w:tcW w:w="2675"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深圳市正中投资发展有限公司</w:t>
            </w: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股份如上市流通，应当向代为垫付的深圳市东鸿信</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投资发展有限公司偿还代为垫付的对价，或者取得</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展有限公司偿还了垫付的对</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12,627,375</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股，其所持有的</w:t>
            </w:r>
          </w:p>
        </w:tc>
      </w:tr>
      <w:tr>
        <w:trPr>
          <w:trHeight w:val="233" w:hRule="exact"/>
        </w:trPr>
        <w:tc>
          <w:tcPr>
            <w:tcW w:w="1080" w:type="dxa"/>
            <w:tcBorders>
              <w:top w:val="nil" w:sz="6" w:space="0" w:color="auto"/>
              <w:left w:val="single" w:sz="4" w:space="0" w:color="000000"/>
              <w:bottom w:val="nil" w:sz="6" w:space="0" w:color="auto"/>
              <w:right w:val="single" w:sz="4" w:space="0" w:color="000000"/>
            </w:tcBorders>
          </w:tcPr>
          <w:p>
            <w:pPr/>
          </w:p>
        </w:tc>
        <w:tc>
          <w:tcPr>
            <w:tcW w:w="2675" w:type="dxa"/>
            <w:tcBorders>
              <w:top w:val="nil" w:sz="6" w:space="0" w:color="auto"/>
              <w:left w:val="single" w:sz="4" w:space="0" w:color="000000"/>
              <w:bottom w:val="nil" w:sz="6" w:space="0" w:color="auto"/>
              <w:right w:val="single" w:sz="4" w:space="0" w:color="000000"/>
            </w:tcBorders>
          </w:tcPr>
          <w:p>
            <w:pP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代为垫付的深圳市东鸿信投资发展有限公司的同</w:t>
            </w:r>
            <w:r>
              <w:rPr>
                <w:rFonts w:ascii="宋体" w:hAnsi="宋体" w:cs="宋体" w:eastAsia="宋体" w:hint="default"/>
                <w:sz w:val="18"/>
                <w:szCs w:val="18"/>
              </w:rPr>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16,115,625 </w:t>
            </w:r>
            <w:r>
              <w:rPr>
                <w:rFonts w:ascii="宋体" w:hAnsi="宋体" w:cs="宋体" w:eastAsia="宋体" w:hint="default"/>
                <w:sz w:val="18"/>
                <w:szCs w:val="18"/>
              </w:rPr>
              <w:t>股限售股份于</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2009</w:t>
            </w:r>
          </w:p>
        </w:tc>
      </w:tr>
      <w:tr>
        <w:trPr>
          <w:trHeight w:val="394" w:hRule="exact"/>
        </w:trPr>
        <w:tc>
          <w:tcPr>
            <w:tcW w:w="1080" w:type="dxa"/>
            <w:tcBorders>
              <w:top w:val="nil" w:sz="6" w:space="0" w:color="auto"/>
              <w:left w:val="single" w:sz="4" w:space="0" w:color="000000"/>
              <w:bottom w:val="single" w:sz="4" w:space="0" w:color="000000"/>
              <w:right w:val="single" w:sz="4" w:space="0" w:color="000000"/>
            </w:tcBorders>
          </w:tcPr>
          <w:p>
            <w:pPr/>
          </w:p>
        </w:tc>
        <w:tc>
          <w:tcPr>
            <w:tcW w:w="2675" w:type="dxa"/>
            <w:tcBorders>
              <w:top w:val="nil" w:sz="6" w:space="0" w:color="auto"/>
              <w:left w:val="single" w:sz="4" w:space="0" w:color="000000"/>
              <w:bottom w:val="single" w:sz="4" w:space="0" w:color="000000"/>
              <w:right w:val="single" w:sz="4" w:space="0" w:color="000000"/>
            </w:tcBorders>
          </w:tcPr>
          <w:p>
            <w:pPr/>
          </w:p>
        </w:tc>
        <w:tc>
          <w:tcPr>
            <w:tcW w:w="3960"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24" w:right="0"/>
              <w:jc w:val="left"/>
              <w:rPr>
                <w:rFonts w:ascii="宋体" w:hAnsi="宋体" w:cs="宋体" w:eastAsia="宋体" w:hint="default"/>
                <w:sz w:val="18"/>
                <w:szCs w:val="18"/>
              </w:rPr>
            </w:pPr>
            <w:r>
              <w:rPr>
                <w:rFonts w:ascii="宋体" w:hAnsi="宋体" w:cs="宋体" w:eastAsia="宋体" w:hint="default"/>
                <w:sz w:val="18"/>
                <w:szCs w:val="18"/>
              </w:rPr>
              <w:t>意。</w:t>
            </w:r>
          </w:p>
        </w:tc>
        <w:tc>
          <w:tcPr>
            <w:tcW w:w="2369" w:type="dxa"/>
            <w:tcBorders>
              <w:top w:val="nil" w:sz="6" w:space="0" w:color="auto"/>
              <w:left w:val="single" w:sz="4" w:space="0" w:color="000000"/>
              <w:bottom w:val="single" w:sz="4" w:space="0" w:color="000000"/>
              <w:right w:val="single" w:sz="4" w:space="0" w:color="000000"/>
            </w:tcBorders>
          </w:tcPr>
          <w:p>
            <w:pPr>
              <w:pStyle w:val="TableParagraph"/>
              <w:spacing w:line="216"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tc>
      </w:tr>
    </w:tbl>
    <w:p>
      <w:pPr>
        <w:spacing w:line="240" w:lineRule="auto" w:before="5"/>
        <w:rPr>
          <w:rFonts w:ascii="黑体" w:hAnsi="黑体" w:cs="黑体" w:eastAsia="黑体" w:hint="default"/>
          <w:sz w:val="18"/>
          <w:szCs w:val="18"/>
        </w:rPr>
      </w:pPr>
    </w:p>
    <w:p>
      <w:pPr>
        <w:spacing w:before="26"/>
        <w:ind w:left="850" w:right="0" w:firstLine="0"/>
        <w:jc w:val="left"/>
        <w:rPr>
          <w:rFonts w:ascii="黑体" w:hAnsi="黑体" w:cs="黑体" w:eastAsia="黑体" w:hint="default"/>
          <w:sz w:val="24"/>
          <w:szCs w:val="24"/>
        </w:rPr>
      </w:pPr>
      <w:r>
        <w:rPr>
          <w:rFonts w:ascii="黑体" w:hAnsi="黑体" w:cs="黑体" w:eastAsia="黑体" w:hint="default"/>
          <w:sz w:val="24"/>
          <w:szCs w:val="24"/>
        </w:rPr>
        <w:t>十一、公司接待投资者调研及采访情况</w:t>
      </w:r>
    </w:p>
    <w:p>
      <w:pPr>
        <w:spacing w:line="240" w:lineRule="auto" w:before="9"/>
        <w:rPr>
          <w:rFonts w:ascii="黑体" w:hAnsi="黑体" w:cs="黑体" w:eastAsia="黑体" w:hint="default"/>
          <w:sz w:val="28"/>
          <w:szCs w:val="28"/>
        </w:rPr>
      </w:pPr>
    </w:p>
    <w:p>
      <w:pPr>
        <w:pStyle w:val="BodyText"/>
        <w:spacing w:line="340" w:lineRule="auto"/>
        <w:ind w:left="850" w:right="857" w:firstLine="420"/>
        <w:jc w:val="both"/>
      </w:pPr>
      <w:r>
        <w:rPr/>
        <w:pict>
          <v:shape style="position:absolute;margin-left:60.419998pt;margin-top:96.253975pt;width:497.3pt;height:66.0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28"/>
                    <w:gridCol w:w="1177"/>
                    <w:gridCol w:w="1216"/>
                    <w:gridCol w:w="3456"/>
                    <w:gridCol w:w="2154"/>
                  </w:tblGrid>
                  <w:tr>
                    <w:trPr>
                      <w:trHeight w:val="880" w:hRule="exact"/>
                    </w:trPr>
                    <w:tc>
                      <w:tcPr>
                        <w:tcW w:w="1928"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1177"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接待地点</w:t>
                        </w:r>
                      </w:p>
                    </w:tc>
                    <w:tc>
                      <w:tcPr>
                        <w:tcW w:w="1216"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接待方式</w:t>
                        </w:r>
                      </w:p>
                    </w:tc>
                    <w:tc>
                      <w:tcPr>
                        <w:tcW w:w="3456"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接待对象</w:t>
                        </w:r>
                      </w:p>
                    </w:tc>
                    <w:tc>
                      <w:tcPr>
                        <w:tcW w:w="2154"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420" w:lineRule="exact" w:before="14"/>
                          <w:ind w:left="439" w:right="334" w:hanging="106"/>
                          <w:jc w:val="left"/>
                          <w:rPr>
                            <w:rFonts w:ascii="宋体" w:hAnsi="宋体" w:cs="宋体" w:eastAsia="宋体" w:hint="default"/>
                            <w:sz w:val="21"/>
                            <w:szCs w:val="21"/>
                          </w:rPr>
                        </w:pPr>
                        <w:r>
                          <w:rPr>
                            <w:rFonts w:ascii="宋体" w:hAnsi="宋体" w:cs="宋体" w:eastAsia="宋体" w:hint="default"/>
                            <w:sz w:val="21"/>
                            <w:szCs w:val="21"/>
                          </w:rPr>
                          <w:t>谈论的主要内容</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及提供的资料</w:t>
                        </w:r>
                      </w:p>
                    </w:tc>
                  </w:tr>
                  <w:tr>
                    <w:trPr>
                      <w:trHeight w:val="431"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宋体" w:hAnsi="宋体" w:cs="宋体" w:eastAsia="宋体" w:hint="default"/>
                            <w:sz w:val="21"/>
                            <w:szCs w:val="21"/>
                          </w:rPr>
                        </w:pPr>
                        <w:r>
                          <w:rPr>
                            <w:rFonts w:ascii="宋体" w:hAnsi="宋体" w:cs="宋体" w:eastAsia="宋体" w:hint="default"/>
                            <w:sz w:val="21"/>
                            <w:szCs w:val="21"/>
                          </w:rPr>
                          <w:t>公司</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3456" w:type="dxa"/>
                        <w:tcBorders>
                          <w:top w:val="single" w:sz="4" w:space="0" w:color="000000"/>
                          <w:left w:val="single" w:sz="4" w:space="0" w:color="000000"/>
                          <w:bottom w:val="single" w:sz="4" w:space="0" w:color="000000"/>
                          <w:right w:val="single" w:sz="4" w:space="0" w:color="000000"/>
                        </w:tcBorders>
                      </w:tcPr>
                      <w:p>
                        <w:pPr>
                          <w:pStyle w:val="TableParagraph"/>
                          <w:tabs>
                            <w:tab w:pos="2311" w:val="left" w:leader="none"/>
                          </w:tabs>
                          <w:spacing w:line="240" w:lineRule="auto" w:before="90"/>
                          <w:ind w:left="1" w:right="0"/>
                          <w:jc w:val="center"/>
                          <w:rPr>
                            <w:rFonts w:ascii="宋体" w:hAnsi="宋体" w:cs="宋体" w:eastAsia="宋体" w:hint="default"/>
                            <w:sz w:val="21"/>
                            <w:szCs w:val="21"/>
                          </w:rPr>
                        </w:pPr>
                        <w:r>
                          <w:rPr>
                            <w:rFonts w:ascii="宋体" w:hAnsi="宋体" w:cs="宋体" w:eastAsia="宋体" w:hint="default"/>
                            <w:sz w:val="21"/>
                            <w:szCs w:val="21"/>
                          </w:rPr>
                          <w:t>中银基金管理有限公司</w:t>
                          <w:tab/>
                          <w:t>彭砚</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1" w:right="0"/>
                          <w:jc w:val="left"/>
                          <w:rPr>
                            <w:rFonts w:ascii="宋体" w:hAnsi="宋体" w:cs="宋体" w:eastAsia="宋体" w:hint="default"/>
                            <w:sz w:val="21"/>
                            <w:szCs w:val="21"/>
                          </w:rPr>
                        </w:pPr>
                        <w:r>
                          <w:rPr>
                            <w:rFonts w:ascii="宋体" w:hAnsi="宋体" w:cs="宋体" w:eastAsia="宋体" w:hint="default"/>
                            <w:sz w:val="21"/>
                            <w:szCs w:val="21"/>
                          </w:rPr>
                          <w:t>公司运营情况介绍</w:t>
                        </w:r>
                      </w:p>
                    </w:tc>
                  </w:tr>
                </w:tbl>
                <w:p>
                  <w:pPr/>
                </w:p>
              </w:txbxContent>
            </v:textbox>
            <w10:wrap type="none"/>
          </v:shape>
        </w:pict>
      </w:r>
      <w:r>
        <w:rPr>
          <w:rFonts w:ascii="Times New Roman" w:hAnsi="Times New Roman" w:cs="Times New Roman" w:eastAsia="Times New Roman" w:hint="default"/>
        </w:rPr>
        <w:t>2009</w:t>
      </w:r>
      <w:r>
        <w:rPr/>
        <w:t>年度，本着公开、公平、公正的原则，公司接受投资者电话咨询，就公司经营情况及 已披露的信息与投资者进行了沟通。公司按照《深圳证券交易所上市公司公平信息披露指引》 规定，未发生私下、提前或选择性的向特定对象单独披露、透露公司非公开重大信息的情形， 保证了公司信息披露的公平性。公司在</w:t>
      </w:r>
      <w:r>
        <w:rPr>
          <w:rFonts w:ascii="Times New Roman" w:hAnsi="Times New Roman" w:cs="Times New Roman" w:eastAsia="Times New Roman" w:hint="default"/>
        </w:rPr>
        <w:t>2010</w:t>
      </w:r>
      <w:r>
        <w:rPr/>
        <w:t>年度将严格按照《公司信息披露管理制度》及其他 相关要求，切实做好证券市场相关信息的公平披露。</w:t>
      </w:r>
    </w:p>
    <w:p>
      <w:pPr>
        <w:spacing w:after="0" w:line="340" w:lineRule="auto"/>
        <w:jc w:val="both"/>
        <w:sectPr>
          <w:pgSz w:w="11900" w:h="16840"/>
          <w:pgMar w:header="0" w:footer="939" w:top="1440" w:bottom="1120" w:left="1020" w:right="560"/>
        </w:sectPr>
      </w:pPr>
    </w:p>
    <w:p>
      <w:pPr>
        <w:spacing w:line="240" w:lineRule="auto" w:before="1"/>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28"/>
        <w:gridCol w:w="1177"/>
        <w:gridCol w:w="1216"/>
        <w:gridCol w:w="3456"/>
        <w:gridCol w:w="2154"/>
      </w:tblGrid>
      <w:tr>
        <w:trPr>
          <w:trHeight w:val="455"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456" w:type="dxa"/>
            <w:tcBorders>
              <w:top w:val="single" w:sz="4" w:space="0" w:color="000000"/>
              <w:left w:val="single" w:sz="4" w:space="0" w:color="000000"/>
              <w:bottom w:val="single" w:sz="4" w:space="0" w:color="000000"/>
              <w:right w:val="single" w:sz="4" w:space="0" w:color="000000"/>
            </w:tcBorders>
          </w:tcPr>
          <w:p>
            <w:pPr>
              <w:pStyle w:val="TableParagraph"/>
              <w:tabs>
                <w:tab w:pos="2834" w:val="left" w:leader="none"/>
              </w:tabs>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工银瑞信基金管理有限公司</w:t>
              <w:tab/>
              <w:t>贾蓓</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1" w:right="0"/>
              <w:jc w:val="left"/>
              <w:rPr>
                <w:rFonts w:ascii="宋体" w:hAnsi="宋体" w:cs="宋体" w:eastAsia="宋体" w:hint="default"/>
                <w:sz w:val="21"/>
                <w:szCs w:val="21"/>
              </w:rPr>
            </w:pPr>
            <w:r>
              <w:rPr>
                <w:rFonts w:ascii="宋体" w:hAnsi="宋体" w:cs="宋体" w:eastAsia="宋体" w:hint="default"/>
                <w:sz w:val="21"/>
                <w:szCs w:val="21"/>
              </w:rPr>
              <w:t>公司运营情况介绍</w:t>
            </w:r>
          </w:p>
        </w:tc>
      </w:tr>
    </w:tbl>
    <w:p>
      <w:pPr>
        <w:spacing w:line="240" w:lineRule="auto" w:before="5"/>
        <w:rPr>
          <w:rFonts w:ascii="宋体" w:hAnsi="宋体" w:cs="宋体" w:eastAsia="宋体" w:hint="default"/>
          <w:sz w:val="18"/>
          <w:szCs w:val="18"/>
        </w:rPr>
      </w:pPr>
    </w:p>
    <w:p>
      <w:pPr>
        <w:pStyle w:val="Heading3"/>
        <w:spacing w:line="240" w:lineRule="auto" w:before="26"/>
        <w:ind w:left="770" w:right="0"/>
        <w:jc w:val="both"/>
      </w:pPr>
      <w:r>
        <w:rPr>
          <w:rFonts w:ascii="宋体" w:hAnsi="宋体" w:cs="宋体" w:eastAsia="宋体" w:hint="default"/>
        </w:rPr>
        <w:t>十二、</w:t>
      </w:r>
      <w:r>
        <w:rPr/>
        <w:t>报告期内公司聘任会计师事务所情况</w:t>
      </w:r>
    </w:p>
    <w:p>
      <w:pPr>
        <w:spacing w:line="240" w:lineRule="auto" w:before="7"/>
        <w:rPr>
          <w:rFonts w:ascii="黑体" w:hAnsi="黑体" w:cs="黑体" w:eastAsia="黑体" w:hint="default"/>
          <w:sz w:val="28"/>
          <w:szCs w:val="28"/>
        </w:rPr>
      </w:pPr>
    </w:p>
    <w:p>
      <w:pPr>
        <w:pStyle w:val="BodyText"/>
        <w:spacing w:line="331" w:lineRule="auto"/>
        <w:ind w:left="770" w:right="771" w:firstLine="420"/>
        <w:jc w:val="both"/>
      </w:pPr>
      <w:r>
        <w:rPr/>
        <w:t>报告期内公司聘任深圳市鹏城会计师事务所有限公司为</w:t>
      </w:r>
      <w:r>
        <w:rPr>
          <w:rFonts w:ascii="Times New Roman" w:hAnsi="Times New Roman" w:cs="Times New Roman" w:eastAsia="Times New Roman" w:hint="default"/>
        </w:rPr>
        <w:t>2009</w:t>
      </w:r>
      <w:r>
        <w:rPr/>
        <w:t>年度审计单位。经</w:t>
      </w:r>
      <w:r>
        <w:rPr>
          <w:rFonts w:ascii="Times New Roman" w:hAnsi="Times New Roman" w:cs="Times New Roman" w:eastAsia="Times New Roman" w:hint="default"/>
        </w:rPr>
        <w:t>2009</w:t>
      </w:r>
      <w:r>
        <w:rPr/>
        <w:t>年第一 次临时股东大会审议通过的</w:t>
      </w:r>
      <w:r>
        <w:rPr>
          <w:rFonts w:ascii="Times New Roman" w:hAnsi="Times New Roman" w:cs="Times New Roman" w:eastAsia="Times New Roman" w:hint="default"/>
        </w:rPr>
        <w:t>2009</w:t>
      </w:r>
      <w:r>
        <w:rPr/>
        <w:t>年度审计费人民币</w:t>
      </w:r>
      <w:r>
        <w:rPr>
          <w:rFonts w:ascii="Times New Roman" w:hAnsi="Times New Roman" w:cs="Times New Roman" w:eastAsia="Times New Roman" w:hint="default"/>
        </w:rPr>
        <w:t>55</w:t>
      </w:r>
      <w:r>
        <w:rPr/>
        <w:t>万元。截止本报告期该会计师事务所已为 公司提供审计服务的连续年限为七年。</w:t>
      </w:r>
    </w:p>
    <w:p>
      <w:pPr>
        <w:spacing w:line="240" w:lineRule="auto" w:before="9"/>
        <w:rPr>
          <w:rFonts w:ascii="宋体" w:hAnsi="宋体" w:cs="宋体" w:eastAsia="宋体" w:hint="default"/>
          <w:sz w:val="20"/>
          <w:szCs w:val="20"/>
        </w:rPr>
      </w:pPr>
    </w:p>
    <w:p>
      <w:pPr>
        <w:pStyle w:val="BodyText"/>
        <w:spacing w:line="343" w:lineRule="auto"/>
        <w:ind w:left="770" w:right="771"/>
        <w:jc w:val="both"/>
      </w:pPr>
      <w:r>
        <w:rPr>
          <w:spacing w:val="-3"/>
          <w:sz w:val="24"/>
          <w:szCs w:val="24"/>
        </w:rPr>
        <w:t>十三、</w:t>
      </w:r>
      <w:r>
        <w:rPr>
          <w:spacing w:val="-3"/>
        </w:rPr>
        <w:t>报告期内，公司及董事、监事、高级管理人员无受中国证监会稽查、中国证监会行政处</w:t>
      </w:r>
      <w:r>
        <w:rPr>
          <w:spacing w:val="-69"/>
        </w:rPr>
        <w:t> </w:t>
      </w:r>
      <w:r>
        <w:rPr>
          <w:spacing w:val="-69"/>
        </w:rPr>
      </w:r>
      <w:r>
        <w:rPr/>
        <w:t>罚、证券市场禁入、通报批评、证券市场禁入、认定为不适当人选、或被其他行政管理部门处 罚及证券交易所公开谴责的情况；亦无受有权机关调查、司法纪检部门采取强制措施、被移送 司法机关或追究刑事责任。</w:t>
      </w:r>
    </w:p>
    <w:p>
      <w:pPr>
        <w:spacing w:after="0" w:line="343" w:lineRule="auto"/>
        <w:jc w:val="both"/>
        <w:sectPr>
          <w:pgSz w:w="11900" w:h="16840"/>
          <w:pgMar w:header="0" w:footer="939" w:top="1360" w:bottom="1120" w:left="1100" w:right="640"/>
        </w:sectPr>
      </w:pPr>
    </w:p>
    <w:p>
      <w:pPr>
        <w:spacing w:line="240" w:lineRule="auto" w:before="11"/>
        <w:rPr>
          <w:rFonts w:ascii="宋体" w:hAnsi="宋体" w:cs="宋体" w:eastAsia="宋体" w:hint="default"/>
          <w:sz w:val="26"/>
          <w:szCs w:val="26"/>
        </w:rPr>
      </w:pPr>
    </w:p>
    <w:p>
      <w:pPr>
        <w:pStyle w:val="Heading2"/>
        <w:tabs>
          <w:tab w:pos="1617" w:val="left" w:leader="none"/>
        </w:tabs>
        <w:spacing w:line="240" w:lineRule="auto" w:before="13"/>
        <w:ind w:left="78" w:right="0"/>
        <w:jc w:val="center"/>
      </w:pPr>
      <w:r>
        <w:rPr>
          <w:w w:val="95"/>
        </w:rPr>
        <w:t>第十一节</w:t>
        <w:tab/>
      </w:r>
      <w:r>
        <w:rPr/>
        <w:t>财务报告（附后）</w:t>
      </w:r>
    </w:p>
    <w:p>
      <w:pPr>
        <w:spacing w:line="240" w:lineRule="auto" w:before="0"/>
        <w:rPr>
          <w:rFonts w:ascii="黑体" w:hAnsi="黑体" w:cs="黑体" w:eastAsia="黑体" w:hint="default"/>
          <w:sz w:val="28"/>
          <w:szCs w:val="28"/>
        </w:rPr>
      </w:pPr>
    </w:p>
    <w:p>
      <w:pPr>
        <w:spacing w:line="240" w:lineRule="auto" w:before="10"/>
        <w:rPr>
          <w:rFonts w:ascii="黑体" w:hAnsi="黑体" w:cs="黑体" w:eastAsia="黑体" w:hint="default"/>
          <w:sz w:val="36"/>
          <w:szCs w:val="36"/>
        </w:rPr>
      </w:pPr>
    </w:p>
    <w:p>
      <w:pPr>
        <w:tabs>
          <w:tab w:pos="1477" w:val="left" w:leader="none"/>
        </w:tabs>
        <w:spacing w:before="0"/>
        <w:ind w:left="78" w:right="0" w:firstLine="0"/>
        <w:jc w:val="center"/>
        <w:rPr>
          <w:rFonts w:ascii="黑体" w:hAnsi="黑体" w:cs="黑体" w:eastAsia="黑体" w:hint="default"/>
          <w:sz w:val="28"/>
          <w:szCs w:val="28"/>
        </w:rPr>
      </w:pPr>
      <w:r>
        <w:rPr>
          <w:rFonts w:ascii="黑体" w:hAnsi="黑体" w:cs="黑体" w:eastAsia="黑体" w:hint="default"/>
          <w:w w:val="95"/>
          <w:sz w:val="28"/>
          <w:szCs w:val="28"/>
        </w:rPr>
        <w:t>第十二节</w:t>
        <w:tab/>
      </w:r>
      <w:r>
        <w:rPr>
          <w:rFonts w:ascii="黑体" w:hAnsi="黑体" w:cs="黑体" w:eastAsia="黑体" w:hint="default"/>
          <w:sz w:val="28"/>
          <w:szCs w:val="28"/>
        </w:rPr>
        <w:t>备查文件目录</w:t>
      </w: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pStyle w:val="BodyText"/>
        <w:spacing w:line="328" w:lineRule="auto" w:before="225"/>
        <w:ind w:left="611" w:right="99"/>
        <w:jc w:val="left"/>
      </w:pPr>
      <w:r>
        <w:rPr/>
        <w:t>一、载有公司法定代表人、财务总监、财务经理签名并盖章的</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年度会计报表。 </w:t>
      </w:r>
      <w:r>
        <w:rPr>
          <w:spacing w:val="-4"/>
        </w:rPr>
        <w:t>二、载有深圳市鹏城会计师事务所有限公司盖章、注册会计师签名并盖章的 </w:t>
      </w:r>
      <w:r>
        <w:rPr>
          <w:rFonts w:ascii="Times New Roman" w:hAnsi="Times New Roman" w:cs="Times New Roman" w:eastAsia="Times New Roman" w:hint="default"/>
        </w:rPr>
        <w:t>2009</w:t>
      </w:r>
      <w:r>
        <w:rPr>
          <w:rFonts w:ascii="Times New Roman" w:hAnsi="Times New Roman" w:cs="Times New Roman" w:eastAsia="Times New Roman" w:hint="default"/>
          <w:spacing w:val="-22"/>
        </w:rPr>
        <w:t> </w:t>
      </w:r>
      <w:r>
        <w:rPr/>
        <w:t>年度审计</w:t>
      </w:r>
    </w:p>
    <w:p>
      <w:pPr>
        <w:pStyle w:val="BodyText"/>
        <w:spacing w:line="240" w:lineRule="auto" w:before="24"/>
        <w:ind w:right="100"/>
        <w:jc w:val="left"/>
      </w:pPr>
      <w:r>
        <w:rPr/>
        <w:t>报告原件。</w:t>
      </w:r>
    </w:p>
    <w:p>
      <w:pPr>
        <w:pStyle w:val="BodyText"/>
        <w:spacing w:line="348" w:lineRule="auto" w:before="125"/>
        <w:ind w:right="100" w:firstLine="419"/>
        <w:jc w:val="left"/>
      </w:pPr>
      <w:r>
        <w:rPr>
          <w:spacing w:val="-6"/>
        </w:rPr>
        <w:t>三、报告期内在《中国证券报》、《证券时报》上公开披露过的所有公司文件正本及公告原</w:t>
      </w:r>
      <w:r>
        <w:rPr/>
        <w:t> 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489" w:lineRule="auto" w:before="0"/>
        <w:ind w:left="4308" w:right="111" w:firstLine="0"/>
        <w:jc w:val="center"/>
        <w:rPr>
          <w:rFonts w:ascii="宋体" w:hAnsi="宋体" w:cs="宋体" w:eastAsia="宋体" w:hint="default"/>
          <w:sz w:val="30"/>
          <w:szCs w:val="30"/>
        </w:rPr>
      </w:pPr>
      <w:r>
        <w:rPr>
          <w:rFonts w:ascii="宋体" w:hAnsi="宋体" w:cs="宋体" w:eastAsia="宋体" w:hint="default"/>
          <w:sz w:val="30"/>
          <w:szCs w:val="30"/>
        </w:rPr>
        <w:t>深圳市鸿基（集团）股份有限公司 董 事 局 二○一○年三月二十四日</w:t>
      </w:r>
    </w:p>
    <w:p>
      <w:pPr>
        <w:spacing w:after="0" w:line="489" w:lineRule="auto"/>
        <w:jc w:val="center"/>
        <w:rPr>
          <w:rFonts w:ascii="宋体" w:hAnsi="宋体" w:cs="宋体" w:eastAsia="宋体" w:hint="default"/>
          <w:sz w:val="30"/>
          <w:szCs w:val="30"/>
        </w:rPr>
        <w:sectPr>
          <w:pgSz w:w="11900" w:h="16840"/>
          <w:pgMar w:header="0" w:footer="939" w:top="1600" w:bottom="1120" w:left="168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1"/>
        <w:tabs>
          <w:tab w:pos="1657" w:val="left" w:leader="none"/>
        </w:tabs>
        <w:spacing w:line="240" w:lineRule="auto" w:before="1"/>
        <w:ind w:left="377" w:right="0"/>
        <w:jc w:val="center"/>
      </w:pPr>
      <w:r>
        <w:rPr/>
        <w:t>目</w:t>
        <w:tab/>
        <w:t>录</w:t>
      </w: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2"/>
          <w:szCs w:val="32"/>
        </w:rPr>
      </w:pPr>
    </w:p>
    <w:p>
      <w:pPr>
        <w:spacing w:line="240" w:lineRule="auto" w:before="5"/>
        <w:rPr>
          <w:rFonts w:ascii="黑体" w:hAnsi="黑体" w:cs="黑体" w:eastAsia="黑体" w:hint="default"/>
          <w:sz w:val="42"/>
          <w:szCs w:val="42"/>
        </w:rPr>
      </w:pPr>
    </w:p>
    <w:p>
      <w:pPr>
        <w:pStyle w:val="BodyText"/>
        <w:tabs>
          <w:tab w:pos="2977" w:val="left" w:leader="none"/>
          <w:tab w:pos="7820" w:val="left" w:leader="none"/>
        </w:tabs>
        <w:spacing w:line="240" w:lineRule="auto"/>
        <w:ind w:left="2346" w:right="0"/>
        <w:jc w:val="left"/>
      </w:pPr>
      <w:r>
        <w:rPr/>
        <w:pict>
          <v:group style="position:absolute;margin-left:108.779999pt;margin-top:15.56335pt;width:226.75pt;height:.1pt;mso-position-horizontal-relative:page;mso-position-vertical-relative:paragraph;z-index:1768" coordorigin="2176,311" coordsize="4535,2">
            <v:shape style="position:absolute;left:2176;top:311;width:4535;height:2" coordorigin="2176,311" coordsize="4535,0" path="m2176,311l6710,311e" filled="false" stroked="true" strokeweight=".48pt" strokecolor="#000000">
              <v:path arrowok="t"/>
            </v:shape>
            <w10:wrap type="none"/>
          </v:group>
        </w:pict>
      </w:r>
      <w:r>
        <w:rPr/>
        <w:pict>
          <v:group style="position:absolute;margin-left:461.519989pt;margin-top:15.56335pt;width:47.3pt;height:.1pt;mso-position-horizontal-relative:page;mso-position-vertical-relative:paragraph;z-index:1792" coordorigin="9230,311" coordsize="946,2">
            <v:shape style="position:absolute;left:9230;top:311;width:946;height:2" coordorigin="9230,311" coordsize="946,0" path="m9230,311l10176,311e" filled="false" stroked="true" strokeweight=".48pt" strokecolor="#000000">
              <v:path arrowok="t"/>
            </v:shape>
            <w10:wrap type="none"/>
          </v:group>
        </w:pict>
      </w:r>
      <w:r>
        <w:rPr/>
        <w:t>目</w:t>
        <w:tab/>
        <w:t>录</w:t>
        <w:tab/>
        <w:t>页 次</w:t>
      </w:r>
    </w:p>
    <w:p>
      <w:pPr>
        <w:pStyle w:val="BodyText"/>
        <w:tabs>
          <w:tab w:pos="8169" w:val="right" w:leader="none"/>
        </w:tabs>
        <w:spacing w:line="240" w:lineRule="auto" w:before="339"/>
        <w:ind w:left="603" w:right="0"/>
        <w:jc w:val="left"/>
        <w:rPr>
          <w:rFonts w:ascii="Times New Roman" w:hAnsi="Times New Roman" w:cs="Times New Roman" w:eastAsia="Times New Roman" w:hint="default"/>
        </w:rPr>
      </w:pPr>
      <w:r>
        <w:rPr>
          <w:position w:val="1"/>
        </w:rPr>
        <w:t>一、审计报告</w:t>
      </w:r>
      <w:r>
        <w:rPr>
          <w:rFonts w:ascii="Times New Roman" w:hAnsi="Times New Roman" w:cs="Times New Roman" w:eastAsia="Times New Roman" w:hint="default"/>
        </w:rPr>
        <w:tab/>
        <w:t>1-2</w:t>
      </w:r>
    </w:p>
    <w:p>
      <w:pPr>
        <w:spacing w:line="240" w:lineRule="auto" w:before="7"/>
        <w:rPr>
          <w:rFonts w:ascii="Times New Roman" w:hAnsi="Times New Roman" w:cs="Times New Roman" w:eastAsia="Times New Roman" w:hint="default"/>
          <w:sz w:val="25"/>
          <w:szCs w:val="25"/>
        </w:rPr>
      </w:pPr>
    </w:p>
    <w:p>
      <w:pPr>
        <w:pStyle w:val="BodyText"/>
        <w:spacing w:line="240" w:lineRule="auto"/>
        <w:ind w:left="603" w:right="0"/>
        <w:jc w:val="left"/>
      </w:pPr>
      <w:r>
        <w:rPr/>
        <w:t>二、已审财务报表</w:t>
      </w:r>
    </w:p>
    <w:p>
      <w:pPr>
        <w:pStyle w:val="BodyText"/>
        <w:tabs>
          <w:tab w:pos="8169" w:val="right" w:leader="none"/>
        </w:tabs>
        <w:spacing w:line="240" w:lineRule="auto" w:before="329"/>
        <w:ind w:left="1024" w:right="0"/>
        <w:jc w:val="left"/>
        <w:rPr>
          <w:rFonts w:ascii="Times New Roman" w:hAnsi="Times New Roman" w:cs="Times New Roman" w:eastAsia="Times New Roman" w:hint="default"/>
        </w:rPr>
      </w:pPr>
      <w:r>
        <w:rPr>
          <w:position w:val="1"/>
        </w:rPr>
        <w:t>合并及母公司资产负债表</w:t>
      </w:r>
      <w:r>
        <w:rPr>
          <w:rFonts w:ascii="Times New Roman" w:hAnsi="Times New Roman" w:cs="Times New Roman" w:eastAsia="Times New Roman" w:hint="default"/>
        </w:rPr>
        <w:tab/>
        <w:t>3-6</w:t>
      </w:r>
    </w:p>
    <w:p>
      <w:pPr>
        <w:pStyle w:val="BodyText"/>
        <w:tabs>
          <w:tab w:pos="8169" w:val="right" w:leader="none"/>
        </w:tabs>
        <w:spacing w:line="240" w:lineRule="auto" w:before="299"/>
        <w:ind w:left="1024" w:right="0"/>
        <w:jc w:val="left"/>
        <w:rPr>
          <w:rFonts w:ascii="Times New Roman" w:hAnsi="Times New Roman" w:cs="Times New Roman" w:eastAsia="Times New Roman" w:hint="default"/>
        </w:rPr>
      </w:pPr>
      <w:r>
        <w:rPr>
          <w:position w:val="1"/>
        </w:rPr>
        <w:t>合并及母公司利润表</w:t>
      </w:r>
      <w:r>
        <w:rPr>
          <w:rFonts w:ascii="Times New Roman" w:hAnsi="Times New Roman" w:cs="Times New Roman" w:eastAsia="Times New Roman" w:hint="default"/>
        </w:rPr>
        <w:tab/>
        <w:t>7-8</w:t>
      </w:r>
    </w:p>
    <w:p>
      <w:pPr>
        <w:pStyle w:val="BodyText"/>
        <w:tabs>
          <w:tab w:pos="8222" w:val="right" w:leader="none"/>
        </w:tabs>
        <w:spacing w:line="240" w:lineRule="auto" w:before="299"/>
        <w:ind w:left="1023" w:right="0"/>
        <w:jc w:val="left"/>
        <w:rPr>
          <w:rFonts w:ascii="Times New Roman" w:hAnsi="Times New Roman" w:cs="Times New Roman" w:eastAsia="Times New Roman" w:hint="default"/>
        </w:rPr>
      </w:pPr>
      <w:r>
        <w:rPr>
          <w:position w:val="1"/>
        </w:rPr>
        <w:t>合并及母公司现金流量表</w:t>
      </w:r>
      <w:r>
        <w:rPr>
          <w:rFonts w:ascii="Times New Roman" w:hAnsi="Times New Roman" w:cs="Times New Roman" w:eastAsia="Times New Roman" w:hint="default"/>
        </w:rPr>
        <w:tab/>
        <w:t>9-10</w:t>
      </w:r>
    </w:p>
    <w:p>
      <w:pPr>
        <w:pStyle w:val="BodyText"/>
        <w:tabs>
          <w:tab w:pos="8271" w:val="right" w:leader="none"/>
        </w:tabs>
        <w:spacing w:line="240" w:lineRule="auto" w:before="299"/>
        <w:ind w:left="1023" w:right="0"/>
        <w:jc w:val="left"/>
        <w:rPr>
          <w:rFonts w:ascii="Times New Roman" w:hAnsi="Times New Roman" w:cs="Times New Roman" w:eastAsia="Times New Roman" w:hint="default"/>
        </w:rPr>
      </w:pPr>
      <w:r>
        <w:rPr>
          <w:position w:val="1"/>
        </w:rPr>
        <w:t>合并及母公司所有者权益变动表</w:t>
      </w:r>
      <w:r>
        <w:rPr>
          <w:rFonts w:ascii="Times New Roman" w:hAnsi="Times New Roman" w:cs="Times New Roman" w:eastAsia="Times New Roman" w:hint="default"/>
        </w:rPr>
        <w:tab/>
        <w:t>11-14</w:t>
      </w:r>
    </w:p>
    <w:p>
      <w:pPr>
        <w:pStyle w:val="BodyText"/>
        <w:tabs>
          <w:tab w:pos="8274" w:val="right" w:leader="none"/>
        </w:tabs>
        <w:spacing w:line="240" w:lineRule="auto" w:before="299"/>
        <w:ind w:left="603" w:right="0"/>
        <w:jc w:val="left"/>
        <w:rPr>
          <w:rFonts w:ascii="Times New Roman" w:hAnsi="Times New Roman" w:cs="Times New Roman" w:eastAsia="Times New Roman" w:hint="default"/>
        </w:rPr>
      </w:pPr>
      <w:r>
        <w:rPr>
          <w:position w:val="1"/>
        </w:rPr>
        <w:t>三、财务报表附注</w:t>
      </w:r>
      <w:r>
        <w:rPr>
          <w:rFonts w:ascii="Times New Roman" w:hAnsi="Times New Roman" w:cs="Times New Roman" w:eastAsia="Times New Roman" w:hint="default"/>
        </w:rPr>
        <w:tab/>
        <w:t>15-89</w:t>
      </w:r>
    </w:p>
    <w:p>
      <w:pPr>
        <w:spacing w:after="0" w:line="240" w:lineRule="auto"/>
        <w:jc w:val="left"/>
        <w:rPr>
          <w:rFonts w:ascii="Times New Roman" w:hAnsi="Times New Roman" w:cs="Times New Roman" w:eastAsia="Times New Roman" w:hint="default"/>
        </w:rPr>
        <w:sectPr>
          <w:pgSz w:w="11900" w:h="16840"/>
          <w:pgMar w:header="0" w:footer="939" w:top="1600" w:bottom="1120" w:left="1680" w:right="1600"/>
        </w:sectPr>
      </w:pPr>
    </w:p>
    <w:p>
      <w:pPr>
        <w:pStyle w:val="BodyText"/>
        <w:tabs>
          <w:tab w:pos="7372" w:val="left" w:leader="none"/>
        </w:tabs>
        <w:spacing w:line="240" w:lineRule="auto" w:before="10"/>
        <w:ind w:left="240" w:right="194"/>
        <w:jc w:val="left"/>
        <w:rPr>
          <w:rFonts w:ascii="Times New Roman" w:hAnsi="Times New Roman" w:cs="Times New Roman" w:eastAsia="Times New Roman" w:hint="default"/>
        </w:rPr>
      </w:pPr>
      <w:r>
        <w:rPr/>
        <w:t>深圳市鹏城会计师事务所有限公司</w:t>
        <w:tab/>
        <w:t>电话</w:t>
      </w:r>
      <w:r>
        <w:rPr>
          <w:spacing w:val="-105"/>
        </w:rPr>
        <w:t>：</w:t>
      </w:r>
      <w:r>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7</w:t>
      </w:r>
      <w:r>
        <w:rPr>
          <w:rFonts w:ascii="Times New Roman" w:hAnsi="Times New Roman" w:cs="Times New Roman" w:eastAsia="Times New Roman" w:hint="default"/>
          <w:spacing w:val="-1"/>
        </w:rPr>
        <w:t>55</w:t>
      </w:r>
      <w:r>
        <w:rPr/>
        <w:t>）</w:t>
      </w:r>
      <w:r>
        <w:rPr>
          <w:rFonts w:ascii="Times New Roman" w:hAnsi="Times New Roman" w:cs="Times New Roman" w:eastAsia="Times New Roman" w:hint="default"/>
        </w:rPr>
        <w:t>8</w:t>
      </w:r>
      <w:r>
        <w:rPr>
          <w:rFonts w:ascii="Times New Roman" w:hAnsi="Times New Roman" w:cs="Times New Roman" w:eastAsia="Times New Roman" w:hint="default"/>
          <w:spacing w:val="-1"/>
        </w:rPr>
        <w:t>3</w:t>
      </w:r>
      <w:r>
        <w:rPr>
          <w:rFonts w:ascii="Times New Roman" w:hAnsi="Times New Roman" w:cs="Times New Roman" w:eastAsia="Times New Roman" w:hint="default"/>
        </w:rPr>
        <w:t>73</w:t>
      </w:r>
      <w:r>
        <w:rPr>
          <w:rFonts w:ascii="Times New Roman" w:hAnsi="Times New Roman" w:cs="Times New Roman" w:eastAsia="Times New Roman" w:hint="default"/>
          <w:spacing w:val="-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8</w:t>
      </w:r>
      <w:r>
        <w:rPr>
          <w:rFonts w:ascii="Times New Roman" w:hAnsi="Times New Roman" w:cs="Times New Roman" w:eastAsia="Times New Roman" w:hint="default"/>
        </w:rPr>
        <w:t>88</w:t>
      </w:r>
    </w:p>
    <w:p>
      <w:pPr>
        <w:pStyle w:val="BodyText"/>
        <w:tabs>
          <w:tab w:pos="7372" w:val="left" w:leader="none"/>
        </w:tabs>
        <w:spacing w:line="240" w:lineRule="auto" w:before="15"/>
        <w:ind w:left="240" w:right="194"/>
        <w:jc w:val="left"/>
        <w:rPr>
          <w:rFonts w:ascii="Times New Roman" w:hAnsi="Times New Roman" w:cs="Times New Roman" w:eastAsia="Times New Roman" w:hint="default"/>
        </w:rPr>
      </w:pPr>
      <w:r>
        <w:rPr/>
        <w:pict>
          <v:group style="position:absolute;margin-left:55.68pt;margin-top:16.671865pt;width:481.45pt;height:.5pt;mso-position-horizontal-relative:page;mso-position-vertical-relative:paragraph;z-index:1816" coordorigin="1114,333" coordsize="9629,10">
            <v:group style="position:absolute;left:1118;top:338;width:7068;height:2" coordorigin="1118,338" coordsize="7068,2">
              <v:shape style="position:absolute;left:1118;top:338;width:7068;height:2" coordorigin="1118,338" coordsize="7068,0" path="m1118,338l8186,338e" filled="false" stroked="true" strokeweight=".48pt" strokecolor="#000000">
                <v:path arrowok="t"/>
              </v:shape>
            </v:group>
            <v:group style="position:absolute;left:8172;top:338;width:2566;height:2" coordorigin="8172,338" coordsize="2566,2">
              <v:shape style="position:absolute;left:8172;top:338;width:2566;height:2" coordorigin="8172,338" coordsize="2566,0" path="m8172,338l10738,338e" filled="false" stroked="true" strokeweight=".48pt" strokecolor="#000000">
                <v:path arrowok="t"/>
              </v:shape>
            </v:group>
            <w10:wrap type="none"/>
          </v:group>
        </w:pict>
      </w:r>
      <w:r>
        <w:rPr/>
        <w:t>中国深圳市福田区滨河大道</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02</w:t>
      </w:r>
      <w:r>
        <w:rPr>
          <w:rFonts w:ascii="Times New Roman" w:hAnsi="Times New Roman" w:cs="Times New Roman" w:eastAsia="Times New Roman" w:hint="default"/>
        </w:rPr>
        <w:t>2 </w:t>
      </w:r>
      <w:r>
        <w:rPr>
          <w:spacing w:val="-2"/>
        </w:rPr>
        <w:t>号</w:t>
      </w:r>
      <w:r>
        <w:rPr/>
        <w:t>联合广场</w:t>
      </w:r>
      <w:r>
        <w:rPr>
          <w:spacing w:val="-53"/>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座</w:t>
      </w:r>
      <w:r>
        <w:rPr>
          <w:spacing w:val="-53"/>
        </w:rPr>
        <w:t> </w:t>
      </w:r>
      <w:r>
        <w:rPr>
          <w:rFonts w:ascii="Times New Roman" w:hAnsi="Times New Roman" w:cs="Times New Roman" w:eastAsia="Times New Roman" w:hint="default"/>
        </w:rPr>
        <w:t>7 </w:t>
      </w:r>
      <w:r>
        <w:rPr/>
        <w:t>楼</w:t>
        <w:tab/>
        <w:t>传真</w:t>
      </w:r>
      <w:r>
        <w:rPr>
          <w:spacing w:val="-105"/>
        </w:rPr>
        <w:t>：</w:t>
      </w:r>
      <w:r>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7</w:t>
      </w:r>
      <w:r>
        <w:rPr>
          <w:rFonts w:ascii="Times New Roman" w:hAnsi="Times New Roman" w:cs="Times New Roman" w:eastAsia="Times New Roman" w:hint="default"/>
          <w:spacing w:val="-1"/>
        </w:rPr>
        <w:t>55</w:t>
      </w:r>
      <w:r>
        <w:rPr/>
        <w:t>）</w:t>
      </w:r>
      <w:r>
        <w:rPr>
          <w:rFonts w:ascii="Times New Roman" w:hAnsi="Times New Roman" w:cs="Times New Roman" w:eastAsia="Times New Roman" w:hint="default"/>
        </w:rPr>
        <w:t>8</w:t>
      </w:r>
      <w:r>
        <w:rPr>
          <w:rFonts w:ascii="Times New Roman" w:hAnsi="Times New Roman" w:cs="Times New Roman" w:eastAsia="Times New Roman" w:hint="default"/>
          <w:spacing w:val="-1"/>
        </w:rPr>
        <w:t>2</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5</w:t>
      </w:r>
      <w:r>
        <w:rPr>
          <w:rFonts w:ascii="Times New Roman" w:hAnsi="Times New Roman" w:cs="Times New Roman" w:eastAsia="Times New Roman" w:hint="default"/>
        </w:rPr>
        <w:t>49</w:t>
      </w:r>
    </w:p>
    <w:p>
      <w:pPr>
        <w:pStyle w:val="Heading1"/>
        <w:spacing w:line="240" w:lineRule="auto" w:before="490"/>
        <w:ind w:left="4055" w:right="4126"/>
        <w:jc w:val="center"/>
      </w:pPr>
      <w:r>
        <w:rPr/>
        <w:t>审 计 报</w:t>
      </w:r>
      <w:r>
        <w:rPr>
          <w:spacing w:val="-1"/>
        </w:rPr>
        <w:t> </w:t>
      </w:r>
      <w:r>
        <w:rPr/>
        <w:t>告</w:t>
      </w:r>
    </w:p>
    <w:p>
      <w:pPr>
        <w:pStyle w:val="BodyText"/>
        <w:spacing w:line="240" w:lineRule="auto" w:before="782"/>
        <w:ind w:left="0" w:right="205"/>
        <w:jc w:val="right"/>
      </w:pPr>
      <w:r>
        <w:rPr/>
        <w:t>深鹏所股审字</w:t>
      </w:r>
      <w:r>
        <w:rPr>
          <w:rFonts w:ascii="Times New Roman" w:hAnsi="Times New Roman" w:cs="Times New Roman" w:eastAsia="Times New Roman" w:hint="default"/>
        </w:rPr>
        <w:t>[2010]075</w:t>
      </w:r>
      <w:r>
        <w:rPr>
          <w:rFonts w:ascii="Times New Roman" w:hAnsi="Times New Roman" w:cs="Times New Roman" w:eastAsia="Times New Roman" w:hint="default"/>
          <w:spacing w:val="-4"/>
        </w:rPr>
        <w:t> </w:t>
      </w:r>
      <w:r>
        <w:rPr/>
        <w:t>号</w:t>
      </w:r>
    </w:p>
    <w:p>
      <w:pPr>
        <w:spacing w:line="240" w:lineRule="auto" w:before="6"/>
        <w:rPr>
          <w:rFonts w:ascii="宋体" w:hAnsi="宋体" w:cs="宋体" w:eastAsia="宋体" w:hint="default"/>
          <w:sz w:val="17"/>
          <w:szCs w:val="17"/>
        </w:rPr>
      </w:pPr>
    </w:p>
    <w:p>
      <w:pPr>
        <w:pStyle w:val="BodyText"/>
        <w:spacing w:line="436" w:lineRule="auto"/>
        <w:ind w:left="613" w:right="194" w:hanging="480"/>
        <w:jc w:val="left"/>
      </w:pPr>
      <w:r>
        <w:rPr/>
        <w:t>深圳市鸿基（集团）股份有限公司全体股东： </w:t>
      </w:r>
      <w:r>
        <w:rPr>
          <w:spacing w:val="2"/>
        </w:rPr>
        <w:t>我们审计了后附的深圳市鸿基（集团）股份有限公司（以下简称</w:t>
      </w:r>
      <w:r>
        <w:rPr>
          <w:rFonts w:ascii="Times New Roman" w:hAnsi="Times New Roman" w:cs="Times New Roman" w:eastAsia="Times New Roman" w:hint="default"/>
          <w:spacing w:val="2"/>
        </w:rPr>
        <w:t>“</w:t>
      </w:r>
      <w:r>
        <w:rPr>
          <w:spacing w:val="2"/>
        </w:rPr>
        <w:t>鸿基集团公司</w:t>
      </w:r>
      <w:r>
        <w:rPr>
          <w:rFonts w:ascii="Times New Roman" w:hAnsi="Times New Roman" w:cs="Times New Roman" w:eastAsia="Times New Roman" w:hint="default"/>
          <w:spacing w:val="2"/>
        </w:rPr>
        <w:t>”</w:t>
      </w:r>
      <w:r>
        <w:rPr>
          <w:spacing w:val="2"/>
        </w:rPr>
        <w:t>）财务报表，包括</w:t>
      </w:r>
      <w:r>
        <w:rPr/>
      </w:r>
    </w:p>
    <w:p>
      <w:pPr>
        <w:pStyle w:val="BodyText"/>
        <w:spacing w:line="412" w:lineRule="auto" w:before="17"/>
        <w:ind w:left="134" w:right="194" w:hanging="1"/>
        <w:jc w:val="left"/>
      </w:pP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日合并及公司资产负债表、</w:t>
      </w:r>
      <w:r>
        <w:rPr>
          <w:rFonts w:ascii="Times New Roman" w:hAnsi="Times New Roman" w:cs="Times New Roman" w:eastAsia="Times New Roman" w:hint="default"/>
        </w:rPr>
        <w:t>2009</w:t>
      </w:r>
      <w:r>
        <w:rPr>
          <w:rFonts w:ascii="Times New Roman" w:hAnsi="Times New Roman" w:cs="Times New Roman" w:eastAsia="Times New Roman" w:hint="default"/>
          <w:spacing w:val="-27"/>
        </w:rPr>
        <w:t> </w:t>
      </w:r>
      <w:r>
        <w:rPr/>
        <w:t>年度合并及公司利润表、股东权益变动表和现金流量表 以及财务报表附注。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ind w:left="546" w:right="194"/>
        <w:jc w:val="left"/>
        <w:rPr>
          <w:rFonts w:ascii="黑体" w:hAnsi="黑体" w:cs="黑体" w:eastAsia="黑体" w:hint="default"/>
        </w:rPr>
      </w:pPr>
      <w:r>
        <w:rPr>
          <w:rFonts w:ascii="黑体" w:hAnsi="黑体" w:cs="黑体" w:eastAsia="黑体" w:hint="default"/>
        </w:rPr>
        <w:t>一、管理层对财务报表的责任</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6"/>
          <w:szCs w:val="16"/>
        </w:rPr>
      </w:pPr>
    </w:p>
    <w:p>
      <w:pPr>
        <w:pStyle w:val="BodyText"/>
        <w:spacing w:line="412" w:lineRule="auto"/>
        <w:ind w:left="134" w:right="91" w:firstLine="420"/>
        <w:jc w:val="left"/>
      </w:pPr>
      <w:r>
        <w:rPr/>
        <w:t>按照企业会计准则的规定编制财务报表是鸿基集团公司管理层的责任。这种责任包括：（</w:t>
      </w:r>
      <w:r>
        <w:rPr>
          <w:rFonts w:ascii="Times New Roman" w:hAnsi="Times New Roman" w:cs="Times New Roman" w:eastAsia="Times New Roman" w:hint="default"/>
        </w:rPr>
        <w:t>1</w:t>
      </w:r>
      <w:r>
        <w:rPr/>
        <w:t>）设计、</w:t>
      </w:r>
      <w:r>
        <w:rPr>
          <w:spacing w:val="2"/>
        </w:rPr>
        <w:t> </w:t>
      </w:r>
      <w:r>
        <w:rPr>
          <w:spacing w:val="-5"/>
        </w:rPr>
        <w:t>实施和维护与财务报表编制相关的内部控制，以使财务报表不存在由于舞弊或错误而导致的重大错报；（</w:t>
      </w:r>
      <w:r>
        <w:rPr>
          <w:rFonts w:ascii="Times New Roman" w:hAnsi="Times New Roman" w:cs="Times New Roman" w:eastAsia="Times New Roman" w:hint="default"/>
          <w:spacing w:val="-5"/>
        </w:rPr>
        <w:t>2</w:t>
      </w:r>
      <w:r>
        <w:rPr>
          <w:spacing w:val="-5"/>
        </w:rPr>
        <w:t>）</w:t>
      </w:r>
      <w:r>
        <w:rPr>
          <w:spacing w:val="-97"/>
        </w:rPr>
        <w:t> </w:t>
      </w:r>
      <w:r>
        <w:rPr/>
        <w:t>选择和运用恰当的会计政策；（</w:t>
      </w:r>
      <w:r>
        <w:rPr>
          <w:rFonts w:ascii="Times New Roman" w:hAnsi="Times New Roman" w:cs="Times New Roman" w:eastAsia="Times New Roman" w:hint="default"/>
        </w:rPr>
        <w:t>3</w:t>
      </w:r>
      <w:r>
        <w:rPr/>
        <w:t>）作出合理的会计估计。</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2"/>
          <w:szCs w:val="22"/>
        </w:rPr>
      </w:pPr>
    </w:p>
    <w:p>
      <w:pPr>
        <w:pStyle w:val="BodyText"/>
        <w:spacing w:line="240" w:lineRule="auto"/>
        <w:ind w:left="546" w:right="194"/>
        <w:jc w:val="left"/>
        <w:rPr>
          <w:rFonts w:ascii="黑体" w:hAnsi="黑体" w:cs="黑体" w:eastAsia="黑体" w:hint="default"/>
        </w:rPr>
      </w:pPr>
      <w:r>
        <w:rPr>
          <w:rFonts w:ascii="黑体" w:hAnsi="黑体" w:cs="黑体" w:eastAsia="黑体" w:hint="default"/>
        </w:rPr>
        <w:t>二、注册会计师的责任</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18"/>
          <w:szCs w:val="18"/>
        </w:rPr>
      </w:pPr>
    </w:p>
    <w:p>
      <w:pPr>
        <w:pStyle w:val="BodyText"/>
        <w:spacing w:line="453" w:lineRule="auto"/>
        <w:ind w:left="134" w:right="205" w:firstLine="420"/>
        <w:jc w:val="both"/>
      </w:pPr>
      <w:r>
        <w:rPr>
          <w:spacing w:val="-1"/>
        </w:rPr>
        <w:t>我们的责任是在实施审计工作的基础上对财务报表发表审计意见。我们按照中国注册会计师审计准则</w:t>
      </w:r>
      <w:r>
        <w:rPr/>
        <w:t> </w:t>
      </w:r>
      <w:r>
        <w:rPr>
          <w:spacing w:val="-1"/>
        </w:rPr>
        <w:t>的规定执行了审计工作。中国注册会计师审计准则要求我们遵守职业道德规范，计划和实施审计工作以对</w:t>
      </w:r>
      <w:r>
        <w:rPr>
          <w:spacing w:val="-81"/>
        </w:rPr>
        <w:t> </w:t>
      </w:r>
      <w:r>
        <w:rPr>
          <w:spacing w:val="-81"/>
        </w:rPr>
      </w:r>
      <w:r>
        <w:rPr/>
        <w:t>财务报表是否不存在重大错报获取合理保证。</w:t>
      </w:r>
    </w:p>
    <w:p>
      <w:pPr>
        <w:pStyle w:val="BodyText"/>
        <w:spacing w:line="453" w:lineRule="auto" w:before="59"/>
        <w:ind w:left="134" w:right="97" w:firstLine="420"/>
        <w:jc w:val="left"/>
      </w:pPr>
      <w:r>
        <w:rPr/>
        <w:t>审计工作涉及实施审计程序，以获取有关财务报表金额和披露的审计证据。选择的审计程序取决于注 册会计师的判断，包括对由于舞弊或错误导致的财务报表重大错报风险的评估。在进行风险评估时，我们 </w:t>
      </w:r>
      <w:r>
        <w:rPr>
          <w:spacing w:val="-3"/>
        </w:rPr>
        <w:t>考虑与财务报表编制相关的内部控制，以设计恰当的审计程序，但目的并非对内部控制的有效性发表意见。</w:t>
      </w:r>
      <w:r>
        <w:rPr>
          <w:spacing w:val="-92"/>
        </w:rPr>
        <w:t> </w:t>
      </w:r>
      <w:r>
        <w:rPr>
          <w:spacing w:val="-92"/>
        </w:rPr>
      </w:r>
      <w:r>
        <w:rPr/>
        <w:t>审计工作还包括评价管理层选用会计政策的恰当性和作出会计估计的合理性，以及评价财务报表的总体列</w:t>
      </w:r>
      <w:r>
        <w:rPr/>
        <w:t> 报。</w:t>
      </w:r>
    </w:p>
    <w:p>
      <w:pPr>
        <w:pStyle w:val="BodyText"/>
        <w:spacing w:line="240" w:lineRule="auto" w:before="58"/>
        <w:ind w:left="554" w:right="194"/>
        <w:jc w:val="left"/>
      </w:pPr>
      <w:r>
        <w:rPr/>
        <w:t>我们相信，我们获取的审计证据是充分、适当的，为发表审计意见提供了基础。</w:t>
      </w:r>
    </w:p>
    <w:p>
      <w:pPr>
        <w:spacing w:after="0" w:line="240" w:lineRule="auto"/>
        <w:jc w:val="left"/>
        <w:sectPr>
          <w:footerReference w:type="default" r:id="rId10"/>
          <w:pgSz w:w="11900" w:h="16840"/>
          <w:pgMar w:footer="982" w:header="0" w:top="740" w:bottom="1180" w:left="1000" w:right="920"/>
          <w:pgNumType w:start="1"/>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before="35"/>
        <w:ind w:left="526" w:right="96"/>
        <w:jc w:val="left"/>
        <w:rPr>
          <w:rFonts w:ascii="黑体" w:hAnsi="黑体" w:cs="黑体" w:eastAsia="黑体" w:hint="default"/>
        </w:rPr>
      </w:pPr>
      <w:r>
        <w:rPr>
          <w:rFonts w:ascii="黑体" w:hAnsi="黑体" w:cs="黑体" w:eastAsia="黑体" w:hint="default"/>
        </w:rPr>
        <w:t>三、审计意见</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15"/>
          <w:szCs w:val="15"/>
        </w:rPr>
      </w:pPr>
    </w:p>
    <w:p>
      <w:pPr>
        <w:pStyle w:val="BodyText"/>
        <w:spacing w:line="436" w:lineRule="auto"/>
        <w:ind w:left="113" w:right="96" w:firstLine="411"/>
        <w:jc w:val="left"/>
      </w:pPr>
      <w:r>
        <w:rPr/>
        <w:t>我们认为，鸿基集团公司财务报表已经按照企业会计准则的规定编制，在所有重大方面公允反映了鸿 基集团公司</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日合并及公司的财务状况以及</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年度合并及公司的经营成果和现金流量。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2"/>
          <w:szCs w:val="22"/>
        </w:rPr>
      </w:pPr>
    </w:p>
    <w:p>
      <w:pPr>
        <w:pStyle w:val="BodyText"/>
        <w:tabs>
          <w:tab w:pos="7949" w:val="left" w:leader="none"/>
        </w:tabs>
        <w:spacing w:line="240" w:lineRule="auto"/>
        <w:ind w:left="166" w:right="96"/>
        <w:jc w:val="left"/>
      </w:pPr>
      <w:r>
        <w:rPr/>
        <w:t>深圳市鹏城会计师事务所有限公司</w:t>
        <w:tab/>
        <w:t>中国注册会计师</w:t>
      </w:r>
    </w:p>
    <w:p>
      <w:pPr>
        <w:spacing w:line="240" w:lineRule="auto" w:before="11"/>
        <w:rPr>
          <w:rFonts w:ascii="宋体" w:hAnsi="宋体" w:cs="宋体" w:eastAsia="宋体" w:hint="default"/>
          <w:sz w:val="24"/>
          <w:szCs w:val="24"/>
        </w:rPr>
      </w:pPr>
    </w:p>
    <w:p>
      <w:pPr>
        <w:pStyle w:val="BodyText"/>
        <w:spacing w:line="240" w:lineRule="auto"/>
        <w:ind w:left="1168" w:right="96"/>
        <w:jc w:val="left"/>
      </w:pPr>
      <w:r>
        <w:rPr/>
        <w:t>中国 </w:t>
      </w:r>
      <w:r>
        <w:rPr>
          <w:rFonts w:ascii="Wingdings" w:hAnsi="Wingdings" w:cs="Wingdings" w:eastAsia="Wingdings" w:hint="default"/>
        </w:rPr>
        <w:t></w:t>
      </w:r>
      <w:r>
        <w:rPr>
          <w:rFonts w:ascii="Wingdings" w:hAnsi="Wingdings" w:cs="Wingdings" w:eastAsia="Wingdings" w:hint="default"/>
          <w:spacing w:val="-166"/>
        </w:rPr>
        <w:t></w:t>
      </w:r>
      <w:r>
        <w:rPr>
          <w:rFonts w:ascii="Times New Roman" w:hAnsi="Times New Roman" w:cs="Times New Roman" w:eastAsia="Times New Roman" w:hint="default"/>
          <w:spacing w:val="-166"/>
        </w:rPr>
      </w:r>
      <w:r>
        <w:rPr/>
        <w:t>深圳</w:t>
      </w:r>
    </w:p>
    <w:p>
      <w:pPr>
        <w:spacing w:line="240" w:lineRule="auto" w:before="0"/>
        <w:rPr>
          <w:rFonts w:ascii="宋体" w:hAnsi="宋体" w:cs="宋体" w:eastAsia="宋体" w:hint="default"/>
          <w:sz w:val="21"/>
          <w:szCs w:val="21"/>
        </w:rPr>
      </w:pPr>
    </w:p>
    <w:p>
      <w:pPr>
        <w:pStyle w:val="BodyText"/>
        <w:spacing w:line="240" w:lineRule="auto" w:before="35"/>
        <w:ind w:left="927" w:right="96"/>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w:t>
      </w:r>
    </w:p>
    <w:p>
      <w:pPr>
        <w:spacing w:line="20" w:lineRule="exact"/>
        <w:ind w:left="7576" w:right="0" w:firstLine="0"/>
        <w:rPr>
          <w:rFonts w:ascii="宋体" w:hAnsi="宋体" w:cs="宋体" w:eastAsia="宋体" w:hint="default"/>
          <w:sz w:val="2"/>
          <w:szCs w:val="2"/>
        </w:rPr>
      </w:pPr>
      <w:r>
        <w:rPr>
          <w:rFonts w:ascii="宋体" w:hAnsi="宋体" w:cs="宋体" w:eastAsia="宋体" w:hint="default"/>
          <w:sz w:val="2"/>
          <w:szCs w:val="2"/>
        </w:rPr>
        <w:pict>
          <v:group style="width:110.05pt;height:.5pt;mso-position-horizontal-relative:char;mso-position-vertical-relative:line" coordorigin="0,0" coordsize="2201,10">
            <v:group style="position:absolute;left:5;top:5;width:2192;height:2" coordorigin="5,5" coordsize="2192,2">
              <v:shape style="position:absolute;left:5;top:5;width:2192;height:2" coordorigin="5,5" coordsize="2192,0" path="m5,5l2196,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ind w:left="0" w:right="894"/>
        <w:jc w:val="right"/>
      </w:pPr>
      <w:r>
        <w:rPr/>
        <w:t>邱复先</w:t>
      </w:r>
    </w:p>
    <w:p>
      <w:pPr>
        <w:spacing w:line="240" w:lineRule="auto" w:before="2"/>
        <w:rPr>
          <w:rFonts w:ascii="宋体" w:hAnsi="宋体" w:cs="宋体" w:eastAsia="宋体" w:hint="default"/>
          <w:sz w:val="22"/>
          <w:szCs w:val="22"/>
        </w:rPr>
      </w:pPr>
    </w:p>
    <w:p>
      <w:pPr>
        <w:pStyle w:val="BodyText"/>
        <w:spacing w:line="240" w:lineRule="auto" w:before="35"/>
        <w:ind w:left="7930" w:right="440"/>
        <w:jc w:val="center"/>
      </w:pPr>
      <w:r>
        <w:rPr/>
        <w:t>中国注册会计师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line="20" w:lineRule="exact"/>
        <w:ind w:left="7576" w:right="0" w:firstLine="0"/>
        <w:rPr>
          <w:rFonts w:ascii="宋体" w:hAnsi="宋体" w:cs="宋体" w:eastAsia="宋体" w:hint="default"/>
          <w:sz w:val="2"/>
          <w:szCs w:val="2"/>
        </w:rPr>
      </w:pPr>
      <w:r>
        <w:rPr>
          <w:rFonts w:ascii="宋体" w:hAnsi="宋体" w:cs="宋体" w:eastAsia="宋体" w:hint="default"/>
          <w:sz w:val="2"/>
          <w:szCs w:val="2"/>
        </w:rPr>
        <w:pict>
          <v:group style="width:110.05pt;height:.5pt;mso-position-horizontal-relative:char;mso-position-vertical-relative:line" coordorigin="0,0" coordsize="2201,10">
            <v:group style="position:absolute;left:5;top:5;width:2192;height:2" coordorigin="5,5" coordsize="2192,2">
              <v:shape style="position:absolute;left:5;top:5;width:2192;height:2" coordorigin="5,5" coordsize="2192,0" path="m5,5l2196,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ind w:left="0" w:right="878"/>
        <w:jc w:val="right"/>
      </w:pPr>
      <w:r>
        <w:rPr/>
        <w:t>吴思伟</w:t>
      </w:r>
    </w:p>
    <w:p>
      <w:pPr>
        <w:spacing w:after="0" w:line="240" w:lineRule="auto"/>
        <w:jc w:val="right"/>
        <w:sectPr>
          <w:pgSz w:w="11900" w:h="16840"/>
          <w:pgMar w:header="0" w:footer="982" w:top="1600" w:bottom="1180" w:left="1020" w:right="1000"/>
        </w:sectPr>
      </w:pPr>
    </w:p>
    <w:p>
      <w:pPr>
        <w:pStyle w:val="Heading1"/>
        <w:spacing w:line="403" w:lineRule="exact"/>
        <w:ind w:left="82" w:right="58"/>
        <w:jc w:val="center"/>
      </w:pPr>
      <w:r>
        <w:rPr/>
        <w:t>合并资产负债表</w:t>
      </w:r>
    </w:p>
    <w:p>
      <w:pPr>
        <w:pStyle w:val="BodyText"/>
        <w:spacing w:line="287" w:lineRule="exact"/>
        <w:ind w:left="84" w:right="58"/>
        <w:jc w:val="center"/>
      </w:pP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12"/>
        <w:rPr>
          <w:rFonts w:ascii="宋体" w:hAnsi="宋体" w:cs="宋体" w:eastAsia="宋体" w:hint="default"/>
          <w:sz w:val="32"/>
          <w:szCs w:val="32"/>
        </w:rPr>
      </w:pPr>
    </w:p>
    <w:p>
      <w:pPr>
        <w:pStyle w:val="BodyText"/>
        <w:tabs>
          <w:tab w:pos="7348" w:val="left" w:leader="none"/>
        </w:tabs>
        <w:spacing w:line="240" w:lineRule="auto"/>
        <w:ind w:left="0" w:right="58"/>
        <w:jc w:val="center"/>
      </w:pPr>
      <w:r>
        <w:rPr/>
        <w:t>编制单位：深圳市鸿基（集团）股份有限公司</w:t>
        <w:tab/>
        <w:t>单位：元</w:t>
      </w:r>
      <w:r>
        <w:rPr>
          <w:spacing w:val="-4"/>
        </w:rPr>
        <w:t> </w:t>
      </w:r>
      <w:r>
        <w:rPr/>
        <w:t>币种：人民币</w:t>
      </w:r>
    </w:p>
    <w:tbl>
      <w:tblPr>
        <w:tblW w:w="0" w:type="auto"/>
        <w:jc w:val="left"/>
        <w:tblInd w:w="111" w:type="dxa"/>
        <w:tblLayout w:type="fixed"/>
        <w:tblCellMar>
          <w:top w:w="0" w:type="dxa"/>
          <w:left w:w="0" w:type="dxa"/>
          <w:bottom w:w="0" w:type="dxa"/>
          <w:right w:w="0" w:type="dxa"/>
        </w:tblCellMar>
        <w:tblLook w:val="01E0"/>
      </w:tblPr>
      <w:tblGrid>
        <w:gridCol w:w="3811"/>
        <w:gridCol w:w="991"/>
        <w:gridCol w:w="2534"/>
        <w:gridCol w:w="2532"/>
      </w:tblGrid>
      <w:tr>
        <w:trPr>
          <w:trHeight w:val="370" w:hRule="exact"/>
        </w:trPr>
        <w:tc>
          <w:tcPr>
            <w:tcW w:w="3811" w:type="dxa"/>
            <w:tcBorders>
              <w:top w:val="single" w:sz="16" w:space="0" w:color="000000"/>
              <w:left w:val="nil" w:sz="6" w:space="0" w:color="auto"/>
              <w:bottom w:val="single" w:sz="4" w:space="0" w:color="000000"/>
              <w:right w:val="single" w:sz="4" w:space="0" w:color="000000"/>
            </w:tcBorders>
          </w:tcPr>
          <w:p>
            <w:pPr>
              <w:pStyle w:val="TableParagraph"/>
              <w:spacing w:line="240" w:lineRule="auto" w:before="82"/>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82"/>
              <w:ind w:right="336"/>
              <w:jc w:val="right"/>
              <w:rPr>
                <w:rFonts w:ascii="宋体" w:hAnsi="宋体" w:cs="宋体" w:eastAsia="宋体" w:hint="default"/>
                <w:sz w:val="18"/>
                <w:szCs w:val="18"/>
              </w:rPr>
            </w:pPr>
            <w:r>
              <w:rPr>
                <w:rFonts w:ascii="宋体" w:hAnsi="宋体" w:cs="宋体" w:eastAsia="宋体" w:hint="default"/>
                <w:sz w:val="18"/>
                <w:szCs w:val="18"/>
              </w:rPr>
              <w:t>附注五</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90" w:hRule="exact"/>
        </w:trPr>
        <w:tc>
          <w:tcPr>
            <w:tcW w:w="3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534" w:type="dxa"/>
            <w:tcBorders>
              <w:top w:val="single" w:sz="4" w:space="0" w:color="000000"/>
              <w:left w:val="single" w:sz="4" w:space="0" w:color="000000"/>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nil" w:sz="6" w:space="0" w:color="auto"/>
            </w:tcBorders>
          </w:tcPr>
          <w:p>
            <w:pPr/>
          </w:p>
        </w:tc>
      </w:tr>
      <w:tr>
        <w:trPr>
          <w:trHeight w:val="390" w:hRule="exact"/>
        </w:trPr>
        <w:tc>
          <w:tcPr>
            <w:tcW w:w="3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311,616,036.56</w:t>
            </w:r>
          </w:p>
        </w:tc>
        <w:tc>
          <w:tcPr>
            <w:tcW w:w="2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136,065,939.67</w:t>
            </w:r>
          </w:p>
        </w:tc>
      </w:tr>
      <w:tr>
        <w:trPr>
          <w:trHeight w:val="390" w:hRule="exact"/>
        </w:trPr>
        <w:tc>
          <w:tcPr>
            <w:tcW w:w="3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2"/>
              <w:jc w:val="right"/>
              <w:rPr>
                <w:rFonts w:ascii="Times New Roman" w:hAnsi="Times New Roman" w:cs="Times New Roman" w:eastAsia="Times New Roman" w:hint="default"/>
                <w:sz w:val="18"/>
                <w:szCs w:val="18"/>
              </w:rPr>
            </w:pPr>
            <w:r>
              <w:rPr>
                <w:rFonts w:ascii="Times New Roman"/>
                <w:sz w:val="18"/>
              </w:rPr>
              <w:t>-</w:t>
            </w:r>
          </w:p>
        </w:tc>
        <w:tc>
          <w:tcPr>
            <w:tcW w:w="2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3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91" w:type="dxa"/>
            <w:tcBorders>
              <w:top w:val="single" w:sz="4" w:space="0" w:color="000000"/>
              <w:left w:val="single" w:sz="4" w:space="0" w:color="000000"/>
              <w:bottom w:val="single" w:sz="4" w:space="0" w:color="000000"/>
              <w:right w:val="single" w:sz="4" w:space="0" w:color="000000"/>
            </w:tcBorders>
          </w:tcPr>
          <w:p>
            <w:pP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2"/>
              <w:jc w:val="right"/>
              <w:rPr>
                <w:rFonts w:ascii="Times New Roman" w:hAnsi="Times New Roman" w:cs="Times New Roman" w:eastAsia="Times New Roman" w:hint="default"/>
                <w:sz w:val="18"/>
                <w:szCs w:val="18"/>
              </w:rPr>
            </w:pPr>
            <w:r>
              <w:rPr>
                <w:rFonts w:ascii="Times New Roman"/>
                <w:sz w:val="18"/>
              </w:rPr>
              <w:t>-</w:t>
            </w:r>
          </w:p>
        </w:tc>
        <w:tc>
          <w:tcPr>
            <w:tcW w:w="2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3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5,499,881.69</w:t>
            </w:r>
          </w:p>
        </w:tc>
        <w:tc>
          <w:tcPr>
            <w:tcW w:w="2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9,481,912.96</w:t>
            </w:r>
          </w:p>
        </w:tc>
      </w:tr>
      <w:tr>
        <w:trPr>
          <w:trHeight w:val="390" w:hRule="exact"/>
        </w:trPr>
        <w:tc>
          <w:tcPr>
            <w:tcW w:w="3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50,008,528.36</w:t>
            </w:r>
          </w:p>
        </w:tc>
        <w:tc>
          <w:tcPr>
            <w:tcW w:w="2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22,396,203.34</w:t>
            </w:r>
          </w:p>
        </w:tc>
      </w:tr>
      <w:tr>
        <w:trPr>
          <w:trHeight w:val="390" w:hRule="exact"/>
        </w:trPr>
        <w:tc>
          <w:tcPr>
            <w:tcW w:w="3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991" w:type="dxa"/>
            <w:tcBorders>
              <w:top w:val="single" w:sz="4" w:space="0" w:color="000000"/>
              <w:left w:val="single" w:sz="4" w:space="0" w:color="000000"/>
              <w:bottom w:val="single" w:sz="4" w:space="0" w:color="000000"/>
              <w:right w:val="single" w:sz="4" w:space="0" w:color="000000"/>
            </w:tcBorders>
          </w:tcPr>
          <w:p>
            <w:pP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2"/>
              <w:jc w:val="right"/>
              <w:rPr>
                <w:rFonts w:ascii="Times New Roman" w:hAnsi="Times New Roman" w:cs="Times New Roman" w:eastAsia="Times New Roman" w:hint="default"/>
                <w:sz w:val="18"/>
                <w:szCs w:val="18"/>
              </w:rPr>
            </w:pPr>
            <w:r>
              <w:rPr>
                <w:rFonts w:ascii="Times New Roman"/>
                <w:sz w:val="18"/>
              </w:rPr>
              <w:t>-</w:t>
            </w:r>
          </w:p>
        </w:tc>
        <w:tc>
          <w:tcPr>
            <w:tcW w:w="2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3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4,956,413.98</w:t>
            </w:r>
          </w:p>
        </w:tc>
        <w:tc>
          <w:tcPr>
            <w:tcW w:w="2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11,793,478.45</w:t>
            </w:r>
          </w:p>
        </w:tc>
      </w:tr>
      <w:tr>
        <w:trPr>
          <w:trHeight w:val="390" w:hRule="exact"/>
        </w:trPr>
        <w:tc>
          <w:tcPr>
            <w:tcW w:w="3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139,003,668.46</w:t>
            </w:r>
          </w:p>
        </w:tc>
        <w:tc>
          <w:tcPr>
            <w:tcW w:w="2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202,631,004.34</w:t>
            </w:r>
          </w:p>
        </w:tc>
      </w:tr>
      <w:tr>
        <w:trPr>
          <w:trHeight w:val="390" w:hRule="exact"/>
        </w:trPr>
        <w:tc>
          <w:tcPr>
            <w:tcW w:w="3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2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1,262,504,190.39</w:t>
            </w:r>
          </w:p>
        </w:tc>
        <w:tc>
          <w:tcPr>
            <w:tcW w:w="2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943,483,500.96</w:t>
            </w:r>
          </w:p>
        </w:tc>
      </w:tr>
      <w:tr>
        <w:trPr>
          <w:trHeight w:val="390" w:hRule="exact"/>
        </w:trPr>
        <w:tc>
          <w:tcPr>
            <w:tcW w:w="3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2"/>
              <w:jc w:val="right"/>
              <w:rPr>
                <w:rFonts w:ascii="Times New Roman" w:hAnsi="Times New Roman" w:cs="Times New Roman" w:eastAsia="Times New Roman" w:hint="default"/>
                <w:sz w:val="18"/>
                <w:szCs w:val="18"/>
              </w:rPr>
            </w:pPr>
            <w:r>
              <w:rPr>
                <w:rFonts w:ascii="Times New Roman"/>
                <w:sz w:val="18"/>
              </w:rPr>
              <w:t>-</w:t>
            </w:r>
          </w:p>
        </w:tc>
        <w:tc>
          <w:tcPr>
            <w:tcW w:w="2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3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2"/>
              <w:jc w:val="right"/>
              <w:rPr>
                <w:rFonts w:ascii="Times New Roman" w:hAnsi="Times New Roman" w:cs="Times New Roman" w:eastAsia="Times New Roman" w:hint="default"/>
                <w:sz w:val="18"/>
                <w:szCs w:val="18"/>
              </w:rPr>
            </w:pPr>
            <w:r>
              <w:rPr>
                <w:rFonts w:ascii="Times New Roman"/>
                <w:sz w:val="18"/>
              </w:rPr>
              <w:t>-</w:t>
            </w:r>
          </w:p>
        </w:tc>
        <w:tc>
          <w:tcPr>
            <w:tcW w:w="2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3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1,773,588,719.44</w:t>
            </w:r>
          </w:p>
        </w:tc>
        <w:tc>
          <w:tcPr>
            <w:tcW w:w="2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1,325,852,039.72</w:t>
            </w:r>
          </w:p>
        </w:tc>
      </w:tr>
      <w:tr>
        <w:trPr>
          <w:trHeight w:val="390" w:hRule="exact"/>
        </w:trPr>
        <w:tc>
          <w:tcPr>
            <w:tcW w:w="3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534" w:type="dxa"/>
            <w:tcBorders>
              <w:top w:val="single" w:sz="4" w:space="0" w:color="000000"/>
              <w:left w:val="single" w:sz="4" w:space="0" w:color="000000"/>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nil" w:sz="6" w:space="0" w:color="auto"/>
            </w:tcBorders>
          </w:tcPr>
          <w:p>
            <w:pPr/>
          </w:p>
        </w:tc>
      </w:tr>
      <w:tr>
        <w:trPr>
          <w:trHeight w:val="390" w:hRule="exact"/>
        </w:trPr>
        <w:tc>
          <w:tcPr>
            <w:tcW w:w="3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39,034,475.45</w:t>
            </w:r>
          </w:p>
        </w:tc>
        <w:tc>
          <w:tcPr>
            <w:tcW w:w="2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22,240,000.00</w:t>
            </w:r>
          </w:p>
        </w:tc>
      </w:tr>
      <w:tr>
        <w:trPr>
          <w:trHeight w:val="390" w:hRule="exact"/>
        </w:trPr>
        <w:tc>
          <w:tcPr>
            <w:tcW w:w="3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991" w:type="dxa"/>
            <w:tcBorders>
              <w:top w:val="single" w:sz="4" w:space="0" w:color="000000"/>
              <w:left w:val="single" w:sz="4" w:space="0" w:color="000000"/>
              <w:bottom w:val="single" w:sz="4" w:space="0" w:color="000000"/>
              <w:right w:val="single" w:sz="4" w:space="0" w:color="000000"/>
            </w:tcBorders>
          </w:tcPr>
          <w:p>
            <w:pP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2"/>
              <w:jc w:val="right"/>
              <w:rPr>
                <w:rFonts w:ascii="Times New Roman" w:hAnsi="Times New Roman" w:cs="Times New Roman" w:eastAsia="Times New Roman" w:hint="default"/>
                <w:sz w:val="18"/>
                <w:szCs w:val="18"/>
              </w:rPr>
            </w:pPr>
            <w:r>
              <w:rPr>
                <w:rFonts w:ascii="Times New Roman"/>
                <w:sz w:val="18"/>
              </w:rPr>
              <w:t>-</w:t>
            </w:r>
          </w:p>
        </w:tc>
        <w:tc>
          <w:tcPr>
            <w:tcW w:w="2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3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2"/>
              <w:jc w:val="right"/>
              <w:rPr>
                <w:rFonts w:ascii="Times New Roman" w:hAnsi="Times New Roman" w:cs="Times New Roman" w:eastAsia="Times New Roman" w:hint="default"/>
                <w:sz w:val="18"/>
                <w:szCs w:val="18"/>
              </w:rPr>
            </w:pPr>
            <w:r>
              <w:rPr>
                <w:rFonts w:ascii="Times New Roman"/>
                <w:sz w:val="18"/>
              </w:rPr>
              <w:t>-</w:t>
            </w:r>
          </w:p>
        </w:tc>
        <w:tc>
          <w:tcPr>
            <w:tcW w:w="2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3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30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46,074,337.41</w:t>
            </w:r>
          </w:p>
        </w:tc>
        <w:tc>
          <w:tcPr>
            <w:tcW w:w="2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49,792,019.67</w:t>
            </w:r>
          </w:p>
        </w:tc>
      </w:tr>
      <w:tr>
        <w:trPr>
          <w:trHeight w:val="390" w:hRule="exact"/>
        </w:trPr>
        <w:tc>
          <w:tcPr>
            <w:tcW w:w="3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547,144,405.47</w:t>
            </w:r>
          </w:p>
        </w:tc>
        <w:tc>
          <w:tcPr>
            <w:tcW w:w="2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441,355,702.25</w:t>
            </w:r>
          </w:p>
        </w:tc>
      </w:tr>
      <w:tr>
        <w:trPr>
          <w:trHeight w:val="390" w:hRule="exact"/>
        </w:trPr>
        <w:tc>
          <w:tcPr>
            <w:tcW w:w="3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203,275,804.86</w:t>
            </w:r>
          </w:p>
        </w:tc>
        <w:tc>
          <w:tcPr>
            <w:tcW w:w="2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233,722,763.29</w:t>
            </w:r>
          </w:p>
        </w:tc>
      </w:tr>
      <w:tr>
        <w:trPr>
          <w:trHeight w:val="390" w:hRule="exact"/>
        </w:trPr>
        <w:tc>
          <w:tcPr>
            <w:tcW w:w="3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1"/>
              <w:jc w:val="right"/>
              <w:rPr>
                <w:rFonts w:ascii="Times New Roman" w:hAnsi="Times New Roman" w:cs="Times New Roman" w:eastAsia="Times New Roman" w:hint="default"/>
                <w:sz w:val="18"/>
                <w:szCs w:val="18"/>
              </w:rPr>
            </w:pPr>
            <w:r>
              <w:rPr>
                <w:rFonts w:ascii="Times New Roman"/>
                <w:sz w:val="18"/>
              </w:rPr>
              <w:t>-</w:t>
            </w:r>
          </w:p>
        </w:tc>
        <w:tc>
          <w:tcPr>
            <w:tcW w:w="2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185,800.00</w:t>
            </w:r>
          </w:p>
        </w:tc>
      </w:tr>
      <w:tr>
        <w:trPr>
          <w:trHeight w:val="390" w:hRule="exact"/>
        </w:trPr>
        <w:tc>
          <w:tcPr>
            <w:tcW w:w="3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991" w:type="dxa"/>
            <w:tcBorders>
              <w:top w:val="single" w:sz="4" w:space="0" w:color="000000"/>
              <w:left w:val="single" w:sz="4" w:space="0" w:color="000000"/>
              <w:bottom w:val="single" w:sz="4" w:space="0" w:color="000000"/>
              <w:right w:val="single" w:sz="4" w:space="0" w:color="000000"/>
            </w:tcBorders>
          </w:tcPr>
          <w:p>
            <w:pP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2"/>
              <w:jc w:val="right"/>
              <w:rPr>
                <w:rFonts w:ascii="Times New Roman" w:hAnsi="Times New Roman" w:cs="Times New Roman" w:eastAsia="Times New Roman" w:hint="default"/>
                <w:sz w:val="18"/>
                <w:szCs w:val="18"/>
              </w:rPr>
            </w:pPr>
            <w:r>
              <w:rPr>
                <w:rFonts w:ascii="Times New Roman"/>
                <w:sz w:val="18"/>
              </w:rPr>
              <w:t>-</w:t>
            </w:r>
          </w:p>
        </w:tc>
        <w:tc>
          <w:tcPr>
            <w:tcW w:w="2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3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2"/>
              <w:jc w:val="right"/>
              <w:rPr>
                <w:rFonts w:ascii="Times New Roman" w:hAnsi="Times New Roman" w:cs="Times New Roman" w:eastAsia="Times New Roman" w:hint="default"/>
                <w:sz w:val="18"/>
                <w:szCs w:val="18"/>
              </w:rPr>
            </w:pPr>
            <w:r>
              <w:rPr>
                <w:rFonts w:ascii="Times New Roman"/>
                <w:sz w:val="18"/>
              </w:rPr>
              <w:t>-</w:t>
            </w:r>
          </w:p>
        </w:tc>
        <w:tc>
          <w:tcPr>
            <w:tcW w:w="2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3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156,749,313.32</w:t>
            </w:r>
          </w:p>
        </w:tc>
        <w:tc>
          <w:tcPr>
            <w:tcW w:w="2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178,848,671.97</w:t>
            </w:r>
          </w:p>
        </w:tc>
      </w:tr>
      <w:tr>
        <w:trPr>
          <w:trHeight w:val="390" w:hRule="exact"/>
        </w:trPr>
        <w:tc>
          <w:tcPr>
            <w:tcW w:w="3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991" w:type="dxa"/>
            <w:tcBorders>
              <w:top w:val="single" w:sz="4" w:space="0" w:color="000000"/>
              <w:left w:val="single" w:sz="4" w:space="0" w:color="000000"/>
              <w:bottom w:val="single" w:sz="4" w:space="0" w:color="000000"/>
              <w:right w:val="single" w:sz="4" w:space="0" w:color="000000"/>
            </w:tcBorders>
          </w:tcPr>
          <w:p>
            <w:pP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2"/>
              <w:jc w:val="right"/>
              <w:rPr>
                <w:rFonts w:ascii="Times New Roman" w:hAnsi="Times New Roman" w:cs="Times New Roman" w:eastAsia="Times New Roman" w:hint="default"/>
                <w:sz w:val="18"/>
                <w:szCs w:val="18"/>
              </w:rPr>
            </w:pPr>
            <w:r>
              <w:rPr>
                <w:rFonts w:ascii="Times New Roman"/>
                <w:sz w:val="18"/>
              </w:rPr>
              <w:t>-</w:t>
            </w:r>
          </w:p>
        </w:tc>
        <w:tc>
          <w:tcPr>
            <w:tcW w:w="2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3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1"/>
              <w:jc w:val="right"/>
              <w:rPr>
                <w:rFonts w:ascii="Times New Roman" w:hAnsi="Times New Roman" w:cs="Times New Roman" w:eastAsia="Times New Roman" w:hint="default"/>
                <w:sz w:val="18"/>
                <w:szCs w:val="18"/>
              </w:rPr>
            </w:pPr>
            <w:r>
              <w:rPr>
                <w:rFonts w:ascii="Times New Roman"/>
                <w:sz w:val="18"/>
              </w:rPr>
              <w:t>-</w:t>
            </w:r>
          </w:p>
        </w:tc>
        <w:tc>
          <w:tcPr>
            <w:tcW w:w="2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31,838,360.93</w:t>
            </w:r>
          </w:p>
        </w:tc>
      </w:tr>
      <w:tr>
        <w:trPr>
          <w:trHeight w:val="390" w:hRule="exact"/>
        </w:trPr>
        <w:tc>
          <w:tcPr>
            <w:tcW w:w="3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3,677,299.32</w:t>
            </w:r>
          </w:p>
        </w:tc>
        <w:tc>
          <w:tcPr>
            <w:tcW w:w="2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8,803,937.09</w:t>
            </w:r>
          </w:p>
        </w:tc>
      </w:tr>
      <w:tr>
        <w:trPr>
          <w:trHeight w:val="390" w:hRule="exact"/>
        </w:trPr>
        <w:tc>
          <w:tcPr>
            <w:tcW w:w="3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60,400,438.29</w:t>
            </w:r>
          </w:p>
        </w:tc>
        <w:tc>
          <w:tcPr>
            <w:tcW w:w="2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61,858,051.08</w:t>
            </w:r>
          </w:p>
        </w:tc>
      </w:tr>
      <w:tr>
        <w:trPr>
          <w:trHeight w:val="390" w:hRule="exact"/>
        </w:trPr>
        <w:tc>
          <w:tcPr>
            <w:tcW w:w="3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1,849,717.20</w:t>
            </w:r>
          </w:p>
        </w:tc>
        <w:tc>
          <w:tcPr>
            <w:tcW w:w="2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3,593,671.85</w:t>
            </w:r>
          </w:p>
        </w:tc>
      </w:tr>
      <w:tr>
        <w:trPr>
          <w:trHeight w:val="390" w:hRule="exact"/>
        </w:trPr>
        <w:tc>
          <w:tcPr>
            <w:tcW w:w="3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1,058,205,791.32</w:t>
            </w:r>
          </w:p>
        </w:tc>
        <w:tc>
          <w:tcPr>
            <w:tcW w:w="2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1,032,238,978.13</w:t>
            </w:r>
          </w:p>
        </w:tc>
      </w:tr>
      <w:tr>
        <w:trPr>
          <w:trHeight w:val="391" w:hRule="exact"/>
        </w:trPr>
        <w:tc>
          <w:tcPr>
            <w:tcW w:w="3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2,831,794,510.76</w:t>
            </w:r>
          </w:p>
        </w:tc>
        <w:tc>
          <w:tcPr>
            <w:tcW w:w="2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2,358,091,017.85</w:t>
            </w:r>
          </w:p>
        </w:tc>
      </w:tr>
    </w:tbl>
    <w:p>
      <w:pPr>
        <w:spacing w:after="0" w:line="240" w:lineRule="auto"/>
        <w:jc w:val="right"/>
        <w:rPr>
          <w:rFonts w:ascii="Times New Roman" w:hAnsi="Times New Roman" w:cs="Times New Roman" w:eastAsia="Times New Roman" w:hint="default"/>
          <w:sz w:val="18"/>
          <w:szCs w:val="18"/>
        </w:rPr>
        <w:sectPr>
          <w:footerReference w:type="default" r:id="rId11"/>
          <w:pgSz w:w="11900" w:h="16840"/>
          <w:pgMar w:footer="1333" w:header="0" w:top="1060" w:bottom="1520" w:left="880" w:right="900"/>
          <w:pgNumType w:start="3"/>
        </w:sectPr>
      </w:pPr>
    </w:p>
    <w:p>
      <w:pPr>
        <w:pStyle w:val="Heading1"/>
        <w:spacing w:line="407" w:lineRule="exact"/>
        <w:ind w:left="186" w:right="62"/>
        <w:jc w:val="center"/>
      </w:pPr>
      <w:r>
        <w:rPr/>
        <w:t>合并资产负债表（续）</w:t>
      </w:r>
    </w:p>
    <w:p>
      <w:pPr>
        <w:pStyle w:val="BodyText"/>
        <w:spacing w:line="240" w:lineRule="auto" w:before="69"/>
        <w:ind w:left="188" w:right="62"/>
        <w:jc w:val="center"/>
      </w:pP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p>
    <w:p>
      <w:pPr>
        <w:pStyle w:val="BodyText"/>
        <w:tabs>
          <w:tab w:pos="7244" w:val="left" w:leader="none"/>
        </w:tabs>
        <w:spacing w:line="240" w:lineRule="auto" w:before="152"/>
        <w:ind w:left="0" w:right="62"/>
        <w:jc w:val="center"/>
      </w:pPr>
      <w:r>
        <w:rPr/>
        <w:t>编制单位：深圳市鸿基（集团）股份有限公司</w:t>
        <w:tab/>
        <w:t>单位：元</w:t>
      </w:r>
      <w:r>
        <w:rPr>
          <w:spacing w:val="-4"/>
        </w:rPr>
        <w:t> </w:t>
      </w:r>
      <w:r>
        <w:rPr/>
        <w:t>币种：人民币</w:t>
      </w:r>
    </w:p>
    <w:tbl>
      <w:tblPr>
        <w:tblW w:w="0" w:type="auto"/>
        <w:jc w:val="left"/>
        <w:tblInd w:w="111" w:type="dxa"/>
        <w:tblLayout w:type="fixed"/>
        <w:tblCellMar>
          <w:top w:w="0" w:type="dxa"/>
          <w:left w:w="0" w:type="dxa"/>
          <w:bottom w:w="0" w:type="dxa"/>
          <w:right w:w="0" w:type="dxa"/>
        </w:tblCellMar>
        <w:tblLook w:val="01E0"/>
      </w:tblPr>
      <w:tblGrid>
        <w:gridCol w:w="3809"/>
        <w:gridCol w:w="991"/>
        <w:gridCol w:w="2483"/>
        <w:gridCol w:w="2479"/>
      </w:tblGrid>
      <w:tr>
        <w:trPr>
          <w:trHeight w:val="370" w:hRule="exact"/>
        </w:trPr>
        <w:tc>
          <w:tcPr>
            <w:tcW w:w="3809" w:type="dxa"/>
            <w:tcBorders>
              <w:top w:val="single" w:sz="16" w:space="0" w:color="000000"/>
              <w:left w:val="nil" w:sz="6" w:space="0" w:color="auto"/>
              <w:bottom w:val="single" w:sz="4" w:space="0" w:color="000000"/>
              <w:right w:val="single" w:sz="4" w:space="0" w:color="000000"/>
            </w:tcBorders>
          </w:tcPr>
          <w:p>
            <w:pPr>
              <w:pStyle w:val="TableParagraph"/>
              <w:spacing w:line="240" w:lineRule="auto" w:before="82"/>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1"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91"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19</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354,400,000.00</w:t>
            </w: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363,709,950.00</w:t>
            </w:r>
          </w:p>
        </w:tc>
      </w:tr>
      <w:tr>
        <w:trPr>
          <w:trHeight w:val="370"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91"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69"/>
              <w:jc w:val="right"/>
              <w:rPr>
                <w:rFonts w:ascii="Times New Roman" w:hAnsi="Times New Roman" w:cs="Times New Roman" w:eastAsia="Times New Roman" w:hint="default"/>
                <w:sz w:val="18"/>
                <w:szCs w:val="18"/>
              </w:rPr>
            </w:pPr>
            <w:r>
              <w:rPr>
                <w:rFonts w:ascii="Times New Roman"/>
                <w:sz w:val="18"/>
              </w:rPr>
              <w:t>-</w:t>
            </w: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70"/>
              <w:jc w:val="right"/>
              <w:rPr>
                <w:rFonts w:ascii="Times New Roman" w:hAnsi="Times New Roman" w:cs="Times New Roman" w:eastAsia="Times New Roman" w:hint="default"/>
                <w:sz w:val="18"/>
                <w:szCs w:val="18"/>
              </w:rPr>
            </w:pPr>
            <w:r>
              <w:rPr>
                <w:rFonts w:ascii="Times New Roman"/>
                <w:sz w:val="18"/>
              </w:rPr>
              <w:t>-</w:t>
            </w:r>
          </w:p>
        </w:tc>
      </w:tr>
      <w:tr>
        <w:trPr>
          <w:trHeight w:val="371"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20</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pacing w:val="-1"/>
                <w:sz w:val="18"/>
              </w:rPr>
              <w:t>97,661,206.90</w:t>
            </w: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141,076,908.69</w:t>
            </w:r>
          </w:p>
        </w:tc>
      </w:tr>
      <w:tr>
        <w:trPr>
          <w:trHeight w:val="370"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21</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696,791,760.97</w:t>
            </w: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30,046,145.69</w:t>
            </w:r>
          </w:p>
        </w:tc>
      </w:tr>
      <w:tr>
        <w:trPr>
          <w:trHeight w:val="370"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22</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pacing w:val="-1"/>
                <w:sz w:val="18"/>
              </w:rPr>
              <w:t>20,259,493.96</w:t>
            </w: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18,443,901.73</w:t>
            </w:r>
          </w:p>
        </w:tc>
      </w:tr>
      <w:tr>
        <w:trPr>
          <w:trHeight w:val="371"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23</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pacing w:val="-1"/>
                <w:sz w:val="18"/>
              </w:rPr>
              <w:t>24,348,863.10</w:t>
            </w: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18,700,320.49</w:t>
            </w:r>
          </w:p>
        </w:tc>
      </w:tr>
      <w:tr>
        <w:trPr>
          <w:trHeight w:val="370"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24</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z w:val="18"/>
              </w:rPr>
              <w:t>960,933.70</w:t>
            </w: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4"/>
              <w:jc w:val="right"/>
              <w:rPr>
                <w:rFonts w:ascii="Times New Roman" w:hAnsi="Times New Roman" w:cs="Times New Roman" w:eastAsia="Times New Roman" w:hint="default"/>
                <w:sz w:val="18"/>
                <w:szCs w:val="18"/>
              </w:rPr>
            </w:pPr>
            <w:r>
              <w:rPr>
                <w:rFonts w:ascii="Times New Roman"/>
                <w:sz w:val="18"/>
              </w:rPr>
              <w:t>972,578.93</w:t>
            </w:r>
          </w:p>
        </w:tc>
      </w:tr>
      <w:tr>
        <w:trPr>
          <w:trHeight w:val="370"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25</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pacing w:val="-1"/>
                <w:sz w:val="18"/>
              </w:rPr>
              <w:t>1,786,039.81</w:t>
            </w: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1,786,039.81</w:t>
            </w:r>
          </w:p>
        </w:tc>
      </w:tr>
      <w:tr>
        <w:trPr>
          <w:trHeight w:val="371"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26</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164,863,098.76</w:t>
            </w: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359,357,329.71</w:t>
            </w:r>
          </w:p>
        </w:tc>
      </w:tr>
      <w:tr>
        <w:trPr>
          <w:trHeight w:val="370"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27</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pacing w:val="-1"/>
                <w:sz w:val="18"/>
              </w:rPr>
              <w:t>30,000,000.00</w:t>
            </w: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78,200,257.10</w:t>
            </w:r>
          </w:p>
        </w:tc>
      </w:tr>
      <w:tr>
        <w:trPr>
          <w:trHeight w:val="370"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991"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69"/>
              <w:jc w:val="right"/>
              <w:rPr>
                <w:rFonts w:ascii="Times New Roman" w:hAnsi="Times New Roman" w:cs="Times New Roman" w:eastAsia="Times New Roman" w:hint="default"/>
                <w:sz w:val="18"/>
                <w:szCs w:val="18"/>
              </w:rPr>
            </w:pPr>
            <w:r>
              <w:rPr>
                <w:rFonts w:ascii="Times New Roman"/>
                <w:sz w:val="18"/>
              </w:rPr>
              <w:t>-</w:t>
            </w: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70"/>
              <w:jc w:val="right"/>
              <w:rPr>
                <w:rFonts w:ascii="Times New Roman" w:hAnsi="Times New Roman" w:cs="Times New Roman" w:eastAsia="Times New Roman" w:hint="default"/>
                <w:sz w:val="18"/>
                <w:szCs w:val="18"/>
              </w:rPr>
            </w:pPr>
            <w:r>
              <w:rPr>
                <w:rFonts w:ascii="Times New Roman"/>
                <w:sz w:val="18"/>
              </w:rPr>
              <w:t>-</w:t>
            </w:r>
          </w:p>
        </w:tc>
      </w:tr>
      <w:tr>
        <w:trPr>
          <w:trHeight w:val="371"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pacing w:val="-1"/>
                <w:sz w:val="18"/>
              </w:rPr>
              <w:t>1,391,071,397.20</w:t>
            </w: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1,012,293,432.15</w:t>
            </w:r>
          </w:p>
        </w:tc>
      </w:tr>
      <w:tr>
        <w:trPr>
          <w:trHeight w:val="370"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991"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28</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340,000,000.00</w:t>
            </w: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288,349,755.97</w:t>
            </w:r>
          </w:p>
        </w:tc>
      </w:tr>
      <w:tr>
        <w:trPr>
          <w:trHeight w:val="371"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29</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pacing w:val="-1"/>
                <w:sz w:val="18"/>
              </w:rPr>
              <w:t>63,463,500.00</w:t>
            </w: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68,131,200.00</w:t>
            </w:r>
          </w:p>
        </w:tc>
      </w:tr>
      <w:tr>
        <w:trPr>
          <w:trHeight w:val="370"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991"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69"/>
              <w:jc w:val="right"/>
              <w:rPr>
                <w:rFonts w:ascii="Times New Roman" w:hAnsi="Times New Roman" w:cs="Times New Roman" w:eastAsia="Times New Roman" w:hint="default"/>
                <w:sz w:val="18"/>
                <w:szCs w:val="18"/>
              </w:rPr>
            </w:pPr>
            <w:r>
              <w:rPr>
                <w:rFonts w:ascii="Times New Roman"/>
                <w:sz w:val="18"/>
              </w:rPr>
              <w:t>-</w:t>
            </w: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70"/>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16</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pacing w:val="-1"/>
                <w:sz w:val="18"/>
              </w:rPr>
              <w:t>8,161,169.27</w:t>
            </w: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3,948,800.00</w:t>
            </w:r>
          </w:p>
        </w:tc>
      </w:tr>
      <w:tr>
        <w:trPr>
          <w:trHeight w:val="371"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30</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pacing w:val="-1"/>
                <w:sz w:val="18"/>
              </w:rPr>
              <w:t>12,765,165.15</w:t>
            </w: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30,329,473.22</w:t>
            </w:r>
          </w:p>
        </w:tc>
      </w:tr>
      <w:tr>
        <w:trPr>
          <w:trHeight w:val="370"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424,389,834.42</w:t>
            </w: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390,759,229.19</w:t>
            </w:r>
          </w:p>
        </w:tc>
      </w:tr>
      <w:tr>
        <w:trPr>
          <w:trHeight w:val="370"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pacing w:val="-1"/>
                <w:sz w:val="18"/>
              </w:rPr>
              <w:t>1,815,461,231.62</w:t>
            </w: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1,403,052,661.34</w:t>
            </w:r>
          </w:p>
        </w:tc>
      </w:tr>
      <w:tr>
        <w:trPr>
          <w:trHeight w:val="371"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31</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469,593,364.00</w:t>
            </w: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469,593,364.00</w:t>
            </w:r>
          </w:p>
        </w:tc>
      </w:tr>
      <w:tr>
        <w:trPr>
          <w:trHeight w:val="370"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32</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498,608,202.99</w:t>
            </w: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485,468,348.31</w:t>
            </w:r>
          </w:p>
        </w:tc>
      </w:tr>
      <w:tr>
        <w:trPr>
          <w:trHeight w:val="371"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1"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69"/>
              <w:jc w:val="right"/>
              <w:rPr>
                <w:rFonts w:ascii="Times New Roman" w:hAnsi="Times New Roman" w:cs="Times New Roman" w:eastAsia="Times New Roman" w:hint="default"/>
                <w:sz w:val="18"/>
                <w:szCs w:val="18"/>
              </w:rPr>
            </w:pPr>
            <w:r>
              <w:rPr>
                <w:rFonts w:ascii="Times New Roman"/>
                <w:sz w:val="18"/>
              </w:rPr>
              <w:t>-</w:t>
            </w: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70"/>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33</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212,430,339.50</w:t>
            </w: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212,430,339.50</w:t>
            </w:r>
          </w:p>
        </w:tc>
      </w:tr>
      <w:tr>
        <w:trPr>
          <w:trHeight w:val="370"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34</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-278,684,580.54</w:t>
            </w: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-343,040,963.43</w:t>
            </w:r>
          </w:p>
        </w:tc>
      </w:tr>
      <w:tr>
        <w:trPr>
          <w:trHeight w:val="371"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69"/>
              <w:jc w:val="right"/>
              <w:rPr>
                <w:rFonts w:ascii="Times New Roman" w:hAnsi="Times New Roman" w:cs="Times New Roman" w:eastAsia="Times New Roman" w:hint="default"/>
                <w:sz w:val="18"/>
                <w:szCs w:val="18"/>
              </w:rPr>
            </w:pPr>
            <w:r>
              <w:rPr>
                <w:rFonts w:ascii="Times New Roman"/>
                <w:sz w:val="18"/>
              </w:rPr>
              <w:t>-</w:t>
            </w: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70"/>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901,947,325.95</w:t>
            </w: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824,451,088.38</w:t>
            </w:r>
          </w:p>
        </w:tc>
      </w:tr>
      <w:tr>
        <w:trPr>
          <w:trHeight w:val="370"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991"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114,385,953.19</w:t>
            </w: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130,587,268.13</w:t>
            </w:r>
          </w:p>
        </w:tc>
      </w:tr>
      <w:tr>
        <w:trPr>
          <w:trHeight w:val="371"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pacing w:val="-1"/>
                <w:sz w:val="18"/>
              </w:rPr>
              <w:t>1,016,333,279.14</w:t>
            </w: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955,038,356.51</w:t>
            </w:r>
          </w:p>
        </w:tc>
      </w:tr>
      <w:tr>
        <w:trPr>
          <w:trHeight w:val="370"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pacing w:val="-1"/>
                <w:sz w:val="18"/>
              </w:rPr>
              <w:t>2,831,794,510.76</w:t>
            </w:r>
          </w:p>
        </w:tc>
        <w:tc>
          <w:tcPr>
            <w:tcW w:w="2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2,358,091,017.85</w:t>
            </w:r>
          </w:p>
        </w:tc>
      </w:tr>
    </w:tbl>
    <w:p>
      <w:pPr>
        <w:spacing w:after="0" w:line="240" w:lineRule="auto"/>
        <w:jc w:val="right"/>
        <w:rPr>
          <w:rFonts w:ascii="Times New Roman" w:hAnsi="Times New Roman" w:cs="Times New Roman" w:eastAsia="Times New Roman" w:hint="default"/>
          <w:sz w:val="18"/>
          <w:szCs w:val="18"/>
        </w:rPr>
        <w:sectPr>
          <w:pgSz w:w="11900" w:h="16840"/>
          <w:pgMar w:header="0" w:footer="1333" w:top="1060" w:bottom="1600" w:left="880" w:right="1000"/>
        </w:sectPr>
      </w:pPr>
    </w:p>
    <w:p>
      <w:pPr>
        <w:pStyle w:val="Heading1"/>
        <w:spacing w:line="399" w:lineRule="exact"/>
        <w:ind w:left="188" w:right="62"/>
        <w:jc w:val="center"/>
      </w:pPr>
      <w:r>
        <w:rPr/>
        <w:t>母公司资产负债表</w:t>
      </w:r>
    </w:p>
    <w:p>
      <w:pPr>
        <w:pStyle w:val="BodyText"/>
        <w:spacing w:line="240" w:lineRule="auto" w:before="109"/>
        <w:ind w:left="188" w:right="62"/>
        <w:jc w:val="center"/>
      </w:pP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5"/>
          <w:szCs w:val="15"/>
        </w:rPr>
      </w:pPr>
    </w:p>
    <w:p>
      <w:pPr>
        <w:pStyle w:val="BodyText"/>
        <w:tabs>
          <w:tab w:pos="7388" w:val="left" w:leader="none"/>
        </w:tabs>
        <w:spacing w:line="240" w:lineRule="auto"/>
        <w:ind w:left="39" w:right="0"/>
        <w:jc w:val="center"/>
      </w:pPr>
      <w:r>
        <w:rPr/>
        <w:t>编制单位：深圳市鸿基（集团）股份有限公司</w:t>
        <w:tab/>
        <w:t>单位：元</w:t>
      </w:r>
      <w:r>
        <w:rPr>
          <w:spacing w:val="-4"/>
        </w:rPr>
        <w:t> </w:t>
      </w:r>
      <w:r>
        <w:rPr/>
        <w:t>币种：人民币</w:t>
      </w:r>
    </w:p>
    <w:tbl>
      <w:tblPr>
        <w:tblW w:w="0" w:type="auto"/>
        <w:jc w:val="left"/>
        <w:tblInd w:w="111" w:type="dxa"/>
        <w:tblLayout w:type="fixed"/>
        <w:tblCellMar>
          <w:top w:w="0" w:type="dxa"/>
          <w:left w:w="0" w:type="dxa"/>
          <w:bottom w:w="0" w:type="dxa"/>
          <w:right w:w="0" w:type="dxa"/>
        </w:tblCellMar>
        <w:tblLook w:val="01E0"/>
      </w:tblPr>
      <w:tblGrid>
        <w:gridCol w:w="3950"/>
        <w:gridCol w:w="992"/>
        <w:gridCol w:w="2410"/>
        <w:gridCol w:w="2410"/>
      </w:tblGrid>
      <w:tr>
        <w:trPr>
          <w:trHeight w:val="370" w:hRule="exact"/>
        </w:trPr>
        <w:tc>
          <w:tcPr>
            <w:tcW w:w="3950" w:type="dxa"/>
            <w:tcBorders>
              <w:top w:val="single" w:sz="16" w:space="0" w:color="000000"/>
              <w:left w:val="nil" w:sz="6" w:space="0" w:color="auto"/>
              <w:bottom w:val="single" w:sz="4" w:space="0" w:color="000000"/>
              <w:right w:val="single" w:sz="4" w:space="0" w:color="000000"/>
            </w:tcBorders>
          </w:tcPr>
          <w:p>
            <w:pPr>
              <w:pStyle w:val="TableParagraph"/>
              <w:spacing w:line="240" w:lineRule="auto" w:before="82"/>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2"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附注十一</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1"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36,142,213.83</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6"/>
              <w:jc w:val="right"/>
              <w:rPr>
                <w:rFonts w:ascii="Times New Roman" w:hAnsi="Times New Roman" w:cs="Times New Roman" w:eastAsia="Times New Roman" w:hint="default"/>
                <w:sz w:val="18"/>
                <w:szCs w:val="18"/>
              </w:rPr>
            </w:pPr>
            <w:r>
              <w:rPr>
                <w:rFonts w:ascii="Times New Roman"/>
                <w:spacing w:val="-1"/>
                <w:sz w:val="18"/>
              </w:rPr>
              <w:t>6,316,110.85</w:t>
            </w:r>
          </w:p>
        </w:tc>
      </w:tr>
      <w:tr>
        <w:trPr>
          <w:trHeight w:val="380"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2"/>
              <w:jc w:val="right"/>
              <w:rPr>
                <w:rFonts w:ascii="Times New Roman" w:hAnsi="Times New Roman" w:cs="Times New Roman" w:eastAsia="Times New Roman" w:hint="default"/>
                <w:sz w:val="18"/>
                <w:szCs w:val="18"/>
              </w:rPr>
            </w:pPr>
            <w:r>
              <w:rPr>
                <w:rFonts w:ascii="Times New Roman"/>
                <w:sz w:val="18"/>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97"/>
              <w:jc w:val="right"/>
              <w:rPr>
                <w:rFonts w:ascii="Times New Roman" w:hAnsi="Times New Roman" w:cs="Times New Roman" w:eastAsia="Times New Roman" w:hint="default"/>
                <w:sz w:val="18"/>
                <w:szCs w:val="18"/>
              </w:rPr>
            </w:pPr>
            <w:r>
              <w:rPr>
                <w:rFonts w:ascii="Times New Roman"/>
                <w:sz w:val="18"/>
              </w:rPr>
              <w:t>-</w:t>
            </w:r>
          </w:p>
        </w:tc>
      </w:tr>
      <w:tr>
        <w:trPr>
          <w:trHeight w:val="380"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2"/>
              <w:jc w:val="right"/>
              <w:rPr>
                <w:rFonts w:ascii="Times New Roman" w:hAnsi="Times New Roman" w:cs="Times New Roman" w:eastAsia="Times New Roman" w:hint="default"/>
                <w:sz w:val="18"/>
                <w:szCs w:val="18"/>
              </w:rPr>
            </w:pPr>
            <w:r>
              <w:rPr>
                <w:rFonts w:ascii="Times New Roman"/>
                <w:sz w:val="18"/>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97"/>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2"/>
              <w:jc w:val="right"/>
              <w:rPr>
                <w:rFonts w:ascii="Times New Roman" w:hAnsi="Times New Roman" w:cs="Times New Roman" w:eastAsia="Times New Roman" w:hint="default"/>
                <w:sz w:val="18"/>
                <w:szCs w:val="18"/>
              </w:rPr>
            </w:pPr>
            <w:r>
              <w:rPr>
                <w:rFonts w:ascii="Times New Roman"/>
                <w:sz w:val="18"/>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97"/>
              <w:jc w:val="right"/>
              <w:rPr>
                <w:rFonts w:ascii="Times New Roman" w:hAnsi="Times New Roman" w:cs="Times New Roman" w:eastAsia="Times New Roman" w:hint="default"/>
                <w:sz w:val="18"/>
                <w:szCs w:val="18"/>
              </w:rPr>
            </w:pPr>
            <w:r>
              <w:rPr>
                <w:rFonts w:ascii="Times New Roman"/>
                <w:sz w:val="18"/>
              </w:rPr>
              <w:t>-</w:t>
            </w:r>
          </w:p>
        </w:tc>
      </w:tr>
      <w:tr>
        <w:trPr>
          <w:trHeight w:val="380"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2"/>
              <w:jc w:val="right"/>
              <w:rPr>
                <w:rFonts w:ascii="Times New Roman" w:hAnsi="Times New Roman" w:cs="Times New Roman" w:eastAsia="Times New Roman" w:hint="default"/>
                <w:sz w:val="18"/>
                <w:szCs w:val="18"/>
              </w:rPr>
            </w:pPr>
            <w:r>
              <w:rPr>
                <w:rFonts w:ascii="Times New Roman"/>
                <w:sz w:val="18"/>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6"/>
              <w:jc w:val="right"/>
              <w:rPr>
                <w:rFonts w:ascii="Times New Roman" w:hAnsi="Times New Roman" w:cs="Times New Roman" w:eastAsia="Times New Roman" w:hint="default"/>
                <w:sz w:val="18"/>
                <w:szCs w:val="18"/>
              </w:rPr>
            </w:pPr>
            <w:r>
              <w:rPr>
                <w:rFonts w:ascii="Times New Roman"/>
                <w:spacing w:val="-1"/>
                <w:sz w:val="18"/>
              </w:rPr>
              <w:t>3,297,400.00</w:t>
            </w:r>
          </w:p>
        </w:tc>
      </w:tr>
      <w:tr>
        <w:trPr>
          <w:trHeight w:val="380"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2"/>
              <w:jc w:val="right"/>
              <w:rPr>
                <w:rFonts w:ascii="Times New Roman" w:hAnsi="Times New Roman" w:cs="Times New Roman" w:eastAsia="Times New Roman" w:hint="default"/>
                <w:sz w:val="18"/>
                <w:szCs w:val="18"/>
              </w:rPr>
            </w:pPr>
            <w:r>
              <w:rPr>
                <w:rFonts w:ascii="Times New Roman"/>
                <w:sz w:val="18"/>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97"/>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2,242,094.66</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6"/>
              <w:jc w:val="right"/>
              <w:rPr>
                <w:rFonts w:ascii="Times New Roman" w:hAnsi="Times New Roman" w:cs="Times New Roman" w:eastAsia="Times New Roman" w:hint="default"/>
                <w:sz w:val="18"/>
                <w:szCs w:val="18"/>
              </w:rPr>
            </w:pPr>
            <w:r>
              <w:rPr>
                <w:rFonts w:ascii="Times New Roman"/>
                <w:spacing w:val="-1"/>
                <w:sz w:val="18"/>
              </w:rPr>
              <w:t>1,900,000.00</w:t>
            </w:r>
          </w:p>
        </w:tc>
      </w:tr>
      <w:tr>
        <w:trPr>
          <w:trHeight w:val="380"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Times New Roman" w:hAnsi="Times New Roman" w:cs="Times New Roman" w:eastAsia="Times New Roman" w:hint="default"/>
                <w:sz w:val="18"/>
                <w:szCs w:val="18"/>
              </w:rPr>
            </w:pPr>
            <w:r>
              <w:rPr>
                <w:rFonts w:ascii="Times New Roman"/>
                <w:sz w:val="18"/>
              </w:rPr>
              <w:t>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0"/>
              <w:jc w:val="right"/>
              <w:rPr>
                <w:rFonts w:ascii="Times New Roman" w:hAnsi="Times New Roman" w:cs="Times New Roman" w:eastAsia="Times New Roman" w:hint="default"/>
                <w:sz w:val="18"/>
                <w:szCs w:val="18"/>
              </w:rPr>
            </w:pPr>
            <w:r>
              <w:rPr>
                <w:rFonts w:ascii="Times New Roman"/>
                <w:spacing w:val="-1"/>
                <w:sz w:val="18"/>
              </w:rPr>
              <w:t>415,347,207.19</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5"/>
              <w:jc w:val="right"/>
              <w:rPr>
                <w:rFonts w:ascii="Times New Roman" w:hAnsi="Times New Roman" w:cs="Times New Roman" w:eastAsia="Times New Roman" w:hint="default"/>
                <w:sz w:val="18"/>
                <w:szCs w:val="18"/>
              </w:rPr>
            </w:pPr>
            <w:r>
              <w:rPr>
                <w:rFonts w:ascii="Times New Roman"/>
                <w:spacing w:val="-1"/>
                <w:sz w:val="18"/>
              </w:rPr>
              <w:t>596,891,685.58</w:t>
            </w:r>
          </w:p>
        </w:tc>
      </w:tr>
      <w:tr>
        <w:trPr>
          <w:trHeight w:val="380"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45,643,607.47</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4"/>
              <w:jc w:val="right"/>
              <w:rPr>
                <w:rFonts w:ascii="Times New Roman" w:hAnsi="Times New Roman" w:cs="Times New Roman" w:eastAsia="Times New Roman" w:hint="default"/>
                <w:sz w:val="18"/>
                <w:szCs w:val="18"/>
              </w:rPr>
            </w:pPr>
            <w:r>
              <w:rPr>
                <w:rFonts w:ascii="Times New Roman"/>
                <w:spacing w:val="-1"/>
                <w:sz w:val="18"/>
              </w:rPr>
              <w:t>149,013,861.98</w:t>
            </w:r>
          </w:p>
        </w:tc>
      </w:tr>
      <w:tr>
        <w:trPr>
          <w:trHeight w:val="379"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2"/>
              <w:jc w:val="right"/>
              <w:rPr>
                <w:rFonts w:ascii="Times New Roman" w:hAnsi="Times New Roman" w:cs="Times New Roman" w:eastAsia="Times New Roman" w:hint="default"/>
                <w:sz w:val="18"/>
                <w:szCs w:val="18"/>
              </w:rPr>
            </w:pPr>
            <w:r>
              <w:rPr>
                <w:rFonts w:ascii="Times New Roman"/>
                <w:sz w:val="18"/>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97"/>
              <w:jc w:val="right"/>
              <w:rPr>
                <w:rFonts w:ascii="Times New Roman" w:hAnsi="Times New Roman" w:cs="Times New Roman" w:eastAsia="Times New Roman" w:hint="default"/>
                <w:sz w:val="18"/>
                <w:szCs w:val="18"/>
              </w:rPr>
            </w:pPr>
            <w:r>
              <w:rPr>
                <w:rFonts w:ascii="Times New Roman"/>
                <w:sz w:val="18"/>
              </w:rPr>
              <w:t>-</w:t>
            </w:r>
          </w:p>
        </w:tc>
      </w:tr>
      <w:tr>
        <w:trPr>
          <w:trHeight w:val="380"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2"/>
              <w:jc w:val="right"/>
              <w:rPr>
                <w:rFonts w:ascii="Times New Roman" w:hAnsi="Times New Roman" w:cs="Times New Roman" w:eastAsia="Times New Roman" w:hint="default"/>
                <w:sz w:val="18"/>
                <w:szCs w:val="18"/>
              </w:rPr>
            </w:pPr>
            <w:r>
              <w:rPr>
                <w:rFonts w:ascii="Times New Roman"/>
                <w:sz w:val="18"/>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97"/>
              <w:jc w:val="right"/>
              <w:rPr>
                <w:rFonts w:ascii="Times New Roman" w:hAnsi="Times New Roman" w:cs="Times New Roman" w:eastAsia="Times New Roman" w:hint="default"/>
                <w:sz w:val="18"/>
                <w:szCs w:val="18"/>
              </w:rPr>
            </w:pPr>
            <w:r>
              <w:rPr>
                <w:rFonts w:ascii="Times New Roman"/>
                <w:sz w:val="18"/>
              </w:rPr>
              <w:t>-</w:t>
            </w:r>
          </w:p>
        </w:tc>
      </w:tr>
      <w:tr>
        <w:trPr>
          <w:trHeight w:val="380"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9"/>
              <w:jc w:val="right"/>
              <w:rPr>
                <w:rFonts w:ascii="Times New Roman" w:hAnsi="Times New Roman" w:cs="Times New Roman" w:eastAsia="Times New Roman" w:hint="default"/>
                <w:sz w:val="18"/>
                <w:szCs w:val="18"/>
              </w:rPr>
            </w:pPr>
            <w:r>
              <w:rPr>
                <w:rFonts w:ascii="Times New Roman"/>
                <w:spacing w:val="-1"/>
                <w:sz w:val="18"/>
              </w:rPr>
              <w:t>499,375,123.15</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4"/>
              <w:jc w:val="right"/>
              <w:rPr>
                <w:rFonts w:ascii="Times New Roman" w:hAnsi="Times New Roman" w:cs="Times New Roman" w:eastAsia="Times New Roman" w:hint="default"/>
                <w:sz w:val="18"/>
                <w:szCs w:val="18"/>
              </w:rPr>
            </w:pPr>
            <w:r>
              <w:rPr>
                <w:rFonts w:ascii="Times New Roman"/>
                <w:spacing w:val="-1"/>
                <w:sz w:val="18"/>
              </w:rPr>
              <w:t>757,419,058.41</w:t>
            </w:r>
          </w:p>
        </w:tc>
      </w:tr>
      <w:tr>
        <w:trPr>
          <w:trHeight w:val="379"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39,034,475.45</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6"/>
              <w:jc w:val="right"/>
              <w:rPr>
                <w:rFonts w:ascii="Times New Roman" w:hAnsi="Times New Roman" w:cs="Times New Roman" w:eastAsia="Times New Roman" w:hint="default"/>
                <w:sz w:val="18"/>
                <w:szCs w:val="18"/>
              </w:rPr>
            </w:pPr>
            <w:r>
              <w:rPr>
                <w:rFonts w:ascii="Times New Roman"/>
                <w:spacing w:val="-1"/>
                <w:sz w:val="18"/>
              </w:rPr>
              <w:t>22,240,000.00</w:t>
            </w:r>
          </w:p>
        </w:tc>
      </w:tr>
      <w:tr>
        <w:trPr>
          <w:trHeight w:val="380"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2"/>
              <w:jc w:val="right"/>
              <w:rPr>
                <w:rFonts w:ascii="Times New Roman" w:hAnsi="Times New Roman" w:cs="Times New Roman" w:eastAsia="Times New Roman" w:hint="default"/>
                <w:sz w:val="18"/>
                <w:szCs w:val="18"/>
              </w:rPr>
            </w:pPr>
            <w:r>
              <w:rPr>
                <w:rFonts w:ascii="Times New Roman"/>
                <w:sz w:val="18"/>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97"/>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2"/>
              <w:jc w:val="right"/>
              <w:rPr>
                <w:rFonts w:ascii="Times New Roman" w:hAnsi="Times New Roman" w:cs="Times New Roman" w:eastAsia="Times New Roman" w:hint="default"/>
                <w:sz w:val="18"/>
                <w:szCs w:val="18"/>
              </w:rPr>
            </w:pPr>
            <w:r>
              <w:rPr>
                <w:rFonts w:ascii="Times New Roman"/>
                <w:sz w:val="18"/>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97"/>
              <w:jc w:val="right"/>
              <w:rPr>
                <w:rFonts w:ascii="Times New Roman" w:hAnsi="Times New Roman" w:cs="Times New Roman" w:eastAsia="Times New Roman" w:hint="default"/>
                <w:sz w:val="18"/>
                <w:szCs w:val="18"/>
              </w:rPr>
            </w:pPr>
            <w:r>
              <w:rPr>
                <w:rFonts w:ascii="Times New Roman"/>
                <w:sz w:val="18"/>
              </w:rPr>
              <w:t>-</w:t>
            </w:r>
          </w:p>
        </w:tc>
      </w:tr>
      <w:tr>
        <w:trPr>
          <w:trHeight w:val="380"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Times New Roman" w:hAnsi="Times New Roman" w:cs="Times New Roman" w:eastAsia="Times New Roman" w:hint="default"/>
                <w:sz w:val="18"/>
                <w:szCs w:val="18"/>
              </w:rPr>
            </w:pPr>
            <w:r>
              <w:rPr>
                <w:rFonts w:ascii="Times New Roman"/>
                <w:sz w:val="18"/>
              </w:rPr>
              <w:t>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467,649,802.11</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4"/>
              <w:jc w:val="right"/>
              <w:rPr>
                <w:rFonts w:ascii="Times New Roman" w:hAnsi="Times New Roman" w:cs="Times New Roman" w:eastAsia="Times New Roman" w:hint="default"/>
                <w:sz w:val="18"/>
                <w:szCs w:val="18"/>
              </w:rPr>
            </w:pPr>
            <w:r>
              <w:rPr>
                <w:rFonts w:ascii="Times New Roman"/>
                <w:spacing w:val="-1"/>
                <w:sz w:val="18"/>
              </w:rPr>
              <w:t>518,765,560.39</w:t>
            </w:r>
          </w:p>
        </w:tc>
      </w:tr>
      <w:tr>
        <w:trPr>
          <w:trHeight w:val="380"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9"/>
              <w:jc w:val="right"/>
              <w:rPr>
                <w:rFonts w:ascii="Times New Roman" w:hAnsi="Times New Roman" w:cs="Times New Roman" w:eastAsia="Times New Roman" w:hint="default"/>
                <w:sz w:val="18"/>
                <w:szCs w:val="18"/>
              </w:rPr>
            </w:pPr>
            <w:r>
              <w:rPr>
                <w:rFonts w:ascii="Times New Roman"/>
                <w:spacing w:val="-1"/>
                <w:sz w:val="18"/>
              </w:rPr>
              <w:t>325,542,162.34</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4"/>
              <w:jc w:val="right"/>
              <w:rPr>
                <w:rFonts w:ascii="Times New Roman" w:hAnsi="Times New Roman" w:cs="Times New Roman" w:eastAsia="Times New Roman" w:hint="default"/>
                <w:sz w:val="18"/>
                <w:szCs w:val="18"/>
              </w:rPr>
            </w:pPr>
            <w:r>
              <w:rPr>
                <w:rFonts w:ascii="Times New Roman"/>
                <w:spacing w:val="-1"/>
                <w:sz w:val="18"/>
              </w:rPr>
              <w:t>213,233,840.85</w:t>
            </w:r>
          </w:p>
        </w:tc>
      </w:tr>
      <w:tr>
        <w:trPr>
          <w:trHeight w:val="379"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23,216,836.87</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6"/>
              <w:jc w:val="right"/>
              <w:rPr>
                <w:rFonts w:ascii="Times New Roman" w:hAnsi="Times New Roman" w:cs="Times New Roman" w:eastAsia="Times New Roman" w:hint="default"/>
                <w:sz w:val="18"/>
                <w:szCs w:val="18"/>
              </w:rPr>
            </w:pPr>
            <w:r>
              <w:rPr>
                <w:rFonts w:ascii="Times New Roman"/>
                <w:spacing w:val="-1"/>
                <w:sz w:val="18"/>
              </w:rPr>
              <w:t>24,801,648.28</w:t>
            </w:r>
          </w:p>
        </w:tc>
      </w:tr>
      <w:tr>
        <w:trPr>
          <w:trHeight w:val="380"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2"/>
              <w:jc w:val="right"/>
              <w:rPr>
                <w:rFonts w:ascii="Times New Roman" w:hAnsi="Times New Roman" w:cs="Times New Roman" w:eastAsia="Times New Roman" w:hint="default"/>
                <w:sz w:val="18"/>
                <w:szCs w:val="18"/>
              </w:rPr>
            </w:pPr>
            <w:r>
              <w:rPr>
                <w:rFonts w:ascii="Times New Roman"/>
                <w:sz w:val="18"/>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97"/>
              <w:jc w:val="right"/>
              <w:rPr>
                <w:rFonts w:ascii="Times New Roman" w:hAnsi="Times New Roman" w:cs="Times New Roman" w:eastAsia="Times New Roman" w:hint="default"/>
                <w:sz w:val="18"/>
                <w:szCs w:val="18"/>
              </w:rPr>
            </w:pPr>
            <w:r>
              <w:rPr>
                <w:rFonts w:ascii="Times New Roman"/>
                <w:sz w:val="18"/>
              </w:rPr>
              <w:t>-</w:t>
            </w:r>
          </w:p>
        </w:tc>
      </w:tr>
      <w:tr>
        <w:trPr>
          <w:trHeight w:val="380"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2"/>
              <w:jc w:val="right"/>
              <w:rPr>
                <w:rFonts w:ascii="Times New Roman" w:hAnsi="Times New Roman" w:cs="Times New Roman" w:eastAsia="Times New Roman" w:hint="default"/>
                <w:sz w:val="18"/>
                <w:szCs w:val="18"/>
              </w:rPr>
            </w:pPr>
            <w:r>
              <w:rPr>
                <w:rFonts w:ascii="Times New Roman"/>
                <w:sz w:val="18"/>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97"/>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2"/>
              <w:jc w:val="right"/>
              <w:rPr>
                <w:rFonts w:ascii="Times New Roman" w:hAnsi="Times New Roman" w:cs="Times New Roman" w:eastAsia="Times New Roman" w:hint="default"/>
                <w:sz w:val="18"/>
                <w:szCs w:val="18"/>
              </w:rPr>
            </w:pPr>
            <w:r>
              <w:rPr>
                <w:rFonts w:ascii="Times New Roman"/>
                <w:sz w:val="18"/>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97"/>
              <w:jc w:val="right"/>
              <w:rPr>
                <w:rFonts w:ascii="Times New Roman" w:hAnsi="Times New Roman" w:cs="Times New Roman" w:eastAsia="Times New Roman" w:hint="default"/>
                <w:sz w:val="18"/>
                <w:szCs w:val="18"/>
              </w:rPr>
            </w:pPr>
            <w:r>
              <w:rPr>
                <w:rFonts w:ascii="Times New Roman"/>
                <w:sz w:val="18"/>
              </w:rPr>
              <w:t>-</w:t>
            </w:r>
          </w:p>
        </w:tc>
      </w:tr>
      <w:tr>
        <w:trPr>
          <w:trHeight w:val="380"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14,853,228.14</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6"/>
              <w:jc w:val="right"/>
              <w:rPr>
                <w:rFonts w:ascii="Times New Roman" w:hAnsi="Times New Roman" w:cs="Times New Roman" w:eastAsia="Times New Roman" w:hint="default"/>
                <w:sz w:val="18"/>
                <w:szCs w:val="18"/>
              </w:rPr>
            </w:pPr>
            <w:r>
              <w:rPr>
                <w:rFonts w:ascii="Times New Roman"/>
                <w:spacing w:val="-1"/>
                <w:sz w:val="18"/>
              </w:rPr>
              <w:t>15,219,489.04</w:t>
            </w:r>
          </w:p>
        </w:tc>
      </w:tr>
      <w:tr>
        <w:trPr>
          <w:trHeight w:val="380"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2"/>
              <w:jc w:val="right"/>
              <w:rPr>
                <w:rFonts w:ascii="Times New Roman" w:hAnsi="Times New Roman" w:cs="Times New Roman" w:eastAsia="Times New Roman" w:hint="default"/>
                <w:sz w:val="18"/>
                <w:szCs w:val="18"/>
              </w:rPr>
            </w:pPr>
            <w:r>
              <w:rPr>
                <w:rFonts w:ascii="Times New Roman"/>
                <w:sz w:val="18"/>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97"/>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2"/>
              <w:jc w:val="right"/>
              <w:rPr>
                <w:rFonts w:ascii="Times New Roman" w:hAnsi="Times New Roman" w:cs="Times New Roman" w:eastAsia="Times New Roman" w:hint="default"/>
                <w:sz w:val="18"/>
                <w:szCs w:val="18"/>
              </w:rPr>
            </w:pPr>
            <w:r>
              <w:rPr>
                <w:rFonts w:ascii="Times New Roman"/>
                <w:sz w:val="18"/>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97"/>
              <w:jc w:val="right"/>
              <w:rPr>
                <w:rFonts w:ascii="Times New Roman" w:hAnsi="Times New Roman" w:cs="Times New Roman" w:eastAsia="Times New Roman" w:hint="default"/>
                <w:sz w:val="18"/>
                <w:szCs w:val="18"/>
              </w:rPr>
            </w:pPr>
            <w:r>
              <w:rPr>
                <w:rFonts w:ascii="Times New Roman"/>
                <w:sz w:val="18"/>
              </w:rPr>
              <w:t>-</w:t>
            </w:r>
          </w:p>
        </w:tc>
      </w:tr>
      <w:tr>
        <w:trPr>
          <w:trHeight w:val="380"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2"/>
              <w:jc w:val="right"/>
              <w:rPr>
                <w:rFonts w:ascii="Times New Roman" w:hAnsi="Times New Roman" w:cs="Times New Roman" w:eastAsia="Times New Roman" w:hint="default"/>
                <w:sz w:val="18"/>
                <w:szCs w:val="18"/>
              </w:rPr>
            </w:pPr>
            <w:r>
              <w:rPr>
                <w:rFonts w:ascii="Times New Roman"/>
                <w:sz w:val="18"/>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97"/>
              <w:jc w:val="right"/>
              <w:rPr>
                <w:rFonts w:ascii="Times New Roman" w:hAnsi="Times New Roman" w:cs="Times New Roman" w:eastAsia="Times New Roman" w:hint="default"/>
                <w:sz w:val="18"/>
                <w:szCs w:val="18"/>
              </w:rPr>
            </w:pPr>
            <w:r>
              <w:rPr>
                <w:rFonts w:ascii="Times New Roman"/>
                <w:sz w:val="18"/>
              </w:rPr>
              <w:t>-</w:t>
            </w:r>
          </w:p>
        </w:tc>
      </w:tr>
      <w:tr>
        <w:trPr>
          <w:trHeight w:val="380"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49,444,705.72</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6"/>
              <w:jc w:val="right"/>
              <w:rPr>
                <w:rFonts w:ascii="Times New Roman" w:hAnsi="Times New Roman" w:cs="Times New Roman" w:eastAsia="Times New Roman" w:hint="default"/>
                <w:sz w:val="18"/>
                <w:szCs w:val="18"/>
              </w:rPr>
            </w:pPr>
            <w:r>
              <w:rPr>
                <w:rFonts w:ascii="Times New Roman"/>
                <w:spacing w:val="-1"/>
                <w:sz w:val="18"/>
              </w:rPr>
              <w:t>50,697,600.23</w:t>
            </w:r>
          </w:p>
        </w:tc>
      </w:tr>
      <w:tr>
        <w:trPr>
          <w:trHeight w:val="379"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2"/>
              <w:jc w:val="right"/>
              <w:rPr>
                <w:rFonts w:ascii="Times New Roman" w:hAnsi="Times New Roman" w:cs="Times New Roman" w:eastAsia="Times New Roman" w:hint="default"/>
                <w:sz w:val="18"/>
                <w:szCs w:val="18"/>
              </w:rPr>
            </w:pPr>
            <w:r>
              <w:rPr>
                <w:rFonts w:ascii="Times New Roman"/>
                <w:sz w:val="18"/>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97"/>
              <w:jc w:val="right"/>
              <w:rPr>
                <w:rFonts w:ascii="Times New Roman" w:hAnsi="Times New Roman" w:cs="Times New Roman" w:eastAsia="Times New Roman" w:hint="default"/>
                <w:sz w:val="18"/>
                <w:szCs w:val="18"/>
              </w:rPr>
            </w:pPr>
            <w:r>
              <w:rPr>
                <w:rFonts w:ascii="Times New Roman"/>
                <w:sz w:val="18"/>
              </w:rPr>
              <w:t>-</w:t>
            </w:r>
          </w:p>
        </w:tc>
      </w:tr>
      <w:tr>
        <w:trPr>
          <w:trHeight w:val="380"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9"/>
              <w:jc w:val="right"/>
              <w:rPr>
                <w:rFonts w:ascii="Times New Roman" w:hAnsi="Times New Roman" w:cs="Times New Roman" w:eastAsia="Times New Roman" w:hint="default"/>
                <w:sz w:val="18"/>
                <w:szCs w:val="18"/>
              </w:rPr>
            </w:pPr>
            <w:r>
              <w:rPr>
                <w:rFonts w:ascii="Times New Roman"/>
                <w:spacing w:val="-1"/>
                <w:sz w:val="18"/>
              </w:rPr>
              <w:t>919,741,210.63</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4"/>
              <w:jc w:val="right"/>
              <w:rPr>
                <w:rFonts w:ascii="Times New Roman" w:hAnsi="Times New Roman" w:cs="Times New Roman" w:eastAsia="Times New Roman" w:hint="default"/>
                <w:sz w:val="18"/>
                <w:szCs w:val="18"/>
              </w:rPr>
            </w:pPr>
            <w:r>
              <w:rPr>
                <w:rFonts w:ascii="Times New Roman"/>
                <w:spacing w:val="-1"/>
                <w:sz w:val="18"/>
              </w:rPr>
              <w:t>844,958,138.79</w:t>
            </w:r>
          </w:p>
        </w:tc>
      </w:tr>
      <w:tr>
        <w:trPr>
          <w:trHeight w:val="380"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1,419,116,333.78</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6"/>
              <w:jc w:val="right"/>
              <w:rPr>
                <w:rFonts w:ascii="Times New Roman" w:hAnsi="Times New Roman" w:cs="Times New Roman" w:eastAsia="Times New Roman" w:hint="default"/>
                <w:sz w:val="18"/>
                <w:szCs w:val="18"/>
              </w:rPr>
            </w:pPr>
            <w:r>
              <w:rPr>
                <w:rFonts w:ascii="Times New Roman"/>
                <w:spacing w:val="-1"/>
                <w:sz w:val="18"/>
              </w:rPr>
              <w:t>1,602,377,197.20</w:t>
            </w:r>
          </w:p>
        </w:tc>
      </w:tr>
    </w:tbl>
    <w:p>
      <w:pPr>
        <w:spacing w:after="0" w:line="240" w:lineRule="auto"/>
        <w:jc w:val="right"/>
        <w:rPr>
          <w:rFonts w:ascii="Times New Roman" w:hAnsi="Times New Roman" w:cs="Times New Roman" w:eastAsia="Times New Roman" w:hint="default"/>
          <w:sz w:val="18"/>
          <w:szCs w:val="18"/>
        </w:rPr>
        <w:sectPr>
          <w:pgSz w:w="11900" w:h="16840"/>
          <w:pgMar w:header="0" w:footer="1333" w:top="1100" w:bottom="1520" w:left="880" w:right="1000"/>
        </w:sectPr>
      </w:pPr>
    </w:p>
    <w:p>
      <w:pPr>
        <w:pStyle w:val="Heading1"/>
        <w:spacing w:line="399" w:lineRule="exact"/>
        <w:ind w:left="3193" w:right="2987"/>
        <w:jc w:val="center"/>
      </w:pPr>
      <w:r>
        <w:rPr/>
        <w:t>母公司资产负债表（续）</w:t>
      </w:r>
    </w:p>
    <w:p>
      <w:pPr>
        <w:pStyle w:val="BodyText"/>
        <w:spacing w:line="240" w:lineRule="auto" w:before="77"/>
        <w:ind w:left="3193" w:right="2987"/>
        <w:jc w:val="center"/>
      </w:pP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p>
    <w:p>
      <w:pPr>
        <w:pStyle w:val="BodyText"/>
        <w:tabs>
          <w:tab w:pos="7188" w:val="left" w:leader="none"/>
        </w:tabs>
        <w:spacing w:line="240" w:lineRule="auto" w:before="183"/>
        <w:ind w:left="153" w:right="0"/>
        <w:jc w:val="left"/>
      </w:pPr>
      <w:r>
        <w:rPr/>
        <w:t>编制单位：</w:t>
      </w:r>
      <w:r>
        <w:rPr>
          <w:u w:val="single" w:color="000000"/>
        </w:rPr>
        <w:t>深圳市鸿基（集团）股份有限公司</w:t>
      </w:r>
      <w:r>
        <w:rPr/>
        <w:tab/>
        <w:t>单位：元</w:t>
      </w:r>
      <w:r>
        <w:rPr>
          <w:spacing w:val="-4"/>
        </w:rPr>
        <w:t> </w:t>
      </w:r>
      <w:r>
        <w:rPr/>
        <w:t>币种：人民币</w:t>
      </w:r>
    </w:p>
    <w:p>
      <w:pPr>
        <w:spacing w:line="240" w:lineRule="auto" w:before="5"/>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857"/>
        <w:gridCol w:w="992"/>
        <w:gridCol w:w="2323"/>
        <w:gridCol w:w="2322"/>
      </w:tblGrid>
      <w:tr>
        <w:trPr>
          <w:trHeight w:val="379" w:hRule="exact"/>
        </w:trPr>
        <w:tc>
          <w:tcPr>
            <w:tcW w:w="3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8"/>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126" w:right="0"/>
              <w:jc w:val="left"/>
              <w:rPr>
                <w:rFonts w:ascii="宋体" w:hAnsi="宋体" w:cs="宋体" w:eastAsia="宋体" w:hint="default"/>
                <w:sz w:val="18"/>
                <w:szCs w:val="18"/>
              </w:rPr>
            </w:pPr>
            <w:r>
              <w:rPr>
                <w:rFonts w:ascii="宋体" w:hAnsi="宋体" w:cs="宋体" w:eastAsia="宋体" w:hint="default"/>
                <w:sz w:val="18"/>
                <w:szCs w:val="18"/>
              </w:rPr>
              <w:t>附注十一</w:t>
            </w:r>
          </w:p>
        </w:tc>
        <w:tc>
          <w:tcPr>
            <w:tcW w:w="2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83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3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left="836"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60" w:hRule="exact"/>
        </w:trPr>
        <w:tc>
          <w:tcPr>
            <w:tcW w:w="3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92" w:type="dxa"/>
            <w:tcBorders>
              <w:top w:val="single" w:sz="8" w:space="0" w:color="000000"/>
              <w:left w:val="single" w:sz="8" w:space="0" w:color="000000"/>
              <w:bottom w:val="single" w:sz="8" w:space="0" w:color="000000"/>
              <w:right w:val="single" w:sz="8" w:space="0" w:color="000000"/>
            </w:tcBorders>
          </w:tcPr>
          <w:p>
            <w:pPr/>
          </w:p>
        </w:tc>
        <w:tc>
          <w:tcPr>
            <w:tcW w:w="2323" w:type="dxa"/>
            <w:tcBorders>
              <w:top w:val="single" w:sz="8" w:space="0" w:color="000000"/>
              <w:left w:val="single" w:sz="8" w:space="0" w:color="000000"/>
              <w:bottom w:val="single" w:sz="8" w:space="0" w:color="000000"/>
              <w:right w:val="single" w:sz="8" w:space="0" w:color="000000"/>
            </w:tcBorders>
          </w:tcPr>
          <w:p>
            <w:pPr/>
          </w:p>
        </w:tc>
        <w:tc>
          <w:tcPr>
            <w:tcW w:w="2322"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3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92" w:type="dxa"/>
            <w:tcBorders>
              <w:top w:val="single" w:sz="8" w:space="0" w:color="000000"/>
              <w:left w:val="single" w:sz="8" w:space="0" w:color="000000"/>
              <w:bottom w:val="single" w:sz="8" w:space="0" w:color="000000"/>
              <w:right w:val="single" w:sz="8" w:space="0" w:color="000000"/>
            </w:tcBorders>
          </w:tcPr>
          <w:p>
            <w:pPr/>
          </w:p>
        </w:tc>
        <w:tc>
          <w:tcPr>
            <w:tcW w:w="2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5"/>
              <w:jc w:val="right"/>
              <w:rPr>
                <w:rFonts w:ascii="Times New Roman" w:hAnsi="Times New Roman" w:cs="Times New Roman" w:eastAsia="Times New Roman" w:hint="default"/>
                <w:sz w:val="18"/>
                <w:szCs w:val="18"/>
              </w:rPr>
            </w:pPr>
            <w:r>
              <w:rPr>
                <w:rFonts w:ascii="Times New Roman"/>
                <w:spacing w:val="-1"/>
                <w:sz w:val="18"/>
              </w:rPr>
              <w:t>249,300,000.00</w:t>
            </w:r>
          </w:p>
        </w:tc>
        <w:tc>
          <w:tcPr>
            <w:tcW w:w="23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244,759,950.00</w:t>
            </w:r>
          </w:p>
        </w:tc>
      </w:tr>
      <w:tr>
        <w:trPr>
          <w:trHeight w:val="360" w:hRule="exact"/>
        </w:trPr>
        <w:tc>
          <w:tcPr>
            <w:tcW w:w="3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92" w:type="dxa"/>
            <w:tcBorders>
              <w:top w:val="single" w:sz="8" w:space="0" w:color="000000"/>
              <w:left w:val="single" w:sz="8" w:space="0" w:color="000000"/>
              <w:bottom w:val="single" w:sz="8" w:space="0" w:color="000000"/>
              <w:right w:val="single" w:sz="8" w:space="0" w:color="000000"/>
            </w:tcBorders>
          </w:tcPr>
          <w:p>
            <w:pPr/>
          </w:p>
        </w:tc>
        <w:tc>
          <w:tcPr>
            <w:tcW w:w="2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215"/>
              <w:jc w:val="right"/>
              <w:rPr>
                <w:rFonts w:ascii="Times New Roman" w:hAnsi="Times New Roman" w:cs="Times New Roman" w:eastAsia="Times New Roman" w:hint="default"/>
                <w:sz w:val="18"/>
                <w:szCs w:val="18"/>
              </w:rPr>
            </w:pPr>
            <w:r>
              <w:rPr>
                <w:rFonts w:ascii="Times New Roman"/>
                <w:sz w:val="18"/>
              </w:rPr>
              <w:t>-</w:t>
            </w:r>
          </w:p>
        </w:tc>
        <w:tc>
          <w:tcPr>
            <w:tcW w:w="23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9"/>
              <w:ind w:right="223"/>
              <w:jc w:val="righ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3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92" w:type="dxa"/>
            <w:tcBorders>
              <w:top w:val="single" w:sz="8" w:space="0" w:color="000000"/>
              <w:left w:val="single" w:sz="8" w:space="0" w:color="000000"/>
              <w:bottom w:val="single" w:sz="8" w:space="0" w:color="000000"/>
              <w:right w:val="single" w:sz="8" w:space="0" w:color="000000"/>
            </w:tcBorders>
          </w:tcPr>
          <w:p>
            <w:pPr/>
          </w:p>
        </w:tc>
        <w:tc>
          <w:tcPr>
            <w:tcW w:w="2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6"/>
              <w:jc w:val="right"/>
              <w:rPr>
                <w:rFonts w:ascii="Times New Roman" w:hAnsi="Times New Roman" w:cs="Times New Roman" w:eastAsia="Times New Roman" w:hint="default"/>
                <w:sz w:val="18"/>
                <w:szCs w:val="18"/>
              </w:rPr>
            </w:pPr>
            <w:r>
              <w:rPr>
                <w:rFonts w:ascii="Times New Roman"/>
                <w:spacing w:val="-1"/>
                <w:sz w:val="18"/>
              </w:rPr>
              <w:t>35,000,995.77</w:t>
            </w:r>
          </w:p>
        </w:tc>
        <w:tc>
          <w:tcPr>
            <w:tcW w:w="23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8,325,200.00</w:t>
            </w:r>
          </w:p>
        </w:tc>
      </w:tr>
      <w:tr>
        <w:trPr>
          <w:trHeight w:val="360" w:hRule="exact"/>
        </w:trPr>
        <w:tc>
          <w:tcPr>
            <w:tcW w:w="3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992" w:type="dxa"/>
            <w:tcBorders>
              <w:top w:val="single" w:sz="8" w:space="0" w:color="000000"/>
              <w:left w:val="single" w:sz="8" w:space="0" w:color="000000"/>
              <w:bottom w:val="single" w:sz="8" w:space="0" w:color="000000"/>
              <w:right w:val="single" w:sz="8" w:space="0" w:color="000000"/>
            </w:tcBorders>
          </w:tcPr>
          <w:p>
            <w:pPr/>
          </w:p>
        </w:tc>
        <w:tc>
          <w:tcPr>
            <w:tcW w:w="2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6"/>
              <w:jc w:val="right"/>
              <w:rPr>
                <w:rFonts w:ascii="Times New Roman" w:hAnsi="Times New Roman" w:cs="Times New Roman" w:eastAsia="Times New Roman" w:hint="default"/>
                <w:sz w:val="18"/>
                <w:szCs w:val="18"/>
              </w:rPr>
            </w:pPr>
            <w:r>
              <w:rPr>
                <w:rFonts w:ascii="Times New Roman"/>
                <w:sz w:val="18"/>
              </w:rPr>
              <w:t>850,000.00</w:t>
            </w:r>
          </w:p>
        </w:tc>
        <w:tc>
          <w:tcPr>
            <w:tcW w:w="23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9"/>
              <w:ind w:right="104"/>
              <w:jc w:val="right"/>
              <w:rPr>
                <w:rFonts w:ascii="Times New Roman" w:hAnsi="Times New Roman" w:cs="Times New Roman" w:eastAsia="Times New Roman" w:hint="default"/>
                <w:sz w:val="18"/>
                <w:szCs w:val="18"/>
              </w:rPr>
            </w:pPr>
            <w:r>
              <w:rPr>
                <w:rFonts w:ascii="Times New Roman"/>
                <w:spacing w:val="-1"/>
                <w:sz w:val="18"/>
              </w:rPr>
              <w:t>21,326,000.00</w:t>
            </w:r>
          </w:p>
        </w:tc>
      </w:tr>
      <w:tr>
        <w:trPr>
          <w:trHeight w:val="360" w:hRule="exact"/>
        </w:trPr>
        <w:tc>
          <w:tcPr>
            <w:tcW w:w="3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92" w:type="dxa"/>
            <w:tcBorders>
              <w:top w:val="single" w:sz="8" w:space="0" w:color="000000"/>
              <w:left w:val="single" w:sz="8" w:space="0" w:color="000000"/>
              <w:bottom w:val="single" w:sz="8" w:space="0" w:color="000000"/>
              <w:right w:val="single" w:sz="8" w:space="0" w:color="000000"/>
            </w:tcBorders>
          </w:tcPr>
          <w:p>
            <w:pPr/>
          </w:p>
        </w:tc>
        <w:tc>
          <w:tcPr>
            <w:tcW w:w="2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6"/>
              <w:jc w:val="right"/>
              <w:rPr>
                <w:rFonts w:ascii="Times New Roman" w:hAnsi="Times New Roman" w:cs="Times New Roman" w:eastAsia="Times New Roman" w:hint="default"/>
                <w:sz w:val="18"/>
                <w:szCs w:val="18"/>
              </w:rPr>
            </w:pPr>
            <w:r>
              <w:rPr>
                <w:rFonts w:ascii="Times New Roman"/>
                <w:spacing w:val="-1"/>
                <w:sz w:val="18"/>
              </w:rPr>
              <w:t>6,040,067.32</w:t>
            </w:r>
          </w:p>
        </w:tc>
        <w:tc>
          <w:tcPr>
            <w:tcW w:w="23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4,063,967.84</w:t>
            </w:r>
          </w:p>
        </w:tc>
      </w:tr>
      <w:tr>
        <w:trPr>
          <w:trHeight w:val="360" w:hRule="exact"/>
        </w:trPr>
        <w:tc>
          <w:tcPr>
            <w:tcW w:w="3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92" w:type="dxa"/>
            <w:tcBorders>
              <w:top w:val="single" w:sz="8" w:space="0" w:color="000000"/>
              <w:left w:val="single" w:sz="8" w:space="0" w:color="000000"/>
              <w:bottom w:val="single" w:sz="8" w:space="0" w:color="000000"/>
              <w:right w:val="single" w:sz="8" w:space="0" w:color="000000"/>
            </w:tcBorders>
          </w:tcPr>
          <w:p>
            <w:pPr/>
          </w:p>
        </w:tc>
        <w:tc>
          <w:tcPr>
            <w:tcW w:w="2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6"/>
              <w:jc w:val="right"/>
              <w:rPr>
                <w:rFonts w:ascii="Times New Roman" w:hAnsi="Times New Roman" w:cs="Times New Roman" w:eastAsia="Times New Roman" w:hint="default"/>
                <w:sz w:val="18"/>
                <w:szCs w:val="18"/>
              </w:rPr>
            </w:pPr>
            <w:r>
              <w:rPr>
                <w:rFonts w:ascii="Times New Roman"/>
                <w:spacing w:val="-1"/>
                <w:sz w:val="18"/>
              </w:rPr>
              <w:t>26,275,777.86</w:t>
            </w:r>
          </w:p>
        </w:tc>
        <w:tc>
          <w:tcPr>
            <w:tcW w:w="23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5,714,380.04</w:t>
            </w:r>
          </w:p>
        </w:tc>
      </w:tr>
      <w:tr>
        <w:trPr>
          <w:trHeight w:val="360" w:hRule="exact"/>
        </w:trPr>
        <w:tc>
          <w:tcPr>
            <w:tcW w:w="3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992" w:type="dxa"/>
            <w:tcBorders>
              <w:top w:val="single" w:sz="8" w:space="0" w:color="000000"/>
              <w:left w:val="single" w:sz="8" w:space="0" w:color="000000"/>
              <w:bottom w:val="single" w:sz="8" w:space="0" w:color="000000"/>
              <w:right w:val="single" w:sz="8" w:space="0" w:color="000000"/>
            </w:tcBorders>
          </w:tcPr>
          <w:p>
            <w:pPr/>
          </w:p>
        </w:tc>
        <w:tc>
          <w:tcPr>
            <w:tcW w:w="2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6"/>
              <w:jc w:val="right"/>
              <w:rPr>
                <w:rFonts w:ascii="Times New Roman" w:hAnsi="Times New Roman" w:cs="Times New Roman" w:eastAsia="Times New Roman" w:hint="default"/>
                <w:sz w:val="18"/>
                <w:szCs w:val="18"/>
              </w:rPr>
            </w:pPr>
            <w:r>
              <w:rPr>
                <w:rFonts w:ascii="Times New Roman"/>
                <w:sz w:val="18"/>
              </w:rPr>
              <w:t>447,933.70</w:t>
            </w:r>
          </w:p>
        </w:tc>
        <w:tc>
          <w:tcPr>
            <w:tcW w:w="23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9"/>
              <w:ind w:right="104"/>
              <w:jc w:val="right"/>
              <w:rPr>
                <w:rFonts w:ascii="Times New Roman" w:hAnsi="Times New Roman" w:cs="Times New Roman" w:eastAsia="Times New Roman" w:hint="default"/>
                <w:sz w:val="18"/>
                <w:szCs w:val="18"/>
              </w:rPr>
            </w:pPr>
            <w:r>
              <w:rPr>
                <w:rFonts w:ascii="Times New Roman"/>
                <w:sz w:val="18"/>
              </w:rPr>
              <w:t>615,250.85</w:t>
            </w:r>
          </w:p>
        </w:tc>
      </w:tr>
      <w:tr>
        <w:trPr>
          <w:trHeight w:val="360" w:hRule="exact"/>
        </w:trPr>
        <w:tc>
          <w:tcPr>
            <w:tcW w:w="3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992" w:type="dxa"/>
            <w:tcBorders>
              <w:top w:val="single" w:sz="8" w:space="0" w:color="000000"/>
              <w:left w:val="single" w:sz="8" w:space="0" w:color="000000"/>
              <w:bottom w:val="single" w:sz="8" w:space="0" w:color="000000"/>
              <w:right w:val="single" w:sz="8" w:space="0" w:color="000000"/>
            </w:tcBorders>
          </w:tcPr>
          <w:p>
            <w:pPr/>
          </w:p>
        </w:tc>
        <w:tc>
          <w:tcPr>
            <w:tcW w:w="2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6"/>
              <w:jc w:val="right"/>
              <w:rPr>
                <w:rFonts w:ascii="Times New Roman" w:hAnsi="Times New Roman" w:cs="Times New Roman" w:eastAsia="Times New Roman" w:hint="default"/>
                <w:sz w:val="18"/>
                <w:szCs w:val="18"/>
              </w:rPr>
            </w:pPr>
            <w:r>
              <w:rPr>
                <w:rFonts w:ascii="Times New Roman"/>
                <w:spacing w:val="-1"/>
                <w:sz w:val="18"/>
              </w:rPr>
              <w:t>1,786,039.81</w:t>
            </w:r>
          </w:p>
        </w:tc>
        <w:tc>
          <w:tcPr>
            <w:tcW w:w="23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1,786,039.81</w:t>
            </w:r>
          </w:p>
        </w:tc>
      </w:tr>
      <w:tr>
        <w:trPr>
          <w:trHeight w:val="360" w:hRule="exact"/>
        </w:trPr>
        <w:tc>
          <w:tcPr>
            <w:tcW w:w="3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92" w:type="dxa"/>
            <w:tcBorders>
              <w:top w:val="single" w:sz="8" w:space="0" w:color="000000"/>
              <w:left w:val="single" w:sz="8" w:space="0" w:color="000000"/>
              <w:bottom w:val="single" w:sz="8" w:space="0" w:color="000000"/>
              <w:right w:val="single" w:sz="8" w:space="0" w:color="000000"/>
            </w:tcBorders>
          </w:tcPr>
          <w:p>
            <w:pPr/>
          </w:p>
        </w:tc>
        <w:tc>
          <w:tcPr>
            <w:tcW w:w="2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5"/>
              <w:jc w:val="right"/>
              <w:rPr>
                <w:rFonts w:ascii="Times New Roman" w:hAnsi="Times New Roman" w:cs="Times New Roman" w:eastAsia="Times New Roman" w:hint="default"/>
                <w:sz w:val="18"/>
                <w:szCs w:val="18"/>
              </w:rPr>
            </w:pPr>
            <w:r>
              <w:rPr>
                <w:rFonts w:ascii="Times New Roman"/>
                <w:spacing w:val="-1"/>
                <w:sz w:val="18"/>
              </w:rPr>
              <w:t>336,243,613.55</w:t>
            </w:r>
          </w:p>
        </w:tc>
        <w:tc>
          <w:tcPr>
            <w:tcW w:w="23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532,782,429.18</w:t>
            </w:r>
          </w:p>
        </w:tc>
      </w:tr>
      <w:tr>
        <w:trPr>
          <w:trHeight w:val="360" w:hRule="exact"/>
        </w:trPr>
        <w:tc>
          <w:tcPr>
            <w:tcW w:w="3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992" w:type="dxa"/>
            <w:tcBorders>
              <w:top w:val="single" w:sz="8" w:space="0" w:color="000000"/>
              <w:left w:val="single" w:sz="8" w:space="0" w:color="000000"/>
              <w:bottom w:val="single" w:sz="8" w:space="0" w:color="000000"/>
              <w:right w:val="single" w:sz="8" w:space="0" w:color="000000"/>
            </w:tcBorders>
          </w:tcPr>
          <w:p>
            <w:pPr/>
          </w:p>
        </w:tc>
        <w:tc>
          <w:tcPr>
            <w:tcW w:w="2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6"/>
              <w:jc w:val="right"/>
              <w:rPr>
                <w:rFonts w:ascii="Times New Roman" w:hAnsi="Times New Roman" w:cs="Times New Roman" w:eastAsia="Times New Roman" w:hint="default"/>
                <w:sz w:val="18"/>
                <w:szCs w:val="18"/>
              </w:rPr>
            </w:pPr>
            <w:r>
              <w:rPr>
                <w:rFonts w:ascii="Times New Roman"/>
                <w:spacing w:val="-1"/>
                <w:sz w:val="18"/>
              </w:rPr>
              <w:t>30,000,000.00</w:t>
            </w:r>
          </w:p>
        </w:tc>
        <w:tc>
          <w:tcPr>
            <w:tcW w:w="23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9"/>
              <w:ind w:right="223"/>
              <w:jc w:val="righ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3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992" w:type="dxa"/>
            <w:tcBorders>
              <w:top w:val="single" w:sz="8" w:space="0" w:color="000000"/>
              <w:left w:val="single" w:sz="8" w:space="0" w:color="000000"/>
              <w:bottom w:val="single" w:sz="8" w:space="0" w:color="000000"/>
              <w:right w:val="single" w:sz="8" w:space="0" w:color="000000"/>
            </w:tcBorders>
          </w:tcPr>
          <w:p>
            <w:pPr/>
          </w:p>
        </w:tc>
        <w:tc>
          <w:tcPr>
            <w:tcW w:w="2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215"/>
              <w:jc w:val="right"/>
              <w:rPr>
                <w:rFonts w:ascii="Times New Roman" w:hAnsi="Times New Roman" w:cs="Times New Roman" w:eastAsia="Times New Roman" w:hint="default"/>
                <w:sz w:val="18"/>
                <w:szCs w:val="18"/>
              </w:rPr>
            </w:pPr>
            <w:r>
              <w:rPr>
                <w:rFonts w:ascii="Times New Roman"/>
                <w:sz w:val="18"/>
              </w:rPr>
              <w:t>-</w:t>
            </w:r>
          </w:p>
        </w:tc>
        <w:tc>
          <w:tcPr>
            <w:tcW w:w="23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9"/>
              <w:ind w:right="223"/>
              <w:jc w:val="righ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3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992" w:type="dxa"/>
            <w:tcBorders>
              <w:top w:val="single" w:sz="8" w:space="0" w:color="000000"/>
              <w:left w:val="single" w:sz="8" w:space="0" w:color="000000"/>
              <w:bottom w:val="single" w:sz="8" w:space="0" w:color="000000"/>
              <w:right w:val="single" w:sz="8" w:space="0" w:color="000000"/>
            </w:tcBorders>
          </w:tcPr>
          <w:p>
            <w:pPr/>
          </w:p>
        </w:tc>
        <w:tc>
          <w:tcPr>
            <w:tcW w:w="2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5"/>
              <w:jc w:val="right"/>
              <w:rPr>
                <w:rFonts w:ascii="Times New Roman" w:hAnsi="Times New Roman" w:cs="Times New Roman" w:eastAsia="Times New Roman" w:hint="default"/>
                <w:sz w:val="18"/>
                <w:szCs w:val="18"/>
              </w:rPr>
            </w:pPr>
            <w:r>
              <w:rPr>
                <w:rFonts w:ascii="Times New Roman"/>
                <w:spacing w:val="-1"/>
                <w:sz w:val="18"/>
              </w:rPr>
              <w:t>685,944,428.01</w:t>
            </w:r>
          </w:p>
        </w:tc>
        <w:tc>
          <w:tcPr>
            <w:tcW w:w="23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819,373,217.72</w:t>
            </w:r>
          </w:p>
        </w:tc>
      </w:tr>
      <w:tr>
        <w:trPr>
          <w:trHeight w:val="360" w:hRule="exact"/>
        </w:trPr>
        <w:tc>
          <w:tcPr>
            <w:tcW w:w="3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992" w:type="dxa"/>
            <w:tcBorders>
              <w:top w:val="single" w:sz="8" w:space="0" w:color="000000"/>
              <w:left w:val="single" w:sz="8" w:space="0" w:color="000000"/>
              <w:bottom w:val="single" w:sz="8" w:space="0" w:color="000000"/>
              <w:right w:val="single" w:sz="8" w:space="0" w:color="000000"/>
            </w:tcBorders>
          </w:tcPr>
          <w:p>
            <w:pPr/>
          </w:p>
        </w:tc>
        <w:tc>
          <w:tcPr>
            <w:tcW w:w="2323" w:type="dxa"/>
            <w:tcBorders>
              <w:top w:val="single" w:sz="8" w:space="0" w:color="000000"/>
              <w:left w:val="single" w:sz="8" w:space="0" w:color="000000"/>
              <w:bottom w:val="single" w:sz="8" w:space="0" w:color="000000"/>
              <w:right w:val="single" w:sz="8" w:space="0" w:color="000000"/>
            </w:tcBorders>
          </w:tcPr>
          <w:p>
            <w:pPr/>
          </w:p>
        </w:tc>
        <w:tc>
          <w:tcPr>
            <w:tcW w:w="2322"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3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92" w:type="dxa"/>
            <w:tcBorders>
              <w:top w:val="single" w:sz="8" w:space="0" w:color="000000"/>
              <w:left w:val="single" w:sz="8" w:space="0" w:color="000000"/>
              <w:bottom w:val="single" w:sz="8" w:space="0" w:color="000000"/>
              <w:right w:val="single" w:sz="8" w:space="0" w:color="000000"/>
            </w:tcBorders>
          </w:tcPr>
          <w:p>
            <w:pPr/>
          </w:p>
        </w:tc>
        <w:tc>
          <w:tcPr>
            <w:tcW w:w="2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6"/>
              <w:jc w:val="right"/>
              <w:rPr>
                <w:rFonts w:ascii="Times New Roman" w:hAnsi="Times New Roman" w:cs="Times New Roman" w:eastAsia="Times New Roman" w:hint="default"/>
                <w:sz w:val="18"/>
                <w:szCs w:val="18"/>
              </w:rPr>
            </w:pPr>
            <w:r>
              <w:rPr>
                <w:rFonts w:ascii="Times New Roman"/>
                <w:spacing w:val="-1"/>
                <w:sz w:val="18"/>
              </w:rPr>
              <w:t>20,000,000.00</w:t>
            </w:r>
          </w:p>
        </w:tc>
        <w:tc>
          <w:tcPr>
            <w:tcW w:w="23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188,349,755.97</w:t>
            </w:r>
          </w:p>
        </w:tc>
      </w:tr>
      <w:tr>
        <w:trPr>
          <w:trHeight w:val="360" w:hRule="exact"/>
        </w:trPr>
        <w:tc>
          <w:tcPr>
            <w:tcW w:w="3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992" w:type="dxa"/>
            <w:tcBorders>
              <w:top w:val="single" w:sz="8" w:space="0" w:color="000000"/>
              <w:left w:val="single" w:sz="8" w:space="0" w:color="000000"/>
              <w:bottom w:val="single" w:sz="8" w:space="0" w:color="000000"/>
              <w:right w:val="single" w:sz="8" w:space="0" w:color="000000"/>
            </w:tcBorders>
          </w:tcPr>
          <w:p>
            <w:pPr/>
          </w:p>
        </w:tc>
        <w:tc>
          <w:tcPr>
            <w:tcW w:w="2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215"/>
              <w:jc w:val="right"/>
              <w:rPr>
                <w:rFonts w:ascii="Times New Roman" w:hAnsi="Times New Roman" w:cs="Times New Roman" w:eastAsia="Times New Roman" w:hint="default"/>
                <w:sz w:val="18"/>
                <w:szCs w:val="18"/>
              </w:rPr>
            </w:pPr>
            <w:r>
              <w:rPr>
                <w:rFonts w:ascii="Times New Roman"/>
                <w:sz w:val="18"/>
              </w:rPr>
              <w:t>-</w:t>
            </w:r>
          </w:p>
        </w:tc>
        <w:tc>
          <w:tcPr>
            <w:tcW w:w="23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9"/>
              <w:ind w:right="223"/>
              <w:jc w:val="righ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3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992" w:type="dxa"/>
            <w:tcBorders>
              <w:top w:val="single" w:sz="8" w:space="0" w:color="000000"/>
              <w:left w:val="single" w:sz="8" w:space="0" w:color="000000"/>
              <w:bottom w:val="single" w:sz="8" w:space="0" w:color="000000"/>
              <w:right w:val="single" w:sz="8" w:space="0" w:color="000000"/>
            </w:tcBorders>
          </w:tcPr>
          <w:p>
            <w:pPr/>
          </w:p>
        </w:tc>
        <w:tc>
          <w:tcPr>
            <w:tcW w:w="2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215"/>
              <w:jc w:val="right"/>
              <w:rPr>
                <w:rFonts w:ascii="Times New Roman" w:hAnsi="Times New Roman" w:cs="Times New Roman" w:eastAsia="Times New Roman" w:hint="default"/>
                <w:sz w:val="18"/>
                <w:szCs w:val="18"/>
              </w:rPr>
            </w:pPr>
            <w:r>
              <w:rPr>
                <w:rFonts w:ascii="Times New Roman"/>
                <w:sz w:val="18"/>
              </w:rPr>
              <w:t>-</w:t>
            </w:r>
          </w:p>
        </w:tc>
        <w:tc>
          <w:tcPr>
            <w:tcW w:w="23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9"/>
              <w:ind w:right="223"/>
              <w:jc w:val="righ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3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992" w:type="dxa"/>
            <w:tcBorders>
              <w:top w:val="single" w:sz="8" w:space="0" w:color="000000"/>
              <w:left w:val="single" w:sz="8" w:space="0" w:color="000000"/>
              <w:bottom w:val="single" w:sz="8" w:space="0" w:color="000000"/>
              <w:right w:val="single" w:sz="8" w:space="0" w:color="000000"/>
            </w:tcBorders>
          </w:tcPr>
          <w:p>
            <w:pPr/>
          </w:p>
        </w:tc>
        <w:tc>
          <w:tcPr>
            <w:tcW w:w="2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6"/>
              <w:jc w:val="right"/>
              <w:rPr>
                <w:rFonts w:ascii="Times New Roman" w:hAnsi="Times New Roman" w:cs="Times New Roman" w:eastAsia="Times New Roman" w:hint="default"/>
                <w:sz w:val="18"/>
                <w:szCs w:val="18"/>
              </w:rPr>
            </w:pPr>
            <w:r>
              <w:rPr>
                <w:rFonts w:ascii="Times New Roman"/>
                <w:spacing w:val="-1"/>
                <w:sz w:val="18"/>
              </w:rPr>
              <w:t>8,161,169.27</w:t>
            </w:r>
          </w:p>
        </w:tc>
        <w:tc>
          <w:tcPr>
            <w:tcW w:w="23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3,948,800.00</w:t>
            </w:r>
          </w:p>
        </w:tc>
      </w:tr>
      <w:tr>
        <w:trPr>
          <w:trHeight w:val="360" w:hRule="exact"/>
        </w:trPr>
        <w:tc>
          <w:tcPr>
            <w:tcW w:w="3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992" w:type="dxa"/>
            <w:tcBorders>
              <w:top w:val="single" w:sz="8" w:space="0" w:color="000000"/>
              <w:left w:val="single" w:sz="8" w:space="0" w:color="000000"/>
              <w:bottom w:val="single" w:sz="8" w:space="0" w:color="000000"/>
              <w:right w:val="single" w:sz="8" w:space="0" w:color="000000"/>
            </w:tcBorders>
          </w:tcPr>
          <w:p>
            <w:pPr/>
          </w:p>
        </w:tc>
        <w:tc>
          <w:tcPr>
            <w:tcW w:w="2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215"/>
              <w:jc w:val="right"/>
              <w:rPr>
                <w:rFonts w:ascii="Times New Roman" w:hAnsi="Times New Roman" w:cs="Times New Roman" w:eastAsia="Times New Roman" w:hint="default"/>
                <w:sz w:val="18"/>
                <w:szCs w:val="18"/>
              </w:rPr>
            </w:pPr>
            <w:r>
              <w:rPr>
                <w:rFonts w:ascii="Times New Roman"/>
                <w:sz w:val="18"/>
              </w:rPr>
              <w:t>-</w:t>
            </w:r>
          </w:p>
        </w:tc>
        <w:tc>
          <w:tcPr>
            <w:tcW w:w="23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9"/>
              <w:ind w:right="223"/>
              <w:jc w:val="righ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3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992" w:type="dxa"/>
            <w:tcBorders>
              <w:top w:val="single" w:sz="8" w:space="0" w:color="000000"/>
              <w:left w:val="single" w:sz="8" w:space="0" w:color="000000"/>
              <w:bottom w:val="single" w:sz="8" w:space="0" w:color="000000"/>
              <w:right w:val="single" w:sz="8" w:space="0" w:color="000000"/>
            </w:tcBorders>
          </w:tcPr>
          <w:p>
            <w:pPr/>
          </w:p>
        </w:tc>
        <w:tc>
          <w:tcPr>
            <w:tcW w:w="2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6"/>
              <w:jc w:val="right"/>
              <w:rPr>
                <w:rFonts w:ascii="Times New Roman" w:hAnsi="Times New Roman" w:cs="Times New Roman" w:eastAsia="Times New Roman" w:hint="default"/>
                <w:sz w:val="18"/>
                <w:szCs w:val="18"/>
              </w:rPr>
            </w:pPr>
            <w:r>
              <w:rPr>
                <w:rFonts w:ascii="Times New Roman"/>
                <w:spacing w:val="-1"/>
                <w:sz w:val="18"/>
              </w:rPr>
              <w:t>28,161,169.27</w:t>
            </w:r>
          </w:p>
        </w:tc>
        <w:tc>
          <w:tcPr>
            <w:tcW w:w="23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192,298,555.97</w:t>
            </w:r>
          </w:p>
        </w:tc>
      </w:tr>
      <w:tr>
        <w:trPr>
          <w:trHeight w:val="360" w:hRule="exact"/>
        </w:trPr>
        <w:tc>
          <w:tcPr>
            <w:tcW w:w="3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992" w:type="dxa"/>
            <w:tcBorders>
              <w:top w:val="single" w:sz="8" w:space="0" w:color="000000"/>
              <w:left w:val="single" w:sz="8" w:space="0" w:color="000000"/>
              <w:bottom w:val="single" w:sz="8" w:space="0" w:color="000000"/>
              <w:right w:val="single" w:sz="8" w:space="0" w:color="000000"/>
            </w:tcBorders>
          </w:tcPr>
          <w:p>
            <w:pPr/>
          </w:p>
        </w:tc>
        <w:tc>
          <w:tcPr>
            <w:tcW w:w="2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714,105,597.28</w:t>
            </w:r>
          </w:p>
        </w:tc>
        <w:tc>
          <w:tcPr>
            <w:tcW w:w="23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1,011,671,773.69</w:t>
            </w:r>
          </w:p>
        </w:tc>
      </w:tr>
      <w:tr>
        <w:trPr>
          <w:trHeight w:val="360" w:hRule="exact"/>
        </w:trPr>
        <w:tc>
          <w:tcPr>
            <w:tcW w:w="3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992" w:type="dxa"/>
            <w:tcBorders>
              <w:top w:val="single" w:sz="8" w:space="0" w:color="000000"/>
              <w:left w:val="single" w:sz="8" w:space="0" w:color="000000"/>
              <w:bottom w:val="single" w:sz="8" w:space="0" w:color="000000"/>
              <w:right w:val="single" w:sz="8" w:space="0" w:color="000000"/>
            </w:tcBorders>
          </w:tcPr>
          <w:p>
            <w:pPr/>
          </w:p>
        </w:tc>
        <w:tc>
          <w:tcPr>
            <w:tcW w:w="2323" w:type="dxa"/>
            <w:tcBorders>
              <w:top w:val="single" w:sz="8" w:space="0" w:color="000000"/>
              <w:left w:val="single" w:sz="8" w:space="0" w:color="000000"/>
              <w:bottom w:val="single" w:sz="8" w:space="0" w:color="000000"/>
              <w:right w:val="single" w:sz="8" w:space="0" w:color="000000"/>
            </w:tcBorders>
          </w:tcPr>
          <w:p>
            <w:pPr/>
          </w:p>
        </w:tc>
        <w:tc>
          <w:tcPr>
            <w:tcW w:w="2322"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3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992" w:type="dxa"/>
            <w:tcBorders>
              <w:top w:val="single" w:sz="8" w:space="0" w:color="000000"/>
              <w:left w:val="single" w:sz="8" w:space="0" w:color="000000"/>
              <w:bottom w:val="single" w:sz="8" w:space="0" w:color="000000"/>
              <w:right w:val="single" w:sz="8" w:space="0" w:color="000000"/>
            </w:tcBorders>
          </w:tcPr>
          <w:p>
            <w:pPr/>
          </w:p>
        </w:tc>
        <w:tc>
          <w:tcPr>
            <w:tcW w:w="2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5"/>
              <w:jc w:val="right"/>
              <w:rPr>
                <w:rFonts w:ascii="Times New Roman" w:hAnsi="Times New Roman" w:cs="Times New Roman" w:eastAsia="Times New Roman" w:hint="default"/>
                <w:sz w:val="18"/>
                <w:szCs w:val="18"/>
              </w:rPr>
            </w:pPr>
            <w:r>
              <w:rPr>
                <w:rFonts w:ascii="Times New Roman"/>
                <w:spacing w:val="-1"/>
                <w:sz w:val="18"/>
              </w:rPr>
              <w:t>469,593,364.00</w:t>
            </w:r>
          </w:p>
        </w:tc>
        <w:tc>
          <w:tcPr>
            <w:tcW w:w="23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469,593,364.00</w:t>
            </w:r>
          </w:p>
        </w:tc>
      </w:tr>
      <w:tr>
        <w:trPr>
          <w:trHeight w:val="360" w:hRule="exact"/>
        </w:trPr>
        <w:tc>
          <w:tcPr>
            <w:tcW w:w="3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2" w:type="dxa"/>
            <w:tcBorders>
              <w:top w:val="single" w:sz="8" w:space="0" w:color="000000"/>
              <w:left w:val="single" w:sz="8" w:space="0" w:color="000000"/>
              <w:bottom w:val="single" w:sz="8" w:space="0" w:color="000000"/>
              <w:right w:val="single" w:sz="8" w:space="0" w:color="000000"/>
            </w:tcBorders>
          </w:tcPr>
          <w:p>
            <w:pPr/>
          </w:p>
        </w:tc>
        <w:tc>
          <w:tcPr>
            <w:tcW w:w="2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5"/>
              <w:jc w:val="right"/>
              <w:rPr>
                <w:rFonts w:ascii="Times New Roman" w:hAnsi="Times New Roman" w:cs="Times New Roman" w:eastAsia="Times New Roman" w:hint="default"/>
                <w:sz w:val="18"/>
                <w:szCs w:val="18"/>
              </w:rPr>
            </w:pPr>
            <w:r>
              <w:rPr>
                <w:rFonts w:ascii="Times New Roman"/>
                <w:spacing w:val="-1"/>
                <w:sz w:val="18"/>
              </w:rPr>
              <w:t>430,004,578.52</w:t>
            </w:r>
          </w:p>
        </w:tc>
        <w:tc>
          <w:tcPr>
            <w:tcW w:w="23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416,864,723.84</w:t>
            </w:r>
          </w:p>
        </w:tc>
      </w:tr>
      <w:tr>
        <w:trPr>
          <w:trHeight w:val="360" w:hRule="exact"/>
        </w:trPr>
        <w:tc>
          <w:tcPr>
            <w:tcW w:w="3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2" w:type="dxa"/>
            <w:tcBorders>
              <w:top w:val="single" w:sz="8" w:space="0" w:color="000000"/>
              <w:left w:val="single" w:sz="8" w:space="0" w:color="000000"/>
              <w:bottom w:val="single" w:sz="8" w:space="0" w:color="000000"/>
              <w:right w:val="single" w:sz="8" w:space="0" w:color="000000"/>
            </w:tcBorders>
          </w:tcPr>
          <w:p>
            <w:pPr/>
          </w:p>
        </w:tc>
        <w:tc>
          <w:tcPr>
            <w:tcW w:w="2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215"/>
              <w:jc w:val="right"/>
              <w:rPr>
                <w:rFonts w:ascii="Times New Roman" w:hAnsi="Times New Roman" w:cs="Times New Roman" w:eastAsia="Times New Roman" w:hint="default"/>
                <w:sz w:val="18"/>
                <w:szCs w:val="18"/>
              </w:rPr>
            </w:pPr>
            <w:r>
              <w:rPr>
                <w:rFonts w:ascii="Times New Roman"/>
                <w:sz w:val="18"/>
              </w:rPr>
              <w:t>-</w:t>
            </w:r>
          </w:p>
        </w:tc>
        <w:tc>
          <w:tcPr>
            <w:tcW w:w="23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9"/>
              <w:ind w:right="223"/>
              <w:jc w:val="righ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3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92" w:type="dxa"/>
            <w:tcBorders>
              <w:top w:val="single" w:sz="8" w:space="0" w:color="000000"/>
              <w:left w:val="single" w:sz="8" w:space="0" w:color="000000"/>
              <w:bottom w:val="single" w:sz="8" w:space="0" w:color="000000"/>
              <w:right w:val="single" w:sz="8" w:space="0" w:color="000000"/>
            </w:tcBorders>
          </w:tcPr>
          <w:p>
            <w:pPr/>
          </w:p>
        </w:tc>
        <w:tc>
          <w:tcPr>
            <w:tcW w:w="2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5"/>
              <w:jc w:val="right"/>
              <w:rPr>
                <w:rFonts w:ascii="Times New Roman" w:hAnsi="Times New Roman" w:cs="Times New Roman" w:eastAsia="Times New Roman" w:hint="default"/>
                <w:sz w:val="18"/>
                <w:szCs w:val="18"/>
              </w:rPr>
            </w:pPr>
            <w:r>
              <w:rPr>
                <w:rFonts w:ascii="Times New Roman"/>
                <w:spacing w:val="-1"/>
                <w:sz w:val="18"/>
              </w:rPr>
              <w:t>196,990,878.50</w:t>
            </w:r>
          </w:p>
        </w:tc>
        <w:tc>
          <w:tcPr>
            <w:tcW w:w="23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196,990,878.50</w:t>
            </w:r>
          </w:p>
        </w:tc>
      </w:tr>
      <w:tr>
        <w:trPr>
          <w:trHeight w:val="360" w:hRule="exact"/>
        </w:trPr>
        <w:tc>
          <w:tcPr>
            <w:tcW w:w="3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92" w:type="dxa"/>
            <w:tcBorders>
              <w:top w:val="single" w:sz="8" w:space="0" w:color="000000"/>
              <w:left w:val="single" w:sz="8" w:space="0" w:color="000000"/>
              <w:bottom w:val="single" w:sz="8" w:space="0" w:color="000000"/>
              <w:right w:val="single" w:sz="8" w:space="0" w:color="000000"/>
            </w:tcBorders>
          </w:tcPr>
          <w:p>
            <w:pPr/>
          </w:p>
        </w:tc>
        <w:tc>
          <w:tcPr>
            <w:tcW w:w="2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5"/>
              <w:jc w:val="right"/>
              <w:rPr>
                <w:rFonts w:ascii="Times New Roman" w:hAnsi="Times New Roman" w:cs="Times New Roman" w:eastAsia="Times New Roman" w:hint="default"/>
                <w:sz w:val="18"/>
                <w:szCs w:val="18"/>
              </w:rPr>
            </w:pPr>
            <w:r>
              <w:rPr>
                <w:rFonts w:ascii="Times New Roman"/>
                <w:spacing w:val="-1"/>
                <w:sz w:val="18"/>
              </w:rPr>
              <w:t>-391,578,084.52</w:t>
            </w:r>
          </w:p>
        </w:tc>
        <w:tc>
          <w:tcPr>
            <w:tcW w:w="23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-492,743,542.83</w:t>
            </w:r>
          </w:p>
        </w:tc>
      </w:tr>
      <w:tr>
        <w:trPr>
          <w:trHeight w:val="360" w:hRule="exact"/>
        </w:trPr>
        <w:tc>
          <w:tcPr>
            <w:tcW w:w="3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992" w:type="dxa"/>
            <w:tcBorders>
              <w:top w:val="single" w:sz="8" w:space="0" w:color="000000"/>
              <w:left w:val="single" w:sz="8" w:space="0" w:color="000000"/>
              <w:bottom w:val="single" w:sz="8" w:space="0" w:color="000000"/>
              <w:right w:val="single" w:sz="8" w:space="0" w:color="000000"/>
            </w:tcBorders>
          </w:tcPr>
          <w:p>
            <w:pPr/>
          </w:p>
        </w:tc>
        <w:tc>
          <w:tcPr>
            <w:tcW w:w="2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215"/>
              <w:jc w:val="right"/>
              <w:rPr>
                <w:rFonts w:ascii="Times New Roman" w:hAnsi="Times New Roman" w:cs="Times New Roman" w:eastAsia="Times New Roman" w:hint="default"/>
                <w:sz w:val="18"/>
                <w:szCs w:val="18"/>
              </w:rPr>
            </w:pPr>
            <w:r>
              <w:rPr>
                <w:rFonts w:ascii="Times New Roman"/>
                <w:sz w:val="18"/>
              </w:rPr>
              <w:t>-</w:t>
            </w:r>
          </w:p>
        </w:tc>
        <w:tc>
          <w:tcPr>
            <w:tcW w:w="23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9"/>
              <w:ind w:right="223"/>
              <w:jc w:val="righ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3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992" w:type="dxa"/>
            <w:tcBorders>
              <w:top w:val="single" w:sz="8" w:space="0" w:color="000000"/>
              <w:left w:val="single" w:sz="8" w:space="0" w:color="000000"/>
              <w:bottom w:val="single" w:sz="8" w:space="0" w:color="000000"/>
              <w:right w:val="single" w:sz="8" w:space="0" w:color="000000"/>
            </w:tcBorders>
          </w:tcPr>
          <w:p>
            <w:pPr/>
          </w:p>
        </w:tc>
        <w:tc>
          <w:tcPr>
            <w:tcW w:w="2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5"/>
              <w:jc w:val="right"/>
              <w:rPr>
                <w:rFonts w:ascii="Times New Roman" w:hAnsi="Times New Roman" w:cs="Times New Roman" w:eastAsia="Times New Roman" w:hint="default"/>
                <w:sz w:val="18"/>
                <w:szCs w:val="18"/>
              </w:rPr>
            </w:pPr>
            <w:r>
              <w:rPr>
                <w:rFonts w:ascii="Times New Roman"/>
                <w:spacing w:val="-1"/>
                <w:sz w:val="18"/>
              </w:rPr>
              <w:t>705,010,736.50</w:t>
            </w:r>
          </w:p>
        </w:tc>
        <w:tc>
          <w:tcPr>
            <w:tcW w:w="23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590,705,423.51</w:t>
            </w:r>
          </w:p>
        </w:tc>
      </w:tr>
      <w:tr>
        <w:trPr>
          <w:trHeight w:val="360" w:hRule="exact"/>
        </w:trPr>
        <w:tc>
          <w:tcPr>
            <w:tcW w:w="3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992" w:type="dxa"/>
            <w:tcBorders>
              <w:top w:val="single" w:sz="8" w:space="0" w:color="000000"/>
              <w:left w:val="single" w:sz="8" w:space="0" w:color="000000"/>
              <w:bottom w:val="single" w:sz="8" w:space="0" w:color="000000"/>
              <w:right w:val="single" w:sz="8" w:space="0" w:color="000000"/>
            </w:tcBorders>
          </w:tcPr>
          <w:p>
            <w:pPr/>
          </w:p>
        </w:tc>
        <w:tc>
          <w:tcPr>
            <w:tcW w:w="2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215"/>
              <w:jc w:val="right"/>
              <w:rPr>
                <w:rFonts w:ascii="Times New Roman" w:hAnsi="Times New Roman" w:cs="Times New Roman" w:eastAsia="Times New Roman" w:hint="default"/>
                <w:sz w:val="18"/>
                <w:szCs w:val="18"/>
              </w:rPr>
            </w:pPr>
            <w:r>
              <w:rPr>
                <w:rFonts w:ascii="Times New Roman"/>
                <w:sz w:val="18"/>
              </w:rPr>
              <w:t>-</w:t>
            </w:r>
          </w:p>
        </w:tc>
        <w:tc>
          <w:tcPr>
            <w:tcW w:w="23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9"/>
              <w:ind w:right="223"/>
              <w:jc w:val="righ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3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992" w:type="dxa"/>
            <w:tcBorders>
              <w:top w:val="single" w:sz="8" w:space="0" w:color="000000"/>
              <w:left w:val="single" w:sz="8" w:space="0" w:color="000000"/>
              <w:bottom w:val="single" w:sz="8" w:space="0" w:color="000000"/>
              <w:right w:val="single" w:sz="8" w:space="0" w:color="000000"/>
            </w:tcBorders>
          </w:tcPr>
          <w:p>
            <w:pPr/>
          </w:p>
        </w:tc>
        <w:tc>
          <w:tcPr>
            <w:tcW w:w="2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5"/>
              <w:jc w:val="right"/>
              <w:rPr>
                <w:rFonts w:ascii="Times New Roman" w:hAnsi="Times New Roman" w:cs="Times New Roman" w:eastAsia="Times New Roman" w:hint="default"/>
                <w:sz w:val="18"/>
                <w:szCs w:val="18"/>
              </w:rPr>
            </w:pPr>
            <w:r>
              <w:rPr>
                <w:rFonts w:ascii="Times New Roman"/>
                <w:spacing w:val="-1"/>
                <w:sz w:val="18"/>
              </w:rPr>
              <w:t>705,010,736.50</w:t>
            </w:r>
          </w:p>
        </w:tc>
        <w:tc>
          <w:tcPr>
            <w:tcW w:w="23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590,705,423.51</w:t>
            </w:r>
          </w:p>
        </w:tc>
      </w:tr>
      <w:tr>
        <w:trPr>
          <w:trHeight w:val="361" w:hRule="exact"/>
        </w:trPr>
        <w:tc>
          <w:tcPr>
            <w:tcW w:w="3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992" w:type="dxa"/>
            <w:tcBorders>
              <w:top w:val="single" w:sz="8" w:space="0" w:color="000000"/>
              <w:left w:val="single" w:sz="8" w:space="0" w:color="000000"/>
              <w:bottom w:val="single" w:sz="8" w:space="0" w:color="000000"/>
              <w:right w:val="single" w:sz="8" w:space="0" w:color="000000"/>
            </w:tcBorders>
          </w:tcPr>
          <w:p>
            <w:pPr/>
          </w:p>
        </w:tc>
        <w:tc>
          <w:tcPr>
            <w:tcW w:w="2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6"/>
              <w:jc w:val="right"/>
              <w:rPr>
                <w:rFonts w:ascii="Times New Roman" w:hAnsi="Times New Roman" w:cs="Times New Roman" w:eastAsia="Times New Roman" w:hint="default"/>
                <w:sz w:val="18"/>
                <w:szCs w:val="18"/>
              </w:rPr>
            </w:pPr>
            <w:r>
              <w:rPr>
                <w:rFonts w:ascii="Times New Roman"/>
                <w:spacing w:val="-1"/>
                <w:sz w:val="18"/>
              </w:rPr>
              <w:t>1,419,116,333.78</w:t>
            </w:r>
          </w:p>
        </w:tc>
        <w:tc>
          <w:tcPr>
            <w:tcW w:w="23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1,602,377,197.20</w:t>
            </w:r>
          </w:p>
        </w:tc>
      </w:tr>
    </w:tbl>
    <w:p>
      <w:pPr>
        <w:pStyle w:val="BodyText"/>
        <w:tabs>
          <w:tab w:pos="3596" w:val="left" w:leader="none"/>
          <w:tab w:pos="7352" w:val="left" w:leader="none"/>
        </w:tabs>
        <w:spacing w:line="240" w:lineRule="auto" w:before="75"/>
        <w:ind w:left="154" w:right="0"/>
        <w:jc w:val="left"/>
      </w:pPr>
      <w:r>
        <w:rPr>
          <w:spacing w:val="-3"/>
        </w:rPr>
        <w:t>法定代表人：陈泰泉</w:t>
        <w:tab/>
        <w:t>主管会计工作负责人：钟民</w:t>
        <w:tab/>
        <w:t>会计机构负责人：钟民</w:t>
      </w:r>
    </w:p>
    <w:p>
      <w:pPr>
        <w:spacing w:after="0" w:line="240" w:lineRule="auto"/>
        <w:jc w:val="left"/>
        <w:sectPr>
          <w:footerReference w:type="default" r:id="rId12"/>
          <w:pgSz w:w="11900" w:h="16840"/>
          <w:pgMar w:footer="982" w:header="0" w:top="1100" w:bottom="1180" w:left="980" w:right="1180"/>
          <w:pgNumType w:start="6"/>
        </w:sectPr>
      </w:pPr>
    </w:p>
    <w:p>
      <w:pPr>
        <w:pStyle w:val="Heading1"/>
        <w:spacing w:line="399" w:lineRule="exact"/>
        <w:ind w:left="85" w:right="79"/>
        <w:jc w:val="center"/>
      </w:pPr>
      <w:r>
        <w:rPr/>
        <w:t>合并利润表</w:t>
      </w:r>
    </w:p>
    <w:p>
      <w:pPr>
        <w:pStyle w:val="BodyText"/>
        <w:spacing w:line="290" w:lineRule="exact"/>
        <w:ind w:left="84" w:right="79"/>
        <w:jc w:val="center"/>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w:t>
      </w:r>
    </w:p>
    <w:p>
      <w:pPr>
        <w:spacing w:line="240" w:lineRule="auto" w:before="12"/>
        <w:rPr>
          <w:rFonts w:ascii="宋体" w:hAnsi="宋体" w:cs="宋体" w:eastAsia="宋体" w:hint="default"/>
          <w:sz w:val="32"/>
          <w:szCs w:val="32"/>
        </w:rPr>
      </w:pPr>
    </w:p>
    <w:p>
      <w:pPr>
        <w:pStyle w:val="BodyText"/>
        <w:tabs>
          <w:tab w:pos="7348" w:val="left" w:leader="none"/>
        </w:tabs>
        <w:spacing w:line="240" w:lineRule="auto"/>
        <w:ind w:left="0" w:right="79"/>
        <w:jc w:val="center"/>
      </w:pPr>
      <w:r>
        <w:rPr/>
        <w:t>编制单位：</w:t>
      </w:r>
      <w:r>
        <w:rPr>
          <w:u w:val="single" w:color="000000"/>
        </w:rPr>
        <w:t>深圳市鸿基（集团）股份有限公司</w:t>
      </w:r>
      <w:r>
        <w:rPr/>
        <w:tab/>
        <w:t>单位：元</w:t>
      </w:r>
      <w:r>
        <w:rPr>
          <w:spacing w:val="-4"/>
        </w:rPr>
        <w:t> </w:t>
      </w:r>
      <w:r>
        <w:rPr/>
        <w:t>币种：人民币</w:t>
      </w:r>
    </w:p>
    <w:p>
      <w:pPr>
        <w:spacing w:line="240" w:lineRule="auto" w:before="5"/>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805"/>
        <w:gridCol w:w="1068"/>
        <w:gridCol w:w="1998"/>
        <w:gridCol w:w="1998"/>
      </w:tblGrid>
      <w:tr>
        <w:trPr>
          <w:trHeight w:val="380" w:hRule="exact"/>
        </w:trPr>
        <w:tc>
          <w:tcPr>
            <w:tcW w:w="48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8"/>
              <w:ind w:left="2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62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9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left="62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10" w:hRule="exact"/>
        </w:trPr>
        <w:tc>
          <w:tcPr>
            <w:tcW w:w="48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068" w:type="dxa"/>
            <w:tcBorders>
              <w:top w:val="single" w:sz="8" w:space="0" w:color="000000"/>
              <w:left w:val="single" w:sz="8" w:space="0" w:color="000000"/>
              <w:bottom w:val="single" w:sz="8" w:space="0" w:color="000000"/>
              <w:right w:val="single" w:sz="8" w:space="0" w:color="000000"/>
            </w:tcBorders>
          </w:tcPr>
          <w:p>
            <w:pP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pacing w:val="-1"/>
                <w:sz w:val="18"/>
              </w:rPr>
              <w:t>696,718,259.58</w:t>
            </w:r>
          </w:p>
        </w:tc>
        <w:tc>
          <w:tcPr>
            <w:tcW w:w="199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0"/>
              <w:jc w:val="right"/>
              <w:rPr>
                <w:rFonts w:ascii="Times New Roman" w:hAnsi="Times New Roman" w:cs="Times New Roman" w:eastAsia="Times New Roman" w:hint="default"/>
                <w:sz w:val="18"/>
                <w:szCs w:val="18"/>
              </w:rPr>
            </w:pPr>
            <w:r>
              <w:rPr>
                <w:rFonts w:ascii="Times New Roman"/>
                <w:spacing w:val="-1"/>
                <w:sz w:val="18"/>
              </w:rPr>
              <w:t>318,848,335.03</w:t>
            </w:r>
          </w:p>
        </w:tc>
      </w:tr>
      <w:tr>
        <w:trPr>
          <w:trHeight w:val="409" w:hRule="exact"/>
        </w:trPr>
        <w:tc>
          <w:tcPr>
            <w:tcW w:w="48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0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w:t>
            </w: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pacing w:val="-1"/>
                <w:sz w:val="18"/>
              </w:rPr>
              <w:t>696,718,259.58</w:t>
            </w:r>
          </w:p>
        </w:tc>
        <w:tc>
          <w:tcPr>
            <w:tcW w:w="199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1"/>
              <w:jc w:val="right"/>
              <w:rPr>
                <w:rFonts w:ascii="Times New Roman" w:hAnsi="Times New Roman" w:cs="Times New Roman" w:eastAsia="Times New Roman" w:hint="default"/>
                <w:sz w:val="18"/>
                <w:szCs w:val="18"/>
              </w:rPr>
            </w:pPr>
            <w:r>
              <w:rPr>
                <w:rFonts w:ascii="Times New Roman"/>
                <w:spacing w:val="-1"/>
                <w:sz w:val="18"/>
              </w:rPr>
              <w:t>318,848,335.03</w:t>
            </w:r>
          </w:p>
        </w:tc>
      </w:tr>
      <w:tr>
        <w:trPr>
          <w:trHeight w:val="410" w:hRule="exact"/>
        </w:trPr>
        <w:tc>
          <w:tcPr>
            <w:tcW w:w="48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068" w:type="dxa"/>
            <w:tcBorders>
              <w:top w:val="single" w:sz="8" w:space="0" w:color="000000"/>
              <w:left w:val="single" w:sz="8" w:space="0" w:color="000000"/>
              <w:bottom w:val="single" w:sz="8" w:space="0" w:color="000000"/>
              <w:right w:val="single" w:sz="8" w:space="0" w:color="000000"/>
            </w:tcBorders>
          </w:tcPr>
          <w:p>
            <w:pP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pacing w:val="-1"/>
                <w:sz w:val="18"/>
              </w:rPr>
              <w:t>699,830,872.18</w:t>
            </w:r>
          </w:p>
        </w:tc>
        <w:tc>
          <w:tcPr>
            <w:tcW w:w="199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0"/>
              <w:jc w:val="right"/>
              <w:rPr>
                <w:rFonts w:ascii="Times New Roman" w:hAnsi="Times New Roman" w:cs="Times New Roman" w:eastAsia="Times New Roman" w:hint="default"/>
                <w:sz w:val="18"/>
                <w:szCs w:val="18"/>
              </w:rPr>
            </w:pPr>
            <w:r>
              <w:rPr>
                <w:rFonts w:ascii="Times New Roman"/>
                <w:spacing w:val="-1"/>
                <w:sz w:val="18"/>
              </w:rPr>
              <w:t>465,231,612.76</w:t>
            </w:r>
          </w:p>
        </w:tc>
      </w:tr>
      <w:tr>
        <w:trPr>
          <w:trHeight w:val="410" w:hRule="exact"/>
        </w:trPr>
        <w:tc>
          <w:tcPr>
            <w:tcW w:w="48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0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w:t>
            </w: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pacing w:val="-1"/>
                <w:sz w:val="18"/>
              </w:rPr>
              <w:t>465,745,745.11</w:t>
            </w:r>
          </w:p>
        </w:tc>
        <w:tc>
          <w:tcPr>
            <w:tcW w:w="199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1"/>
              <w:jc w:val="right"/>
              <w:rPr>
                <w:rFonts w:ascii="Times New Roman" w:hAnsi="Times New Roman" w:cs="Times New Roman" w:eastAsia="Times New Roman" w:hint="default"/>
                <w:sz w:val="18"/>
                <w:szCs w:val="18"/>
              </w:rPr>
            </w:pPr>
            <w:r>
              <w:rPr>
                <w:rFonts w:ascii="Times New Roman"/>
                <w:spacing w:val="-1"/>
                <w:sz w:val="18"/>
              </w:rPr>
              <w:t>199,440,608.42</w:t>
            </w:r>
          </w:p>
        </w:tc>
      </w:tr>
      <w:tr>
        <w:trPr>
          <w:trHeight w:val="409" w:hRule="exact"/>
        </w:trPr>
        <w:tc>
          <w:tcPr>
            <w:tcW w:w="48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8"/>
              <w:ind w:left="66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0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w:t>
            </w: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pacing w:val="-1"/>
                <w:sz w:val="18"/>
              </w:rPr>
              <w:t>66,794,985.48</w:t>
            </w:r>
          </w:p>
        </w:tc>
        <w:tc>
          <w:tcPr>
            <w:tcW w:w="199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1"/>
              <w:jc w:val="right"/>
              <w:rPr>
                <w:rFonts w:ascii="Times New Roman" w:hAnsi="Times New Roman" w:cs="Times New Roman" w:eastAsia="Times New Roman" w:hint="default"/>
                <w:sz w:val="18"/>
                <w:szCs w:val="18"/>
              </w:rPr>
            </w:pPr>
            <w:r>
              <w:rPr>
                <w:rFonts w:ascii="Times New Roman"/>
                <w:spacing w:val="-1"/>
                <w:sz w:val="18"/>
              </w:rPr>
              <w:t>21,592,951.56</w:t>
            </w:r>
          </w:p>
        </w:tc>
      </w:tr>
      <w:tr>
        <w:trPr>
          <w:trHeight w:val="410" w:hRule="exact"/>
        </w:trPr>
        <w:tc>
          <w:tcPr>
            <w:tcW w:w="48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8"/>
              <w:ind w:left="66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068" w:type="dxa"/>
            <w:tcBorders>
              <w:top w:val="single" w:sz="8" w:space="0" w:color="000000"/>
              <w:left w:val="single" w:sz="8" w:space="0" w:color="000000"/>
              <w:bottom w:val="single" w:sz="8" w:space="0" w:color="000000"/>
              <w:right w:val="single" w:sz="8" w:space="0" w:color="000000"/>
            </w:tcBorders>
          </w:tcPr>
          <w:p>
            <w:pP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pacing w:val="-1"/>
                <w:sz w:val="18"/>
              </w:rPr>
              <w:t>41,620,288.44</w:t>
            </w:r>
          </w:p>
        </w:tc>
        <w:tc>
          <w:tcPr>
            <w:tcW w:w="199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0"/>
              <w:jc w:val="right"/>
              <w:rPr>
                <w:rFonts w:ascii="Times New Roman" w:hAnsi="Times New Roman" w:cs="Times New Roman" w:eastAsia="Times New Roman" w:hint="default"/>
                <w:sz w:val="18"/>
                <w:szCs w:val="18"/>
              </w:rPr>
            </w:pPr>
            <w:r>
              <w:rPr>
                <w:rFonts w:ascii="Times New Roman"/>
                <w:spacing w:val="-1"/>
                <w:sz w:val="18"/>
              </w:rPr>
              <w:t>22,699,365.87</w:t>
            </w:r>
          </w:p>
        </w:tc>
      </w:tr>
      <w:tr>
        <w:trPr>
          <w:trHeight w:val="410" w:hRule="exact"/>
        </w:trPr>
        <w:tc>
          <w:tcPr>
            <w:tcW w:w="48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8"/>
              <w:ind w:left="66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068" w:type="dxa"/>
            <w:tcBorders>
              <w:top w:val="single" w:sz="8" w:space="0" w:color="000000"/>
              <w:left w:val="single" w:sz="8" w:space="0" w:color="000000"/>
              <w:bottom w:val="single" w:sz="8" w:space="0" w:color="000000"/>
              <w:right w:val="single" w:sz="8" w:space="0" w:color="000000"/>
            </w:tcBorders>
          </w:tcPr>
          <w:p>
            <w:pP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pacing w:val="-1"/>
                <w:sz w:val="18"/>
              </w:rPr>
              <w:t>129,614,068.96</w:t>
            </w:r>
          </w:p>
        </w:tc>
        <w:tc>
          <w:tcPr>
            <w:tcW w:w="199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0"/>
              <w:jc w:val="right"/>
              <w:rPr>
                <w:rFonts w:ascii="Times New Roman" w:hAnsi="Times New Roman" w:cs="Times New Roman" w:eastAsia="Times New Roman" w:hint="default"/>
                <w:sz w:val="18"/>
                <w:szCs w:val="18"/>
              </w:rPr>
            </w:pPr>
            <w:r>
              <w:rPr>
                <w:rFonts w:ascii="Times New Roman"/>
                <w:spacing w:val="-1"/>
                <w:sz w:val="18"/>
              </w:rPr>
              <w:t>139,973,261.86</w:t>
            </w:r>
          </w:p>
        </w:tc>
      </w:tr>
      <w:tr>
        <w:trPr>
          <w:trHeight w:val="409" w:hRule="exact"/>
        </w:trPr>
        <w:tc>
          <w:tcPr>
            <w:tcW w:w="48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8"/>
              <w:ind w:left="66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068" w:type="dxa"/>
            <w:tcBorders>
              <w:top w:val="single" w:sz="8" w:space="0" w:color="000000"/>
              <w:left w:val="single" w:sz="8" w:space="0" w:color="000000"/>
              <w:bottom w:val="single" w:sz="8" w:space="0" w:color="000000"/>
              <w:right w:val="single" w:sz="8" w:space="0" w:color="000000"/>
            </w:tcBorders>
          </w:tcPr>
          <w:p>
            <w:pP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pacing w:val="-1"/>
                <w:sz w:val="18"/>
              </w:rPr>
              <w:t>39,018,090.61</w:t>
            </w:r>
          </w:p>
        </w:tc>
        <w:tc>
          <w:tcPr>
            <w:tcW w:w="199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0"/>
              <w:jc w:val="right"/>
              <w:rPr>
                <w:rFonts w:ascii="Times New Roman" w:hAnsi="Times New Roman" w:cs="Times New Roman" w:eastAsia="Times New Roman" w:hint="default"/>
                <w:sz w:val="18"/>
                <w:szCs w:val="18"/>
              </w:rPr>
            </w:pPr>
            <w:r>
              <w:rPr>
                <w:rFonts w:ascii="Times New Roman"/>
                <w:spacing w:val="-1"/>
                <w:sz w:val="18"/>
              </w:rPr>
              <w:t>39,070,477.95</w:t>
            </w:r>
          </w:p>
        </w:tc>
      </w:tr>
      <w:tr>
        <w:trPr>
          <w:trHeight w:val="410" w:hRule="exact"/>
        </w:trPr>
        <w:tc>
          <w:tcPr>
            <w:tcW w:w="48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8"/>
              <w:ind w:left="66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0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w:t>
            </w: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pacing w:val="-1"/>
                <w:sz w:val="18"/>
              </w:rPr>
              <w:t>-42,962,306.42</w:t>
            </w:r>
          </w:p>
        </w:tc>
        <w:tc>
          <w:tcPr>
            <w:tcW w:w="199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1"/>
              <w:jc w:val="right"/>
              <w:rPr>
                <w:rFonts w:ascii="Times New Roman" w:hAnsi="Times New Roman" w:cs="Times New Roman" w:eastAsia="Times New Roman" w:hint="default"/>
                <w:sz w:val="18"/>
                <w:szCs w:val="18"/>
              </w:rPr>
            </w:pPr>
            <w:r>
              <w:rPr>
                <w:rFonts w:ascii="Times New Roman"/>
                <w:spacing w:val="-1"/>
                <w:sz w:val="18"/>
              </w:rPr>
              <w:t>42,454,947.10</w:t>
            </w:r>
          </w:p>
        </w:tc>
      </w:tr>
      <w:tr>
        <w:trPr>
          <w:trHeight w:val="410" w:hRule="exact"/>
        </w:trPr>
        <w:tc>
          <w:tcPr>
            <w:tcW w:w="48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68" w:type="dxa"/>
            <w:tcBorders>
              <w:top w:val="single" w:sz="8" w:space="0" w:color="000000"/>
              <w:left w:val="single" w:sz="8" w:space="0" w:color="000000"/>
              <w:bottom w:val="single" w:sz="8" w:space="0" w:color="000000"/>
              <w:right w:val="single" w:sz="8" w:space="0" w:color="000000"/>
            </w:tcBorders>
          </w:tcPr>
          <w:p>
            <w:pP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386"/>
              <w:jc w:val="right"/>
              <w:rPr>
                <w:rFonts w:ascii="Times New Roman" w:hAnsi="Times New Roman" w:cs="Times New Roman" w:eastAsia="Times New Roman" w:hint="default"/>
                <w:sz w:val="18"/>
                <w:szCs w:val="18"/>
              </w:rPr>
            </w:pPr>
            <w:r>
              <w:rPr>
                <w:rFonts w:ascii="Times New Roman"/>
                <w:sz w:val="18"/>
              </w:rPr>
              <w:t>-</w:t>
            </w:r>
          </w:p>
        </w:tc>
        <w:tc>
          <w:tcPr>
            <w:tcW w:w="199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396"/>
              <w:jc w:val="right"/>
              <w:rPr>
                <w:rFonts w:ascii="Times New Roman" w:hAnsi="Times New Roman" w:cs="Times New Roman" w:eastAsia="Times New Roman" w:hint="default"/>
                <w:sz w:val="18"/>
                <w:szCs w:val="18"/>
              </w:rPr>
            </w:pPr>
            <w:r>
              <w:rPr>
                <w:rFonts w:ascii="Times New Roman"/>
                <w:sz w:val="18"/>
              </w:rPr>
              <w:t>-</w:t>
            </w:r>
          </w:p>
        </w:tc>
      </w:tr>
      <w:tr>
        <w:trPr>
          <w:trHeight w:val="409" w:hRule="exact"/>
        </w:trPr>
        <w:tc>
          <w:tcPr>
            <w:tcW w:w="48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w:t>
            </w: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pacing w:val="-1"/>
                <w:sz w:val="18"/>
              </w:rPr>
              <w:t>70,070,321.90</w:t>
            </w:r>
          </w:p>
        </w:tc>
        <w:tc>
          <w:tcPr>
            <w:tcW w:w="199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1"/>
              <w:jc w:val="right"/>
              <w:rPr>
                <w:rFonts w:ascii="Times New Roman" w:hAnsi="Times New Roman" w:cs="Times New Roman" w:eastAsia="Times New Roman" w:hint="default"/>
                <w:sz w:val="18"/>
                <w:szCs w:val="18"/>
              </w:rPr>
            </w:pPr>
            <w:r>
              <w:rPr>
                <w:rFonts w:ascii="Times New Roman"/>
                <w:spacing w:val="-1"/>
                <w:sz w:val="18"/>
              </w:rPr>
              <w:t>-12,457,547.74</w:t>
            </w:r>
          </w:p>
        </w:tc>
      </w:tr>
      <w:tr>
        <w:trPr>
          <w:trHeight w:val="410" w:hRule="exact"/>
        </w:trPr>
        <w:tc>
          <w:tcPr>
            <w:tcW w:w="48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068" w:type="dxa"/>
            <w:tcBorders>
              <w:top w:val="single" w:sz="8" w:space="0" w:color="000000"/>
              <w:left w:val="single" w:sz="8" w:space="0" w:color="000000"/>
              <w:bottom w:val="single" w:sz="8" w:space="0" w:color="000000"/>
              <w:right w:val="single" w:sz="8" w:space="0" w:color="000000"/>
            </w:tcBorders>
          </w:tcPr>
          <w:p>
            <w:pP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386"/>
              <w:jc w:val="right"/>
              <w:rPr>
                <w:rFonts w:ascii="Times New Roman" w:hAnsi="Times New Roman" w:cs="Times New Roman" w:eastAsia="Times New Roman" w:hint="default"/>
                <w:sz w:val="18"/>
                <w:szCs w:val="18"/>
              </w:rPr>
            </w:pPr>
            <w:r>
              <w:rPr>
                <w:rFonts w:ascii="Times New Roman"/>
                <w:sz w:val="18"/>
              </w:rPr>
              <w:t>-</w:t>
            </w:r>
          </w:p>
        </w:tc>
        <w:tc>
          <w:tcPr>
            <w:tcW w:w="199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396"/>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48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68" w:type="dxa"/>
            <w:tcBorders>
              <w:top w:val="single" w:sz="8" w:space="0" w:color="000000"/>
              <w:left w:val="single" w:sz="8" w:space="0" w:color="000000"/>
              <w:bottom w:val="single" w:sz="8" w:space="0" w:color="000000"/>
              <w:right w:val="single" w:sz="8" w:space="0" w:color="000000"/>
            </w:tcBorders>
          </w:tcPr>
          <w:p>
            <w:pP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386"/>
              <w:jc w:val="right"/>
              <w:rPr>
                <w:rFonts w:ascii="Times New Roman" w:hAnsi="Times New Roman" w:cs="Times New Roman" w:eastAsia="Times New Roman" w:hint="default"/>
                <w:sz w:val="18"/>
                <w:szCs w:val="18"/>
              </w:rPr>
            </w:pPr>
            <w:r>
              <w:rPr>
                <w:rFonts w:ascii="Times New Roman"/>
                <w:sz w:val="18"/>
              </w:rPr>
              <w:t>-</w:t>
            </w:r>
          </w:p>
        </w:tc>
        <w:tc>
          <w:tcPr>
            <w:tcW w:w="199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396"/>
              <w:jc w:val="right"/>
              <w:rPr>
                <w:rFonts w:ascii="Times New Roman" w:hAnsi="Times New Roman" w:cs="Times New Roman" w:eastAsia="Times New Roman" w:hint="default"/>
                <w:sz w:val="18"/>
                <w:szCs w:val="18"/>
              </w:rPr>
            </w:pPr>
            <w:r>
              <w:rPr>
                <w:rFonts w:ascii="Times New Roman"/>
                <w:sz w:val="18"/>
              </w:rPr>
              <w:t>-</w:t>
            </w:r>
          </w:p>
        </w:tc>
      </w:tr>
      <w:tr>
        <w:trPr>
          <w:trHeight w:val="409" w:hRule="exact"/>
        </w:trPr>
        <w:tc>
          <w:tcPr>
            <w:tcW w:w="48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68" w:type="dxa"/>
            <w:tcBorders>
              <w:top w:val="single" w:sz="8" w:space="0" w:color="000000"/>
              <w:left w:val="single" w:sz="8" w:space="0" w:color="000000"/>
              <w:bottom w:val="single" w:sz="8" w:space="0" w:color="000000"/>
              <w:right w:val="single" w:sz="8" w:space="0" w:color="000000"/>
            </w:tcBorders>
          </w:tcPr>
          <w:p>
            <w:pP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pacing w:val="-1"/>
                <w:sz w:val="18"/>
              </w:rPr>
              <w:t>66,957,709.30</w:t>
            </w:r>
          </w:p>
        </w:tc>
        <w:tc>
          <w:tcPr>
            <w:tcW w:w="199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1"/>
              <w:jc w:val="right"/>
              <w:rPr>
                <w:rFonts w:ascii="Times New Roman" w:hAnsi="Times New Roman" w:cs="Times New Roman" w:eastAsia="Times New Roman" w:hint="default"/>
                <w:sz w:val="18"/>
                <w:szCs w:val="18"/>
              </w:rPr>
            </w:pPr>
            <w:r>
              <w:rPr>
                <w:rFonts w:ascii="Times New Roman"/>
                <w:spacing w:val="-1"/>
                <w:sz w:val="18"/>
              </w:rPr>
              <w:t>-158,840,825.47</w:t>
            </w:r>
          </w:p>
        </w:tc>
      </w:tr>
      <w:tr>
        <w:trPr>
          <w:trHeight w:val="410" w:hRule="exact"/>
        </w:trPr>
        <w:tc>
          <w:tcPr>
            <w:tcW w:w="48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0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39</w:t>
            </w: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pacing w:val="-1"/>
                <w:sz w:val="18"/>
              </w:rPr>
              <w:t>14,013,984.78</w:t>
            </w:r>
          </w:p>
        </w:tc>
        <w:tc>
          <w:tcPr>
            <w:tcW w:w="199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1"/>
              <w:jc w:val="right"/>
              <w:rPr>
                <w:rFonts w:ascii="Times New Roman" w:hAnsi="Times New Roman" w:cs="Times New Roman" w:eastAsia="Times New Roman" w:hint="default"/>
                <w:sz w:val="18"/>
                <w:szCs w:val="18"/>
              </w:rPr>
            </w:pPr>
            <w:r>
              <w:rPr>
                <w:rFonts w:ascii="Times New Roman"/>
                <w:spacing w:val="-1"/>
                <w:sz w:val="18"/>
              </w:rPr>
              <w:t>9,516,754.86</w:t>
            </w:r>
          </w:p>
        </w:tc>
      </w:tr>
      <w:tr>
        <w:trPr>
          <w:trHeight w:val="410" w:hRule="exact"/>
        </w:trPr>
        <w:tc>
          <w:tcPr>
            <w:tcW w:w="48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0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w:t>
            </w: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pacing w:val="-1"/>
                <w:sz w:val="18"/>
              </w:rPr>
              <w:t>14,125,380.13</w:t>
            </w:r>
          </w:p>
        </w:tc>
        <w:tc>
          <w:tcPr>
            <w:tcW w:w="199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1"/>
              <w:jc w:val="right"/>
              <w:rPr>
                <w:rFonts w:ascii="Times New Roman" w:hAnsi="Times New Roman" w:cs="Times New Roman" w:eastAsia="Times New Roman" w:hint="default"/>
                <w:sz w:val="18"/>
                <w:szCs w:val="18"/>
              </w:rPr>
            </w:pPr>
            <w:r>
              <w:rPr>
                <w:rFonts w:ascii="Times New Roman"/>
                <w:spacing w:val="-1"/>
                <w:sz w:val="18"/>
              </w:rPr>
              <w:t>6,529,175.25</w:t>
            </w:r>
          </w:p>
        </w:tc>
      </w:tr>
      <w:tr>
        <w:trPr>
          <w:trHeight w:val="409" w:hRule="exact"/>
        </w:trPr>
        <w:tc>
          <w:tcPr>
            <w:tcW w:w="48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068" w:type="dxa"/>
            <w:tcBorders>
              <w:top w:val="single" w:sz="8" w:space="0" w:color="000000"/>
              <w:left w:val="single" w:sz="8" w:space="0" w:color="000000"/>
              <w:bottom w:val="single" w:sz="8" w:space="0" w:color="000000"/>
              <w:right w:val="single" w:sz="8" w:space="0" w:color="000000"/>
            </w:tcBorders>
          </w:tcPr>
          <w:p>
            <w:pP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386"/>
              <w:jc w:val="right"/>
              <w:rPr>
                <w:rFonts w:ascii="Times New Roman" w:hAnsi="Times New Roman" w:cs="Times New Roman" w:eastAsia="Times New Roman" w:hint="default"/>
                <w:sz w:val="18"/>
                <w:szCs w:val="18"/>
              </w:rPr>
            </w:pPr>
            <w:r>
              <w:rPr>
                <w:rFonts w:ascii="Times New Roman"/>
                <w:sz w:val="18"/>
              </w:rPr>
              <w:t>-</w:t>
            </w:r>
          </w:p>
        </w:tc>
        <w:tc>
          <w:tcPr>
            <w:tcW w:w="199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396"/>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48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68" w:type="dxa"/>
            <w:tcBorders>
              <w:top w:val="single" w:sz="8" w:space="0" w:color="000000"/>
              <w:left w:val="single" w:sz="8" w:space="0" w:color="000000"/>
              <w:bottom w:val="single" w:sz="8" w:space="0" w:color="000000"/>
              <w:right w:val="single" w:sz="8" w:space="0" w:color="000000"/>
            </w:tcBorders>
          </w:tcPr>
          <w:p>
            <w:pP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pacing w:val="-1"/>
                <w:sz w:val="18"/>
              </w:rPr>
              <w:t>66,846,313.95</w:t>
            </w:r>
          </w:p>
        </w:tc>
        <w:tc>
          <w:tcPr>
            <w:tcW w:w="199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1"/>
              <w:jc w:val="right"/>
              <w:rPr>
                <w:rFonts w:ascii="Times New Roman" w:hAnsi="Times New Roman" w:cs="Times New Roman" w:eastAsia="Times New Roman" w:hint="default"/>
                <w:sz w:val="18"/>
                <w:szCs w:val="18"/>
              </w:rPr>
            </w:pPr>
            <w:r>
              <w:rPr>
                <w:rFonts w:ascii="Times New Roman"/>
                <w:spacing w:val="-1"/>
                <w:sz w:val="18"/>
              </w:rPr>
              <w:t>-155,853,245.86</w:t>
            </w:r>
          </w:p>
        </w:tc>
      </w:tr>
      <w:tr>
        <w:trPr>
          <w:trHeight w:val="410" w:hRule="exact"/>
        </w:trPr>
        <w:tc>
          <w:tcPr>
            <w:tcW w:w="48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0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41</w:t>
            </w: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pacing w:val="-1"/>
                <w:sz w:val="18"/>
              </w:rPr>
              <w:t>16,625,625.63</w:t>
            </w:r>
          </w:p>
        </w:tc>
        <w:tc>
          <w:tcPr>
            <w:tcW w:w="199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1"/>
              <w:jc w:val="right"/>
              <w:rPr>
                <w:rFonts w:ascii="Times New Roman" w:hAnsi="Times New Roman" w:cs="Times New Roman" w:eastAsia="Times New Roman" w:hint="default"/>
                <w:sz w:val="18"/>
                <w:szCs w:val="18"/>
              </w:rPr>
            </w:pPr>
            <w:r>
              <w:rPr>
                <w:rFonts w:ascii="Times New Roman"/>
                <w:spacing w:val="-1"/>
                <w:sz w:val="18"/>
              </w:rPr>
              <w:t>-26,346,486.89</w:t>
            </w:r>
          </w:p>
        </w:tc>
      </w:tr>
      <w:tr>
        <w:trPr>
          <w:trHeight w:val="409" w:hRule="exact"/>
        </w:trPr>
        <w:tc>
          <w:tcPr>
            <w:tcW w:w="48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68" w:type="dxa"/>
            <w:tcBorders>
              <w:top w:val="single" w:sz="8" w:space="0" w:color="000000"/>
              <w:left w:val="single" w:sz="8" w:space="0" w:color="000000"/>
              <w:bottom w:val="single" w:sz="8" w:space="0" w:color="000000"/>
              <w:right w:val="single" w:sz="8" w:space="0" w:color="000000"/>
            </w:tcBorders>
          </w:tcPr>
          <w:p>
            <w:pP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pacing w:val="-1"/>
                <w:sz w:val="18"/>
              </w:rPr>
              <w:t>50,220,688.32</w:t>
            </w:r>
          </w:p>
        </w:tc>
        <w:tc>
          <w:tcPr>
            <w:tcW w:w="199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1"/>
              <w:jc w:val="right"/>
              <w:rPr>
                <w:rFonts w:ascii="Times New Roman" w:hAnsi="Times New Roman" w:cs="Times New Roman" w:eastAsia="Times New Roman" w:hint="default"/>
                <w:sz w:val="18"/>
                <w:szCs w:val="18"/>
              </w:rPr>
            </w:pPr>
            <w:r>
              <w:rPr>
                <w:rFonts w:ascii="Times New Roman"/>
                <w:spacing w:val="-1"/>
                <w:sz w:val="18"/>
              </w:rPr>
              <w:t>-129,506,758.97</w:t>
            </w:r>
          </w:p>
        </w:tc>
      </w:tr>
      <w:tr>
        <w:trPr>
          <w:trHeight w:val="410" w:hRule="exact"/>
        </w:trPr>
        <w:tc>
          <w:tcPr>
            <w:tcW w:w="48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068" w:type="dxa"/>
            <w:tcBorders>
              <w:top w:val="single" w:sz="8" w:space="0" w:color="000000"/>
              <w:left w:val="single" w:sz="8" w:space="0" w:color="000000"/>
              <w:bottom w:val="single" w:sz="8" w:space="0" w:color="000000"/>
              <w:right w:val="single" w:sz="8" w:space="0" w:color="000000"/>
            </w:tcBorders>
          </w:tcPr>
          <w:p>
            <w:pP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pacing w:val="-1"/>
                <w:sz w:val="18"/>
              </w:rPr>
              <w:t>64,356,382.89</w:t>
            </w:r>
          </w:p>
        </w:tc>
        <w:tc>
          <w:tcPr>
            <w:tcW w:w="199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1"/>
              <w:jc w:val="right"/>
              <w:rPr>
                <w:rFonts w:ascii="Times New Roman" w:hAnsi="Times New Roman" w:cs="Times New Roman" w:eastAsia="Times New Roman" w:hint="default"/>
                <w:sz w:val="18"/>
                <w:szCs w:val="18"/>
              </w:rPr>
            </w:pPr>
            <w:r>
              <w:rPr>
                <w:rFonts w:ascii="Times New Roman"/>
                <w:spacing w:val="-1"/>
                <w:sz w:val="18"/>
              </w:rPr>
              <w:t>-114,627,831.55</w:t>
            </w:r>
          </w:p>
        </w:tc>
      </w:tr>
      <w:tr>
        <w:trPr>
          <w:trHeight w:val="410" w:hRule="exact"/>
        </w:trPr>
        <w:tc>
          <w:tcPr>
            <w:tcW w:w="48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068" w:type="dxa"/>
            <w:tcBorders>
              <w:top w:val="single" w:sz="8" w:space="0" w:color="000000"/>
              <w:left w:val="single" w:sz="8" w:space="0" w:color="000000"/>
              <w:bottom w:val="single" w:sz="8" w:space="0" w:color="000000"/>
              <w:right w:val="single" w:sz="8" w:space="0" w:color="000000"/>
            </w:tcBorders>
          </w:tcPr>
          <w:p>
            <w:pP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pacing w:val="-1"/>
                <w:sz w:val="18"/>
              </w:rPr>
              <w:t>-14,135,694.57</w:t>
            </w:r>
          </w:p>
        </w:tc>
        <w:tc>
          <w:tcPr>
            <w:tcW w:w="199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0"/>
              <w:jc w:val="right"/>
              <w:rPr>
                <w:rFonts w:ascii="Times New Roman" w:hAnsi="Times New Roman" w:cs="Times New Roman" w:eastAsia="Times New Roman" w:hint="default"/>
                <w:sz w:val="18"/>
                <w:szCs w:val="18"/>
              </w:rPr>
            </w:pPr>
            <w:r>
              <w:rPr>
                <w:rFonts w:ascii="Times New Roman"/>
                <w:spacing w:val="-1"/>
                <w:sz w:val="18"/>
              </w:rPr>
              <w:t>-14,878,927.42</w:t>
            </w:r>
          </w:p>
        </w:tc>
      </w:tr>
      <w:tr>
        <w:trPr>
          <w:trHeight w:val="409" w:hRule="exact"/>
        </w:trPr>
        <w:tc>
          <w:tcPr>
            <w:tcW w:w="48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068" w:type="dxa"/>
            <w:tcBorders>
              <w:top w:val="single" w:sz="8" w:space="0" w:color="000000"/>
              <w:left w:val="single" w:sz="8" w:space="0" w:color="000000"/>
              <w:bottom w:val="single" w:sz="8" w:space="0" w:color="000000"/>
              <w:right w:val="single" w:sz="8" w:space="0" w:color="000000"/>
            </w:tcBorders>
          </w:tcPr>
          <w:p>
            <w:pPr/>
          </w:p>
        </w:tc>
        <w:tc>
          <w:tcPr>
            <w:tcW w:w="1998" w:type="dxa"/>
            <w:tcBorders>
              <w:top w:val="single" w:sz="8" w:space="0" w:color="000000"/>
              <w:left w:val="single" w:sz="8" w:space="0" w:color="000000"/>
              <w:bottom w:val="single" w:sz="8" w:space="0" w:color="000000"/>
              <w:right w:val="single" w:sz="8" w:space="0" w:color="000000"/>
            </w:tcBorders>
          </w:tcPr>
          <w:p>
            <w:pPr/>
          </w:p>
        </w:tc>
        <w:tc>
          <w:tcPr>
            <w:tcW w:w="1998" w:type="dxa"/>
            <w:tcBorders>
              <w:top w:val="single" w:sz="8" w:space="0" w:color="000000"/>
              <w:left w:val="single" w:sz="8" w:space="0" w:color="000000"/>
              <w:bottom w:val="single" w:sz="8" w:space="0" w:color="000000"/>
              <w:right w:val="nil" w:sz="6" w:space="0" w:color="auto"/>
            </w:tcBorders>
          </w:tcPr>
          <w:p>
            <w:pPr/>
          </w:p>
        </w:tc>
      </w:tr>
      <w:tr>
        <w:trPr>
          <w:trHeight w:val="410" w:hRule="exact"/>
        </w:trPr>
        <w:tc>
          <w:tcPr>
            <w:tcW w:w="48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0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w:t>
            </w: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z w:val="18"/>
              </w:rPr>
              <w:t>0.14</w:t>
            </w:r>
          </w:p>
        </w:tc>
        <w:tc>
          <w:tcPr>
            <w:tcW w:w="199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0"/>
              <w:jc w:val="right"/>
              <w:rPr>
                <w:rFonts w:ascii="Times New Roman" w:hAnsi="Times New Roman" w:cs="Times New Roman" w:eastAsia="Times New Roman" w:hint="default"/>
                <w:sz w:val="18"/>
                <w:szCs w:val="18"/>
              </w:rPr>
            </w:pPr>
            <w:r>
              <w:rPr>
                <w:rFonts w:ascii="Times New Roman"/>
                <w:sz w:val="18"/>
              </w:rPr>
              <w:t>-0.24</w:t>
            </w:r>
          </w:p>
        </w:tc>
      </w:tr>
      <w:tr>
        <w:trPr>
          <w:trHeight w:val="410" w:hRule="exact"/>
        </w:trPr>
        <w:tc>
          <w:tcPr>
            <w:tcW w:w="48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0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w:t>
            </w: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z w:val="18"/>
              </w:rPr>
              <w:t>0.14</w:t>
            </w:r>
          </w:p>
        </w:tc>
        <w:tc>
          <w:tcPr>
            <w:tcW w:w="199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0"/>
              <w:jc w:val="right"/>
              <w:rPr>
                <w:rFonts w:ascii="Times New Roman" w:hAnsi="Times New Roman" w:cs="Times New Roman" w:eastAsia="Times New Roman" w:hint="default"/>
                <w:sz w:val="18"/>
                <w:szCs w:val="18"/>
              </w:rPr>
            </w:pPr>
            <w:r>
              <w:rPr>
                <w:rFonts w:ascii="Times New Roman"/>
                <w:sz w:val="18"/>
              </w:rPr>
              <w:t>-0.24</w:t>
            </w:r>
          </w:p>
        </w:tc>
      </w:tr>
      <w:tr>
        <w:trPr>
          <w:trHeight w:val="409" w:hRule="exact"/>
        </w:trPr>
        <w:tc>
          <w:tcPr>
            <w:tcW w:w="48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0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w:t>
            </w: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pacing w:val="-1"/>
                <w:sz w:val="18"/>
              </w:rPr>
              <w:t>13,139,854.68</w:t>
            </w:r>
          </w:p>
        </w:tc>
        <w:tc>
          <w:tcPr>
            <w:tcW w:w="199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1"/>
              <w:jc w:val="right"/>
              <w:rPr>
                <w:rFonts w:ascii="Times New Roman" w:hAnsi="Times New Roman" w:cs="Times New Roman" w:eastAsia="Times New Roman" w:hint="default"/>
                <w:sz w:val="18"/>
                <w:szCs w:val="18"/>
              </w:rPr>
            </w:pPr>
            <w:r>
              <w:rPr>
                <w:rFonts w:ascii="Times New Roman"/>
                <w:spacing w:val="-1"/>
                <w:sz w:val="18"/>
              </w:rPr>
              <w:t>-56,808,933.48</w:t>
            </w:r>
          </w:p>
        </w:tc>
      </w:tr>
      <w:tr>
        <w:trPr>
          <w:trHeight w:val="410" w:hRule="exact"/>
        </w:trPr>
        <w:tc>
          <w:tcPr>
            <w:tcW w:w="48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068" w:type="dxa"/>
            <w:tcBorders>
              <w:top w:val="single" w:sz="8" w:space="0" w:color="000000"/>
              <w:left w:val="single" w:sz="8" w:space="0" w:color="000000"/>
              <w:bottom w:val="single" w:sz="8" w:space="0" w:color="000000"/>
              <w:right w:val="single" w:sz="8" w:space="0" w:color="000000"/>
            </w:tcBorders>
          </w:tcPr>
          <w:p>
            <w:pP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pacing w:val="-1"/>
                <w:sz w:val="18"/>
              </w:rPr>
              <w:t>63,360,543.00</w:t>
            </w:r>
          </w:p>
        </w:tc>
        <w:tc>
          <w:tcPr>
            <w:tcW w:w="199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1"/>
              <w:jc w:val="right"/>
              <w:rPr>
                <w:rFonts w:ascii="Times New Roman" w:hAnsi="Times New Roman" w:cs="Times New Roman" w:eastAsia="Times New Roman" w:hint="default"/>
                <w:sz w:val="18"/>
                <w:szCs w:val="18"/>
              </w:rPr>
            </w:pPr>
            <w:r>
              <w:rPr>
                <w:rFonts w:ascii="Times New Roman"/>
                <w:spacing w:val="-1"/>
                <w:sz w:val="18"/>
              </w:rPr>
              <w:t>-186,315,692.45</w:t>
            </w:r>
          </w:p>
        </w:tc>
      </w:tr>
      <w:tr>
        <w:trPr>
          <w:trHeight w:val="410" w:hRule="exact"/>
        </w:trPr>
        <w:tc>
          <w:tcPr>
            <w:tcW w:w="48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068" w:type="dxa"/>
            <w:tcBorders>
              <w:top w:val="single" w:sz="8" w:space="0" w:color="000000"/>
              <w:left w:val="single" w:sz="8" w:space="0" w:color="000000"/>
              <w:bottom w:val="single" w:sz="8" w:space="0" w:color="000000"/>
              <w:right w:val="single" w:sz="8" w:space="0" w:color="000000"/>
            </w:tcBorders>
          </w:tcPr>
          <w:p>
            <w:pP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pacing w:val="-1"/>
                <w:sz w:val="18"/>
              </w:rPr>
              <w:t>77,496,237.57</w:t>
            </w:r>
          </w:p>
        </w:tc>
        <w:tc>
          <w:tcPr>
            <w:tcW w:w="199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1"/>
              <w:jc w:val="right"/>
              <w:rPr>
                <w:rFonts w:ascii="Times New Roman" w:hAnsi="Times New Roman" w:cs="Times New Roman" w:eastAsia="Times New Roman" w:hint="default"/>
                <w:sz w:val="18"/>
                <w:szCs w:val="18"/>
              </w:rPr>
            </w:pPr>
            <w:r>
              <w:rPr>
                <w:rFonts w:ascii="Times New Roman"/>
                <w:spacing w:val="-1"/>
                <w:sz w:val="18"/>
              </w:rPr>
              <w:t>-171,907,933.52</w:t>
            </w:r>
          </w:p>
        </w:tc>
      </w:tr>
      <w:tr>
        <w:trPr>
          <w:trHeight w:val="410" w:hRule="exact"/>
        </w:trPr>
        <w:tc>
          <w:tcPr>
            <w:tcW w:w="48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068" w:type="dxa"/>
            <w:tcBorders>
              <w:top w:val="single" w:sz="8" w:space="0" w:color="000000"/>
              <w:left w:val="single" w:sz="8" w:space="0" w:color="000000"/>
              <w:bottom w:val="single" w:sz="8" w:space="0" w:color="000000"/>
              <w:right w:val="single" w:sz="8" w:space="0" w:color="000000"/>
            </w:tcBorders>
          </w:tcPr>
          <w:p>
            <w:pP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pacing w:val="-1"/>
                <w:sz w:val="18"/>
              </w:rPr>
              <w:t>-14,135,694.57</w:t>
            </w:r>
          </w:p>
        </w:tc>
        <w:tc>
          <w:tcPr>
            <w:tcW w:w="199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0"/>
              <w:jc w:val="right"/>
              <w:rPr>
                <w:rFonts w:ascii="Times New Roman" w:hAnsi="Times New Roman" w:cs="Times New Roman" w:eastAsia="Times New Roman" w:hint="default"/>
                <w:sz w:val="18"/>
                <w:szCs w:val="18"/>
              </w:rPr>
            </w:pPr>
            <w:r>
              <w:rPr>
                <w:rFonts w:ascii="Times New Roman"/>
                <w:spacing w:val="-1"/>
                <w:sz w:val="18"/>
              </w:rPr>
              <w:t>-14,407,758.93</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tabs>
          <w:tab w:pos="3698" w:val="left" w:leader="none"/>
          <w:tab w:pos="7582" w:val="left" w:leader="none"/>
        </w:tabs>
        <w:spacing w:line="240" w:lineRule="auto"/>
        <w:ind w:left="234" w:right="112"/>
        <w:jc w:val="left"/>
      </w:pPr>
      <w:r>
        <w:rPr/>
        <w:t>法定代表人：陈泰泉</w:t>
        <w:tab/>
      </w:r>
      <w:r>
        <w:rPr>
          <w:spacing w:val="-1"/>
        </w:rPr>
        <w:t>主管会计工作负责人：钟民</w:t>
        <w:tab/>
        <w:t>会计机构负责人：钟民</w:t>
      </w:r>
    </w:p>
    <w:p>
      <w:pPr>
        <w:spacing w:after="0" w:line="240" w:lineRule="auto"/>
        <w:jc w:val="left"/>
        <w:sectPr>
          <w:pgSz w:w="11900" w:h="16840"/>
          <w:pgMar w:header="0" w:footer="982" w:top="1100" w:bottom="1180" w:left="900" w:right="900"/>
        </w:sectPr>
      </w:pPr>
    </w:p>
    <w:p>
      <w:pPr>
        <w:pStyle w:val="Heading1"/>
        <w:spacing w:line="399" w:lineRule="exact"/>
        <w:ind w:left="25" w:right="0"/>
        <w:jc w:val="center"/>
      </w:pPr>
      <w:r>
        <w:rPr/>
        <w:t>母公司利润表</w:t>
      </w:r>
    </w:p>
    <w:p>
      <w:pPr>
        <w:pStyle w:val="BodyText"/>
        <w:spacing w:line="290" w:lineRule="exact"/>
        <w:ind w:left="25" w:right="0"/>
        <w:jc w:val="center"/>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w:t>
      </w:r>
    </w:p>
    <w:p>
      <w:pPr>
        <w:spacing w:line="240" w:lineRule="auto" w:before="12"/>
        <w:rPr>
          <w:rFonts w:ascii="宋体" w:hAnsi="宋体" w:cs="宋体" w:eastAsia="宋体" w:hint="default"/>
          <w:sz w:val="32"/>
          <w:szCs w:val="32"/>
        </w:rPr>
      </w:pPr>
    </w:p>
    <w:p>
      <w:pPr>
        <w:pStyle w:val="BodyText"/>
        <w:tabs>
          <w:tab w:pos="7461" w:val="left" w:leader="none"/>
        </w:tabs>
        <w:spacing w:line="240" w:lineRule="auto"/>
        <w:ind w:left="112" w:right="0"/>
        <w:jc w:val="center"/>
      </w:pPr>
      <w:r>
        <w:rPr/>
        <w:t>编制单位：</w:t>
      </w:r>
      <w:r>
        <w:rPr>
          <w:u w:val="single" w:color="000000"/>
        </w:rPr>
        <w:t>深圳市鸿基（集团）股份有限公司</w:t>
      </w:r>
      <w:r>
        <w:rPr/>
        <w:tab/>
        <w:t>单位：元</w:t>
      </w:r>
      <w:r>
        <w:rPr>
          <w:spacing w:val="-4"/>
        </w:rPr>
        <w:t> </w:t>
      </w:r>
      <w:r>
        <w:rPr/>
        <w:t>币种：人民币</w:t>
      </w:r>
    </w:p>
    <w:p>
      <w:pPr>
        <w:spacing w:line="240" w:lineRule="auto" w:before="5"/>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855"/>
        <w:gridCol w:w="1080"/>
        <w:gridCol w:w="1866"/>
        <w:gridCol w:w="1867"/>
      </w:tblGrid>
      <w:tr>
        <w:trPr>
          <w:trHeight w:val="521" w:hRule="exact"/>
        </w:trPr>
        <w:tc>
          <w:tcPr>
            <w:tcW w:w="48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附注十一</w:t>
            </w:r>
          </w:p>
        </w:tc>
        <w:tc>
          <w:tcPr>
            <w:tcW w:w="18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520" w:hRule="exact"/>
        </w:trPr>
        <w:tc>
          <w:tcPr>
            <w:tcW w:w="48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w:t>
            </w:r>
          </w:p>
        </w:tc>
        <w:tc>
          <w:tcPr>
            <w:tcW w:w="18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26"/>
              <w:jc w:val="right"/>
              <w:rPr>
                <w:rFonts w:ascii="Times New Roman" w:hAnsi="Times New Roman" w:cs="Times New Roman" w:eastAsia="Times New Roman" w:hint="default"/>
                <w:sz w:val="18"/>
                <w:szCs w:val="18"/>
              </w:rPr>
            </w:pPr>
            <w:r>
              <w:rPr>
                <w:rFonts w:ascii="Times New Roman"/>
                <w:spacing w:val="-1"/>
                <w:sz w:val="18"/>
              </w:rPr>
              <w:t>388,080,255.74</w:t>
            </w:r>
          </w:p>
        </w:tc>
        <w:tc>
          <w:tcPr>
            <w:tcW w:w="18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36"/>
              <w:jc w:val="right"/>
              <w:rPr>
                <w:rFonts w:ascii="Times New Roman" w:hAnsi="Times New Roman" w:cs="Times New Roman" w:eastAsia="Times New Roman" w:hint="default"/>
                <w:sz w:val="18"/>
                <w:szCs w:val="18"/>
              </w:rPr>
            </w:pPr>
            <w:r>
              <w:rPr>
                <w:rFonts w:ascii="Times New Roman"/>
                <w:spacing w:val="-1"/>
                <w:sz w:val="18"/>
              </w:rPr>
              <w:t>5,021,742.88</w:t>
            </w:r>
          </w:p>
        </w:tc>
      </w:tr>
      <w:tr>
        <w:trPr>
          <w:trHeight w:val="520" w:hRule="exact"/>
        </w:trPr>
        <w:tc>
          <w:tcPr>
            <w:tcW w:w="48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w:t>
            </w:r>
          </w:p>
        </w:tc>
        <w:tc>
          <w:tcPr>
            <w:tcW w:w="18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26"/>
              <w:jc w:val="right"/>
              <w:rPr>
                <w:rFonts w:ascii="Times New Roman" w:hAnsi="Times New Roman" w:cs="Times New Roman" w:eastAsia="Times New Roman" w:hint="default"/>
                <w:sz w:val="18"/>
                <w:szCs w:val="18"/>
              </w:rPr>
            </w:pPr>
            <w:r>
              <w:rPr>
                <w:rFonts w:ascii="Times New Roman"/>
                <w:spacing w:val="-1"/>
                <w:sz w:val="18"/>
              </w:rPr>
              <w:t>264,301,198.99</w:t>
            </w:r>
          </w:p>
        </w:tc>
        <w:tc>
          <w:tcPr>
            <w:tcW w:w="18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36"/>
              <w:jc w:val="right"/>
              <w:rPr>
                <w:rFonts w:ascii="Times New Roman" w:hAnsi="Times New Roman" w:cs="Times New Roman" w:eastAsia="Times New Roman" w:hint="default"/>
                <w:sz w:val="18"/>
                <w:szCs w:val="18"/>
              </w:rPr>
            </w:pPr>
            <w:r>
              <w:rPr>
                <w:rFonts w:ascii="Times New Roman"/>
                <w:spacing w:val="-1"/>
                <w:sz w:val="18"/>
              </w:rPr>
              <w:t>7,431,939.45</w:t>
            </w:r>
          </w:p>
        </w:tc>
      </w:tr>
      <w:tr>
        <w:trPr>
          <w:trHeight w:val="521" w:hRule="exact"/>
        </w:trPr>
        <w:tc>
          <w:tcPr>
            <w:tcW w:w="48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080" w:type="dxa"/>
            <w:tcBorders>
              <w:top w:val="single" w:sz="8" w:space="0" w:color="000000"/>
              <w:left w:val="single" w:sz="8" w:space="0" w:color="000000"/>
              <w:bottom w:val="single" w:sz="8" w:space="0" w:color="000000"/>
              <w:right w:val="single" w:sz="8" w:space="0" w:color="000000"/>
            </w:tcBorders>
          </w:tcPr>
          <w:p>
            <w:pPr/>
          </w:p>
        </w:tc>
        <w:tc>
          <w:tcPr>
            <w:tcW w:w="18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Times New Roman"/>
                <w:spacing w:val="-1"/>
                <w:sz w:val="18"/>
              </w:rPr>
              <w:t>49,597,540.88</w:t>
            </w:r>
          </w:p>
        </w:tc>
        <w:tc>
          <w:tcPr>
            <w:tcW w:w="18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36"/>
              <w:jc w:val="right"/>
              <w:rPr>
                <w:rFonts w:ascii="Times New Roman" w:hAnsi="Times New Roman" w:cs="Times New Roman" w:eastAsia="Times New Roman" w:hint="default"/>
                <w:sz w:val="18"/>
                <w:szCs w:val="18"/>
              </w:rPr>
            </w:pPr>
            <w:r>
              <w:rPr>
                <w:rFonts w:ascii="Times New Roman"/>
                <w:sz w:val="18"/>
              </w:rPr>
              <w:t>271,747.63</w:t>
            </w:r>
          </w:p>
        </w:tc>
      </w:tr>
      <w:tr>
        <w:trPr>
          <w:trHeight w:val="520" w:hRule="exact"/>
        </w:trPr>
        <w:tc>
          <w:tcPr>
            <w:tcW w:w="48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080" w:type="dxa"/>
            <w:tcBorders>
              <w:top w:val="single" w:sz="8" w:space="0" w:color="000000"/>
              <w:left w:val="single" w:sz="8" w:space="0" w:color="000000"/>
              <w:bottom w:val="single" w:sz="8" w:space="0" w:color="000000"/>
              <w:right w:val="single" w:sz="8" w:space="0" w:color="000000"/>
            </w:tcBorders>
          </w:tcPr>
          <w:p>
            <w:pPr/>
          </w:p>
        </w:tc>
        <w:tc>
          <w:tcPr>
            <w:tcW w:w="18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Times New Roman"/>
                <w:spacing w:val="-1"/>
                <w:sz w:val="18"/>
              </w:rPr>
              <w:t>8,063,658.25</w:t>
            </w:r>
          </w:p>
        </w:tc>
        <w:tc>
          <w:tcPr>
            <w:tcW w:w="18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36"/>
              <w:jc w:val="right"/>
              <w:rPr>
                <w:rFonts w:ascii="Times New Roman" w:hAnsi="Times New Roman" w:cs="Times New Roman" w:eastAsia="Times New Roman" w:hint="default"/>
                <w:sz w:val="18"/>
                <w:szCs w:val="18"/>
              </w:rPr>
            </w:pPr>
            <w:r>
              <w:rPr>
                <w:rFonts w:ascii="Times New Roman"/>
                <w:sz w:val="18"/>
              </w:rPr>
              <w:t>798,967.14</w:t>
            </w:r>
          </w:p>
        </w:tc>
      </w:tr>
      <w:tr>
        <w:trPr>
          <w:trHeight w:val="520" w:hRule="exact"/>
        </w:trPr>
        <w:tc>
          <w:tcPr>
            <w:tcW w:w="48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080" w:type="dxa"/>
            <w:tcBorders>
              <w:top w:val="single" w:sz="8" w:space="0" w:color="000000"/>
              <w:left w:val="single" w:sz="8" w:space="0" w:color="000000"/>
              <w:bottom w:val="single" w:sz="8" w:space="0" w:color="000000"/>
              <w:right w:val="single" w:sz="8" w:space="0" w:color="000000"/>
            </w:tcBorders>
          </w:tcPr>
          <w:p>
            <w:pPr/>
          </w:p>
        </w:tc>
        <w:tc>
          <w:tcPr>
            <w:tcW w:w="18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Times New Roman"/>
                <w:spacing w:val="-1"/>
                <w:sz w:val="18"/>
              </w:rPr>
              <w:t>36,569,405.61</w:t>
            </w:r>
          </w:p>
        </w:tc>
        <w:tc>
          <w:tcPr>
            <w:tcW w:w="18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36"/>
              <w:jc w:val="right"/>
              <w:rPr>
                <w:rFonts w:ascii="Times New Roman" w:hAnsi="Times New Roman" w:cs="Times New Roman" w:eastAsia="Times New Roman" w:hint="default"/>
                <w:sz w:val="18"/>
                <w:szCs w:val="18"/>
              </w:rPr>
            </w:pPr>
            <w:r>
              <w:rPr>
                <w:rFonts w:ascii="Times New Roman"/>
                <w:spacing w:val="-1"/>
                <w:sz w:val="18"/>
              </w:rPr>
              <w:t>34,087,806.56</w:t>
            </w:r>
          </w:p>
        </w:tc>
      </w:tr>
      <w:tr>
        <w:trPr>
          <w:trHeight w:val="521" w:hRule="exact"/>
        </w:trPr>
        <w:tc>
          <w:tcPr>
            <w:tcW w:w="48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080" w:type="dxa"/>
            <w:tcBorders>
              <w:top w:val="single" w:sz="8" w:space="0" w:color="000000"/>
              <w:left w:val="single" w:sz="8" w:space="0" w:color="000000"/>
              <w:bottom w:val="single" w:sz="8" w:space="0" w:color="000000"/>
              <w:right w:val="single" w:sz="8" w:space="0" w:color="000000"/>
            </w:tcBorders>
          </w:tcPr>
          <w:p>
            <w:pPr/>
          </w:p>
        </w:tc>
        <w:tc>
          <w:tcPr>
            <w:tcW w:w="18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Times New Roman"/>
                <w:spacing w:val="-1"/>
                <w:sz w:val="18"/>
              </w:rPr>
              <w:t>31,795,763.89</w:t>
            </w:r>
          </w:p>
        </w:tc>
        <w:tc>
          <w:tcPr>
            <w:tcW w:w="18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36"/>
              <w:jc w:val="right"/>
              <w:rPr>
                <w:rFonts w:ascii="Times New Roman" w:hAnsi="Times New Roman" w:cs="Times New Roman" w:eastAsia="Times New Roman" w:hint="default"/>
                <w:sz w:val="18"/>
                <w:szCs w:val="18"/>
              </w:rPr>
            </w:pPr>
            <w:r>
              <w:rPr>
                <w:rFonts w:ascii="Times New Roman"/>
                <w:spacing w:val="-1"/>
                <w:sz w:val="18"/>
              </w:rPr>
              <w:t>37,451,895.50</w:t>
            </w:r>
          </w:p>
        </w:tc>
      </w:tr>
      <w:tr>
        <w:trPr>
          <w:trHeight w:val="520" w:hRule="exact"/>
        </w:trPr>
        <w:tc>
          <w:tcPr>
            <w:tcW w:w="48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080" w:type="dxa"/>
            <w:tcBorders>
              <w:top w:val="single" w:sz="8" w:space="0" w:color="000000"/>
              <w:left w:val="single" w:sz="8" w:space="0" w:color="000000"/>
              <w:bottom w:val="single" w:sz="8" w:space="0" w:color="000000"/>
              <w:right w:val="single" w:sz="8" w:space="0" w:color="000000"/>
            </w:tcBorders>
          </w:tcPr>
          <w:p>
            <w:pPr/>
          </w:p>
        </w:tc>
        <w:tc>
          <w:tcPr>
            <w:tcW w:w="18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Times New Roman"/>
                <w:spacing w:val="-1"/>
                <w:sz w:val="18"/>
              </w:rPr>
              <w:t>-16,958,415.03</w:t>
            </w:r>
          </w:p>
        </w:tc>
        <w:tc>
          <w:tcPr>
            <w:tcW w:w="18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36"/>
              <w:jc w:val="right"/>
              <w:rPr>
                <w:rFonts w:ascii="Times New Roman" w:hAnsi="Times New Roman" w:cs="Times New Roman" w:eastAsia="Times New Roman" w:hint="default"/>
                <w:sz w:val="18"/>
                <w:szCs w:val="18"/>
              </w:rPr>
            </w:pPr>
            <w:r>
              <w:rPr>
                <w:rFonts w:ascii="Times New Roman"/>
                <w:spacing w:val="-1"/>
                <w:sz w:val="18"/>
              </w:rPr>
              <w:t>28,124,190.45</w:t>
            </w:r>
          </w:p>
        </w:tc>
      </w:tr>
      <w:tr>
        <w:trPr>
          <w:trHeight w:val="520" w:hRule="exact"/>
        </w:trPr>
        <w:tc>
          <w:tcPr>
            <w:tcW w:w="48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80" w:type="dxa"/>
            <w:tcBorders>
              <w:top w:val="single" w:sz="8" w:space="0" w:color="000000"/>
              <w:left w:val="single" w:sz="8" w:space="0" w:color="000000"/>
              <w:bottom w:val="single" w:sz="8" w:space="0" w:color="000000"/>
              <w:right w:val="single" w:sz="8" w:space="0" w:color="000000"/>
            </w:tcBorders>
          </w:tcPr>
          <w:p>
            <w:pPr/>
          </w:p>
        </w:tc>
        <w:tc>
          <w:tcPr>
            <w:tcW w:w="18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50"/>
              <w:jc w:val="right"/>
              <w:rPr>
                <w:rFonts w:ascii="Times New Roman" w:hAnsi="Times New Roman" w:cs="Times New Roman" w:eastAsia="Times New Roman" w:hint="default"/>
                <w:sz w:val="18"/>
                <w:szCs w:val="18"/>
              </w:rPr>
            </w:pPr>
            <w:r>
              <w:rPr>
                <w:rFonts w:ascii="Times New Roman"/>
                <w:sz w:val="18"/>
              </w:rPr>
              <w:t>-</w:t>
            </w:r>
          </w:p>
        </w:tc>
        <w:tc>
          <w:tcPr>
            <w:tcW w:w="18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61"/>
              <w:jc w:val="right"/>
              <w:rPr>
                <w:rFonts w:ascii="Times New Roman" w:hAnsi="Times New Roman" w:cs="Times New Roman" w:eastAsia="Times New Roman" w:hint="default"/>
                <w:sz w:val="18"/>
                <w:szCs w:val="18"/>
              </w:rPr>
            </w:pPr>
            <w:r>
              <w:rPr>
                <w:rFonts w:ascii="Times New Roman"/>
                <w:sz w:val="18"/>
              </w:rPr>
              <w:t>-</w:t>
            </w:r>
          </w:p>
        </w:tc>
      </w:tr>
      <w:tr>
        <w:trPr>
          <w:trHeight w:val="521" w:hRule="exact"/>
        </w:trPr>
        <w:tc>
          <w:tcPr>
            <w:tcW w:w="48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w:t>
            </w:r>
          </w:p>
        </w:tc>
        <w:tc>
          <w:tcPr>
            <w:tcW w:w="18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Times New Roman"/>
                <w:spacing w:val="-1"/>
                <w:sz w:val="18"/>
              </w:rPr>
              <w:t>77,736,804.25</w:t>
            </w:r>
          </w:p>
        </w:tc>
        <w:tc>
          <w:tcPr>
            <w:tcW w:w="18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36"/>
              <w:jc w:val="right"/>
              <w:rPr>
                <w:rFonts w:ascii="Times New Roman" w:hAnsi="Times New Roman" w:cs="Times New Roman" w:eastAsia="Times New Roman" w:hint="default"/>
                <w:sz w:val="18"/>
                <w:szCs w:val="18"/>
              </w:rPr>
            </w:pPr>
            <w:r>
              <w:rPr>
                <w:rFonts w:ascii="Times New Roman"/>
                <w:spacing w:val="-1"/>
                <w:sz w:val="18"/>
              </w:rPr>
              <w:t>-11,368,500.18</w:t>
            </w:r>
          </w:p>
        </w:tc>
      </w:tr>
      <w:tr>
        <w:trPr>
          <w:trHeight w:val="520" w:hRule="exact"/>
        </w:trPr>
        <w:tc>
          <w:tcPr>
            <w:tcW w:w="48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080" w:type="dxa"/>
            <w:tcBorders>
              <w:top w:val="single" w:sz="8" w:space="0" w:color="000000"/>
              <w:left w:val="single" w:sz="8" w:space="0" w:color="000000"/>
              <w:bottom w:val="single" w:sz="8" w:space="0" w:color="000000"/>
              <w:right w:val="single" w:sz="8" w:space="0" w:color="000000"/>
            </w:tcBorders>
          </w:tcPr>
          <w:p>
            <w:pPr/>
          </w:p>
        </w:tc>
        <w:tc>
          <w:tcPr>
            <w:tcW w:w="18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50"/>
              <w:jc w:val="right"/>
              <w:rPr>
                <w:rFonts w:ascii="Times New Roman" w:hAnsi="Times New Roman" w:cs="Times New Roman" w:eastAsia="Times New Roman" w:hint="default"/>
                <w:sz w:val="18"/>
                <w:szCs w:val="18"/>
              </w:rPr>
            </w:pPr>
            <w:r>
              <w:rPr>
                <w:rFonts w:ascii="Times New Roman"/>
                <w:sz w:val="18"/>
              </w:rPr>
              <w:t>-</w:t>
            </w:r>
          </w:p>
        </w:tc>
        <w:tc>
          <w:tcPr>
            <w:tcW w:w="18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61"/>
              <w:jc w:val="right"/>
              <w:rPr>
                <w:rFonts w:ascii="Times New Roman" w:hAnsi="Times New Roman" w:cs="Times New Roman" w:eastAsia="Times New Roman" w:hint="default"/>
                <w:sz w:val="18"/>
                <w:szCs w:val="18"/>
              </w:rPr>
            </w:pPr>
            <w:r>
              <w:rPr>
                <w:rFonts w:ascii="Times New Roman"/>
                <w:sz w:val="18"/>
              </w:rPr>
              <w:t>-</w:t>
            </w:r>
          </w:p>
        </w:tc>
      </w:tr>
      <w:tr>
        <w:trPr>
          <w:trHeight w:val="520" w:hRule="exact"/>
        </w:trPr>
        <w:tc>
          <w:tcPr>
            <w:tcW w:w="48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80" w:type="dxa"/>
            <w:tcBorders>
              <w:top w:val="single" w:sz="8" w:space="0" w:color="000000"/>
              <w:left w:val="single" w:sz="8" w:space="0" w:color="000000"/>
              <w:bottom w:val="single" w:sz="8" w:space="0" w:color="000000"/>
              <w:right w:val="single" w:sz="8" w:space="0" w:color="000000"/>
            </w:tcBorders>
          </w:tcPr>
          <w:p>
            <w:pPr/>
          </w:p>
        </w:tc>
        <w:tc>
          <w:tcPr>
            <w:tcW w:w="18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Times New Roman"/>
                <w:spacing w:val="-1"/>
                <w:sz w:val="18"/>
              </w:rPr>
              <w:t>92,447,907.40</w:t>
            </w:r>
          </w:p>
        </w:tc>
        <w:tc>
          <w:tcPr>
            <w:tcW w:w="18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36"/>
              <w:jc w:val="right"/>
              <w:rPr>
                <w:rFonts w:ascii="Times New Roman" w:hAnsi="Times New Roman" w:cs="Times New Roman" w:eastAsia="Times New Roman" w:hint="default"/>
                <w:sz w:val="18"/>
                <w:szCs w:val="18"/>
              </w:rPr>
            </w:pPr>
            <w:r>
              <w:rPr>
                <w:rFonts w:ascii="Times New Roman"/>
                <w:spacing w:val="-1"/>
                <w:sz w:val="18"/>
              </w:rPr>
              <w:t>-114,513,304.03</w:t>
            </w:r>
          </w:p>
        </w:tc>
      </w:tr>
      <w:tr>
        <w:trPr>
          <w:trHeight w:val="521" w:hRule="exact"/>
        </w:trPr>
        <w:tc>
          <w:tcPr>
            <w:tcW w:w="48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080" w:type="dxa"/>
            <w:tcBorders>
              <w:top w:val="single" w:sz="8" w:space="0" w:color="000000"/>
              <w:left w:val="single" w:sz="8" w:space="0" w:color="000000"/>
              <w:bottom w:val="single" w:sz="8" w:space="0" w:color="000000"/>
              <w:right w:val="single" w:sz="8" w:space="0" w:color="000000"/>
            </w:tcBorders>
          </w:tcPr>
          <w:p>
            <w:pPr/>
          </w:p>
        </w:tc>
        <w:tc>
          <w:tcPr>
            <w:tcW w:w="18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Times New Roman"/>
                <w:spacing w:val="-1"/>
                <w:sz w:val="18"/>
              </w:rPr>
              <w:t>13,674,978.08</w:t>
            </w:r>
          </w:p>
        </w:tc>
        <w:tc>
          <w:tcPr>
            <w:tcW w:w="18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61"/>
              <w:jc w:val="right"/>
              <w:rPr>
                <w:rFonts w:ascii="Times New Roman" w:hAnsi="Times New Roman" w:cs="Times New Roman" w:eastAsia="Times New Roman" w:hint="default"/>
                <w:sz w:val="18"/>
                <w:szCs w:val="18"/>
              </w:rPr>
            </w:pPr>
            <w:r>
              <w:rPr>
                <w:rFonts w:ascii="Times New Roman"/>
                <w:sz w:val="18"/>
              </w:rPr>
              <w:t>-</w:t>
            </w:r>
          </w:p>
        </w:tc>
      </w:tr>
      <w:tr>
        <w:trPr>
          <w:trHeight w:val="520" w:hRule="exact"/>
        </w:trPr>
        <w:tc>
          <w:tcPr>
            <w:tcW w:w="48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080" w:type="dxa"/>
            <w:tcBorders>
              <w:top w:val="single" w:sz="8" w:space="0" w:color="000000"/>
              <w:left w:val="single" w:sz="8" w:space="0" w:color="000000"/>
              <w:bottom w:val="single" w:sz="8" w:space="0" w:color="000000"/>
              <w:right w:val="single" w:sz="8" w:space="0" w:color="000000"/>
            </w:tcBorders>
          </w:tcPr>
          <w:p>
            <w:pPr/>
          </w:p>
        </w:tc>
        <w:tc>
          <w:tcPr>
            <w:tcW w:w="18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Times New Roman"/>
                <w:sz w:val="18"/>
              </w:rPr>
              <w:t>70,659.15</w:t>
            </w:r>
          </w:p>
        </w:tc>
        <w:tc>
          <w:tcPr>
            <w:tcW w:w="18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36"/>
              <w:jc w:val="right"/>
              <w:rPr>
                <w:rFonts w:ascii="Times New Roman" w:hAnsi="Times New Roman" w:cs="Times New Roman" w:eastAsia="Times New Roman" w:hint="default"/>
                <w:sz w:val="18"/>
                <w:szCs w:val="18"/>
              </w:rPr>
            </w:pPr>
            <w:r>
              <w:rPr>
                <w:rFonts w:ascii="Times New Roman"/>
                <w:spacing w:val="-1"/>
                <w:sz w:val="18"/>
              </w:rPr>
              <w:t>4,456,892.98</w:t>
            </w:r>
          </w:p>
        </w:tc>
      </w:tr>
      <w:tr>
        <w:trPr>
          <w:trHeight w:val="520" w:hRule="exact"/>
        </w:trPr>
        <w:tc>
          <w:tcPr>
            <w:tcW w:w="48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080" w:type="dxa"/>
            <w:tcBorders>
              <w:top w:val="single" w:sz="8" w:space="0" w:color="000000"/>
              <w:left w:val="single" w:sz="8" w:space="0" w:color="000000"/>
              <w:bottom w:val="single" w:sz="8" w:space="0" w:color="000000"/>
              <w:right w:val="single" w:sz="8" w:space="0" w:color="000000"/>
            </w:tcBorders>
          </w:tcPr>
          <w:p>
            <w:pPr/>
          </w:p>
        </w:tc>
        <w:tc>
          <w:tcPr>
            <w:tcW w:w="18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50"/>
              <w:jc w:val="right"/>
              <w:rPr>
                <w:rFonts w:ascii="Times New Roman" w:hAnsi="Times New Roman" w:cs="Times New Roman" w:eastAsia="Times New Roman" w:hint="default"/>
                <w:sz w:val="18"/>
                <w:szCs w:val="18"/>
              </w:rPr>
            </w:pPr>
            <w:r>
              <w:rPr>
                <w:rFonts w:ascii="Times New Roman"/>
                <w:sz w:val="18"/>
              </w:rPr>
              <w:t>-</w:t>
            </w:r>
          </w:p>
        </w:tc>
        <w:tc>
          <w:tcPr>
            <w:tcW w:w="18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61"/>
              <w:jc w:val="right"/>
              <w:rPr>
                <w:rFonts w:ascii="Times New Roman" w:hAnsi="Times New Roman" w:cs="Times New Roman" w:eastAsia="Times New Roman" w:hint="default"/>
                <w:sz w:val="18"/>
                <w:szCs w:val="18"/>
              </w:rPr>
            </w:pPr>
            <w:r>
              <w:rPr>
                <w:rFonts w:ascii="Times New Roman"/>
                <w:sz w:val="18"/>
              </w:rPr>
              <w:t>-</w:t>
            </w:r>
          </w:p>
        </w:tc>
      </w:tr>
      <w:tr>
        <w:trPr>
          <w:trHeight w:val="521" w:hRule="exact"/>
        </w:trPr>
        <w:tc>
          <w:tcPr>
            <w:tcW w:w="48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80" w:type="dxa"/>
            <w:tcBorders>
              <w:top w:val="single" w:sz="8" w:space="0" w:color="000000"/>
              <w:left w:val="single" w:sz="8" w:space="0" w:color="000000"/>
              <w:bottom w:val="single" w:sz="8" w:space="0" w:color="000000"/>
              <w:right w:val="single" w:sz="8" w:space="0" w:color="000000"/>
            </w:tcBorders>
          </w:tcPr>
          <w:p>
            <w:pPr/>
          </w:p>
        </w:tc>
        <w:tc>
          <w:tcPr>
            <w:tcW w:w="18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Times New Roman"/>
                <w:spacing w:val="-1"/>
                <w:sz w:val="18"/>
              </w:rPr>
              <w:t>106,052,226.33</w:t>
            </w:r>
          </w:p>
        </w:tc>
        <w:tc>
          <w:tcPr>
            <w:tcW w:w="18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36"/>
              <w:jc w:val="right"/>
              <w:rPr>
                <w:rFonts w:ascii="Times New Roman" w:hAnsi="Times New Roman" w:cs="Times New Roman" w:eastAsia="Times New Roman" w:hint="default"/>
                <w:sz w:val="18"/>
                <w:szCs w:val="18"/>
              </w:rPr>
            </w:pPr>
            <w:r>
              <w:rPr>
                <w:rFonts w:ascii="Times New Roman"/>
                <w:spacing w:val="-1"/>
                <w:sz w:val="18"/>
              </w:rPr>
              <w:t>-118,970,197.01</w:t>
            </w:r>
          </w:p>
        </w:tc>
      </w:tr>
      <w:tr>
        <w:trPr>
          <w:trHeight w:val="520" w:hRule="exact"/>
        </w:trPr>
        <w:tc>
          <w:tcPr>
            <w:tcW w:w="48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080" w:type="dxa"/>
            <w:tcBorders>
              <w:top w:val="single" w:sz="8" w:space="0" w:color="000000"/>
              <w:left w:val="single" w:sz="8" w:space="0" w:color="000000"/>
              <w:bottom w:val="single" w:sz="8" w:space="0" w:color="000000"/>
              <w:right w:val="single" w:sz="8" w:space="0" w:color="000000"/>
            </w:tcBorders>
          </w:tcPr>
          <w:p>
            <w:pPr/>
          </w:p>
        </w:tc>
        <w:tc>
          <w:tcPr>
            <w:tcW w:w="18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Times New Roman"/>
                <w:spacing w:val="-1"/>
                <w:sz w:val="18"/>
              </w:rPr>
              <w:t>4,886,768.02</w:t>
            </w:r>
          </w:p>
        </w:tc>
        <w:tc>
          <w:tcPr>
            <w:tcW w:w="18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36"/>
              <w:jc w:val="right"/>
              <w:rPr>
                <w:rFonts w:ascii="Times New Roman" w:hAnsi="Times New Roman" w:cs="Times New Roman" w:eastAsia="Times New Roman" w:hint="default"/>
                <w:sz w:val="18"/>
                <w:szCs w:val="18"/>
              </w:rPr>
            </w:pPr>
            <w:r>
              <w:rPr>
                <w:rFonts w:ascii="Times New Roman"/>
                <w:spacing w:val="-1"/>
                <w:sz w:val="18"/>
              </w:rPr>
              <w:t>-30,288,518.79</w:t>
            </w:r>
          </w:p>
        </w:tc>
      </w:tr>
      <w:tr>
        <w:trPr>
          <w:trHeight w:val="520" w:hRule="exact"/>
        </w:trPr>
        <w:tc>
          <w:tcPr>
            <w:tcW w:w="48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80" w:type="dxa"/>
            <w:tcBorders>
              <w:top w:val="single" w:sz="8" w:space="0" w:color="000000"/>
              <w:left w:val="single" w:sz="8" w:space="0" w:color="000000"/>
              <w:bottom w:val="single" w:sz="8" w:space="0" w:color="000000"/>
              <w:right w:val="single" w:sz="8" w:space="0" w:color="000000"/>
            </w:tcBorders>
          </w:tcPr>
          <w:p>
            <w:pPr/>
          </w:p>
        </w:tc>
        <w:tc>
          <w:tcPr>
            <w:tcW w:w="18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Times New Roman"/>
                <w:spacing w:val="-1"/>
                <w:sz w:val="18"/>
              </w:rPr>
              <w:t>101,165,458.31</w:t>
            </w:r>
          </w:p>
        </w:tc>
        <w:tc>
          <w:tcPr>
            <w:tcW w:w="18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36"/>
              <w:jc w:val="right"/>
              <w:rPr>
                <w:rFonts w:ascii="Times New Roman" w:hAnsi="Times New Roman" w:cs="Times New Roman" w:eastAsia="Times New Roman" w:hint="default"/>
                <w:sz w:val="18"/>
                <w:szCs w:val="18"/>
              </w:rPr>
            </w:pPr>
            <w:r>
              <w:rPr>
                <w:rFonts w:ascii="Times New Roman"/>
                <w:spacing w:val="-1"/>
                <w:sz w:val="18"/>
              </w:rPr>
              <w:t>-88,681,678.22</w:t>
            </w:r>
          </w:p>
        </w:tc>
      </w:tr>
      <w:tr>
        <w:trPr>
          <w:trHeight w:val="521" w:hRule="exact"/>
        </w:trPr>
        <w:tc>
          <w:tcPr>
            <w:tcW w:w="48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1080" w:type="dxa"/>
            <w:tcBorders>
              <w:top w:val="single" w:sz="8" w:space="0" w:color="000000"/>
              <w:left w:val="single" w:sz="8" w:space="0" w:color="000000"/>
              <w:bottom w:val="single" w:sz="8" w:space="0" w:color="000000"/>
              <w:right w:val="single" w:sz="8" w:space="0" w:color="000000"/>
            </w:tcBorders>
          </w:tcPr>
          <w:p>
            <w:pPr/>
          </w:p>
        </w:tc>
        <w:tc>
          <w:tcPr>
            <w:tcW w:w="1866"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nil" w:sz="6" w:space="0" w:color="auto"/>
            </w:tcBorders>
          </w:tcPr>
          <w:p>
            <w:pPr/>
          </w:p>
        </w:tc>
      </w:tr>
      <w:tr>
        <w:trPr>
          <w:trHeight w:val="520" w:hRule="exact"/>
        </w:trPr>
        <w:tc>
          <w:tcPr>
            <w:tcW w:w="48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080" w:type="dxa"/>
            <w:tcBorders>
              <w:top w:val="single" w:sz="8" w:space="0" w:color="000000"/>
              <w:left w:val="single" w:sz="8" w:space="0" w:color="000000"/>
              <w:bottom w:val="single" w:sz="8" w:space="0" w:color="000000"/>
              <w:right w:val="single" w:sz="8" w:space="0" w:color="000000"/>
            </w:tcBorders>
          </w:tcPr>
          <w:p>
            <w:pPr/>
          </w:p>
        </w:tc>
        <w:tc>
          <w:tcPr>
            <w:tcW w:w="18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Times New Roman"/>
                <w:sz w:val="18"/>
              </w:rPr>
              <w:t>0.22</w:t>
            </w:r>
          </w:p>
        </w:tc>
        <w:tc>
          <w:tcPr>
            <w:tcW w:w="18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sz w:val="18"/>
              </w:rPr>
              <w:t>-0.19</w:t>
            </w:r>
          </w:p>
        </w:tc>
      </w:tr>
      <w:tr>
        <w:trPr>
          <w:trHeight w:val="521" w:hRule="exact"/>
        </w:trPr>
        <w:tc>
          <w:tcPr>
            <w:tcW w:w="48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080" w:type="dxa"/>
            <w:tcBorders>
              <w:top w:val="single" w:sz="8" w:space="0" w:color="000000"/>
              <w:left w:val="single" w:sz="8" w:space="0" w:color="000000"/>
              <w:bottom w:val="single" w:sz="8" w:space="0" w:color="000000"/>
              <w:right w:val="single" w:sz="8" w:space="0" w:color="000000"/>
            </w:tcBorders>
          </w:tcPr>
          <w:p>
            <w:pPr/>
          </w:p>
        </w:tc>
        <w:tc>
          <w:tcPr>
            <w:tcW w:w="18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Times New Roman"/>
                <w:sz w:val="18"/>
              </w:rPr>
              <w:t>0.22</w:t>
            </w:r>
          </w:p>
        </w:tc>
        <w:tc>
          <w:tcPr>
            <w:tcW w:w="18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sz w:val="18"/>
              </w:rPr>
              <w:t>-0.19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tabs>
          <w:tab w:pos="3618" w:val="left" w:leader="none"/>
          <w:tab w:pos="7502" w:val="left" w:leader="none"/>
        </w:tabs>
        <w:spacing w:line="240" w:lineRule="auto"/>
        <w:ind w:left="154" w:right="155"/>
        <w:jc w:val="left"/>
      </w:pPr>
      <w:r>
        <w:rPr/>
        <w:t>法定代表人：陈泰泉</w:t>
        <w:tab/>
      </w:r>
      <w:r>
        <w:rPr>
          <w:spacing w:val="-1"/>
        </w:rPr>
        <w:t>主管会计工作负责人：钟民</w:t>
        <w:tab/>
        <w:t>会计机构负责人：钟民</w:t>
      </w:r>
    </w:p>
    <w:p>
      <w:pPr>
        <w:spacing w:after="0" w:line="240" w:lineRule="auto"/>
        <w:jc w:val="left"/>
        <w:sectPr>
          <w:pgSz w:w="11900" w:h="16840"/>
          <w:pgMar w:header="0" w:footer="982" w:top="1100" w:bottom="1180" w:left="980" w:right="1000"/>
        </w:sectPr>
      </w:pPr>
    </w:p>
    <w:p>
      <w:pPr>
        <w:pStyle w:val="Heading1"/>
        <w:spacing w:line="399" w:lineRule="exact"/>
        <w:ind w:left="104" w:right="0"/>
        <w:jc w:val="center"/>
      </w:pPr>
      <w:r>
        <w:rPr/>
        <w:t>合并现金流量表</w:t>
      </w:r>
    </w:p>
    <w:p>
      <w:pPr>
        <w:pStyle w:val="BodyText"/>
        <w:spacing w:line="290" w:lineRule="exact"/>
        <w:ind w:left="105" w:right="0"/>
        <w:jc w:val="center"/>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w:t>
      </w:r>
    </w:p>
    <w:p>
      <w:pPr>
        <w:spacing w:line="240" w:lineRule="auto" w:before="0"/>
        <w:rPr>
          <w:rFonts w:ascii="宋体" w:hAnsi="宋体" w:cs="宋体" w:eastAsia="宋体" w:hint="default"/>
          <w:sz w:val="22"/>
          <w:szCs w:val="22"/>
        </w:rPr>
      </w:pPr>
    </w:p>
    <w:p>
      <w:pPr>
        <w:pStyle w:val="BodyText"/>
        <w:tabs>
          <w:tab w:pos="7368" w:val="left" w:leader="none"/>
        </w:tabs>
        <w:spacing w:line="240" w:lineRule="auto" w:before="183"/>
        <w:ind w:left="20" w:right="0"/>
        <w:jc w:val="center"/>
      </w:pPr>
      <w:r>
        <w:rPr/>
        <w:t>编制单位：</w:t>
      </w:r>
      <w:r>
        <w:rPr>
          <w:u w:val="single" w:color="000000"/>
        </w:rPr>
        <w:t>深圳市鸿基（集团）股份有限公司</w:t>
      </w:r>
      <w:r>
        <w:rPr/>
        <w:tab/>
        <w:t>单位：元</w:t>
      </w:r>
      <w:r>
        <w:rPr>
          <w:spacing w:val="-4"/>
        </w:rPr>
        <w:t> </w:t>
      </w:r>
      <w:r>
        <w:rPr/>
        <w:t>币种：人民币</w:t>
      </w:r>
    </w:p>
    <w:p>
      <w:pPr>
        <w:spacing w:line="240" w:lineRule="auto" w:before="5"/>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903"/>
        <w:gridCol w:w="1039"/>
        <w:gridCol w:w="1909"/>
        <w:gridCol w:w="1910"/>
      </w:tblGrid>
      <w:tr>
        <w:trPr>
          <w:trHeight w:val="280"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2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39"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58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33" w:lineRule="exact"/>
              <w:ind w:left="58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80"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
        </w:tc>
        <w:tc>
          <w:tcPr>
            <w:tcW w:w="1910" w:type="dxa"/>
            <w:tcBorders>
              <w:top w:val="single" w:sz="8" w:space="0" w:color="000000"/>
              <w:left w:val="single" w:sz="8" w:space="0" w:color="000000"/>
              <w:bottom w:val="single" w:sz="8" w:space="0" w:color="000000"/>
              <w:right w:val="nil" w:sz="6" w:space="0" w:color="auto"/>
            </w:tcBorders>
          </w:tcPr>
          <w:p>
            <w:pPr/>
          </w:p>
        </w:tc>
      </w:tr>
      <w:tr>
        <w:trPr>
          <w:trHeight w:val="281"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43"/>
              <w:jc w:val="right"/>
              <w:rPr>
                <w:rFonts w:ascii="Times New Roman" w:hAnsi="Times New Roman" w:cs="Times New Roman" w:eastAsia="Times New Roman" w:hint="default"/>
                <w:sz w:val="18"/>
                <w:szCs w:val="18"/>
              </w:rPr>
            </w:pPr>
            <w:r>
              <w:rPr>
                <w:rFonts w:ascii="Times New Roman"/>
                <w:spacing w:val="-1"/>
                <w:sz w:val="18"/>
              </w:rPr>
              <w:t>1,378,120,060.82</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52"/>
              <w:jc w:val="right"/>
              <w:rPr>
                <w:rFonts w:ascii="Times New Roman" w:hAnsi="Times New Roman" w:cs="Times New Roman" w:eastAsia="Times New Roman" w:hint="default"/>
                <w:sz w:val="18"/>
                <w:szCs w:val="18"/>
              </w:rPr>
            </w:pPr>
            <w:r>
              <w:rPr>
                <w:rFonts w:ascii="Times New Roman"/>
                <w:spacing w:val="-1"/>
                <w:sz w:val="18"/>
              </w:rPr>
              <w:t>329,246,932.12</w:t>
            </w:r>
          </w:p>
        </w:tc>
      </w:tr>
      <w:tr>
        <w:trPr>
          <w:trHeight w:val="280"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7"/>
              <w:jc w:val="right"/>
              <w:rPr>
                <w:rFonts w:ascii="Times New Roman" w:hAnsi="Times New Roman" w:cs="Times New Roman" w:eastAsia="Times New Roman" w:hint="default"/>
                <w:sz w:val="18"/>
                <w:szCs w:val="18"/>
              </w:rPr>
            </w:pPr>
            <w:r>
              <w:rPr>
                <w:rFonts w:ascii="Times New Roman"/>
                <w:sz w:val="18"/>
              </w:rPr>
              <w:t>-</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78"/>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0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44</w:t>
            </w: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42"/>
              <w:jc w:val="right"/>
              <w:rPr>
                <w:rFonts w:ascii="Times New Roman" w:hAnsi="Times New Roman" w:cs="Times New Roman" w:eastAsia="Times New Roman" w:hint="default"/>
                <w:sz w:val="18"/>
                <w:szCs w:val="18"/>
              </w:rPr>
            </w:pPr>
            <w:r>
              <w:rPr>
                <w:rFonts w:ascii="Times New Roman"/>
                <w:spacing w:val="-1"/>
                <w:sz w:val="18"/>
              </w:rPr>
              <w:t>22,874,537.17</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53"/>
              <w:jc w:val="right"/>
              <w:rPr>
                <w:rFonts w:ascii="Times New Roman" w:hAnsi="Times New Roman" w:cs="Times New Roman" w:eastAsia="Times New Roman" w:hint="default"/>
                <w:sz w:val="18"/>
                <w:szCs w:val="18"/>
              </w:rPr>
            </w:pPr>
            <w:r>
              <w:rPr>
                <w:rFonts w:ascii="Times New Roman"/>
                <w:spacing w:val="-1"/>
                <w:sz w:val="18"/>
              </w:rPr>
              <w:t>72,962,059.92</w:t>
            </w:r>
          </w:p>
        </w:tc>
      </w:tr>
      <w:tr>
        <w:trPr>
          <w:trHeight w:val="281"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43"/>
              <w:jc w:val="right"/>
              <w:rPr>
                <w:rFonts w:ascii="Times New Roman" w:hAnsi="Times New Roman" w:cs="Times New Roman" w:eastAsia="Times New Roman" w:hint="default"/>
                <w:sz w:val="18"/>
                <w:szCs w:val="18"/>
              </w:rPr>
            </w:pPr>
            <w:r>
              <w:rPr>
                <w:rFonts w:ascii="Times New Roman"/>
                <w:spacing w:val="-1"/>
                <w:sz w:val="18"/>
              </w:rPr>
              <w:t>1,400,994,597.99</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52"/>
              <w:jc w:val="right"/>
              <w:rPr>
                <w:rFonts w:ascii="Times New Roman" w:hAnsi="Times New Roman" w:cs="Times New Roman" w:eastAsia="Times New Roman" w:hint="default"/>
                <w:sz w:val="18"/>
                <w:szCs w:val="18"/>
              </w:rPr>
            </w:pPr>
            <w:r>
              <w:rPr>
                <w:rFonts w:ascii="Times New Roman"/>
                <w:spacing w:val="-1"/>
                <w:sz w:val="18"/>
              </w:rPr>
              <w:t>402,208,992.04</w:t>
            </w:r>
          </w:p>
        </w:tc>
      </w:tr>
      <w:tr>
        <w:trPr>
          <w:trHeight w:val="280"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41"/>
              <w:jc w:val="right"/>
              <w:rPr>
                <w:rFonts w:ascii="Times New Roman" w:hAnsi="Times New Roman" w:cs="Times New Roman" w:eastAsia="Times New Roman" w:hint="default"/>
                <w:sz w:val="18"/>
                <w:szCs w:val="18"/>
              </w:rPr>
            </w:pPr>
            <w:r>
              <w:rPr>
                <w:rFonts w:ascii="Times New Roman"/>
                <w:spacing w:val="-1"/>
                <w:sz w:val="18"/>
              </w:rPr>
              <w:t>830,756,619.84</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52"/>
              <w:jc w:val="right"/>
              <w:rPr>
                <w:rFonts w:ascii="Times New Roman" w:hAnsi="Times New Roman" w:cs="Times New Roman" w:eastAsia="Times New Roman" w:hint="default"/>
                <w:sz w:val="18"/>
                <w:szCs w:val="18"/>
              </w:rPr>
            </w:pPr>
            <w:r>
              <w:rPr>
                <w:rFonts w:ascii="Times New Roman"/>
                <w:spacing w:val="-1"/>
                <w:sz w:val="18"/>
              </w:rPr>
              <w:t>359,995,902.44</w:t>
            </w:r>
          </w:p>
        </w:tc>
      </w:tr>
      <w:tr>
        <w:trPr>
          <w:trHeight w:val="280"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41"/>
              <w:jc w:val="right"/>
              <w:rPr>
                <w:rFonts w:ascii="Times New Roman" w:hAnsi="Times New Roman" w:cs="Times New Roman" w:eastAsia="Times New Roman" w:hint="default"/>
                <w:sz w:val="18"/>
                <w:szCs w:val="18"/>
              </w:rPr>
            </w:pPr>
            <w:r>
              <w:rPr>
                <w:rFonts w:ascii="Times New Roman"/>
                <w:spacing w:val="-1"/>
                <w:sz w:val="18"/>
              </w:rPr>
              <w:t>119,407,182.39</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52"/>
              <w:jc w:val="right"/>
              <w:rPr>
                <w:rFonts w:ascii="Times New Roman" w:hAnsi="Times New Roman" w:cs="Times New Roman" w:eastAsia="Times New Roman" w:hint="default"/>
                <w:sz w:val="18"/>
                <w:szCs w:val="18"/>
              </w:rPr>
            </w:pPr>
            <w:r>
              <w:rPr>
                <w:rFonts w:ascii="Times New Roman"/>
                <w:spacing w:val="-1"/>
                <w:sz w:val="18"/>
              </w:rPr>
              <w:t>134,744,773.35</w:t>
            </w:r>
          </w:p>
        </w:tc>
      </w:tr>
      <w:tr>
        <w:trPr>
          <w:trHeight w:val="281"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42"/>
              <w:jc w:val="right"/>
              <w:rPr>
                <w:rFonts w:ascii="Times New Roman" w:hAnsi="Times New Roman" w:cs="Times New Roman" w:eastAsia="Times New Roman" w:hint="default"/>
                <w:sz w:val="18"/>
                <w:szCs w:val="18"/>
              </w:rPr>
            </w:pPr>
            <w:r>
              <w:rPr>
                <w:rFonts w:ascii="Times New Roman"/>
                <w:spacing w:val="-1"/>
                <w:sz w:val="18"/>
              </w:rPr>
              <w:t>85,389,936.54</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52"/>
              <w:jc w:val="right"/>
              <w:rPr>
                <w:rFonts w:ascii="Times New Roman" w:hAnsi="Times New Roman" w:cs="Times New Roman" w:eastAsia="Times New Roman" w:hint="default"/>
                <w:sz w:val="18"/>
                <w:szCs w:val="18"/>
              </w:rPr>
            </w:pPr>
            <w:r>
              <w:rPr>
                <w:rFonts w:ascii="Times New Roman"/>
                <w:spacing w:val="-1"/>
                <w:sz w:val="18"/>
              </w:rPr>
              <w:t>59,325,174.25</w:t>
            </w:r>
          </w:p>
        </w:tc>
      </w:tr>
      <w:tr>
        <w:trPr>
          <w:trHeight w:val="280"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0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44</w:t>
            </w: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41"/>
              <w:jc w:val="right"/>
              <w:rPr>
                <w:rFonts w:ascii="Times New Roman" w:hAnsi="Times New Roman" w:cs="Times New Roman" w:eastAsia="Times New Roman" w:hint="default"/>
                <w:sz w:val="18"/>
                <w:szCs w:val="18"/>
              </w:rPr>
            </w:pPr>
            <w:r>
              <w:rPr>
                <w:rFonts w:ascii="Times New Roman"/>
                <w:spacing w:val="-1"/>
                <w:sz w:val="18"/>
              </w:rPr>
              <w:t>146,512,569.01</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53"/>
              <w:jc w:val="right"/>
              <w:rPr>
                <w:rFonts w:ascii="Times New Roman" w:hAnsi="Times New Roman" w:cs="Times New Roman" w:eastAsia="Times New Roman" w:hint="default"/>
                <w:sz w:val="18"/>
                <w:szCs w:val="18"/>
              </w:rPr>
            </w:pPr>
            <w:r>
              <w:rPr>
                <w:rFonts w:ascii="Times New Roman"/>
                <w:spacing w:val="-1"/>
                <w:sz w:val="18"/>
              </w:rPr>
              <w:t>89,327,050.48</w:t>
            </w:r>
          </w:p>
        </w:tc>
      </w:tr>
      <w:tr>
        <w:trPr>
          <w:trHeight w:val="280"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43"/>
              <w:jc w:val="right"/>
              <w:rPr>
                <w:rFonts w:ascii="Times New Roman" w:hAnsi="Times New Roman" w:cs="Times New Roman" w:eastAsia="Times New Roman" w:hint="default"/>
                <w:sz w:val="18"/>
                <w:szCs w:val="18"/>
              </w:rPr>
            </w:pPr>
            <w:r>
              <w:rPr>
                <w:rFonts w:ascii="Times New Roman"/>
                <w:spacing w:val="-1"/>
                <w:sz w:val="18"/>
              </w:rPr>
              <w:t>1,182,066,307.78</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52"/>
              <w:jc w:val="right"/>
              <w:rPr>
                <w:rFonts w:ascii="Times New Roman" w:hAnsi="Times New Roman" w:cs="Times New Roman" w:eastAsia="Times New Roman" w:hint="default"/>
                <w:sz w:val="18"/>
                <w:szCs w:val="18"/>
              </w:rPr>
            </w:pPr>
            <w:r>
              <w:rPr>
                <w:rFonts w:ascii="Times New Roman"/>
                <w:spacing w:val="-1"/>
                <w:sz w:val="18"/>
              </w:rPr>
              <w:t>643,392,900.52</w:t>
            </w:r>
          </w:p>
        </w:tc>
      </w:tr>
      <w:tr>
        <w:trPr>
          <w:trHeight w:val="281"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0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45</w:t>
            </w: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41"/>
              <w:jc w:val="right"/>
              <w:rPr>
                <w:rFonts w:ascii="Times New Roman" w:hAnsi="Times New Roman" w:cs="Times New Roman" w:eastAsia="Times New Roman" w:hint="default"/>
                <w:sz w:val="18"/>
                <w:szCs w:val="18"/>
              </w:rPr>
            </w:pPr>
            <w:r>
              <w:rPr>
                <w:rFonts w:ascii="Times New Roman"/>
                <w:spacing w:val="-1"/>
                <w:sz w:val="18"/>
              </w:rPr>
              <w:t>218,928,290.21</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52"/>
              <w:jc w:val="right"/>
              <w:rPr>
                <w:rFonts w:ascii="Times New Roman" w:hAnsi="Times New Roman" w:cs="Times New Roman" w:eastAsia="Times New Roman" w:hint="default"/>
                <w:sz w:val="18"/>
                <w:szCs w:val="18"/>
              </w:rPr>
            </w:pPr>
            <w:r>
              <w:rPr>
                <w:rFonts w:ascii="Times New Roman"/>
                <w:spacing w:val="-1"/>
                <w:sz w:val="18"/>
              </w:rPr>
              <w:t>-241,183,908.48</w:t>
            </w:r>
          </w:p>
        </w:tc>
      </w:tr>
      <w:tr>
        <w:trPr>
          <w:trHeight w:val="280"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
        </w:tc>
        <w:tc>
          <w:tcPr>
            <w:tcW w:w="1910" w:type="dxa"/>
            <w:tcBorders>
              <w:top w:val="single" w:sz="8" w:space="0" w:color="000000"/>
              <w:left w:val="single" w:sz="8" w:space="0" w:color="000000"/>
              <w:bottom w:val="single" w:sz="8" w:space="0" w:color="000000"/>
              <w:right w:val="nil" w:sz="6" w:space="0" w:color="auto"/>
            </w:tcBorders>
          </w:tcPr>
          <w:p>
            <w:pPr/>
          </w:p>
        </w:tc>
      </w:tr>
      <w:tr>
        <w:trPr>
          <w:trHeight w:val="280"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42"/>
              <w:jc w:val="right"/>
              <w:rPr>
                <w:rFonts w:ascii="Times New Roman" w:hAnsi="Times New Roman" w:cs="Times New Roman" w:eastAsia="Times New Roman" w:hint="default"/>
                <w:sz w:val="18"/>
                <w:szCs w:val="18"/>
              </w:rPr>
            </w:pPr>
            <w:r>
              <w:rPr>
                <w:rFonts w:ascii="Times New Roman"/>
                <w:spacing w:val="-1"/>
                <w:sz w:val="18"/>
              </w:rPr>
              <w:t>2,496,000.00</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78"/>
              <w:jc w:val="right"/>
              <w:rPr>
                <w:rFonts w:ascii="Times New Roman" w:hAnsi="Times New Roman" w:cs="Times New Roman" w:eastAsia="Times New Roman" w:hint="default"/>
                <w:sz w:val="18"/>
                <w:szCs w:val="18"/>
              </w:rPr>
            </w:pPr>
            <w:r>
              <w:rPr>
                <w:rFonts w:ascii="Times New Roman"/>
                <w:sz w:val="18"/>
              </w:rPr>
              <w:t>-</w:t>
            </w:r>
          </w:p>
        </w:tc>
      </w:tr>
      <w:tr>
        <w:trPr>
          <w:trHeight w:val="281"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42"/>
              <w:jc w:val="right"/>
              <w:rPr>
                <w:rFonts w:ascii="Times New Roman" w:hAnsi="Times New Roman" w:cs="Times New Roman" w:eastAsia="Times New Roman" w:hint="default"/>
                <w:sz w:val="18"/>
                <w:szCs w:val="18"/>
              </w:rPr>
            </w:pPr>
            <w:r>
              <w:rPr>
                <w:rFonts w:ascii="Times New Roman"/>
                <w:spacing w:val="-1"/>
                <w:sz w:val="18"/>
              </w:rPr>
              <w:t>45,199,800.90</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53"/>
              <w:jc w:val="right"/>
              <w:rPr>
                <w:rFonts w:ascii="Times New Roman" w:hAnsi="Times New Roman" w:cs="Times New Roman" w:eastAsia="Times New Roman" w:hint="default"/>
                <w:sz w:val="18"/>
                <w:szCs w:val="18"/>
              </w:rPr>
            </w:pPr>
            <w:r>
              <w:rPr>
                <w:rFonts w:ascii="Times New Roman"/>
                <w:spacing w:val="-1"/>
                <w:sz w:val="18"/>
              </w:rPr>
              <w:t>1,118,644.53</w:t>
            </w:r>
          </w:p>
        </w:tc>
      </w:tr>
      <w:tr>
        <w:trPr>
          <w:trHeight w:val="280"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42"/>
              <w:jc w:val="right"/>
              <w:rPr>
                <w:rFonts w:ascii="Times New Roman" w:hAnsi="Times New Roman" w:cs="Times New Roman" w:eastAsia="Times New Roman" w:hint="default"/>
                <w:sz w:val="18"/>
                <w:szCs w:val="18"/>
              </w:rPr>
            </w:pPr>
            <w:r>
              <w:rPr>
                <w:rFonts w:ascii="Times New Roman"/>
                <w:spacing w:val="-1"/>
                <w:sz w:val="18"/>
              </w:rPr>
              <w:t>1,405,002.00</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53"/>
              <w:jc w:val="right"/>
              <w:rPr>
                <w:rFonts w:ascii="Times New Roman" w:hAnsi="Times New Roman" w:cs="Times New Roman" w:eastAsia="Times New Roman" w:hint="default"/>
                <w:sz w:val="18"/>
                <w:szCs w:val="18"/>
              </w:rPr>
            </w:pPr>
            <w:r>
              <w:rPr>
                <w:rFonts w:ascii="Times New Roman"/>
                <w:sz w:val="18"/>
              </w:rPr>
              <w:t>374,264.00</w:t>
            </w:r>
          </w:p>
        </w:tc>
      </w:tr>
      <w:tr>
        <w:trPr>
          <w:trHeight w:val="280"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42"/>
              <w:jc w:val="right"/>
              <w:rPr>
                <w:rFonts w:ascii="Times New Roman" w:hAnsi="Times New Roman" w:cs="Times New Roman" w:eastAsia="Times New Roman" w:hint="default"/>
                <w:sz w:val="18"/>
                <w:szCs w:val="18"/>
              </w:rPr>
            </w:pPr>
            <w:r>
              <w:rPr>
                <w:rFonts w:ascii="Times New Roman"/>
                <w:spacing w:val="-1"/>
                <w:sz w:val="18"/>
              </w:rPr>
              <w:t>50,150,000.00</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78"/>
              <w:jc w:val="right"/>
              <w:rPr>
                <w:rFonts w:ascii="Times New Roman" w:hAnsi="Times New Roman" w:cs="Times New Roman" w:eastAsia="Times New Roman" w:hint="default"/>
                <w:sz w:val="18"/>
                <w:szCs w:val="18"/>
              </w:rPr>
            </w:pPr>
            <w:r>
              <w:rPr>
                <w:rFonts w:ascii="Times New Roman"/>
                <w:sz w:val="18"/>
              </w:rPr>
              <w:t>-</w:t>
            </w:r>
          </w:p>
        </w:tc>
      </w:tr>
      <w:tr>
        <w:trPr>
          <w:trHeight w:val="281"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7"/>
              <w:jc w:val="right"/>
              <w:rPr>
                <w:rFonts w:ascii="Times New Roman" w:hAnsi="Times New Roman" w:cs="Times New Roman" w:eastAsia="Times New Roman" w:hint="default"/>
                <w:sz w:val="18"/>
                <w:szCs w:val="18"/>
              </w:rPr>
            </w:pPr>
            <w:r>
              <w:rPr>
                <w:rFonts w:ascii="Times New Roman"/>
                <w:sz w:val="18"/>
              </w:rPr>
              <w:t>-</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52"/>
              <w:jc w:val="right"/>
              <w:rPr>
                <w:rFonts w:ascii="Times New Roman" w:hAnsi="Times New Roman" w:cs="Times New Roman" w:eastAsia="Times New Roman" w:hint="default"/>
                <w:sz w:val="18"/>
                <w:szCs w:val="18"/>
              </w:rPr>
            </w:pPr>
            <w:r>
              <w:rPr>
                <w:rFonts w:ascii="Times New Roman"/>
                <w:spacing w:val="-1"/>
                <w:sz w:val="18"/>
              </w:rPr>
              <w:t>4,039,540.00</w:t>
            </w:r>
          </w:p>
        </w:tc>
      </w:tr>
      <w:tr>
        <w:trPr>
          <w:trHeight w:val="280"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42"/>
              <w:jc w:val="right"/>
              <w:rPr>
                <w:rFonts w:ascii="Times New Roman" w:hAnsi="Times New Roman" w:cs="Times New Roman" w:eastAsia="Times New Roman" w:hint="default"/>
                <w:sz w:val="18"/>
                <w:szCs w:val="18"/>
              </w:rPr>
            </w:pPr>
            <w:r>
              <w:rPr>
                <w:rFonts w:ascii="Times New Roman"/>
                <w:spacing w:val="-1"/>
                <w:sz w:val="18"/>
              </w:rPr>
              <w:t>99,250,802.90</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53"/>
              <w:jc w:val="right"/>
              <w:rPr>
                <w:rFonts w:ascii="Times New Roman" w:hAnsi="Times New Roman" w:cs="Times New Roman" w:eastAsia="Times New Roman" w:hint="default"/>
                <w:sz w:val="18"/>
                <w:szCs w:val="18"/>
              </w:rPr>
            </w:pPr>
            <w:r>
              <w:rPr>
                <w:rFonts w:ascii="Times New Roman"/>
                <w:spacing w:val="-1"/>
                <w:sz w:val="18"/>
              </w:rPr>
              <w:t>5,532,448.53</w:t>
            </w:r>
          </w:p>
        </w:tc>
      </w:tr>
      <w:tr>
        <w:trPr>
          <w:trHeight w:val="280"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42"/>
              <w:jc w:val="right"/>
              <w:rPr>
                <w:rFonts w:ascii="Times New Roman" w:hAnsi="Times New Roman" w:cs="Times New Roman" w:eastAsia="Times New Roman" w:hint="default"/>
                <w:sz w:val="18"/>
                <w:szCs w:val="18"/>
              </w:rPr>
            </w:pPr>
            <w:r>
              <w:rPr>
                <w:rFonts w:ascii="Times New Roman"/>
                <w:spacing w:val="-1"/>
                <w:sz w:val="18"/>
              </w:rPr>
              <w:t>17,339,355.08</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52"/>
              <w:jc w:val="right"/>
              <w:rPr>
                <w:rFonts w:ascii="Times New Roman" w:hAnsi="Times New Roman" w:cs="Times New Roman" w:eastAsia="Times New Roman" w:hint="default"/>
                <w:sz w:val="18"/>
                <w:szCs w:val="18"/>
              </w:rPr>
            </w:pPr>
            <w:r>
              <w:rPr>
                <w:rFonts w:ascii="Times New Roman"/>
                <w:spacing w:val="-1"/>
                <w:sz w:val="18"/>
              </w:rPr>
              <w:t>40,535,059.09</w:t>
            </w:r>
          </w:p>
        </w:tc>
      </w:tr>
      <w:tr>
        <w:trPr>
          <w:trHeight w:val="281"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7"/>
              <w:jc w:val="right"/>
              <w:rPr>
                <w:rFonts w:ascii="Times New Roman" w:hAnsi="Times New Roman" w:cs="Times New Roman" w:eastAsia="Times New Roman" w:hint="default"/>
                <w:sz w:val="18"/>
                <w:szCs w:val="18"/>
              </w:rPr>
            </w:pPr>
            <w:r>
              <w:rPr>
                <w:rFonts w:ascii="Times New Roman"/>
                <w:sz w:val="18"/>
              </w:rPr>
              <w:t>-</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52"/>
              <w:jc w:val="right"/>
              <w:rPr>
                <w:rFonts w:ascii="Times New Roman" w:hAnsi="Times New Roman" w:cs="Times New Roman" w:eastAsia="Times New Roman" w:hint="default"/>
                <w:sz w:val="18"/>
                <w:szCs w:val="18"/>
              </w:rPr>
            </w:pPr>
            <w:r>
              <w:rPr>
                <w:rFonts w:ascii="Times New Roman"/>
                <w:spacing w:val="-1"/>
                <w:sz w:val="18"/>
              </w:rPr>
              <w:t>9,900,000.00</w:t>
            </w:r>
          </w:p>
        </w:tc>
      </w:tr>
      <w:tr>
        <w:trPr>
          <w:trHeight w:val="280"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7"/>
              <w:jc w:val="right"/>
              <w:rPr>
                <w:rFonts w:ascii="Times New Roman" w:hAnsi="Times New Roman" w:cs="Times New Roman" w:eastAsia="Times New Roman" w:hint="default"/>
                <w:sz w:val="18"/>
                <w:szCs w:val="18"/>
              </w:rPr>
            </w:pPr>
            <w:r>
              <w:rPr>
                <w:rFonts w:ascii="Times New Roman"/>
                <w:sz w:val="18"/>
              </w:rPr>
              <w:t>-</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78"/>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7"/>
              <w:jc w:val="right"/>
              <w:rPr>
                <w:rFonts w:ascii="Times New Roman" w:hAnsi="Times New Roman" w:cs="Times New Roman" w:eastAsia="Times New Roman" w:hint="default"/>
                <w:sz w:val="18"/>
                <w:szCs w:val="18"/>
              </w:rPr>
            </w:pPr>
            <w:r>
              <w:rPr>
                <w:rFonts w:ascii="Times New Roman"/>
                <w:sz w:val="18"/>
              </w:rPr>
              <w:t>-</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78"/>
              <w:jc w:val="right"/>
              <w:rPr>
                <w:rFonts w:ascii="Times New Roman" w:hAnsi="Times New Roman" w:cs="Times New Roman" w:eastAsia="Times New Roman" w:hint="default"/>
                <w:sz w:val="18"/>
                <w:szCs w:val="18"/>
              </w:rPr>
            </w:pPr>
            <w:r>
              <w:rPr>
                <w:rFonts w:ascii="Times New Roman"/>
                <w:sz w:val="18"/>
              </w:rPr>
              <w:t>-</w:t>
            </w:r>
          </w:p>
        </w:tc>
      </w:tr>
      <w:tr>
        <w:trPr>
          <w:trHeight w:val="281"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7"/>
              <w:jc w:val="right"/>
              <w:rPr>
                <w:rFonts w:ascii="Times New Roman" w:hAnsi="Times New Roman" w:cs="Times New Roman" w:eastAsia="Times New Roman" w:hint="default"/>
                <w:sz w:val="18"/>
                <w:szCs w:val="18"/>
              </w:rPr>
            </w:pPr>
            <w:r>
              <w:rPr>
                <w:rFonts w:ascii="Times New Roman"/>
                <w:sz w:val="18"/>
              </w:rPr>
              <w:t>-</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78"/>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42"/>
              <w:jc w:val="right"/>
              <w:rPr>
                <w:rFonts w:ascii="Times New Roman" w:hAnsi="Times New Roman" w:cs="Times New Roman" w:eastAsia="Times New Roman" w:hint="default"/>
                <w:sz w:val="18"/>
                <w:szCs w:val="18"/>
              </w:rPr>
            </w:pPr>
            <w:r>
              <w:rPr>
                <w:rFonts w:ascii="Times New Roman"/>
                <w:spacing w:val="-1"/>
                <w:sz w:val="18"/>
              </w:rPr>
              <w:t>17,339,355.08</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52"/>
              <w:jc w:val="right"/>
              <w:rPr>
                <w:rFonts w:ascii="Times New Roman" w:hAnsi="Times New Roman" w:cs="Times New Roman" w:eastAsia="Times New Roman" w:hint="default"/>
                <w:sz w:val="18"/>
                <w:szCs w:val="18"/>
              </w:rPr>
            </w:pPr>
            <w:r>
              <w:rPr>
                <w:rFonts w:ascii="Times New Roman"/>
                <w:spacing w:val="-1"/>
                <w:sz w:val="18"/>
              </w:rPr>
              <w:t>50,435,059.09</w:t>
            </w:r>
          </w:p>
        </w:tc>
      </w:tr>
      <w:tr>
        <w:trPr>
          <w:trHeight w:val="280"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42"/>
              <w:jc w:val="right"/>
              <w:rPr>
                <w:rFonts w:ascii="Times New Roman" w:hAnsi="Times New Roman" w:cs="Times New Roman" w:eastAsia="Times New Roman" w:hint="default"/>
                <w:sz w:val="18"/>
                <w:szCs w:val="18"/>
              </w:rPr>
            </w:pPr>
            <w:r>
              <w:rPr>
                <w:rFonts w:ascii="Times New Roman"/>
                <w:spacing w:val="-1"/>
                <w:sz w:val="18"/>
              </w:rPr>
              <w:t>81,911,447.82</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53"/>
              <w:jc w:val="right"/>
              <w:rPr>
                <w:rFonts w:ascii="Times New Roman" w:hAnsi="Times New Roman" w:cs="Times New Roman" w:eastAsia="Times New Roman" w:hint="default"/>
                <w:sz w:val="18"/>
                <w:szCs w:val="18"/>
              </w:rPr>
            </w:pPr>
            <w:r>
              <w:rPr>
                <w:rFonts w:ascii="Times New Roman"/>
                <w:spacing w:val="-1"/>
                <w:sz w:val="18"/>
              </w:rPr>
              <w:t>-44,902,610.56</w:t>
            </w:r>
          </w:p>
        </w:tc>
      </w:tr>
      <w:tr>
        <w:trPr>
          <w:trHeight w:val="281"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
        </w:tc>
        <w:tc>
          <w:tcPr>
            <w:tcW w:w="1910" w:type="dxa"/>
            <w:tcBorders>
              <w:top w:val="single" w:sz="8" w:space="0" w:color="000000"/>
              <w:left w:val="single" w:sz="8" w:space="0" w:color="000000"/>
              <w:bottom w:val="single" w:sz="8" w:space="0" w:color="000000"/>
              <w:right w:val="nil" w:sz="6" w:space="0" w:color="auto"/>
            </w:tcBorders>
          </w:tcPr>
          <w:p>
            <w:pPr/>
          </w:p>
        </w:tc>
      </w:tr>
      <w:tr>
        <w:trPr>
          <w:trHeight w:val="280"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7"/>
              <w:jc w:val="right"/>
              <w:rPr>
                <w:rFonts w:ascii="Times New Roman" w:hAnsi="Times New Roman" w:cs="Times New Roman" w:eastAsia="Times New Roman" w:hint="default"/>
                <w:sz w:val="18"/>
                <w:szCs w:val="18"/>
              </w:rPr>
            </w:pPr>
            <w:r>
              <w:rPr>
                <w:rFonts w:ascii="Times New Roman"/>
                <w:sz w:val="18"/>
              </w:rPr>
              <w:t>-</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78"/>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7"/>
              <w:jc w:val="right"/>
              <w:rPr>
                <w:rFonts w:ascii="Times New Roman" w:hAnsi="Times New Roman" w:cs="Times New Roman" w:eastAsia="Times New Roman" w:hint="default"/>
                <w:sz w:val="18"/>
                <w:szCs w:val="18"/>
              </w:rPr>
            </w:pPr>
            <w:r>
              <w:rPr>
                <w:rFonts w:ascii="Times New Roman"/>
                <w:sz w:val="18"/>
              </w:rPr>
              <w:t>-</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78"/>
              <w:jc w:val="right"/>
              <w:rPr>
                <w:rFonts w:ascii="Times New Roman" w:hAnsi="Times New Roman" w:cs="Times New Roman" w:eastAsia="Times New Roman" w:hint="default"/>
                <w:sz w:val="18"/>
                <w:szCs w:val="18"/>
              </w:rPr>
            </w:pPr>
            <w:r>
              <w:rPr>
                <w:rFonts w:ascii="Times New Roman"/>
                <w:sz w:val="18"/>
              </w:rPr>
              <w:t>-</w:t>
            </w:r>
          </w:p>
        </w:tc>
      </w:tr>
      <w:tr>
        <w:trPr>
          <w:trHeight w:val="281"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41"/>
              <w:jc w:val="right"/>
              <w:rPr>
                <w:rFonts w:ascii="Times New Roman" w:hAnsi="Times New Roman" w:cs="Times New Roman" w:eastAsia="Times New Roman" w:hint="default"/>
                <w:sz w:val="18"/>
                <w:szCs w:val="18"/>
              </w:rPr>
            </w:pPr>
            <w:r>
              <w:rPr>
                <w:rFonts w:ascii="Times New Roman"/>
                <w:spacing w:val="-1"/>
                <w:sz w:val="18"/>
              </w:rPr>
              <w:t>510,607,212.30</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52"/>
              <w:jc w:val="right"/>
              <w:rPr>
                <w:rFonts w:ascii="Times New Roman" w:hAnsi="Times New Roman" w:cs="Times New Roman" w:eastAsia="Times New Roman" w:hint="default"/>
                <w:sz w:val="18"/>
                <w:szCs w:val="18"/>
              </w:rPr>
            </w:pPr>
            <w:r>
              <w:rPr>
                <w:rFonts w:ascii="Times New Roman"/>
                <w:spacing w:val="-1"/>
                <w:sz w:val="18"/>
              </w:rPr>
              <w:t>646,782,478.13</w:t>
            </w:r>
          </w:p>
        </w:tc>
      </w:tr>
      <w:tr>
        <w:trPr>
          <w:trHeight w:val="280"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7"/>
              <w:jc w:val="right"/>
              <w:rPr>
                <w:rFonts w:ascii="Times New Roman" w:hAnsi="Times New Roman" w:cs="Times New Roman" w:eastAsia="Times New Roman" w:hint="default"/>
                <w:sz w:val="18"/>
                <w:szCs w:val="18"/>
              </w:rPr>
            </w:pPr>
            <w:r>
              <w:rPr>
                <w:rFonts w:ascii="Times New Roman"/>
                <w:sz w:val="18"/>
              </w:rPr>
              <w:t>-</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78"/>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7"/>
              <w:jc w:val="right"/>
              <w:rPr>
                <w:rFonts w:ascii="Times New Roman" w:hAnsi="Times New Roman" w:cs="Times New Roman" w:eastAsia="Times New Roman" w:hint="default"/>
                <w:sz w:val="18"/>
                <w:szCs w:val="18"/>
              </w:rPr>
            </w:pPr>
            <w:r>
              <w:rPr>
                <w:rFonts w:ascii="Times New Roman"/>
                <w:sz w:val="18"/>
              </w:rPr>
              <w:t>-</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52"/>
              <w:jc w:val="right"/>
              <w:rPr>
                <w:rFonts w:ascii="Times New Roman" w:hAnsi="Times New Roman" w:cs="Times New Roman" w:eastAsia="Times New Roman" w:hint="default"/>
                <w:sz w:val="18"/>
                <w:szCs w:val="18"/>
              </w:rPr>
            </w:pPr>
            <w:r>
              <w:rPr>
                <w:rFonts w:ascii="Times New Roman"/>
                <w:spacing w:val="-1"/>
                <w:sz w:val="18"/>
              </w:rPr>
              <w:t>5,429,867.29</w:t>
            </w:r>
          </w:p>
        </w:tc>
      </w:tr>
      <w:tr>
        <w:trPr>
          <w:trHeight w:val="281"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41"/>
              <w:jc w:val="right"/>
              <w:rPr>
                <w:rFonts w:ascii="Times New Roman" w:hAnsi="Times New Roman" w:cs="Times New Roman" w:eastAsia="Times New Roman" w:hint="default"/>
                <w:sz w:val="18"/>
                <w:szCs w:val="18"/>
              </w:rPr>
            </w:pPr>
            <w:r>
              <w:rPr>
                <w:rFonts w:ascii="Times New Roman"/>
                <w:spacing w:val="-1"/>
                <w:sz w:val="18"/>
              </w:rPr>
              <w:t>510,607,212.30</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52"/>
              <w:jc w:val="right"/>
              <w:rPr>
                <w:rFonts w:ascii="Times New Roman" w:hAnsi="Times New Roman" w:cs="Times New Roman" w:eastAsia="Times New Roman" w:hint="default"/>
                <w:sz w:val="18"/>
                <w:szCs w:val="18"/>
              </w:rPr>
            </w:pPr>
            <w:r>
              <w:rPr>
                <w:rFonts w:ascii="Times New Roman"/>
                <w:spacing w:val="-1"/>
                <w:sz w:val="18"/>
              </w:rPr>
              <w:t>652,212,345.42</w:t>
            </w:r>
          </w:p>
        </w:tc>
      </w:tr>
      <w:tr>
        <w:trPr>
          <w:trHeight w:val="280"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41"/>
              <w:jc w:val="right"/>
              <w:rPr>
                <w:rFonts w:ascii="Times New Roman" w:hAnsi="Times New Roman" w:cs="Times New Roman" w:eastAsia="Times New Roman" w:hint="default"/>
                <w:sz w:val="18"/>
                <w:szCs w:val="18"/>
              </w:rPr>
            </w:pPr>
            <w:r>
              <w:rPr>
                <w:rFonts w:ascii="Times New Roman"/>
                <w:spacing w:val="-1"/>
                <w:sz w:val="18"/>
              </w:rPr>
              <w:t>567,159,963.07</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52"/>
              <w:jc w:val="right"/>
              <w:rPr>
                <w:rFonts w:ascii="Times New Roman" w:hAnsi="Times New Roman" w:cs="Times New Roman" w:eastAsia="Times New Roman" w:hint="default"/>
                <w:sz w:val="18"/>
                <w:szCs w:val="18"/>
              </w:rPr>
            </w:pPr>
            <w:r>
              <w:rPr>
                <w:rFonts w:ascii="Times New Roman"/>
                <w:spacing w:val="-1"/>
                <w:sz w:val="18"/>
              </w:rPr>
              <w:t>370,691,094.14</w:t>
            </w:r>
          </w:p>
        </w:tc>
      </w:tr>
      <w:tr>
        <w:trPr>
          <w:trHeight w:val="280"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42"/>
              <w:jc w:val="right"/>
              <w:rPr>
                <w:rFonts w:ascii="Times New Roman" w:hAnsi="Times New Roman" w:cs="Times New Roman" w:eastAsia="Times New Roman" w:hint="default"/>
                <w:sz w:val="18"/>
                <w:szCs w:val="18"/>
              </w:rPr>
            </w:pPr>
            <w:r>
              <w:rPr>
                <w:rFonts w:ascii="Times New Roman"/>
                <w:spacing w:val="-1"/>
                <w:sz w:val="18"/>
              </w:rPr>
              <w:t>56,877,147.69</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52"/>
              <w:jc w:val="right"/>
              <w:rPr>
                <w:rFonts w:ascii="Times New Roman" w:hAnsi="Times New Roman" w:cs="Times New Roman" w:eastAsia="Times New Roman" w:hint="default"/>
                <w:sz w:val="18"/>
                <w:szCs w:val="18"/>
              </w:rPr>
            </w:pPr>
            <w:r>
              <w:rPr>
                <w:rFonts w:ascii="Times New Roman"/>
                <w:spacing w:val="-1"/>
                <w:sz w:val="18"/>
              </w:rPr>
              <w:t>40,741,927.96</w:t>
            </w:r>
          </w:p>
        </w:tc>
      </w:tr>
      <w:tr>
        <w:trPr>
          <w:trHeight w:val="281"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7"/>
              <w:jc w:val="right"/>
              <w:rPr>
                <w:rFonts w:ascii="Times New Roman" w:hAnsi="Times New Roman" w:cs="Times New Roman" w:eastAsia="Times New Roman" w:hint="default"/>
                <w:sz w:val="18"/>
                <w:szCs w:val="18"/>
              </w:rPr>
            </w:pPr>
            <w:r>
              <w:rPr>
                <w:rFonts w:ascii="Times New Roman"/>
                <w:sz w:val="18"/>
              </w:rPr>
              <w:t>-</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78"/>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0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44</w:t>
            </w: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42"/>
              <w:jc w:val="right"/>
              <w:rPr>
                <w:rFonts w:ascii="Times New Roman" w:hAnsi="Times New Roman" w:cs="Times New Roman" w:eastAsia="Times New Roman" w:hint="default"/>
                <w:sz w:val="18"/>
                <w:szCs w:val="18"/>
              </w:rPr>
            </w:pPr>
            <w:r>
              <w:rPr>
                <w:rFonts w:ascii="Times New Roman"/>
                <w:spacing w:val="-1"/>
                <w:sz w:val="18"/>
              </w:rPr>
              <w:t>9,044,658.14</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53"/>
              <w:jc w:val="right"/>
              <w:rPr>
                <w:rFonts w:ascii="Times New Roman" w:hAnsi="Times New Roman" w:cs="Times New Roman" w:eastAsia="Times New Roman" w:hint="default"/>
                <w:sz w:val="18"/>
                <w:szCs w:val="18"/>
              </w:rPr>
            </w:pPr>
            <w:r>
              <w:rPr>
                <w:rFonts w:ascii="Times New Roman"/>
                <w:spacing w:val="-1"/>
                <w:sz w:val="18"/>
              </w:rPr>
              <w:t>1,413,107.96</w:t>
            </w:r>
          </w:p>
        </w:tc>
      </w:tr>
      <w:tr>
        <w:trPr>
          <w:trHeight w:val="280"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41"/>
              <w:jc w:val="right"/>
              <w:rPr>
                <w:rFonts w:ascii="Times New Roman" w:hAnsi="Times New Roman" w:cs="Times New Roman" w:eastAsia="Times New Roman" w:hint="default"/>
                <w:sz w:val="18"/>
                <w:szCs w:val="18"/>
              </w:rPr>
            </w:pPr>
            <w:r>
              <w:rPr>
                <w:rFonts w:ascii="Times New Roman"/>
                <w:spacing w:val="-1"/>
                <w:sz w:val="18"/>
              </w:rPr>
              <w:t>633,081,768.90</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52"/>
              <w:jc w:val="right"/>
              <w:rPr>
                <w:rFonts w:ascii="Times New Roman" w:hAnsi="Times New Roman" w:cs="Times New Roman" w:eastAsia="Times New Roman" w:hint="default"/>
                <w:sz w:val="18"/>
                <w:szCs w:val="18"/>
              </w:rPr>
            </w:pPr>
            <w:r>
              <w:rPr>
                <w:rFonts w:ascii="Times New Roman"/>
                <w:spacing w:val="-1"/>
                <w:sz w:val="18"/>
              </w:rPr>
              <w:t>412,846,130.06</w:t>
            </w:r>
          </w:p>
        </w:tc>
      </w:tr>
      <w:tr>
        <w:trPr>
          <w:trHeight w:val="281"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42"/>
              <w:jc w:val="right"/>
              <w:rPr>
                <w:rFonts w:ascii="Times New Roman" w:hAnsi="Times New Roman" w:cs="Times New Roman" w:eastAsia="Times New Roman" w:hint="default"/>
                <w:sz w:val="18"/>
                <w:szCs w:val="18"/>
              </w:rPr>
            </w:pPr>
            <w:r>
              <w:rPr>
                <w:rFonts w:ascii="Times New Roman"/>
                <w:spacing w:val="-1"/>
                <w:sz w:val="18"/>
              </w:rPr>
              <w:t>-122,474,556.60</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53"/>
              <w:jc w:val="right"/>
              <w:rPr>
                <w:rFonts w:ascii="Times New Roman" w:hAnsi="Times New Roman" w:cs="Times New Roman" w:eastAsia="Times New Roman" w:hint="default"/>
                <w:sz w:val="18"/>
                <w:szCs w:val="18"/>
              </w:rPr>
            </w:pPr>
            <w:r>
              <w:rPr>
                <w:rFonts w:ascii="Times New Roman"/>
                <w:spacing w:val="-1"/>
                <w:sz w:val="18"/>
              </w:rPr>
              <w:t>239,366,215.36</w:t>
            </w:r>
          </w:p>
        </w:tc>
      </w:tr>
      <w:tr>
        <w:trPr>
          <w:trHeight w:val="280"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42"/>
              <w:jc w:val="right"/>
              <w:rPr>
                <w:rFonts w:ascii="Times New Roman" w:hAnsi="Times New Roman" w:cs="Times New Roman" w:eastAsia="Times New Roman" w:hint="default"/>
                <w:sz w:val="18"/>
                <w:szCs w:val="18"/>
              </w:rPr>
            </w:pPr>
            <w:r>
              <w:rPr>
                <w:rFonts w:ascii="Times New Roman"/>
                <w:sz w:val="18"/>
              </w:rPr>
              <w:t>-27,562.51</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53"/>
              <w:jc w:val="right"/>
              <w:rPr>
                <w:rFonts w:ascii="Times New Roman" w:hAnsi="Times New Roman" w:cs="Times New Roman" w:eastAsia="Times New Roman" w:hint="default"/>
                <w:sz w:val="18"/>
                <w:szCs w:val="18"/>
              </w:rPr>
            </w:pPr>
            <w:r>
              <w:rPr>
                <w:rFonts w:ascii="Times New Roman"/>
                <w:sz w:val="18"/>
              </w:rPr>
              <w:t>699,503.55</w:t>
            </w:r>
          </w:p>
        </w:tc>
      </w:tr>
      <w:tr>
        <w:trPr>
          <w:trHeight w:val="280"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41"/>
              <w:jc w:val="right"/>
              <w:rPr>
                <w:rFonts w:ascii="Times New Roman" w:hAnsi="Times New Roman" w:cs="Times New Roman" w:eastAsia="Times New Roman" w:hint="default"/>
                <w:sz w:val="18"/>
                <w:szCs w:val="18"/>
              </w:rPr>
            </w:pPr>
            <w:r>
              <w:rPr>
                <w:rFonts w:ascii="Times New Roman"/>
                <w:spacing w:val="-1"/>
                <w:sz w:val="18"/>
              </w:rPr>
              <w:t>178,337,618.92</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52"/>
              <w:jc w:val="right"/>
              <w:rPr>
                <w:rFonts w:ascii="Times New Roman" w:hAnsi="Times New Roman" w:cs="Times New Roman" w:eastAsia="Times New Roman" w:hint="default"/>
                <w:sz w:val="18"/>
                <w:szCs w:val="18"/>
              </w:rPr>
            </w:pPr>
            <w:r>
              <w:rPr>
                <w:rFonts w:ascii="Times New Roman"/>
                <w:spacing w:val="-1"/>
                <w:sz w:val="18"/>
              </w:rPr>
              <w:t>-46,020,800.13</w:t>
            </w:r>
          </w:p>
        </w:tc>
      </w:tr>
      <w:tr>
        <w:trPr>
          <w:trHeight w:val="281"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41"/>
              <w:jc w:val="right"/>
              <w:rPr>
                <w:rFonts w:ascii="Times New Roman" w:hAnsi="Times New Roman" w:cs="Times New Roman" w:eastAsia="Times New Roman" w:hint="default"/>
                <w:sz w:val="18"/>
                <w:szCs w:val="18"/>
              </w:rPr>
            </w:pPr>
            <w:r>
              <w:rPr>
                <w:rFonts w:ascii="Times New Roman"/>
                <w:spacing w:val="-1"/>
                <w:sz w:val="18"/>
              </w:rPr>
              <w:t>101,934,788.72</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52"/>
              <w:jc w:val="right"/>
              <w:rPr>
                <w:rFonts w:ascii="Times New Roman" w:hAnsi="Times New Roman" w:cs="Times New Roman" w:eastAsia="Times New Roman" w:hint="default"/>
                <w:sz w:val="18"/>
                <w:szCs w:val="18"/>
              </w:rPr>
            </w:pPr>
            <w:r>
              <w:rPr>
                <w:rFonts w:ascii="Times New Roman"/>
                <w:spacing w:val="-1"/>
                <w:sz w:val="18"/>
              </w:rPr>
              <w:t>147,955,588.85</w:t>
            </w:r>
          </w:p>
        </w:tc>
      </w:tr>
      <w:tr>
        <w:trPr>
          <w:trHeight w:val="281" w:hRule="exact"/>
        </w:trPr>
        <w:tc>
          <w:tcPr>
            <w:tcW w:w="4903"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039" w:type="dxa"/>
            <w:tcBorders>
              <w:top w:val="single" w:sz="8" w:space="0" w:color="000000"/>
              <w:left w:val="single" w:sz="8" w:space="0" w:color="000000"/>
              <w:bottom w:val="single" w:sz="8" w:space="0" w:color="000000"/>
              <w:right w:val="single" w:sz="8" w:space="0" w:color="000000"/>
            </w:tcBorders>
          </w:tcPr>
          <w:p>
            <w:pP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41"/>
              <w:jc w:val="right"/>
              <w:rPr>
                <w:rFonts w:ascii="Times New Roman" w:hAnsi="Times New Roman" w:cs="Times New Roman" w:eastAsia="Times New Roman" w:hint="default"/>
                <w:sz w:val="18"/>
                <w:szCs w:val="18"/>
              </w:rPr>
            </w:pPr>
            <w:r>
              <w:rPr>
                <w:rFonts w:ascii="Times New Roman"/>
                <w:spacing w:val="-1"/>
                <w:sz w:val="18"/>
              </w:rPr>
              <w:t>280,272,407.64</w:t>
            </w:r>
          </w:p>
        </w:tc>
        <w:tc>
          <w:tcPr>
            <w:tcW w:w="19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52"/>
              <w:jc w:val="right"/>
              <w:rPr>
                <w:rFonts w:ascii="Times New Roman" w:hAnsi="Times New Roman" w:cs="Times New Roman" w:eastAsia="Times New Roman" w:hint="default"/>
                <w:sz w:val="18"/>
                <w:szCs w:val="18"/>
              </w:rPr>
            </w:pPr>
            <w:r>
              <w:rPr>
                <w:rFonts w:ascii="Times New Roman"/>
                <w:spacing w:val="-1"/>
                <w:sz w:val="18"/>
              </w:rPr>
              <w:t>101,934,788.72</w:t>
            </w:r>
          </w:p>
        </w:tc>
      </w:tr>
    </w:tbl>
    <w:p>
      <w:pPr>
        <w:spacing w:line="240" w:lineRule="auto" w:before="9"/>
        <w:rPr>
          <w:rFonts w:ascii="宋体" w:hAnsi="宋体" w:cs="宋体" w:eastAsia="宋体" w:hint="default"/>
          <w:sz w:val="26"/>
          <w:szCs w:val="26"/>
        </w:rPr>
      </w:pPr>
    </w:p>
    <w:p>
      <w:pPr>
        <w:pStyle w:val="BodyText"/>
        <w:tabs>
          <w:tab w:pos="3698" w:val="left" w:leader="none"/>
          <w:tab w:pos="7582" w:val="left" w:leader="none"/>
        </w:tabs>
        <w:spacing w:line="240" w:lineRule="auto" w:before="35"/>
        <w:ind w:left="234" w:right="0"/>
        <w:jc w:val="left"/>
      </w:pPr>
      <w:r>
        <w:rPr/>
        <w:t>法定代表人：陈泰泉</w:t>
        <w:tab/>
      </w:r>
      <w:r>
        <w:rPr>
          <w:spacing w:val="-1"/>
        </w:rPr>
        <w:t>主管会计工作负责人：钟民</w:t>
        <w:tab/>
        <w:t>会计机构负责人：钟民</w:t>
      </w:r>
    </w:p>
    <w:p>
      <w:pPr>
        <w:spacing w:after="0" w:line="240" w:lineRule="auto"/>
        <w:jc w:val="left"/>
        <w:sectPr>
          <w:pgSz w:w="11900" w:h="16840"/>
          <w:pgMar w:header="0" w:footer="982" w:top="1100" w:bottom="1180" w:left="900" w:right="1000"/>
        </w:sectPr>
      </w:pPr>
    </w:p>
    <w:p>
      <w:pPr>
        <w:pStyle w:val="Heading1"/>
        <w:spacing w:line="382" w:lineRule="exact"/>
        <w:ind w:left="26" w:right="0"/>
        <w:jc w:val="center"/>
      </w:pPr>
      <w:r>
        <w:rPr/>
        <w:t>母公司现金流量表</w:t>
      </w:r>
    </w:p>
    <w:p>
      <w:pPr>
        <w:pStyle w:val="BodyText"/>
        <w:spacing w:line="273" w:lineRule="exact"/>
        <w:ind w:left="25" w:right="0"/>
        <w:jc w:val="center"/>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w:t>
      </w:r>
    </w:p>
    <w:p>
      <w:pPr>
        <w:spacing w:line="240" w:lineRule="auto" w:before="10"/>
        <w:rPr>
          <w:rFonts w:ascii="宋体" w:hAnsi="宋体" w:cs="宋体" w:eastAsia="宋体" w:hint="default"/>
          <w:sz w:val="20"/>
          <w:szCs w:val="20"/>
        </w:rPr>
      </w:pPr>
    </w:p>
    <w:p>
      <w:pPr>
        <w:pStyle w:val="BodyText"/>
        <w:tabs>
          <w:tab w:pos="7348" w:val="left" w:leader="none"/>
        </w:tabs>
        <w:spacing w:line="240" w:lineRule="auto"/>
        <w:ind w:left="0" w:right="59"/>
        <w:jc w:val="center"/>
      </w:pPr>
      <w:r>
        <w:rPr/>
        <w:t>编制单位：</w:t>
      </w:r>
      <w:r>
        <w:rPr>
          <w:u w:val="single" w:color="000000"/>
        </w:rPr>
        <w:t>深圳市鸿基（集团）股份有限公司</w:t>
      </w:r>
      <w:r>
        <w:rPr/>
        <w:tab/>
        <w:t>单位：元</w:t>
      </w:r>
      <w:r>
        <w:rPr>
          <w:spacing w:val="-4"/>
        </w:rPr>
        <w:t> </w:t>
      </w:r>
      <w:r>
        <w:rPr/>
        <w:t>币种：人民币</w:t>
      </w:r>
    </w:p>
    <w:p>
      <w:pPr>
        <w:spacing w:line="240" w:lineRule="auto" w:before="6"/>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5148"/>
        <w:gridCol w:w="1252"/>
        <w:gridCol w:w="1634"/>
        <w:gridCol w:w="1634"/>
      </w:tblGrid>
      <w:tr>
        <w:trPr>
          <w:trHeight w:val="320"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2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1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附注十一、</w:t>
            </w:r>
            <w:r>
              <w:rPr>
                <w:rFonts w:ascii="Times New Roman" w:hAnsi="Times New Roman" w:cs="Times New Roman" w:eastAsia="Times New Roman" w:hint="default"/>
                <w:sz w:val="18"/>
                <w:szCs w:val="18"/>
              </w:rPr>
              <w:t>5</w:t>
            </w:r>
          </w:p>
        </w:tc>
        <w:tc>
          <w:tcPr>
            <w:tcW w:w="1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44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8"/>
              <w:ind w:left="447"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19"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nil" w:sz="6" w:space="0" w:color="auto"/>
            </w:tcBorders>
          </w:tcPr>
          <w:p>
            <w:pPr/>
          </w:p>
        </w:tc>
      </w:tr>
      <w:tr>
        <w:trPr>
          <w:trHeight w:val="320"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pacing w:val="-1"/>
                <w:sz w:val="18"/>
              </w:rPr>
              <w:t>367,604,255.74</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8"/>
                <w:szCs w:val="18"/>
              </w:rPr>
            </w:pPr>
            <w:r>
              <w:rPr>
                <w:rFonts w:ascii="Times New Roman"/>
                <w:spacing w:val="-1"/>
                <w:sz w:val="18"/>
              </w:rPr>
              <w:t>6,917,742.88</w:t>
            </w:r>
          </w:p>
        </w:tc>
      </w:tr>
      <w:tr>
        <w:trPr>
          <w:trHeight w:val="320"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322"/>
              <w:jc w:val="right"/>
              <w:rPr>
                <w:rFonts w:ascii="Times New Roman" w:hAnsi="Times New Roman" w:cs="Times New Roman" w:eastAsia="Times New Roman" w:hint="default"/>
                <w:sz w:val="18"/>
                <w:szCs w:val="18"/>
              </w:rPr>
            </w:pPr>
            <w:r>
              <w:rPr>
                <w:rFonts w:ascii="Times New Roman"/>
                <w:sz w:val="18"/>
              </w:rPr>
              <w:t>-</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331"/>
              <w:jc w:val="right"/>
              <w:rPr>
                <w:rFonts w:ascii="Times New Roman" w:hAnsi="Times New Roman" w:cs="Times New Roman" w:eastAsia="Times New Roman" w:hint="default"/>
                <w:sz w:val="18"/>
                <w:szCs w:val="18"/>
              </w:rPr>
            </w:pPr>
            <w:r>
              <w:rPr>
                <w:rFonts w:ascii="Times New Roman"/>
                <w:sz w:val="18"/>
              </w:rPr>
              <w:t>-</w:t>
            </w:r>
          </w:p>
        </w:tc>
      </w:tr>
      <w:tr>
        <w:trPr>
          <w:trHeight w:val="319"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pacing w:val="-1"/>
                <w:sz w:val="18"/>
              </w:rPr>
              <w:t>136,317,522.27</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8"/>
                <w:szCs w:val="18"/>
              </w:rPr>
            </w:pPr>
            <w:r>
              <w:rPr>
                <w:rFonts w:ascii="Times New Roman"/>
                <w:spacing w:val="-1"/>
                <w:sz w:val="18"/>
              </w:rPr>
              <w:t>35,950,697.85</w:t>
            </w:r>
          </w:p>
        </w:tc>
      </w:tr>
      <w:tr>
        <w:trPr>
          <w:trHeight w:val="320"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pacing w:val="-1"/>
                <w:sz w:val="18"/>
              </w:rPr>
              <w:t>503,921,778.01</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8"/>
                <w:szCs w:val="18"/>
              </w:rPr>
            </w:pPr>
            <w:r>
              <w:rPr>
                <w:rFonts w:ascii="Times New Roman"/>
                <w:spacing w:val="-1"/>
                <w:sz w:val="18"/>
              </w:rPr>
              <w:t>42,868,440.73</w:t>
            </w:r>
          </w:p>
        </w:tc>
      </w:tr>
      <w:tr>
        <w:trPr>
          <w:trHeight w:val="320"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pacing w:val="-1"/>
                <w:sz w:val="18"/>
              </w:rPr>
              <w:t>132,443,806.59</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8"/>
                <w:szCs w:val="18"/>
              </w:rPr>
            </w:pPr>
            <w:r>
              <w:rPr>
                <w:rFonts w:ascii="Times New Roman"/>
                <w:spacing w:val="-1"/>
                <w:sz w:val="18"/>
              </w:rPr>
              <w:t>146,780,945.05</w:t>
            </w:r>
          </w:p>
        </w:tc>
      </w:tr>
      <w:tr>
        <w:trPr>
          <w:trHeight w:val="319"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pacing w:val="-1"/>
                <w:sz w:val="18"/>
              </w:rPr>
              <w:t>19,180,256.38</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8"/>
                <w:szCs w:val="18"/>
              </w:rPr>
            </w:pPr>
            <w:r>
              <w:rPr>
                <w:rFonts w:ascii="Times New Roman"/>
                <w:spacing w:val="-1"/>
                <w:sz w:val="18"/>
              </w:rPr>
              <w:t>15,766,058.72</w:t>
            </w:r>
          </w:p>
        </w:tc>
      </w:tr>
      <w:tr>
        <w:trPr>
          <w:trHeight w:val="320"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pacing w:val="-1"/>
                <w:sz w:val="18"/>
              </w:rPr>
              <w:t>32,670,016.57</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8"/>
                <w:szCs w:val="18"/>
              </w:rPr>
            </w:pPr>
            <w:r>
              <w:rPr>
                <w:rFonts w:ascii="Times New Roman"/>
                <w:spacing w:val="-1"/>
                <w:sz w:val="18"/>
              </w:rPr>
              <w:t>11,406,496.22</w:t>
            </w:r>
          </w:p>
        </w:tc>
      </w:tr>
      <w:tr>
        <w:trPr>
          <w:trHeight w:val="320"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pacing w:val="-1"/>
                <w:sz w:val="18"/>
              </w:rPr>
              <w:t>148,570,054.71</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8"/>
                <w:szCs w:val="18"/>
              </w:rPr>
            </w:pPr>
            <w:r>
              <w:rPr>
                <w:rFonts w:ascii="Times New Roman"/>
                <w:spacing w:val="-1"/>
                <w:sz w:val="18"/>
              </w:rPr>
              <w:t>46,160,023.07</w:t>
            </w:r>
          </w:p>
        </w:tc>
      </w:tr>
      <w:tr>
        <w:trPr>
          <w:trHeight w:val="319"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pacing w:val="-1"/>
                <w:sz w:val="18"/>
              </w:rPr>
              <w:t>332,864,134.25</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8"/>
                <w:szCs w:val="18"/>
              </w:rPr>
            </w:pPr>
            <w:r>
              <w:rPr>
                <w:rFonts w:ascii="Times New Roman"/>
                <w:spacing w:val="-1"/>
                <w:sz w:val="18"/>
              </w:rPr>
              <w:t>220,113,523.06</w:t>
            </w:r>
          </w:p>
        </w:tc>
      </w:tr>
      <w:tr>
        <w:trPr>
          <w:trHeight w:val="320"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pacing w:val="-1"/>
                <w:sz w:val="18"/>
              </w:rPr>
              <w:t>171,057,643.76</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8"/>
                <w:szCs w:val="18"/>
              </w:rPr>
            </w:pPr>
            <w:r>
              <w:rPr>
                <w:rFonts w:ascii="Times New Roman"/>
                <w:spacing w:val="-1"/>
                <w:sz w:val="18"/>
              </w:rPr>
              <w:t>-177,245,082.33</w:t>
            </w:r>
          </w:p>
        </w:tc>
      </w:tr>
      <w:tr>
        <w:trPr>
          <w:trHeight w:val="320"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nil" w:sz="6" w:space="0" w:color="auto"/>
            </w:tcBorders>
          </w:tcPr>
          <w:p>
            <w:pPr/>
          </w:p>
        </w:tc>
      </w:tr>
      <w:tr>
        <w:trPr>
          <w:trHeight w:val="319"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pacing w:val="-1"/>
                <w:sz w:val="18"/>
              </w:rPr>
              <w:t>2,496,000.00</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332"/>
              <w:jc w:val="right"/>
              <w:rPr>
                <w:rFonts w:ascii="Times New Roman" w:hAnsi="Times New Roman" w:cs="Times New Roman" w:eastAsia="Times New Roman" w:hint="default"/>
                <w:sz w:val="18"/>
                <w:szCs w:val="18"/>
              </w:rPr>
            </w:pPr>
            <w:r>
              <w:rPr>
                <w:rFonts w:ascii="Times New Roman"/>
                <w:sz w:val="18"/>
              </w:rPr>
              <w:t>-</w:t>
            </w:r>
          </w:p>
        </w:tc>
      </w:tr>
      <w:tr>
        <w:trPr>
          <w:trHeight w:val="320"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pacing w:val="-1"/>
                <w:sz w:val="18"/>
              </w:rPr>
              <w:t>39,560,464.90</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8"/>
                <w:szCs w:val="18"/>
              </w:rPr>
            </w:pPr>
            <w:r>
              <w:rPr>
                <w:rFonts w:ascii="Times New Roman"/>
                <w:spacing w:val="-1"/>
                <w:sz w:val="18"/>
              </w:rPr>
              <w:t>1,749,720.02</w:t>
            </w:r>
          </w:p>
        </w:tc>
      </w:tr>
      <w:tr>
        <w:trPr>
          <w:trHeight w:val="320"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z w:val="18"/>
              </w:rPr>
              <w:t>27,102.00</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8"/>
                <w:szCs w:val="18"/>
              </w:rPr>
            </w:pPr>
            <w:r>
              <w:rPr>
                <w:rFonts w:ascii="Times New Roman"/>
                <w:sz w:val="18"/>
              </w:rPr>
              <w:t>35,857.50</w:t>
            </w:r>
          </w:p>
        </w:tc>
      </w:tr>
      <w:tr>
        <w:trPr>
          <w:trHeight w:val="319"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pacing w:val="-1"/>
                <w:sz w:val="18"/>
              </w:rPr>
              <w:t>43,800,000.00</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331"/>
              <w:jc w:val="right"/>
              <w:rPr>
                <w:rFonts w:ascii="Times New Roman" w:hAnsi="Times New Roman" w:cs="Times New Roman" w:eastAsia="Times New Roman" w:hint="default"/>
                <w:sz w:val="18"/>
                <w:szCs w:val="18"/>
              </w:rPr>
            </w:pPr>
            <w:r>
              <w:rPr>
                <w:rFonts w:ascii="Times New Roman"/>
                <w:sz w:val="18"/>
              </w:rPr>
              <w:t>-</w:t>
            </w:r>
          </w:p>
        </w:tc>
      </w:tr>
      <w:tr>
        <w:trPr>
          <w:trHeight w:val="320"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322"/>
              <w:jc w:val="right"/>
              <w:rPr>
                <w:rFonts w:ascii="Times New Roman" w:hAnsi="Times New Roman" w:cs="Times New Roman" w:eastAsia="Times New Roman" w:hint="default"/>
                <w:sz w:val="18"/>
                <w:szCs w:val="18"/>
              </w:rPr>
            </w:pPr>
            <w:r>
              <w:rPr>
                <w:rFonts w:ascii="Times New Roman"/>
                <w:sz w:val="18"/>
              </w:rPr>
              <w:t>-</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331"/>
              <w:jc w:val="right"/>
              <w:rPr>
                <w:rFonts w:ascii="Times New Roman" w:hAnsi="Times New Roman" w:cs="Times New Roman" w:eastAsia="Times New Roman" w:hint="default"/>
                <w:sz w:val="18"/>
                <w:szCs w:val="18"/>
              </w:rPr>
            </w:pPr>
            <w:r>
              <w:rPr>
                <w:rFonts w:ascii="Times New Roman"/>
                <w:sz w:val="18"/>
              </w:rPr>
              <w:t>-</w:t>
            </w:r>
          </w:p>
        </w:tc>
      </w:tr>
      <w:tr>
        <w:trPr>
          <w:trHeight w:val="320"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pacing w:val="-1"/>
                <w:sz w:val="18"/>
              </w:rPr>
              <w:t>85,883,566.90</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8"/>
                <w:szCs w:val="18"/>
              </w:rPr>
            </w:pPr>
            <w:r>
              <w:rPr>
                <w:rFonts w:ascii="Times New Roman"/>
                <w:spacing w:val="-1"/>
                <w:sz w:val="18"/>
              </w:rPr>
              <w:t>1,785,577.52</w:t>
            </w:r>
          </w:p>
        </w:tc>
      </w:tr>
      <w:tr>
        <w:trPr>
          <w:trHeight w:val="319"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z w:val="18"/>
              </w:rPr>
              <w:t>203,079.00</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8"/>
                <w:szCs w:val="18"/>
              </w:rPr>
            </w:pPr>
            <w:r>
              <w:rPr>
                <w:rFonts w:ascii="Times New Roman"/>
                <w:spacing w:val="-1"/>
                <w:sz w:val="18"/>
              </w:rPr>
              <w:t>5,395,121.44</w:t>
            </w:r>
          </w:p>
        </w:tc>
      </w:tr>
      <w:tr>
        <w:trPr>
          <w:trHeight w:val="320"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322"/>
              <w:jc w:val="right"/>
              <w:rPr>
                <w:rFonts w:ascii="Times New Roman" w:hAnsi="Times New Roman" w:cs="Times New Roman" w:eastAsia="Times New Roman" w:hint="default"/>
                <w:sz w:val="18"/>
                <w:szCs w:val="18"/>
              </w:rPr>
            </w:pPr>
            <w:r>
              <w:rPr>
                <w:rFonts w:ascii="Times New Roman"/>
                <w:sz w:val="18"/>
              </w:rPr>
              <w:t>-</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8"/>
                <w:szCs w:val="18"/>
              </w:rPr>
            </w:pPr>
            <w:r>
              <w:rPr>
                <w:rFonts w:ascii="Times New Roman"/>
                <w:spacing w:val="-1"/>
                <w:sz w:val="18"/>
              </w:rPr>
              <w:t>39,900,000.00</w:t>
            </w:r>
          </w:p>
        </w:tc>
      </w:tr>
      <w:tr>
        <w:trPr>
          <w:trHeight w:val="320"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322"/>
              <w:jc w:val="right"/>
              <w:rPr>
                <w:rFonts w:ascii="Times New Roman" w:hAnsi="Times New Roman" w:cs="Times New Roman" w:eastAsia="Times New Roman" w:hint="default"/>
                <w:sz w:val="18"/>
                <w:szCs w:val="18"/>
              </w:rPr>
            </w:pPr>
            <w:r>
              <w:rPr>
                <w:rFonts w:ascii="Times New Roman"/>
                <w:sz w:val="18"/>
              </w:rPr>
              <w:t>-</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331"/>
              <w:jc w:val="right"/>
              <w:rPr>
                <w:rFonts w:ascii="Times New Roman" w:hAnsi="Times New Roman" w:cs="Times New Roman" w:eastAsia="Times New Roman" w:hint="default"/>
                <w:sz w:val="18"/>
                <w:szCs w:val="18"/>
              </w:rPr>
            </w:pPr>
            <w:r>
              <w:rPr>
                <w:rFonts w:ascii="Times New Roman"/>
                <w:sz w:val="18"/>
              </w:rPr>
              <w:t>-</w:t>
            </w:r>
          </w:p>
        </w:tc>
      </w:tr>
      <w:tr>
        <w:trPr>
          <w:trHeight w:val="319"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322"/>
              <w:jc w:val="right"/>
              <w:rPr>
                <w:rFonts w:ascii="Times New Roman" w:hAnsi="Times New Roman" w:cs="Times New Roman" w:eastAsia="Times New Roman" w:hint="default"/>
                <w:sz w:val="18"/>
                <w:szCs w:val="18"/>
              </w:rPr>
            </w:pPr>
            <w:r>
              <w:rPr>
                <w:rFonts w:ascii="Times New Roman"/>
                <w:sz w:val="18"/>
              </w:rPr>
              <w:t>-</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331"/>
              <w:jc w:val="right"/>
              <w:rPr>
                <w:rFonts w:ascii="Times New Roman" w:hAnsi="Times New Roman" w:cs="Times New Roman" w:eastAsia="Times New Roman" w:hint="default"/>
                <w:sz w:val="18"/>
                <w:szCs w:val="18"/>
              </w:rPr>
            </w:pPr>
            <w:r>
              <w:rPr>
                <w:rFonts w:ascii="Times New Roman"/>
                <w:sz w:val="18"/>
              </w:rPr>
              <w:t>-</w:t>
            </w:r>
          </w:p>
        </w:tc>
      </w:tr>
      <w:tr>
        <w:trPr>
          <w:trHeight w:val="320"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z w:val="18"/>
              </w:rPr>
              <w:t>203,079.00</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8"/>
                <w:szCs w:val="18"/>
              </w:rPr>
            </w:pPr>
            <w:r>
              <w:rPr>
                <w:rFonts w:ascii="Times New Roman"/>
                <w:spacing w:val="-1"/>
                <w:sz w:val="18"/>
              </w:rPr>
              <w:t>45,295,121.44</w:t>
            </w:r>
          </w:p>
        </w:tc>
      </w:tr>
      <w:tr>
        <w:trPr>
          <w:trHeight w:val="320"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pacing w:val="-1"/>
                <w:sz w:val="18"/>
              </w:rPr>
              <w:t>85,680,487.90</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8"/>
                <w:szCs w:val="18"/>
              </w:rPr>
            </w:pPr>
            <w:r>
              <w:rPr>
                <w:rFonts w:ascii="Times New Roman"/>
                <w:spacing w:val="-1"/>
                <w:sz w:val="18"/>
              </w:rPr>
              <w:t>-43,509,543.92</w:t>
            </w:r>
          </w:p>
        </w:tc>
      </w:tr>
      <w:tr>
        <w:trPr>
          <w:trHeight w:val="319"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nil" w:sz="6" w:space="0" w:color="auto"/>
            </w:tcBorders>
          </w:tcPr>
          <w:p>
            <w:pPr/>
          </w:p>
        </w:tc>
      </w:tr>
      <w:tr>
        <w:trPr>
          <w:trHeight w:val="320"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322"/>
              <w:jc w:val="right"/>
              <w:rPr>
                <w:rFonts w:ascii="Times New Roman" w:hAnsi="Times New Roman" w:cs="Times New Roman" w:eastAsia="Times New Roman" w:hint="default"/>
                <w:sz w:val="18"/>
                <w:szCs w:val="18"/>
              </w:rPr>
            </w:pPr>
            <w:r>
              <w:rPr>
                <w:rFonts w:ascii="Times New Roman"/>
                <w:sz w:val="18"/>
              </w:rPr>
              <w:t>-</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331"/>
              <w:jc w:val="right"/>
              <w:rPr>
                <w:rFonts w:ascii="Times New Roman" w:hAnsi="Times New Roman" w:cs="Times New Roman" w:eastAsia="Times New Roman" w:hint="default"/>
                <w:sz w:val="18"/>
                <w:szCs w:val="18"/>
              </w:rPr>
            </w:pPr>
            <w:r>
              <w:rPr>
                <w:rFonts w:ascii="Times New Roman"/>
                <w:sz w:val="18"/>
              </w:rPr>
              <w:t>-</w:t>
            </w:r>
          </w:p>
        </w:tc>
      </w:tr>
      <w:tr>
        <w:trPr>
          <w:trHeight w:val="320"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pacing w:val="-1"/>
                <w:sz w:val="18"/>
              </w:rPr>
              <w:t>281,819,690.27</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8"/>
                <w:szCs w:val="18"/>
              </w:rPr>
            </w:pPr>
            <w:r>
              <w:rPr>
                <w:rFonts w:ascii="Times New Roman"/>
                <w:spacing w:val="-1"/>
                <w:sz w:val="18"/>
              </w:rPr>
              <w:t>475,932,478.13</w:t>
            </w:r>
          </w:p>
        </w:tc>
      </w:tr>
      <w:tr>
        <w:trPr>
          <w:trHeight w:val="319"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322"/>
              <w:jc w:val="right"/>
              <w:rPr>
                <w:rFonts w:ascii="Times New Roman" w:hAnsi="Times New Roman" w:cs="Times New Roman" w:eastAsia="Times New Roman" w:hint="default"/>
                <w:sz w:val="18"/>
                <w:szCs w:val="18"/>
              </w:rPr>
            </w:pPr>
            <w:r>
              <w:rPr>
                <w:rFonts w:ascii="Times New Roman"/>
                <w:sz w:val="18"/>
              </w:rPr>
              <w:t>-</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331"/>
              <w:jc w:val="right"/>
              <w:rPr>
                <w:rFonts w:ascii="Times New Roman" w:hAnsi="Times New Roman" w:cs="Times New Roman" w:eastAsia="Times New Roman" w:hint="default"/>
                <w:sz w:val="18"/>
                <w:szCs w:val="18"/>
              </w:rPr>
            </w:pPr>
            <w:r>
              <w:rPr>
                <w:rFonts w:ascii="Times New Roman"/>
                <w:sz w:val="18"/>
              </w:rPr>
              <w:t>-</w:t>
            </w:r>
          </w:p>
        </w:tc>
      </w:tr>
      <w:tr>
        <w:trPr>
          <w:trHeight w:val="320"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pacing w:val="-1"/>
                <w:sz w:val="18"/>
              </w:rPr>
              <w:t>281,819,690.27</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8"/>
                <w:szCs w:val="18"/>
              </w:rPr>
            </w:pPr>
            <w:r>
              <w:rPr>
                <w:rFonts w:ascii="Times New Roman"/>
                <w:spacing w:val="-1"/>
                <w:sz w:val="18"/>
              </w:rPr>
              <w:t>475,932,478.13</w:t>
            </w:r>
          </w:p>
        </w:tc>
      </w:tr>
      <w:tr>
        <w:trPr>
          <w:trHeight w:val="320"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pacing w:val="-1"/>
                <w:sz w:val="18"/>
              </w:rPr>
              <w:t>469,109,705.97</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8"/>
                <w:szCs w:val="18"/>
              </w:rPr>
            </w:pPr>
            <w:r>
              <w:rPr>
                <w:rFonts w:ascii="Times New Roman"/>
                <w:spacing w:val="-1"/>
                <w:sz w:val="18"/>
              </w:rPr>
              <w:t>282,141,094.14</w:t>
            </w:r>
          </w:p>
        </w:tc>
      </w:tr>
      <w:tr>
        <w:trPr>
          <w:trHeight w:val="319"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pacing w:val="-1"/>
                <w:sz w:val="18"/>
              </w:rPr>
              <w:t>32,660,353.42</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8"/>
                <w:szCs w:val="18"/>
              </w:rPr>
            </w:pPr>
            <w:r>
              <w:rPr>
                <w:rFonts w:ascii="Times New Roman"/>
                <w:spacing w:val="-1"/>
                <w:sz w:val="18"/>
              </w:rPr>
              <w:t>37,424,341.84</w:t>
            </w:r>
          </w:p>
        </w:tc>
      </w:tr>
      <w:tr>
        <w:trPr>
          <w:trHeight w:val="320"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pacing w:val="-1"/>
                <w:sz w:val="18"/>
              </w:rPr>
              <w:t>6,944,077.21</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8"/>
                <w:szCs w:val="18"/>
              </w:rPr>
            </w:pPr>
            <w:r>
              <w:rPr>
                <w:rFonts w:ascii="Times New Roman"/>
                <w:sz w:val="18"/>
              </w:rPr>
              <w:t>763,223.09</w:t>
            </w:r>
          </w:p>
        </w:tc>
      </w:tr>
      <w:tr>
        <w:trPr>
          <w:trHeight w:val="320"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pacing w:val="-1"/>
                <w:sz w:val="18"/>
              </w:rPr>
              <w:t>508,714,136.60</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8"/>
                <w:szCs w:val="18"/>
              </w:rPr>
            </w:pPr>
            <w:r>
              <w:rPr>
                <w:rFonts w:ascii="Times New Roman"/>
                <w:spacing w:val="-1"/>
                <w:sz w:val="18"/>
              </w:rPr>
              <w:t>320,328,659.07</w:t>
            </w:r>
          </w:p>
        </w:tc>
      </w:tr>
      <w:tr>
        <w:trPr>
          <w:trHeight w:val="319"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pacing w:val="-1"/>
                <w:sz w:val="18"/>
              </w:rPr>
              <w:t>-226,894,446.33</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8"/>
                <w:szCs w:val="18"/>
              </w:rPr>
            </w:pPr>
            <w:r>
              <w:rPr>
                <w:rFonts w:ascii="Times New Roman"/>
                <w:spacing w:val="-1"/>
                <w:sz w:val="18"/>
              </w:rPr>
              <w:t>155,603,819.06</w:t>
            </w:r>
          </w:p>
        </w:tc>
      </w:tr>
      <w:tr>
        <w:trPr>
          <w:trHeight w:val="320"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z w:val="18"/>
              </w:rPr>
              <w:t>-17,582.35</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8"/>
                <w:szCs w:val="18"/>
              </w:rPr>
            </w:pPr>
            <w:r>
              <w:rPr>
                <w:rFonts w:ascii="Times New Roman"/>
                <w:sz w:val="18"/>
              </w:rPr>
              <w:t>697,788.00</w:t>
            </w:r>
          </w:p>
        </w:tc>
      </w:tr>
      <w:tr>
        <w:trPr>
          <w:trHeight w:val="320"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pacing w:val="-1"/>
                <w:sz w:val="18"/>
              </w:rPr>
              <w:t>29,826,102.98</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8"/>
                <w:szCs w:val="18"/>
              </w:rPr>
            </w:pPr>
            <w:r>
              <w:rPr>
                <w:rFonts w:ascii="Times New Roman"/>
                <w:spacing w:val="-1"/>
                <w:sz w:val="18"/>
              </w:rPr>
              <w:t>-64,453,019.19</w:t>
            </w:r>
          </w:p>
        </w:tc>
      </w:tr>
      <w:tr>
        <w:trPr>
          <w:trHeight w:val="319"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pacing w:val="-1"/>
                <w:sz w:val="18"/>
              </w:rPr>
              <w:t>6,316,110.85</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8"/>
                <w:szCs w:val="18"/>
              </w:rPr>
            </w:pPr>
            <w:r>
              <w:rPr>
                <w:rFonts w:ascii="Times New Roman"/>
                <w:spacing w:val="-1"/>
                <w:sz w:val="18"/>
              </w:rPr>
              <w:t>70,769,130.04</w:t>
            </w:r>
          </w:p>
        </w:tc>
      </w:tr>
      <w:tr>
        <w:trPr>
          <w:trHeight w:val="322" w:hRule="exact"/>
        </w:trPr>
        <w:tc>
          <w:tcPr>
            <w:tcW w:w="51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252"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pacing w:val="-1"/>
                <w:sz w:val="18"/>
              </w:rPr>
              <w:t>36,142,213.83</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8"/>
                <w:szCs w:val="18"/>
              </w:rPr>
            </w:pPr>
            <w:r>
              <w:rPr>
                <w:rFonts w:ascii="Times New Roman"/>
                <w:spacing w:val="-1"/>
                <w:sz w:val="18"/>
              </w:rPr>
              <w:t>6,316,110.85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tabs>
          <w:tab w:pos="3618" w:val="left" w:leader="none"/>
          <w:tab w:pos="7502" w:val="left" w:leader="none"/>
        </w:tabs>
        <w:spacing w:line="240" w:lineRule="auto"/>
        <w:ind w:left="154" w:right="155"/>
        <w:jc w:val="left"/>
      </w:pPr>
      <w:r>
        <w:rPr/>
        <w:t>法定代表人：陈泰泉</w:t>
        <w:tab/>
      </w:r>
      <w:r>
        <w:rPr>
          <w:spacing w:val="-1"/>
        </w:rPr>
        <w:t>主管会计工作负责人：钟民</w:t>
        <w:tab/>
        <w:t>会计机构负责人：钟民</w:t>
      </w:r>
    </w:p>
    <w:p>
      <w:pPr>
        <w:spacing w:after="0" w:line="240" w:lineRule="auto"/>
        <w:jc w:val="left"/>
        <w:sectPr>
          <w:pgSz w:w="11900" w:h="16840"/>
          <w:pgMar w:header="0" w:footer="982" w:top="1100" w:bottom="1180" w:left="980" w:right="1000"/>
        </w:sectPr>
      </w:pPr>
    </w:p>
    <w:p>
      <w:pPr>
        <w:pStyle w:val="Heading1"/>
        <w:spacing w:line="399" w:lineRule="exact"/>
        <w:ind w:left="6058" w:right="5942"/>
        <w:jc w:val="center"/>
      </w:pPr>
      <w:r>
        <w:rPr/>
        <w:t>合并所有者权益变动表</w:t>
      </w:r>
    </w:p>
    <w:p>
      <w:pPr>
        <w:pStyle w:val="BodyText"/>
        <w:spacing w:line="240" w:lineRule="auto" w:before="14"/>
        <w:ind w:left="6058" w:right="5942"/>
        <w:jc w:val="center"/>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w:t>
      </w:r>
    </w:p>
    <w:p>
      <w:pPr>
        <w:pStyle w:val="BodyText"/>
        <w:tabs>
          <w:tab w:pos="12286" w:val="left" w:leader="none"/>
        </w:tabs>
        <w:spacing w:line="240" w:lineRule="auto" w:before="70"/>
        <w:ind w:left="530" w:right="0"/>
        <w:jc w:val="left"/>
      </w:pPr>
      <w:r>
        <w:rPr/>
        <w:t>编制单位：</w:t>
      </w:r>
      <w:r>
        <w:rPr>
          <w:u w:val="single" w:color="000000"/>
        </w:rPr>
        <w:t>深圳市鸿基（集团）股份有限公司</w:t>
      </w:r>
      <w:r>
        <w:rPr/>
        <w:tab/>
        <w:t>单位：元</w:t>
      </w:r>
      <w:r>
        <w:rPr>
          <w:spacing w:val="-4"/>
        </w:rPr>
        <w:t> </w:t>
      </w:r>
      <w:r>
        <w:rPr/>
        <w:t>币种：人民币</w:t>
      </w:r>
    </w:p>
    <w:p>
      <w:pPr>
        <w:spacing w:line="240" w:lineRule="auto" w:before="5"/>
        <w:rPr>
          <w:rFonts w:ascii="宋体" w:hAnsi="宋体" w:cs="宋体" w:eastAsia="宋体" w:hint="default"/>
          <w:sz w:val="2"/>
          <w:szCs w:val="2"/>
        </w:rPr>
      </w:pPr>
    </w:p>
    <w:tbl>
      <w:tblPr>
        <w:tblW w:w="0" w:type="auto"/>
        <w:jc w:val="left"/>
        <w:tblInd w:w="228" w:type="dxa"/>
        <w:tblLayout w:type="fixed"/>
        <w:tblCellMar>
          <w:top w:w="0" w:type="dxa"/>
          <w:left w:w="0" w:type="dxa"/>
          <w:bottom w:w="0" w:type="dxa"/>
          <w:right w:w="0" w:type="dxa"/>
        </w:tblCellMar>
        <w:tblLook w:val="01E0"/>
      </w:tblPr>
      <w:tblGrid>
        <w:gridCol w:w="3704"/>
        <w:gridCol w:w="1842"/>
        <w:gridCol w:w="1358"/>
        <w:gridCol w:w="1190"/>
        <w:gridCol w:w="1427"/>
        <w:gridCol w:w="1548"/>
        <w:gridCol w:w="725"/>
        <w:gridCol w:w="1402"/>
        <w:gridCol w:w="1673"/>
      </w:tblGrid>
      <w:tr>
        <w:trPr>
          <w:trHeight w:val="280" w:hRule="exact"/>
        </w:trPr>
        <w:tc>
          <w:tcPr>
            <w:tcW w:w="3704" w:type="dxa"/>
            <w:vMerge w:val="restart"/>
            <w:tcBorders>
              <w:top w:val="single" w:sz="8" w:space="0" w:color="000000"/>
              <w:left w:val="nil" w:sz="6" w:space="0" w:color="auto"/>
              <w:right w:val="single" w:sz="8"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165" w:type="dxa"/>
            <w:gridSpan w:val="8"/>
            <w:tcBorders>
              <w:top w:val="single" w:sz="8" w:space="0" w:color="000000"/>
              <w:left w:val="single" w:sz="8" w:space="0" w:color="000000"/>
              <w:bottom w:val="single" w:sz="8" w:space="0" w:color="000000"/>
              <w:right w:val="nil" w:sz="6" w:space="0" w:color="auto"/>
            </w:tcBorders>
          </w:tcPr>
          <w:p>
            <w:pPr>
              <w:pStyle w:val="TableParagraph"/>
              <w:spacing w:line="233" w:lineRule="exact"/>
              <w:ind w:right="7"/>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280" w:hRule="exact"/>
        </w:trPr>
        <w:tc>
          <w:tcPr>
            <w:tcW w:w="3704" w:type="dxa"/>
            <w:vMerge/>
            <w:tcBorders>
              <w:left w:val="nil" w:sz="6" w:space="0" w:color="auto"/>
              <w:right w:val="single" w:sz="8" w:space="0" w:color="000000"/>
            </w:tcBorders>
          </w:tcPr>
          <w:p>
            <w:pPr/>
          </w:p>
        </w:tc>
        <w:tc>
          <w:tcPr>
            <w:tcW w:w="8090" w:type="dxa"/>
            <w:gridSpan w:val="6"/>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02" w:type="dxa"/>
            <w:vMerge w:val="restart"/>
            <w:tcBorders>
              <w:top w:val="single" w:sz="8" w:space="0" w:color="000000"/>
              <w:left w:val="single" w:sz="8" w:space="0" w:color="000000"/>
              <w:right w:val="single" w:sz="8" w:space="0" w:color="000000"/>
            </w:tcBorders>
          </w:tcPr>
          <w:p>
            <w:pPr>
              <w:pStyle w:val="TableParagraph"/>
              <w:spacing w:line="240" w:lineRule="auto" w:before="127"/>
              <w:ind w:left="15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73" w:type="dxa"/>
            <w:vMerge w:val="restart"/>
            <w:tcBorders>
              <w:top w:val="single" w:sz="8" w:space="0" w:color="000000"/>
              <w:left w:val="single" w:sz="8" w:space="0" w:color="000000"/>
              <w:right w:val="nil" w:sz="6" w:space="0" w:color="auto"/>
            </w:tcBorders>
          </w:tcPr>
          <w:p>
            <w:pPr>
              <w:pStyle w:val="TableParagraph"/>
              <w:spacing w:line="240" w:lineRule="auto" w:before="127"/>
              <w:ind w:left="19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81" w:hRule="exact"/>
        </w:trPr>
        <w:tc>
          <w:tcPr>
            <w:tcW w:w="3704" w:type="dxa"/>
            <w:vMerge/>
            <w:tcBorders>
              <w:left w:val="nil" w:sz="6" w:space="0" w:color="auto"/>
              <w:bottom w:val="single" w:sz="8" w:space="0" w:color="000000"/>
              <w:right w:val="single" w:sz="8" w:space="0" w:color="000000"/>
            </w:tcBorders>
          </w:tcPr>
          <w:p>
            <w:pP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100"/>
              <w:jc w:val="right"/>
              <w:rPr>
                <w:rFonts w:ascii="宋体" w:hAnsi="宋体" w:cs="宋体" w:eastAsia="宋体" w:hint="default"/>
                <w:sz w:val="18"/>
                <w:szCs w:val="18"/>
              </w:rPr>
            </w:pPr>
            <w:r>
              <w:rPr>
                <w:rFonts w:ascii="宋体" w:hAnsi="宋体" w:cs="宋体" w:eastAsia="宋体" w:hint="default"/>
                <w:sz w:val="18"/>
                <w:szCs w:val="18"/>
              </w:rPr>
              <w:t>实收资本（或股本）</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30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13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31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02" w:type="dxa"/>
            <w:vMerge/>
            <w:tcBorders>
              <w:left w:val="single" w:sz="8" w:space="0" w:color="000000"/>
              <w:bottom w:val="single" w:sz="8" w:space="0" w:color="000000"/>
              <w:right w:val="single" w:sz="8" w:space="0" w:color="000000"/>
            </w:tcBorders>
          </w:tcPr>
          <w:p>
            <w:pPr/>
          </w:p>
        </w:tc>
        <w:tc>
          <w:tcPr>
            <w:tcW w:w="1673" w:type="dxa"/>
            <w:vMerge/>
            <w:tcBorders>
              <w:left w:val="single" w:sz="8" w:space="0" w:color="000000"/>
              <w:bottom w:val="single" w:sz="8" w:space="0" w:color="000000"/>
              <w:right w:val="nil" w:sz="6" w:space="0" w:color="auto"/>
            </w:tcBorders>
          </w:tcPr>
          <w:p>
            <w:pPr/>
          </w:p>
        </w:tc>
      </w:tr>
      <w:tr>
        <w:trPr>
          <w:trHeight w:val="280" w:hRule="exact"/>
        </w:trPr>
        <w:tc>
          <w:tcPr>
            <w:tcW w:w="3704"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43"/>
              <w:jc w:val="right"/>
              <w:rPr>
                <w:rFonts w:ascii="Times New Roman" w:hAnsi="Times New Roman" w:cs="Times New Roman" w:eastAsia="Times New Roman" w:hint="default"/>
                <w:sz w:val="18"/>
                <w:szCs w:val="18"/>
              </w:rPr>
            </w:pPr>
            <w:r>
              <w:rPr>
                <w:rFonts w:ascii="Times New Roman"/>
                <w:spacing w:val="-1"/>
                <w:sz w:val="18"/>
              </w:rPr>
              <w:t>469,593,364.00</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13"/>
              <w:jc w:val="right"/>
              <w:rPr>
                <w:rFonts w:ascii="Times New Roman" w:hAnsi="Times New Roman" w:cs="Times New Roman" w:eastAsia="Times New Roman" w:hint="default"/>
                <w:sz w:val="18"/>
                <w:szCs w:val="18"/>
              </w:rPr>
            </w:pPr>
            <w:r>
              <w:rPr>
                <w:rFonts w:ascii="Times New Roman"/>
                <w:spacing w:val="-1"/>
                <w:sz w:val="18"/>
              </w:rPr>
              <w:t>485,468,348.31</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8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49" w:right="0"/>
              <w:jc w:val="left"/>
              <w:rPr>
                <w:rFonts w:ascii="Times New Roman" w:hAnsi="Times New Roman" w:cs="Times New Roman" w:eastAsia="Times New Roman" w:hint="default"/>
                <w:sz w:val="18"/>
                <w:szCs w:val="18"/>
              </w:rPr>
            </w:pPr>
            <w:r>
              <w:rPr>
                <w:rFonts w:ascii="Times New Roman"/>
                <w:sz w:val="18"/>
              </w:rPr>
              <w:t>212,430,339.50</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95"/>
              <w:jc w:val="right"/>
              <w:rPr>
                <w:rFonts w:ascii="Times New Roman" w:hAnsi="Times New Roman" w:cs="Times New Roman" w:eastAsia="Times New Roman" w:hint="default"/>
                <w:sz w:val="18"/>
                <w:szCs w:val="18"/>
              </w:rPr>
            </w:pPr>
            <w:r>
              <w:rPr>
                <w:rFonts w:ascii="Times New Roman"/>
                <w:spacing w:val="-1"/>
                <w:sz w:val="18"/>
              </w:rPr>
              <w:t>-343,040,963.43</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1" w:right="0"/>
              <w:jc w:val="center"/>
              <w:rPr>
                <w:rFonts w:ascii="Times New Roman" w:hAnsi="Times New Roman" w:cs="Times New Roman" w:eastAsia="Times New Roman" w:hint="default"/>
                <w:sz w:val="18"/>
                <w:szCs w:val="18"/>
              </w:rPr>
            </w:pPr>
            <w:r>
              <w:rPr>
                <w:rFonts w:ascii="Times New Roman"/>
                <w:sz w:val="18"/>
              </w:rPr>
              <w:t>-</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56"/>
              <w:jc w:val="right"/>
              <w:rPr>
                <w:rFonts w:ascii="Times New Roman" w:hAnsi="Times New Roman" w:cs="Times New Roman" w:eastAsia="Times New Roman" w:hint="default"/>
                <w:sz w:val="18"/>
                <w:szCs w:val="18"/>
              </w:rPr>
            </w:pPr>
            <w:r>
              <w:rPr>
                <w:rFonts w:ascii="Times New Roman"/>
                <w:spacing w:val="-1"/>
                <w:sz w:val="18"/>
              </w:rPr>
              <w:t>130,587,268.13</w:t>
            </w:r>
          </w:p>
        </w:tc>
        <w:tc>
          <w:tcPr>
            <w:tcW w:w="16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Times New Roman"/>
                <w:spacing w:val="-1"/>
                <w:sz w:val="18"/>
              </w:rPr>
              <w:t>955,038,356.51</w:t>
            </w:r>
          </w:p>
        </w:tc>
      </w:tr>
      <w:tr>
        <w:trPr>
          <w:trHeight w:val="280" w:hRule="exact"/>
        </w:trPr>
        <w:tc>
          <w:tcPr>
            <w:tcW w:w="3704"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8"/>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4"/>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8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26"/>
              <w:jc w:val="right"/>
              <w:rPr>
                <w:rFonts w:ascii="Times New Roman" w:hAnsi="Times New Roman" w:cs="Times New Roman" w:eastAsia="Times New Roman" w:hint="default"/>
                <w:sz w:val="18"/>
                <w:szCs w:val="18"/>
              </w:rPr>
            </w:pPr>
            <w:r>
              <w:rPr>
                <w:rFonts w:ascii="Times New Roman"/>
                <w:sz w:val="18"/>
              </w:rPr>
              <w:t>-</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1" w:right="0"/>
              <w:jc w:val="center"/>
              <w:rPr>
                <w:rFonts w:ascii="Times New Roman" w:hAnsi="Times New Roman" w:cs="Times New Roman" w:eastAsia="Times New Roman" w:hint="default"/>
                <w:sz w:val="18"/>
                <w:szCs w:val="18"/>
              </w:rPr>
            </w:pPr>
            <w:r>
              <w:rPr>
                <w:rFonts w:ascii="Times New Roman"/>
                <w:sz w:val="18"/>
              </w:rPr>
              <w:t>-</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95"/>
              <w:jc w:val="right"/>
              <w:rPr>
                <w:rFonts w:ascii="Times New Roman" w:hAnsi="Times New Roman" w:cs="Times New Roman" w:eastAsia="Times New Roman" w:hint="default"/>
                <w:sz w:val="18"/>
                <w:szCs w:val="18"/>
              </w:rPr>
            </w:pPr>
            <w:r>
              <w:rPr>
                <w:rFonts w:ascii="Times New Roman"/>
                <w:sz w:val="18"/>
              </w:rPr>
              <w:t>-</w:t>
            </w:r>
          </w:p>
        </w:tc>
        <w:tc>
          <w:tcPr>
            <w:tcW w:w="16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96"/>
              <w:jc w:val="right"/>
              <w:rPr>
                <w:rFonts w:ascii="Times New Roman" w:hAnsi="Times New Roman" w:cs="Times New Roman" w:eastAsia="Times New Roman" w:hint="default"/>
                <w:sz w:val="18"/>
                <w:szCs w:val="18"/>
              </w:rPr>
            </w:pPr>
            <w:r>
              <w:rPr>
                <w:rFonts w:ascii="Times New Roman"/>
                <w:sz w:val="18"/>
              </w:rPr>
              <w:t>-</w:t>
            </w:r>
          </w:p>
        </w:tc>
      </w:tr>
      <w:tr>
        <w:trPr>
          <w:trHeight w:val="281" w:hRule="exact"/>
        </w:trPr>
        <w:tc>
          <w:tcPr>
            <w:tcW w:w="3704"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48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8"/>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4"/>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8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26"/>
              <w:jc w:val="right"/>
              <w:rPr>
                <w:rFonts w:ascii="Times New Roman" w:hAnsi="Times New Roman" w:cs="Times New Roman" w:eastAsia="Times New Roman" w:hint="default"/>
                <w:sz w:val="18"/>
                <w:szCs w:val="18"/>
              </w:rPr>
            </w:pPr>
            <w:r>
              <w:rPr>
                <w:rFonts w:ascii="Times New Roman"/>
                <w:sz w:val="18"/>
              </w:rPr>
              <w:t>-</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1" w:right="0"/>
              <w:jc w:val="center"/>
              <w:rPr>
                <w:rFonts w:ascii="Times New Roman" w:hAnsi="Times New Roman" w:cs="Times New Roman" w:eastAsia="Times New Roman" w:hint="default"/>
                <w:sz w:val="18"/>
                <w:szCs w:val="18"/>
              </w:rPr>
            </w:pPr>
            <w:r>
              <w:rPr>
                <w:rFonts w:ascii="Times New Roman"/>
                <w:sz w:val="18"/>
              </w:rPr>
              <w:t>-</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95"/>
              <w:jc w:val="right"/>
              <w:rPr>
                <w:rFonts w:ascii="Times New Roman" w:hAnsi="Times New Roman" w:cs="Times New Roman" w:eastAsia="Times New Roman" w:hint="default"/>
                <w:sz w:val="18"/>
                <w:szCs w:val="18"/>
              </w:rPr>
            </w:pPr>
            <w:r>
              <w:rPr>
                <w:rFonts w:ascii="Times New Roman"/>
                <w:sz w:val="18"/>
              </w:rPr>
              <w:t>-</w:t>
            </w:r>
          </w:p>
        </w:tc>
        <w:tc>
          <w:tcPr>
            <w:tcW w:w="16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96"/>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3704"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8"/>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4"/>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8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26"/>
              <w:jc w:val="right"/>
              <w:rPr>
                <w:rFonts w:ascii="Times New Roman" w:hAnsi="Times New Roman" w:cs="Times New Roman" w:eastAsia="Times New Roman" w:hint="default"/>
                <w:sz w:val="18"/>
                <w:szCs w:val="18"/>
              </w:rPr>
            </w:pPr>
            <w:r>
              <w:rPr>
                <w:rFonts w:ascii="Times New Roman"/>
                <w:sz w:val="18"/>
              </w:rPr>
              <w:t>-</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1" w:right="0"/>
              <w:jc w:val="center"/>
              <w:rPr>
                <w:rFonts w:ascii="Times New Roman" w:hAnsi="Times New Roman" w:cs="Times New Roman" w:eastAsia="Times New Roman" w:hint="default"/>
                <w:sz w:val="18"/>
                <w:szCs w:val="18"/>
              </w:rPr>
            </w:pPr>
            <w:r>
              <w:rPr>
                <w:rFonts w:ascii="Times New Roman"/>
                <w:sz w:val="18"/>
              </w:rPr>
              <w:t>-</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95"/>
              <w:jc w:val="right"/>
              <w:rPr>
                <w:rFonts w:ascii="Times New Roman" w:hAnsi="Times New Roman" w:cs="Times New Roman" w:eastAsia="Times New Roman" w:hint="default"/>
                <w:sz w:val="18"/>
                <w:szCs w:val="18"/>
              </w:rPr>
            </w:pPr>
            <w:r>
              <w:rPr>
                <w:rFonts w:ascii="Times New Roman"/>
                <w:sz w:val="18"/>
              </w:rPr>
              <w:t>-</w:t>
            </w:r>
          </w:p>
        </w:tc>
        <w:tc>
          <w:tcPr>
            <w:tcW w:w="16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96"/>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3704"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43"/>
              <w:jc w:val="right"/>
              <w:rPr>
                <w:rFonts w:ascii="Times New Roman" w:hAnsi="Times New Roman" w:cs="Times New Roman" w:eastAsia="Times New Roman" w:hint="default"/>
                <w:sz w:val="18"/>
                <w:szCs w:val="18"/>
              </w:rPr>
            </w:pPr>
            <w:r>
              <w:rPr>
                <w:rFonts w:ascii="Times New Roman"/>
                <w:spacing w:val="-1"/>
                <w:sz w:val="18"/>
              </w:rPr>
              <w:t>469,593,364.00</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13"/>
              <w:jc w:val="right"/>
              <w:rPr>
                <w:rFonts w:ascii="Times New Roman" w:hAnsi="Times New Roman" w:cs="Times New Roman" w:eastAsia="Times New Roman" w:hint="default"/>
                <w:sz w:val="18"/>
                <w:szCs w:val="18"/>
              </w:rPr>
            </w:pPr>
            <w:r>
              <w:rPr>
                <w:rFonts w:ascii="Times New Roman"/>
                <w:spacing w:val="-1"/>
                <w:sz w:val="18"/>
              </w:rPr>
              <w:t>485,468,348.31</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8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49" w:right="0"/>
              <w:jc w:val="left"/>
              <w:rPr>
                <w:rFonts w:ascii="Times New Roman" w:hAnsi="Times New Roman" w:cs="Times New Roman" w:eastAsia="Times New Roman" w:hint="default"/>
                <w:sz w:val="18"/>
                <w:szCs w:val="18"/>
              </w:rPr>
            </w:pPr>
            <w:r>
              <w:rPr>
                <w:rFonts w:ascii="Times New Roman"/>
                <w:sz w:val="18"/>
              </w:rPr>
              <w:t>212,430,339.50</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95"/>
              <w:jc w:val="right"/>
              <w:rPr>
                <w:rFonts w:ascii="Times New Roman" w:hAnsi="Times New Roman" w:cs="Times New Roman" w:eastAsia="Times New Roman" w:hint="default"/>
                <w:sz w:val="18"/>
                <w:szCs w:val="18"/>
              </w:rPr>
            </w:pPr>
            <w:r>
              <w:rPr>
                <w:rFonts w:ascii="Times New Roman"/>
                <w:spacing w:val="-1"/>
                <w:sz w:val="18"/>
              </w:rPr>
              <w:t>-343,040,963.43</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1" w:right="0"/>
              <w:jc w:val="center"/>
              <w:rPr>
                <w:rFonts w:ascii="Times New Roman" w:hAnsi="Times New Roman" w:cs="Times New Roman" w:eastAsia="Times New Roman" w:hint="default"/>
                <w:sz w:val="18"/>
                <w:szCs w:val="18"/>
              </w:rPr>
            </w:pPr>
            <w:r>
              <w:rPr>
                <w:rFonts w:ascii="Times New Roman"/>
                <w:sz w:val="18"/>
              </w:rPr>
              <w:t>-</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56"/>
              <w:jc w:val="right"/>
              <w:rPr>
                <w:rFonts w:ascii="Times New Roman" w:hAnsi="Times New Roman" w:cs="Times New Roman" w:eastAsia="Times New Roman" w:hint="default"/>
                <w:sz w:val="18"/>
                <w:szCs w:val="18"/>
              </w:rPr>
            </w:pPr>
            <w:r>
              <w:rPr>
                <w:rFonts w:ascii="Times New Roman"/>
                <w:spacing w:val="-1"/>
                <w:sz w:val="18"/>
              </w:rPr>
              <w:t>130,587,268.13</w:t>
            </w:r>
          </w:p>
        </w:tc>
        <w:tc>
          <w:tcPr>
            <w:tcW w:w="16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Times New Roman"/>
                <w:spacing w:val="-1"/>
                <w:sz w:val="18"/>
              </w:rPr>
              <w:t>955,038,356.51</w:t>
            </w:r>
          </w:p>
        </w:tc>
      </w:tr>
      <w:tr>
        <w:trPr>
          <w:trHeight w:val="281" w:hRule="exact"/>
        </w:trPr>
        <w:tc>
          <w:tcPr>
            <w:tcW w:w="3704"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宋体" w:hAnsi="宋体" w:cs="宋体" w:eastAsia="宋体" w:hint="default"/>
                <w:spacing w:val="-1"/>
                <w:sz w:val="18"/>
                <w:szCs w:val="18"/>
              </w:rPr>
              <w:t>三、本期增减变动金额（减少以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8"/>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38"/>
              <w:jc w:val="right"/>
              <w:rPr>
                <w:rFonts w:ascii="Times New Roman" w:hAnsi="Times New Roman" w:cs="Times New Roman" w:eastAsia="Times New Roman" w:hint="default"/>
                <w:sz w:val="18"/>
                <w:szCs w:val="18"/>
              </w:rPr>
            </w:pPr>
            <w:r>
              <w:rPr>
                <w:rFonts w:ascii="Times New Roman"/>
                <w:spacing w:val="-1"/>
                <w:sz w:val="18"/>
              </w:rPr>
              <w:t>13,139,854.68</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8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96"/>
              <w:jc w:val="right"/>
              <w:rPr>
                <w:rFonts w:ascii="Times New Roman" w:hAnsi="Times New Roman" w:cs="Times New Roman" w:eastAsia="Times New Roman" w:hint="default"/>
                <w:sz w:val="18"/>
                <w:szCs w:val="18"/>
              </w:rPr>
            </w:pPr>
            <w:r>
              <w:rPr>
                <w:rFonts w:ascii="Times New Roman"/>
                <w:spacing w:val="-1"/>
                <w:sz w:val="18"/>
              </w:rPr>
              <w:t>64,356,382.89</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1" w:right="0"/>
              <w:jc w:val="center"/>
              <w:rPr>
                <w:rFonts w:ascii="Times New Roman" w:hAnsi="Times New Roman" w:cs="Times New Roman" w:eastAsia="Times New Roman" w:hint="default"/>
                <w:sz w:val="18"/>
                <w:szCs w:val="18"/>
              </w:rPr>
            </w:pPr>
            <w:r>
              <w:rPr>
                <w:rFonts w:ascii="Times New Roman"/>
                <w:sz w:val="18"/>
              </w:rPr>
              <w:t>-</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69"/>
              <w:jc w:val="right"/>
              <w:rPr>
                <w:rFonts w:ascii="Times New Roman" w:hAnsi="Times New Roman" w:cs="Times New Roman" w:eastAsia="Times New Roman" w:hint="default"/>
                <w:sz w:val="18"/>
                <w:szCs w:val="18"/>
              </w:rPr>
            </w:pPr>
            <w:r>
              <w:rPr>
                <w:rFonts w:ascii="Times New Roman"/>
                <w:spacing w:val="-1"/>
                <w:sz w:val="18"/>
              </w:rPr>
              <w:t>-16,201,314.94</w:t>
            </w:r>
          </w:p>
        </w:tc>
        <w:tc>
          <w:tcPr>
            <w:tcW w:w="16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71"/>
              <w:jc w:val="right"/>
              <w:rPr>
                <w:rFonts w:ascii="Times New Roman" w:hAnsi="Times New Roman" w:cs="Times New Roman" w:eastAsia="Times New Roman" w:hint="default"/>
                <w:sz w:val="18"/>
                <w:szCs w:val="18"/>
              </w:rPr>
            </w:pPr>
            <w:r>
              <w:rPr>
                <w:rFonts w:ascii="Times New Roman"/>
                <w:spacing w:val="-1"/>
                <w:sz w:val="18"/>
              </w:rPr>
              <w:t>61,294,922.63</w:t>
            </w:r>
          </w:p>
        </w:tc>
      </w:tr>
      <w:tr>
        <w:trPr>
          <w:trHeight w:val="280" w:hRule="exact"/>
        </w:trPr>
        <w:tc>
          <w:tcPr>
            <w:tcW w:w="3704"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8"/>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5"/>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79"/>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96"/>
              <w:jc w:val="right"/>
              <w:rPr>
                <w:rFonts w:ascii="Times New Roman" w:hAnsi="Times New Roman" w:cs="Times New Roman" w:eastAsia="Times New Roman" w:hint="default"/>
                <w:sz w:val="18"/>
                <w:szCs w:val="18"/>
              </w:rPr>
            </w:pPr>
            <w:r>
              <w:rPr>
                <w:rFonts w:ascii="Times New Roman"/>
                <w:spacing w:val="-1"/>
                <w:sz w:val="18"/>
              </w:rPr>
              <w:t>64,356,382.89</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1" w:right="0"/>
              <w:jc w:val="center"/>
              <w:rPr>
                <w:rFonts w:ascii="Times New Roman" w:hAnsi="Times New Roman" w:cs="Times New Roman" w:eastAsia="Times New Roman" w:hint="default"/>
                <w:sz w:val="18"/>
                <w:szCs w:val="18"/>
              </w:rPr>
            </w:pPr>
            <w:r>
              <w:rPr>
                <w:rFonts w:ascii="Times New Roman"/>
                <w:sz w:val="18"/>
              </w:rPr>
              <w:t>-</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71"/>
              <w:jc w:val="right"/>
              <w:rPr>
                <w:rFonts w:ascii="Times New Roman" w:hAnsi="Times New Roman" w:cs="Times New Roman" w:eastAsia="Times New Roman" w:hint="default"/>
                <w:sz w:val="18"/>
                <w:szCs w:val="18"/>
              </w:rPr>
            </w:pPr>
            <w:r>
              <w:rPr>
                <w:rFonts w:ascii="Times New Roman"/>
                <w:spacing w:val="-1"/>
                <w:sz w:val="18"/>
              </w:rPr>
              <w:t>-14,135,694.57</w:t>
            </w:r>
          </w:p>
        </w:tc>
        <w:tc>
          <w:tcPr>
            <w:tcW w:w="16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71"/>
              <w:jc w:val="right"/>
              <w:rPr>
                <w:rFonts w:ascii="Times New Roman" w:hAnsi="Times New Roman" w:cs="Times New Roman" w:eastAsia="Times New Roman" w:hint="default"/>
                <w:sz w:val="18"/>
                <w:szCs w:val="18"/>
              </w:rPr>
            </w:pPr>
            <w:r>
              <w:rPr>
                <w:rFonts w:ascii="Times New Roman"/>
                <w:spacing w:val="-1"/>
                <w:sz w:val="18"/>
              </w:rPr>
              <w:t>50,220,688.32</w:t>
            </w:r>
          </w:p>
        </w:tc>
      </w:tr>
      <w:tr>
        <w:trPr>
          <w:trHeight w:val="280" w:hRule="exact"/>
        </w:trPr>
        <w:tc>
          <w:tcPr>
            <w:tcW w:w="3704"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8"/>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38"/>
              <w:jc w:val="right"/>
              <w:rPr>
                <w:rFonts w:ascii="Times New Roman" w:hAnsi="Times New Roman" w:cs="Times New Roman" w:eastAsia="Times New Roman" w:hint="default"/>
                <w:sz w:val="18"/>
                <w:szCs w:val="18"/>
              </w:rPr>
            </w:pPr>
            <w:r>
              <w:rPr>
                <w:rFonts w:ascii="Times New Roman"/>
                <w:spacing w:val="-1"/>
                <w:sz w:val="18"/>
              </w:rPr>
              <w:t>13,139,854.68</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8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6"/>
              <w:jc w:val="right"/>
              <w:rPr>
                <w:rFonts w:ascii="Times New Roman" w:hAnsi="Times New Roman" w:cs="Times New Roman" w:eastAsia="Times New Roman" w:hint="default"/>
                <w:sz w:val="18"/>
                <w:szCs w:val="18"/>
              </w:rPr>
            </w:pPr>
            <w:r>
              <w:rPr>
                <w:rFonts w:ascii="Times New Roman"/>
                <w:sz w:val="18"/>
              </w:rPr>
              <w:t>-</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26"/>
              <w:jc w:val="right"/>
              <w:rPr>
                <w:rFonts w:ascii="Times New Roman" w:hAnsi="Times New Roman" w:cs="Times New Roman" w:eastAsia="Times New Roman" w:hint="default"/>
                <w:sz w:val="18"/>
                <w:szCs w:val="18"/>
              </w:rPr>
            </w:pPr>
            <w:r>
              <w:rPr>
                <w:rFonts w:ascii="Times New Roman"/>
                <w:sz w:val="18"/>
              </w:rPr>
              <w:t>-</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1" w:right="0"/>
              <w:jc w:val="center"/>
              <w:rPr>
                <w:rFonts w:ascii="Times New Roman" w:hAnsi="Times New Roman" w:cs="Times New Roman" w:eastAsia="Times New Roman" w:hint="default"/>
                <w:sz w:val="18"/>
                <w:szCs w:val="18"/>
              </w:rPr>
            </w:pPr>
            <w:r>
              <w:rPr>
                <w:rFonts w:ascii="Times New Roman"/>
                <w:sz w:val="18"/>
              </w:rPr>
              <w:t>-</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95"/>
              <w:jc w:val="right"/>
              <w:rPr>
                <w:rFonts w:ascii="Times New Roman" w:hAnsi="Times New Roman" w:cs="Times New Roman" w:eastAsia="Times New Roman" w:hint="default"/>
                <w:sz w:val="18"/>
                <w:szCs w:val="18"/>
              </w:rPr>
            </w:pPr>
            <w:r>
              <w:rPr>
                <w:rFonts w:ascii="Times New Roman"/>
                <w:sz w:val="18"/>
              </w:rPr>
              <w:t>-</w:t>
            </w:r>
          </w:p>
        </w:tc>
        <w:tc>
          <w:tcPr>
            <w:tcW w:w="16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71"/>
              <w:jc w:val="right"/>
              <w:rPr>
                <w:rFonts w:ascii="Times New Roman" w:hAnsi="Times New Roman" w:cs="Times New Roman" w:eastAsia="Times New Roman" w:hint="default"/>
                <w:sz w:val="18"/>
                <w:szCs w:val="18"/>
              </w:rPr>
            </w:pPr>
            <w:r>
              <w:rPr>
                <w:rFonts w:ascii="Times New Roman"/>
                <w:spacing w:val="-1"/>
                <w:sz w:val="18"/>
              </w:rPr>
              <w:t>13,139,854.68</w:t>
            </w:r>
          </w:p>
        </w:tc>
      </w:tr>
      <w:tr>
        <w:trPr>
          <w:trHeight w:val="281" w:hRule="exact"/>
        </w:trPr>
        <w:tc>
          <w:tcPr>
            <w:tcW w:w="3704"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8"/>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38"/>
              <w:jc w:val="right"/>
              <w:rPr>
                <w:rFonts w:ascii="Times New Roman" w:hAnsi="Times New Roman" w:cs="Times New Roman" w:eastAsia="Times New Roman" w:hint="default"/>
                <w:sz w:val="18"/>
                <w:szCs w:val="18"/>
              </w:rPr>
            </w:pPr>
            <w:r>
              <w:rPr>
                <w:rFonts w:ascii="Times New Roman"/>
                <w:spacing w:val="-1"/>
                <w:sz w:val="18"/>
              </w:rPr>
              <w:t>13,139,854.68</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8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96"/>
              <w:jc w:val="right"/>
              <w:rPr>
                <w:rFonts w:ascii="Times New Roman" w:hAnsi="Times New Roman" w:cs="Times New Roman" w:eastAsia="Times New Roman" w:hint="default"/>
                <w:sz w:val="18"/>
                <w:szCs w:val="18"/>
              </w:rPr>
            </w:pPr>
            <w:r>
              <w:rPr>
                <w:rFonts w:ascii="Times New Roman"/>
                <w:spacing w:val="-1"/>
                <w:sz w:val="18"/>
              </w:rPr>
              <w:t>64,356,382.89</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1" w:right="0"/>
              <w:jc w:val="center"/>
              <w:rPr>
                <w:rFonts w:ascii="Times New Roman" w:hAnsi="Times New Roman" w:cs="Times New Roman" w:eastAsia="Times New Roman" w:hint="default"/>
                <w:sz w:val="18"/>
                <w:szCs w:val="18"/>
              </w:rPr>
            </w:pPr>
            <w:r>
              <w:rPr>
                <w:rFonts w:ascii="Times New Roman"/>
                <w:sz w:val="18"/>
              </w:rPr>
              <w:t>-</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69"/>
              <w:jc w:val="right"/>
              <w:rPr>
                <w:rFonts w:ascii="Times New Roman" w:hAnsi="Times New Roman" w:cs="Times New Roman" w:eastAsia="Times New Roman" w:hint="default"/>
                <w:sz w:val="18"/>
                <w:szCs w:val="18"/>
              </w:rPr>
            </w:pPr>
            <w:r>
              <w:rPr>
                <w:rFonts w:ascii="Times New Roman"/>
                <w:spacing w:val="-1"/>
                <w:sz w:val="18"/>
              </w:rPr>
              <w:t>-14,135,694.57</w:t>
            </w:r>
          </w:p>
        </w:tc>
        <w:tc>
          <w:tcPr>
            <w:tcW w:w="16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71"/>
              <w:jc w:val="right"/>
              <w:rPr>
                <w:rFonts w:ascii="Times New Roman" w:hAnsi="Times New Roman" w:cs="Times New Roman" w:eastAsia="Times New Roman" w:hint="default"/>
                <w:sz w:val="18"/>
                <w:szCs w:val="18"/>
              </w:rPr>
            </w:pPr>
            <w:r>
              <w:rPr>
                <w:rFonts w:ascii="Times New Roman"/>
                <w:spacing w:val="-1"/>
                <w:sz w:val="18"/>
              </w:rPr>
              <w:t>63,360,543.00</w:t>
            </w:r>
          </w:p>
        </w:tc>
      </w:tr>
      <w:tr>
        <w:trPr>
          <w:trHeight w:val="280" w:hRule="exact"/>
        </w:trPr>
        <w:tc>
          <w:tcPr>
            <w:tcW w:w="3704"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8"/>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4"/>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8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26"/>
              <w:jc w:val="right"/>
              <w:rPr>
                <w:rFonts w:ascii="Times New Roman" w:hAnsi="Times New Roman" w:cs="Times New Roman" w:eastAsia="Times New Roman" w:hint="default"/>
                <w:sz w:val="18"/>
                <w:szCs w:val="18"/>
              </w:rPr>
            </w:pPr>
            <w:r>
              <w:rPr>
                <w:rFonts w:ascii="Times New Roman"/>
                <w:sz w:val="18"/>
              </w:rPr>
              <w:t>-</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1" w:right="0"/>
              <w:jc w:val="center"/>
              <w:rPr>
                <w:rFonts w:ascii="Times New Roman" w:hAnsi="Times New Roman" w:cs="Times New Roman" w:eastAsia="Times New Roman" w:hint="default"/>
                <w:sz w:val="18"/>
                <w:szCs w:val="18"/>
              </w:rPr>
            </w:pPr>
            <w:r>
              <w:rPr>
                <w:rFonts w:ascii="Times New Roman"/>
                <w:sz w:val="18"/>
              </w:rPr>
              <w:t>-</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95"/>
              <w:jc w:val="right"/>
              <w:rPr>
                <w:rFonts w:ascii="Times New Roman" w:hAnsi="Times New Roman" w:cs="Times New Roman" w:eastAsia="Times New Roman" w:hint="default"/>
                <w:sz w:val="18"/>
                <w:szCs w:val="18"/>
              </w:rPr>
            </w:pPr>
            <w:r>
              <w:rPr>
                <w:rFonts w:ascii="Times New Roman"/>
                <w:sz w:val="18"/>
              </w:rPr>
              <w:t>-</w:t>
            </w:r>
          </w:p>
        </w:tc>
        <w:tc>
          <w:tcPr>
            <w:tcW w:w="16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96"/>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3704"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8"/>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4"/>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8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26"/>
              <w:jc w:val="right"/>
              <w:rPr>
                <w:rFonts w:ascii="Times New Roman" w:hAnsi="Times New Roman" w:cs="Times New Roman" w:eastAsia="Times New Roman" w:hint="default"/>
                <w:sz w:val="18"/>
                <w:szCs w:val="18"/>
              </w:rPr>
            </w:pPr>
            <w:r>
              <w:rPr>
                <w:rFonts w:ascii="Times New Roman"/>
                <w:sz w:val="18"/>
              </w:rPr>
              <w:t>-</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1" w:right="0"/>
              <w:jc w:val="center"/>
              <w:rPr>
                <w:rFonts w:ascii="Times New Roman" w:hAnsi="Times New Roman" w:cs="Times New Roman" w:eastAsia="Times New Roman" w:hint="default"/>
                <w:sz w:val="18"/>
                <w:szCs w:val="18"/>
              </w:rPr>
            </w:pPr>
            <w:r>
              <w:rPr>
                <w:rFonts w:ascii="Times New Roman"/>
                <w:sz w:val="18"/>
              </w:rPr>
              <w:t>-</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95"/>
              <w:jc w:val="right"/>
              <w:rPr>
                <w:rFonts w:ascii="Times New Roman" w:hAnsi="Times New Roman" w:cs="Times New Roman" w:eastAsia="Times New Roman" w:hint="default"/>
                <w:sz w:val="18"/>
                <w:szCs w:val="18"/>
              </w:rPr>
            </w:pPr>
            <w:r>
              <w:rPr>
                <w:rFonts w:ascii="Times New Roman"/>
                <w:sz w:val="18"/>
              </w:rPr>
              <w:t>-</w:t>
            </w:r>
          </w:p>
        </w:tc>
        <w:tc>
          <w:tcPr>
            <w:tcW w:w="16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96"/>
              <w:jc w:val="right"/>
              <w:rPr>
                <w:rFonts w:ascii="Times New Roman" w:hAnsi="Times New Roman" w:cs="Times New Roman" w:eastAsia="Times New Roman" w:hint="default"/>
                <w:sz w:val="18"/>
                <w:szCs w:val="18"/>
              </w:rPr>
            </w:pPr>
            <w:r>
              <w:rPr>
                <w:rFonts w:ascii="Times New Roman"/>
                <w:sz w:val="18"/>
              </w:rPr>
              <w:t>-</w:t>
            </w:r>
          </w:p>
        </w:tc>
      </w:tr>
      <w:tr>
        <w:trPr>
          <w:trHeight w:val="281" w:hRule="exact"/>
        </w:trPr>
        <w:tc>
          <w:tcPr>
            <w:tcW w:w="3704"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8"/>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4"/>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8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26"/>
              <w:jc w:val="right"/>
              <w:rPr>
                <w:rFonts w:ascii="Times New Roman" w:hAnsi="Times New Roman" w:cs="Times New Roman" w:eastAsia="Times New Roman" w:hint="default"/>
                <w:sz w:val="18"/>
                <w:szCs w:val="18"/>
              </w:rPr>
            </w:pPr>
            <w:r>
              <w:rPr>
                <w:rFonts w:ascii="Times New Roman"/>
                <w:sz w:val="18"/>
              </w:rPr>
              <w:t>-</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1" w:right="0"/>
              <w:jc w:val="center"/>
              <w:rPr>
                <w:rFonts w:ascii="Times New Roman" w:hAnsi="Times New Roman" w:cs="Times New Roman" w:eastAsia="Times New Roman" w:hint="default"/>
                <w:sz w:val="18"/>
                <w:szCs w:val="18"/>
              </w:rPr>
            </w:pPr>
            <w:r>
              <w:rPr>
                <w:rFonts w:ascii="Times New Roman"/>
                <w:sz w:val="18"/>
              </w:rPr>
              <w:t>-</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95"/>
              <w:jc w:val="right"/>
              <w:rPr>
                <w:rFonts w:ascii="Times New Roman" w:hAnsi="Times New Roman" w:cs="Times New Roman" w:eastAsia="Times New Roman" w:hint="default"/>
                <w:sz w:val="18"/>
                <w:szCs w:val="18"/>
              </w:rPr>
            </w:pPr>
            <w:r>
              <w:rPr>
                <w:rFonts w:ascii="Times New Roman"/>
                <w:sz w:val="18"/>
              </w:rPr>
              <w:t>-</w:t>
            </w:r>
          </w:p>
        </w:tc>
        <w:tc>
          <w:tcPr>
            <w:tcW w:w="16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96"/>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3704"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8"/>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4"/>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8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26"/>
              <w:jc w:val="right"/>
              <w:rPr>
                <w:rFonts w:ascii="Times New Roman" w:hAnsi="Times New Roman" w:cs="Times New Roman" w:eastAsia="Times New Roman" w:hint="default"/>
                <w:sz w:val="18"/>
                <w:szCs w:val="18"/>
              </w:rPr>
            </w:pPr>
            <w:r>
              <w:rPr>
                <w:rFonts w:ascii="Times New Roman"/>
                <w:sz w:val="18"/>
              </w:rPr>
              <w:t>-</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1" w:right="0"/>
              <w:jc w:val="center"/>
              <w:rPr>
                <w:rFonts w:ascii="Times New Roman" w:hAnsi="Times New Roman" w:cs="Times New Roman" w:eastAsia="Times New Roman" w:hint="default"/>
                <w:sz w:val="18"/>
                <w:szCs w:val="18"/>
              </w:rPr>
            </w:pPr>
            <w:r>
              <w:rPr>
                <w:rFonts w:ascii="Times New Roman"/>
                <w:sz w:val="18"/>
              </w:rPr>
              <w:t>-</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95"/>
              <w:jc w:val="right"/>
              <w:rPr>
                <w:rFonts w:ascii="Times New Roman" w:hAnsi="Times New Roman" w:cs="Times New Roman" w:eastAsia="Times New Roman" w:hint="default"/>
                <w:sz w:val="18"/>
                <w:szCs w:val="18"/>
              </w:rPr>
            </w:pPr>
            <w:r>
              <w:rPr>
                <w:rFonts w:ascii="Times New Roman"/>
                <w:sz w:val="18"/>
              </w:rPr>
              <w:t>-</w:t>
            </w:r>
          </w:p>
        </w:tc>
        <w:tc>
          <w:tcPr>
            <w:tcW w:w="16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96"/>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3704"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8"/>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4"/>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79"/>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25"/>
              <w:jc w:val="right"/>
              <w:rPr>
                <w:rFonts w:ascii="Times New Roman" w:hAnsi="Times New Roman" w:cs="Times New Roman" w:eastAsia="Times New Roman" w:hint="default"/>
                <w:sz w:val="18"/>
                <w:szCs w:val="18"/>
              </w:rPr>
            </w:pPr>
            <w:r>
              <w:rPr>
                <w:rFonts w:ascii="Times New Roman"/>
                <w:sz w:val="18"/>
              </w:rPr>
              <w:t>-</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2" w:right="0"/>
              <w:jc w:val="center"/>
              <w:rPr>
                <w:rFonts w:ascii="Times New Roman" w:hAnsi="Times New Roman" w:cs="Times New Roman" w:eastAsia="Times New Roman" w:hint="default"/>
                <w:sz w:val="18"/>
                <w:szCs w:val="18"/>
              </w:rPr>
            </w:pPr>
            <w:r>
              <w:rPr>
                <w:rFonts w:ascii="Times New Roman"/>
                <w:sz w:val="18"/>
              </w:rPr>
              <w:t>-</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69"/>
              <w:jc w:val="right"/>
              <w:rPr>
                <w:rFonts w:ascii="Times New Roman" w:hAnsi="Times New Roman" w:cs="Times New Roman" w:eastAsia="Times New Roman" w:hint="default"/>
                <w:sz w:val="18"/>
                <w:szCs w:val="18"/>
              </w:rPr>
            </w:pPr>
            <w:r>
              <w:rPr>
                <w:rFonts w:ascii="Times New Roman"/>
                <w:spacing w:val="-1"/>
                <w:sz w:val="18"/>
              </w:rPr>
              <w:t>-2,065,620.37</w:t>
            </w:r>
          </w:p>
        </w:tc>
        <w:tc>
          <w:tcPr>
            <w:tcW w:w="16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71"/>
              <w:jc w:val="right"/>
              <w:rPr>
                <w:rFonts w:ascii="Times New Roman" w:hAnsi="Times New Roman" w:cs="Times New Roman" w:eastAsia="Times New Roman" w:hint="default"/>
                <w:sz w:val="18"/>
                <w:szCs w:val="18"/>
              </w:rPr>
            </w:pPr>
            <w:r>
              <w:rPr>
                <w:rFonts w:ascii="Times New Roman"/>
                <w:spacing w:val="-1"/>
                <w:sz w:val="18"/>
              </w:rPr>
              <w:t>-2,065,620.37</w:t>
            </w:r>
          </w:p>
        </w:tc>
      </w:tr>
      <w:tr>
        <w:trPr>
          <w:trHeight w:val="281" w:hRule="exact"/>
        </w:trPr>
        <w:tc>
          <w:tcPr>
            <w:tcW w:w="3704"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8"/>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4"/>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8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26"/>
              <w:jc w:val="right"/>
              <w:rPr>
                <w:rFonts w:ascii="Times New Roman" w:hAnsi="Times New Roman" w:cs="Times New Roman" w:eastAsia="Times New Roman" w:hint="default"/>
                <w:sz w:val="18"/>
                <w:szCs w:val="18"/>
              </w:rPr>
            </w:pPr>
            <w:r>
              <w:rPr>
                <w:rFonts w:ascii="Times New Roman"/>
                <w:sz w:val="18"/>
              </w:rPr>
              <w:t>-</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1" w:right="0"/>
              <w:jc w:val="center"/>
              <w:rPr>
                <w:rFonts w:ascii="Times New Roman" w:hAnsi="Times New Roman" w:cs="Times New Roman" w:eastAsia="Times New Roman" w:hint="default"/>
                <w:sz w:val="18"/>
                <w:szCs w:val="18"/>
              </w:rPr>
            </w:pPr>
            <w:r>
              <w:rPr>
                <w:rFonts w:ascii="Times New Roman"/>
                <w:sz w:val="18"/>
              </w:rPr>
              <w:t>-</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95"/>
              <w:jc w:val="right"/>
              <w:rPr>
                <w:rFonts w:ascii="Times New Roman" w:hAnsi="Times New Roman" w:cs="Times New Roman" w:eastAsia="Times New Roman" w:hint="default"/>
                <w:sz w:val="18"/>
                <w:szCs w:val="18"/>
              </w:rPr>
            </w:pPr>
            <w:r>
              <w:rPr>
                <w:rFonts w:ascii="Times New Roman"/>
                <w:sz w:val="18"/>
              </w:rPr>
              <w:t>-</w:t>
            </w:r>
          </w:p>
        </w:tc>
        <w:tc>
          <w:tcPr>
            <w:tcW w:w="16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96"/>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3704"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8"/>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4"/>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8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26"/>
              <w:jc w:val="right"/>
              <w:rPr>
                <w:rFonts w:ascii="Times New Roman" w:hAnsi="Times New Roman" w:cs="Times New Roman" w:eastAsia="Times New Roman" w:hint="default"/>
                <w:sz w:val="18"/>
                <w:szCs w:val="18"/>
              </w:rPr>
            </w:pPr>
            <w:r>
              <w:rPr>
                <w:rFonts w:ascii="Times New Roman"/>
                <w:sz w:val="18"/>
              </w:rPr>
              <w:t>-</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1" w:right="0"/>
              <w:jc w:val="center"/>
              <w:rPr>
                <w:rFonts w:ascii="Times New Roman" w:hAnsi="Times New Roman" w:cs="Times New Roman" w:eastAsia="Times New Roman" w:hint="default"/>
                <w:sz w:val="18"/>
                <w:szCs w:val="18"/>
              </w:rPr>
            </w:pPr>
            <w:r>
              <w:rPr>
                <w:rFonts w:ascii="Times New Roman"/>
                <w:sz w:val="18"/>
              </w:rPr>
              <w:t>-</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95"/>
              <w:jc w:val="right"/>
              <w:rPr>
                <w:rFonts w:ascii="Times New Roman" w:hAnsi="Times New Roman" w:cs="Times New Roman" w:eastAsia="Times New Roman" w:hint="default"/>
                <w:sz w:val="18"/>
                <w:szCs w:val="18"/>
              </w:rPr>
            </w:pPr>
            <w:r>
              <w:rPr>
                <w:rFonts w:ascii="Times New Roman"/>
                <w:sz w:val="18"/>
              </w:rPr>
              <w:t>-</w:t>
            </w:r>
          </w:p>
        </w:tc>
        <w:tc>
          <w:tcPr>
            <w:tcW w:w="16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96"/>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3704"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8"/>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4"/>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79"/>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25"/>
              <w:jc w:val="right"/>
              <w:rPr>
                <w:rFonts w:ascii="Times New Roman" w:hAnsi="Times New Roman" w:cs="Times New Roman" w:eastAsia="Times New Roman" w:hint="default"/>
                <w:sz w:val="18"/>
                <w:szCs w:val="18"/>
              </w:rPr>
            </w:pPr>
            <w:r>
              <w:rPr>
                <w:rFonts w:ascii="Times New Roman"/>
                <w:sz w:val="18"/>
              </w:rPr>
              <w:t>-</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2" w:right="0"/>
              <w:jc w:val="center"/>
              <w:rPr>
                <w:rFonts w:ascii="Times New Roman" w:hAnsi="Times New Roman" w:cs="Times New Roman" w:eastAsia="Times New Roman" w:hint="default"/>
                <w:sz w:val="18"/>
                <w:szCs w:val="18"/>
              </w:rPr>
            </w:pPr>
            <w:r>
              <w:rPr>
                <w:rFonts w:ascii="Times New Roman"/>
                <w:sz w:val="18"/>
              </w:rPr>
              <w:t>-</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69"/>
              <w:jc w:val="right"/>
              <w:rPr>
                <w:rFonts w:ascii="Times New Roman" w:hAnsi="Times New Roman" w:cs="Times New Roman" w:eastAsia="Times New Roman" w:hint="default"/>
                <w:sz w:val="18"/>
                <w:szCs w:val="18"/>
              </w:rPr>
            </w:pPr>
            <w:r>
              <w:rPr>
                <w:rFonts w:ascii="Times New Roman"/>
                <w:spacing w:val="-1"/>
                <w:sz w:val="18"/>
              </w:rPr>
              <w:t>-2,065,620.37</w:t>
            </w:r>
          </w:p>
        </w:tc>
        <w:tc>
          <w:tcPr>
            <w:tcW w:w="16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71"/>
              <w:jc w:val="right"/>
              <w:rPr>
                <w:rFonts w:ascii="Times New Roman" w:hAnsi="Times New Roman" w:cs="Times New Roman" w:eastAsia="Times New Roman" w:hint="default"/>
                <w:sz w:val="18"/>
                <w:szCs w:val="18"/>
              </w:rPr>
            </w:pPr>
            <w:r>
              <w:rPr>
                <w:rFonts w:ascii="Times New Roman"/>
                <w:spacing w:val="-1"/>
                <w:sz w:val="18"/>
              </w:rPr>
              <w:t>-2,065,620.37</w:t>
            </w:r>
          </w:p>
        </w:tc>
      </w:tr>
      <w:tr>
        <w:trPr>
          <w:trHeight w:val="281" w:hRule="exact"/>
        </w:trPr>
        <w:tc>
          <w:tcPr>
            <w:tcW w:w="3704"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8"/>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4"/>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8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26"/>
              <w:jc w:val="right"/>
              <w:rPr>
                <w:rFonts w:ascii="Times New Roman" w:hAnsi="Times New Roman" w:cs="Times New Roman" w:eastAsia="Times New Roman" w:hint="default"/>
                <w:sz w:val="18"/>
                <w:szCs w:val="18"/>
              </w:rPr>
            </w:pPr>
            <w:r>
              <w:rPr>
                <w:rFonts w:ascii="Times New Roman"/>
                <w:sz w:val="18"/>
              </w:rPr>
              <w:t>-</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1" w:right="0"/>
              <w:jc w:val="center"/>
              <w:rPr>
                <w:rFonts w:ascii="Times New Roman" w:hAnsi="Times New Roman" w:cs="Times New Roman" w:eastAsia="Times New Roman" w:hint="default"/>
                <w:sz w:val="18"/>
                <w:szCs w:val="18"/>
              </w:rPr>
            </w:pPr>
            <w:r>
              <w:rPr>
                <w:rFonts w:ascii="Times New Roman"/>
                <w:sz w:val="18"/>
              </w:rPr>
              <w:t>-</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95"/>
              <w:jc w:val="right"/>
              <w:rPr>
                <w:rFonts w:ascii="Times New Roman" w:hAnsi="Times New Roman" w:cs="Times New Roman" w:eastAsia="Times New Roman" w:hint="default"/>
                <w:sz w:val="18"/>
                <w:szCs w:val="18"/>
              </w:rPr>
            </w:pPr>
            <w:r>
              <w:rPr>
                <w:rFonts w:ascii="Times New Roman"/>
                <w:sz w:val="18"/>
              </w:rPr>
              <w:t>-</w:t>
            </w:r>
          </w:p>
        </w:tc>
        <w:tc>
          <w:tcPr>
            <w:tcW w:w="16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96"/>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3704"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8"/>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4"/>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8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26"/>
              <w:jc w:val="right"/>
              <w:rPr>
                <w:rFonts w:ascii="Times New Roman" w:hAnsi="Times New Roman" w:cs="Times New Roman" w:eastAsia="Times New Roman" w:hint="default"/>
                <w:sz w:val="18"/>
                <w:szCs w:val="18"/>
              </w:rPr>
            </w:pPr>
            <w:r>
              <w:rPr>
                <w:rFonts w:ascii="Times New Roman"/>
                <w:sz w:val="18"/>
              </w:rPr>
              <w:t>-</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1" w:right="0"/>
              <w:jc w:val="center"/>
              <w:rPr>
                <w:rFonts w:ascii="Times New Roman" w:hAnsi="Times New Roman" w:cs="Times New Roman" w:eastAsia="Times New Roman" w:hint="default"/>
                <w:sz w:val="18"/>
                <w:szCs w:val="18"/>
              </w:rPr>
            </w:pPr>
            <w:r>
              <w:rPr>
                <w:rFonts w:ascii="Times New Roman"/>
                <w:sz w:val="18"/>
              </w:rPr>
              <w:t>-</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95"/>
              <w:jc w:val="right"/>
              <w:rPr>
                <w:rFonts w:ascii="Times New Roman" w:hAnsi="Times New Roman" w:cs="Times New Roman" w:eastAsia="Times New Roman" w:hint="default"/>
                <w:sz w:val="18"/>
                <w:szCs w:val="18"/>
              </w:rPr>
            </w:pPr>
            <w:r>
              <w:rPr>
                <w:rFonts w:ascii="Times New Roman"/>
                <w:sz w:val="18"/>
              </w:rPr>
              <w:t>-</w:t>
            </w:r>
          </w:p>
        </w:tc>
        <w:tc>
          <w:tcPr>
            <w:tcW w:w="16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96"/>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3704"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8"/>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4"/>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8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26"/>
              <w:jc w:val="right"/>
              <w:rPr>
                <w:rFonts w:ascii="Times New Roman" w:hAnsi="Times New Roman" w:cs="Times New Roman" w:eastAsia="Times New Roman" w:hint="default"/>
                <w:sz w:val="18"/>
                <w:szCs w:val="18"/>
              </w:rPr>
            </w:pPr>
            <w:r>
              <w:rPr>
                <w:rFonts w:ascii="Times New Roman"/>
                <w:sz w:val="18"/>
              </w:rPr>
              <w:t>-</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1" w:right="0"/>
              <w:jc w:val="center"/>
              <w:rPr>
                <w:rFonts w:ascii="Times New Roman" w:hAnsi="Times New Roman" w:cs="Times New Roman" w:eastAsia="Times New Roman" w:hint="default"/>
                <w:sz w:val="18"/>
                <w:szCs w:val="18"/>
              </w:rPr>
            </w:pPr>
            <w:r>
              <w:rPr>
                <w:rFonts w:ascii="Times New Roman"/>
                <w:sz w:val="18"/>
              </w:rPr>
              <w:t>-</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95"/>
              <w:jc w:val="right"/>
              <w:rPr>
                <w:rFonts w:ascii="Times New Roman" w:hAnsi="Times New Roman" w:cs="Times New Roman" w:eastAsia="Times New Roman" w:hint="default"/>
                <w:sz w:val="18"/>
                <w:szCs w:val="18"/>
              </w:rPr>
            </w:pPr>
            <w:r>
              <w:rPr>
                <w:rFonts w:ascii="Times New Roman"/>
                <w:sz w:val="18"/>
              </w:rPr>
              <w:t>-</w:t>
            </w:r>
          </w:p>
        </w:tc>
        <w:tc>
          <w:tcPr>
            <w:tcW w:w="16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96"/>
              <w:jc w:val="right"/>
              <w:rPr>
                <w:rFonts w:ascii="Times New Roman" w:hAnsi="Times New Roman" w:cs="Times New Roman" w:eastAsia="Times New Roman" w:hint="default"/>
                <w:sz w:val="18"/>
                <w:szCs w:val="18"/>
              </w:rPr>
            </w:pPr>
            <w:r>
              <w:rPr>
                <w:rFonts w:ascii="Times New Roman"/>
                <w:sz w:val="18"/>
              </w:rPr>
              <w:t>-</w:t>
            </w:r>
          </w:p>
        </w:tc>
      </w:tr>
      <w:tr>
        <w:trPr>
          <w:trHeight w:val="281" w:hRule="exact"/>
        </w:trPr>
        <w:tc>
          <w:tcPr>
            <w:tcW w:w="3704"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8"/>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4"/>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8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26"/>
              <w:jc w:val="right"/>
              <w:rPr>
                <w:rFonts w:ascii="Times New Roman" w:hAnsi="Times New Roman" w:cs="Times New Roman" w:eastAsia="Times New Roman" w:hint="default"/>
                <w:sz w:val="18"/>
                <w:szCs w:val="18"/>
              </w:rPr>
            </w:pPr>
            <w:r>
              <w:rPr>
                <w:rFonts w:ascii="Times New Roman"/>
                <w:sz w:val="18"/>
              </w:rPr>
              <w:t>-</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1" w:right="0"/>
              <w:jc w:val="center"/>
              <w:rPr>
                <w:rFonts w:ascii="Times New Roman" w:hAnsi="Times New Roman" w:cs="Times New Roman" w:eastAsia="Times New Roman" w:hint="default"/>
                <w:sz w:val="18"/>
                <w:szCs w:val="18"/>
              </w:rPr>
            </w:pPr>
            <w:r>
              <w:rPr>
                <w:rFonts w:ascii="Times New Roman"/>
                <w:sz w:val="18"/>
              </w:rPr>
              <w:t>-</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95"/>
              <w:jc w:val="right"/>
              <w:rPr>
                <w:rFonts w:ascii="Times New Roman" w:hAnsi="Times New Roman" w:cs="Times New Roman" w:eastAsia="Times New Roman" w:hint="default"/>
                <w:sz w:val="18"/>
                <w:szCs w:val="18"/>
              </w:rPr>
            </w:pPr>
            <w:r>
              <w:rPr>
                <w:rFonts w:ascii="Times New Roman"/>
                <w:sz w:val="18"/>
              </w:rPr>
              <w:t>-</w:t>
            </w:r>
          </w:p>
        </w:tc>
        <w:tc>
          <w:tcPr>
            <w:tcW w:w="16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96"/>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3704"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8"/>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4"/>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8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26"/>
              <w:jc w:val="right"/>
              <w:rPr>
                <w:rFonts w:ascii="Times New Roman" w:hAnsi="Times New Roman" w:cs="Times New Roman" w:eastAsia="Times New Roman" w:hint="default"/>
                <w:sz w:val="18"/>
                <w:szCs w:val="18"/>
              </w:rPr>
            </w:pPr>
            <w:r>
              <w:rPr>
                <w:rFonts w:ascii="Times New Roman"/>
                <w:sz w:val="18"/>
              </w:rPr>
              <w:t>-</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1" w:right="0"/>
              <w:jc w:val="center"/>
              <w:rPr>
                <w:rFonts w:ascii="Times New Roman" w:hAnsi="Times New Roman" w:cs="Times New Roman" w:eastAsia="Times New Roman" w:hint="default"/>
                <w:sz w:val="18"/>
                <w:szCs w:val="18"/>
              </w:rPr>
            </w:pPr>
            <w:r>
              <w:rPr>
                <w:rFonts w:ascii="Times New Roman"/>
                <w:sz w:val="18"/>
              </w:rPr>
              <w:t>-</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95"/>
              <w:jc w:val="right"/>
              <w:rPr>
                <w:rFonts w:ascii="Times New Roman" w:hAnsi="Times New Roman" w:cs="Times New Roman" w:eastAsia="Times New Roman" w:hint="default"/>
                <w:sz w:val="18"/>
                <w:szCs w:val="18"/>
              </w:rPr>
            </w:pPr>
            <w:r>
              <w:rPr>
                <w:rFonts w:ascii="Times New Roman"/>
                <w:sz w:val="18"/>
              </w:rPr>
              <w:t>-</w:t>
            </w:r>
          </w:p>
        </w:tc>
        <w:tc>
          <w:tcPr>
            <w:tcW w:w="16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96"/>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3704"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8"/>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4"/>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8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26"/>
              <w:jc w:val="right"/>
              <w:rPr>
                <w:rFonts w:ascii="Times New Roman" w:hAnsi="Times New Roman" w:cs="Times New Roman" w:eastAsia="Times New Roman" w:hint="default"/>
                <w:sz w:val="18"/>
                <w:szCs w:val="18"/>
              </w:rPr>
            </w:pPr>
            <w:r>
              <w:rPr>
                <w:rFonts w:ascii="Times New Roman"/>
                <w:sz w:val="18"/>
              </w:rPr>
              <w:t>-</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1" w:right="0"/>
              <w:jc w:val="center"/>
              <w:rPr>
                <w:rFonts w:ascii="Times New Roman" w:hAnsi="Times New Roman" w:cs="Times New Roman" w:eastAsia="Times New Roman" w:hint="default"/>
                <w:sz w:val="18"/>
                <w:szCs w:val="18"/>
              </w:rPr>
            </w:pPr>
            <w:r>
              <w:rPr>
                <w:rFonts w:ascii="Times New Roman"/>
                <w:sz w:val="18"/>
              </w:rPr>
              <w:t>-</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95"/>
              <w:jc w:val="right"/>
              <w:rPr>
                <w:rFonts w:ascii="Times New Roman" w:hAnsi="Times New Roman" w:cs="Times New Roman" w:eastAsia="Times New Roman" w:hint="default"/>
                <w:sz w:val="18"/>
                <w:szCs w:val="18"/>
              </w:rPr>
            </w:pPr>
            <w:r>
              <w:rPr>
                <w:rFonts w:ascii="Times New Roman"/>
                <w:sz w:val="18"/>
              </w:rPr>
              <w:t>-</w:t>
            </w:r>
          </w:p>
        </w:tc>
        <w:tc>
          <w:tcPr>
            <w:tcW w:w="16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96"/>
              <w:jc w:val="right"/>
              <w:rPr>
                <w:rFonts w:ascii="Times New Roman" w:hAnsi="Times New Roman" w:cs="Times New Roman" w:eastAsia="Times New Roman" w:hint="default"/>
                <w:sz w:val="18"/>
                <w:szCs w:val="18"/>
              </w:rPr>
            </w:pPr>
            <w:r>
              <w:rPr>
                <w:rFonts w:ascii="Times New Roman"/>
                <w:sz w:val="18"/>
              </w:rPr>
              <w:t>-</w:t>
            </w:r>
          </w:p>
        </w:tc>
      </w:tr>
      <w:tr>
        <w:trPr>
          <w:trHeight w:val="281" w:hRule="exact"/>
        </w:trPr>
        <w:tc>
          <w:tcPr>
            <w:tcW w:w="3704"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43"/>
              <w:jc w:val="right"/>
              <w:rPr>
                <w:rFonts w:ascii="Times New Roman" w:hAnsi="Times New Roman" w:cs="Times New Roman" w:eastAsia="Times New Roman" w:hint="default"/>
                <w:sz w:val="18"/>
                <w:szCs w:val="18"/>
              </w:rPr>
            </w:pPr>
            <w:r>
              <w:rPr>
                <w:rFonts w:ascii="Times New Roman"/>
                <w:spacing w:val="-1"/>
                <w:sz w:val="18"/>
              </w:rPr>
              <w:t>469,593,364.00</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13"/>
              <w:jc w:val="right"/>
              <w:rPr>
                <w:rFonts w:ascii="Times New Roman" w:hAnsi="Times New Roman" w:cs="Times New Roman" w:eastAsia="Times New Roman" w:hint="default"/>
                <w:sz w:val="18"/>
                <w:szCs w:val="18"/>
              </w:rPr>
            </w:pPr>
            <w:r>
              <w:rPr>
                <w:rFonts w:ascii="Times New Roman"/>
                <w:spacing w:val="-1"/>
                <w:sz w:val="18"/>
              </w:rPr>
              <w:t>498,608,202.99</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8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49" w:right="0"/>
              <w:jc w:val="left"/>
              <w:rPr>
                <w:rFonts w:ascii="Times New Roman" w:hAnsi="Times New Roman" w:cs="Times New Roman" w:eastAsia="Times New Roman" w:hint="default"/>
                <w:sz w:val="18"/>
                <w:szCs w:val="18"/>
              </w:rPr>
            </w:pPr>
            <w:r>
              <w:rPr>
                <w:rFonts w:ascii="Times New Roman"/>
                <w:sz w:val="18"/>
              </w:rPr>
              <w:t>212,430,339.50</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95"/>
              <w:jc w:val="right"/>
              <w:rPr>
                <w:rFonts w:ascii="Times New Roman" w:hAnsi="Times New Roman" w:cs="Times New Roman" w:eastAsia="Times New Roman" w:hint="default"/>
                <w:sz w:val="18"/>
                <w:szCs w:val="18"/>
              </w:rPr>
            </w:pPr>
            <w:r>
              <w:rPr>
                <w:rFonts w:ascii="Times New Roman"/>
                <w:spacing w:val="-1"/>
                <w:sz w:val="18"/>
              </w:rPr>
              <w:t>-278,684,580.54</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1" w:right="0"/>
              <w:jc w:val="center"/>
              <w:rPr>
                <w:rFonts w:ascii="Times New Roman" w:hAnsi="Times New Roman" w:cs="Times New Roman" w:eastAsia="Times New Roman" w:hint="default"/>
                <w:sz w:val="18"/>
                <w:szCs w:val="18"/>
              </w:rPr>
            </w:pPr>
            <w:r>
              <w:rPr>
                <w:rFonts w:ascii="Times New Roman"/>
                <w:sz w:val="18"/>
              </w:rPr>
              <w:t>-</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56"/>
              <w:jc w:val="right"/>
              <w:rPr>
                <w:rFonts w:ascii="Times New Roman" w:hAnsi="Times New Roman" w:cs="Times New Roman" w:eastAsia="Times New Roman" w:hint="default"/>
                <w:sz w:val="18"/>
                <w:szCs w:val="18"/>
              </w:rPr>
            </w:pPr>
            <w:r>
              <w:rPr>
                <w:rFonts w:ascii="Times New Roman"/>
                <w:spacing w:val="-1"/>
                <w:sz w:val="18"/>
              </w:rPr>
              <w:t>114,385,953.19</w:t>
            </w:r>
          </w:p>
        </w:tc>
        <w:tc>
          <w:tcPr>
            <w:tcW w:w="16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72"/>
              <w:jc w:val="right"/>
              <w:rPr>
                <w:rFonts w:ascii="Times New Roman" w:hAnsi="Times New Roman" w:cs="Times New Roman" w:eastAsia="Times New Roman" w:hint="default"/>
                <w:sz w:val="18"/>
                <w:szCs w:val="18"/>
              </w:rPr>
            </w:pPr>
            <w:r>
              <w:rPr>
                <w:rFonts w:ascii="Times New Roman"/>
                <w:spacing w:val="-1"/>
                <w:sz w:val="18"/>
              </w:rPr>
              <w:t>1,016,333,279.14</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tabs>
          <w:tab w:pos="6303" w:val="left" w:leader="none"/>
          <w:tab w:pos="13021" w:val="left" w:leader="none"/>
        </w:tabs>
        <w:spacing w:line="240" w:lineRule="auto" w:before="35"/>
        <w:ind w:left="110" w:right="0"/>
        <w:jc w:val="left"/>
      </w:pPr>
      <w:r>
        <w:rPr/>
        <w:t>法定代表人：陈泰泉</w:t>
        <w:tab/>
      </w:r>
      <w:r>
        <w:rPr>
          <w:spacing w:val="-1"/>
        </w:rPr>
        <w:t>主管会计工作负责人：钟民</w:t>
        <w:tab/>
        <w:t>会计机构负责人：钟民</w:t>
      </w:r>
    </w:p>
    <w:p>
      <w:pPr>
        <w:spacing w:after="0" w:line="240" w:lineRule="auto"/>
        <w:jc w:val="left"/>
        <w:sectPr>
          <w:footerReference w:type="default" r:id="rId13"/>
          <w:pgSz w:w="16840" w:h="11900" w:orient="landscape"/>
          <w:pgMar w:footer="974" w:header="0" w:top="1100" w:bottom="1160" w:left="740" w:right="860"/>
          <w:pgNumType w:start="11"/>
        </w:sectPr>
      </w:pPr>
    </w:p>
    <w:p>
      <w:pPr>
        <w:pStyle w:val="Heading1"/>
        <w:spacing w:line="399" w:lineRule="exact"/>
        <w:ind w:left="5938" w:right="5882"/>
        <w:jc w:val="center"/>
      </w:pPr>
      <w:r>
        <w:rPr/>
        <w:t>合并所有者权益变动表</w:t>
      </w:r>
    </w:p>
    <w:p>
      <w:pPr>
        <w:pStyle w:val="BodyText"/>
        <w:spacing w:line="240" w:lineRule="auto" w:before="14"/>
        <w:ind w:left="5938" w:right="5882"/>
        <w:jc w:val="center"/>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w:t>
      </w:r>
    </w:p>
    <w:p>
      <w:pPr>
        <w:pStyle w:val="BodyText"/>
        <w:tabs>
          <w:tab w:pos="12166" w:val="left" w:leader="none"/>
        </w:tabs>
        <w:spacing w:line="240" w:lineRule="auto" w:before="70"/>
        <w:ind w:left="410" w:right="0"/>
        <w:jc w:val="left"/>
      </w:pPr>
      <w:r>
        <w:rPr/>
        <w:t>编制单位：</w:t>
      </w:r>
      <w:r>
        <w:rPr>
          <w:u w:val="single" w:color="000000"/>
        </w:rPr>
        <w:t>深圳市鸿基（集团）股份有限公司</w:t>
      </w:r>
      <w:r>
        <w:rPr/>
        <w:tab/>
        <w:t>单位：元</w:t>
      </w:r>
      <w:r>
        <w:rPr>
          <w:spacing w:val="-4"/>
        </w:rPr>
        <w:t> </w:t>
      </w:r>
      <w:r>
        <w:rPr/>
        <w:t>币种：人民币</w:t>
      </w:r>
    </w:p>
    <w:p>
      <w:pPr>
        <w:spacing w:line="240" w:lineRule="auto" w:before="5"/>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702"/>
        <w:gridCol w:w="1842"/>
        <w:gridCol w:w="1358"/>
        <w:gridCol w:w="1187"/>
        <w:gridCol w:w="1427"/>
        <w:gridCol w:w="1558"/>
        <w:gridCol w:w="722"/>
        <w:gridCol w:w="1358"/>
        <w:gridCol w:w="1664"/>
      </w:tblGrid>
      <w:tr>
        <w:trPr>
          <w:trHeight w:val="280" w:hRule="exact"/>
        </w:trPr>
        <w:tc>
          <w:tcPr>
            <w:tcW w:w="3702" w:type="dxa"/>
            <w:vMerge w:val="restart"/>
            <w:tcBorders>
              <w:top w:val="single" w:sz="8" w:space="0" w:color="000000"/>
              <w:left w:val="nil" w:sz="6" w:space="0" w:color="auto"/>
              <w:right w:val="single" w:sz="8"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117" w:type="dxa"/>
            <w:gridSpan w:val="8"/>
            <w:tcBorders>
              <w:top w:val="single" w:sz="8" w:space="0" w:color="000000"/>
              <w:left w:val="single" w:sz="8" w:space="0" w:color="000000"/>
              <w:bottom w:val="single" w:sz="8" w:space="0" w:color="000000"/>
              <w:right w:val="nil" w:sz="6" w:space="0" w:color="auto"/>
            </w:tcBorders>
          </w:tcPr>
          <w:p>
            <w:pPr>
              <w:pStyle w:val="TableParagraph"/>
              <w:spacing w:line="233" w:lineRule="exact"/>
              <w:ind w:right="7"/>
              <w:jc w:val="center"/>
              <w:rPr>
                <w:rFonts w:ascii="宋体" w:hAnsi="宋体" w:cs="宋体" w:eastAsia="宋体" w:hint="default"/>
                <w:sz w:val="18"/>
                <w:szCs w:val="18"/>
              </w:rPr>
            </w:pPr>
            <w:r>
              <w:rPr>
                <w:rFonts w:ascii="宋体" w:hAnsi="宋体" w:cs="宋体" w:eastAsia="宋体" w:hint="default"/>
                <w:sz w:val="18"/>
                <w:szCs w:val="18"/>
              </w:rPr>
              <w:t>上年同期金额</w:t>
            </w:r>
          </w:p>
        </w:tc>
      </w:tr>
      <w:tr>
        <w:trPr>
          <w:trHeight w:val="280" w:hRule="exact"/>
        </w:trPr>
        <w:tc>
          <w:tcPr>
            <w:tcW w:w="3702" w:type="dxa"/>
            <w:vMerge/>
            <w:tcBorders>
              <w:left w:val="nil" w:sz="6" w:space="0" w:color="auto"/>
              <w:right w:val="single" w:sz="8" w:space="0" w:color="000000"/>
            </w:tcBorders>
          </w:tcPr>
          <w:p>
            <w:pPr/>
          </w:p>
        </w:tc>
        <w:tc>
          <w:tcPr>
            <w:tcW w:w="8094" w:type="dxa"/>
            <w:gridSpan w:val="6"/>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58" w:type="dxa"/>
            <w:vMerge w:val="restart"/>
            <w:tcBorders>
              <w:top w:val="single" w:sz="8" w:space="0" w:color="000000"/>
              <w:left w:val="single" w:sz="8" w:space="0" w:color="000000"/>
              <w:right w:val="single" w:sz="8" w:space="0" w:color="000000"/>
            </w:tcBorders>
          </w:tcPr>
          <w:p>
            <w:pPr>
              <w:pStyle w:val="TableParagraph"/>
              <w:spacing w:line="240" w:lineRule="auto" w:before="127"/>
              <w:ind w:left="129"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64" w:type="dxa"/>
            <w:vMerge w:val="restart"/>
            <w:tcBorders>
              <w:top w:val="single" w:sz="8" w:space="0" w:color="000000"/>
              <w:left w:val="single" w:sz="8" w:space="0" w:color="000000"/>
              <w:right w:val="nil" w:sz="6" w:space="0" w:color="auto"/>
            </w:tcBorders>
          </w:tcPr>
          <w:p>
            <w:pPr>
              <w:pStyle w:val="TableParagraph"/>
              <w:spacing w:line="240" w:lineRule="auto" w:before="127"/>
              <w:ind w:left="19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81" w:hRule="exact"/>
        </w:trPr>
        <w:tc>
          <w:tcPr>
            <w:tcW w:w="3702" w:type="dxa"/>
            <w:vMerge/>
            <w:tcBorders>
              <w:left w:val="nil" w:sz="6" w:space="0" w:color="auto"/>
              <w:bottom w:val="single" w:sz="8" w:space="0" w:color="000000"/>
              <w:right w:val="single" w:sz="8" w:space="0" w:color="000000"/>
            </w:tcBorders>
          </w:tcPr>
          <w:p>
            <w:pP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100"/>
              <w:jc w:val="right"/>
              <w:rPr>
                <w:rFonts w:ascii="宋体" w:hAnsi="宋体" w:cs="宋体" w:eastAsia="宋体" w:hint="default"/>
                <w:sz w:val="18"/>
                <w:szCs w:val="18"/>
              </w:rPr>
            </w:pPr>
            <w:r>
              <w:rPr>
                <w:rFonts w:ascii="宋体" w:hAnsi="宋体" w:cs="宋体" w:eastAsia="宋体" w:hint="default"/>
                <w:sz w:val="18"/>
                <w:szCs w:val="18"/>
              </w:rPr>
              <w:t>实收资本（或股本）</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30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8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13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31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58" w:type="dxa"/>
            <w:vMerge/>
            <w:tcBorders>
              <w:left w:val="single" w:sz="8" w:space="0" w:color="000000"/>
              <w:bottom w:val="single" w:sz="8" w:space="0" w:color="000000"/>
              <w:right w:val="single" w:sz="8" w:space="0" w:color="000000"/>
            </w:tcBorders>
          </w:tcPr>
          <w:p>
            <w:pPr/>
          </w:p>
        </w:tc>
        <w:tc>
          <w:tcPr>
            <w:tcW w:w="1664" w:type="dxa"/>
            <w:vMerge/>
            <w:tcBorders>
              <w:left w:val="single" w:sz="8" w:space="0" w:color="000000"/>
              <w:bottom w:val="single" w:sz="8" w:space="0" w:color="000000"/>
              <w:right w:val="nil" w:sz="6" w:space="0" w:color="auto"/>
            </w:tcBorders>
          </w:tcPr>
          <w:p>
            <w:pPr/>
          </w:p>
        </w:tc>
      </w:tr>
      <w:tr>
        <w:trPr>
          <w:trHeight w:val="280" w:hRule="exact"/>
        </w:trPr>
        <w:tc>
          <w:tcPr>
            <w:tcW w:w="3702"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17"/>
              <w:jc w:val="right"/>
              <w:rPr>
                <w:rFonts w:ascii="Times New Roman" w:hAnsi="Times New Roman" w:cs="Times New Roman" w:eastAsia="Times New Roman" w:hint="default"/>
                <w:sz w:val="18"/>
                <w:szCs w:val="18"/>
              </w:rPr>
            </w:pPr>
            <w:r>
              <w:rPr>
                <w:rFonts w:ascii="Times New Roman"/>
                <w:spacing w:val="-1"/>
                <w:sz w:val="18"/>
              </w:rPr>
              <w:t>469,593,364.00</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98" w:right="0"/>
              <w:jc w:val="left"/>
              <w:rPr>
                <w:rFonts w:ascii="Times New Roman" w:hAnsi="Times New Roman" w:cs="Times New Roman" w:eastAsia="Times New Roman" w:hint="default"/>
                <w:sz w:val="18"/>
                <w:szCs w:val="18"/>
              </w:rPr>
            </w:pPr>
            <w:r>
              <w:rPr>
                <w:rFonts w:ascii="Times New Roman"/>
                <w:sz w:val="18"/>
              </w:rPr>
              <w:t>555,489,927.00</w:t>
            </w:r>
          </w:p>
        </w:tc>
        <w:tc>
          <w:tcPr>
            <w:tcW w:w="11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1"/>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49" w:right="0"/>
              <w:jc w:val="left"/>
              <w:rPr>
                <w:rFonts w:ascii="Times New Roman" w:hAnsi="Times New Roman" w:cs="Times New Roman" w:eastAsia="Times New Roman" w:hint="default"/>
                <w:sz w:val="18"/>
                <w:szCs w:val="18"/>
              </w:rPr>
            </w:pPr>
            <w:r>
              <w:rPr>
                <w:rFonts w:ascii="Times New Roman"/>
                <w:sz w:val="18"/>
              </w:rPr>
              <w:t>212,430,339.50</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-241,154,608.60</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03" w:right="0"/>
              <w:jc w:val="center"/>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96"/>
              <w:jc w:val="right"/>
              <w:rPr>
                <w:rFonts w:ascii="Times New Roman" w:hAnsi="Times New Roman" w:cs="Times New Roman" w:eastAsia="Times New Roman" w:hint="default"/>
                <w:sz w:val="18"/>
                <w:szCs w:val="18"/>
              </w:rPr>
            </w:pPr>
            <w:r>
              <w:rPr>
                <w:rFonts w:ascii="Times New Roman"/>
                <w:spacing w:val="-1"/>
                <w:sz w:val="18"/>
              </w:rPr>
              <w:t>120,737,461.39</w:t>
            </w:r>
          </w:p>
        </w:tc>
        <w:tc>
          <w:tcPr>
            <w:tcW w:w="166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66"/>
              <w:jc w:val="right"/>
              <w:rPr>
                <w:rFonts w:ascii="Times New Roman" w:hAnsi="Times New Roman" w:cs="Times New Roman" w:eastAsia="Times New Roman" w:hint="default"/>
                <w:sz w:val="18"/>
                <w:szCs w:val="18"/>
              </w:rPr>
            </w:pPr>
            <w:r>
              <w:rPr>
                <w:rFonts w:ascii="Times New Roman"/>
                <w:spacing w:val="-1"/>
                <w:sz w:val="18"/>
              </w:rPr>
              <w:t>1,117,096,483.29</w:t>
            </w:r>
          </w:p>
        </w:tc>
      </w:tr>
      <w:tr>
        <w:trPr>
          <w:trHeight w:val="280" w:hRule="exact"/>
        </w:trPr>
        <w:tc>
          <w:tcPr>
            <w:tcW w:w="3702"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43"/>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48"/>
              <w:jc w:val="right"/>
              <w:rPr>
                <w:rFonts w:ascii="Times New Roman" w:hAnsi="Times New Roman" w:cs="Times New Roman" w:eastAsia="Times New Roman" w:hint="default"/>
                <w:sz w:val="18"/>
                <w:szCs w:val="18"/>
              </w:rPr>
            </w:pPr>
            <w:r>
              <w:rPr>
                <w:rFonts w:ascii="Times New Roman"/>
                <w:sz w:val="18"/>
              </w:rPr>
              <w:t>-</w:t>
            </w:r>
          </w:p>
        </w:tc>
        <w:tc>
          <w:tcPr>
            <w:tcW w:w="11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5"/>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03" w:right="0"/>
              <w:jc w:val="center"/>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2"/>
              <w:jc w:val="right"/>
              <w:rPr>
                <w:rFonts w:ascii="Times New Roman" w:hAnsi="Times New Roman" w:cs="Times New Roman" w:eastAsia="Times New Roman" w:hint="default"/>
                <w:sz w:val="18"/>
                <w:szCs w:val="18"/>
              </w:rPr>
            </w:pPr>
            <w:r>
              <w:rPr>
                <w:rFonts w:ascii="Times New Roman"/>
                <w:sz w:val="18"/>
              </w:rPr>
              <w:t>-</w:t>
            </w:r>
          </w:p>
        </w:tc>
        <w:tc>
          <w:tcPr>
            <w:tcW w:w="166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90"/>
              <w:jc w:val="right"/>
              <w:rPr>
                <w:rFonts w:ascii="Times New Roman" w:hAnsi="Times New Roman" w:cs="Times New Roman" w:eastAsia="Times New Roman" w:hint="default"/>
                <w:sz w:val="18"/>
                <w:szCs w:val="18"/>
              </w:rPr>
            </w:pPr>
            <w:r>
              <w:rPr>
                <w:rFonts w:ascii="Times New Roman"/>
                <w:sz w:val="18"/>
              </w:rPr>
              <w:t>-</w:t>
            </w:r>
          </w:p>
        </w:tc>
      </w:tr>
      <w:tr>
        <w:trPr>
          <w:trHeight w:val="281" w:hRule="exact"/>
        </w:trPr>
        <w:tc>
          <w:tcPr>
            <w:tcW w:w="3702"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48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43"/>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48"/>
              <w:jc w:val="right"/>
              <w:rPr>
                <w:rFonts w:ascii="Times New Roman" w:hAnsi="Times New Roman" w:cs="Times New Roman" w:eastAsia="Times New Roman" w:hint="default"/>
                <w:sz w:val="18"/>
                <w:szCs w:val="18"/>
              </w:rPr>
            </w:pPr>
            <w:r>
              <w:rPr>
                <w:rFonts w:ascii="Times New Roman"/>
                <w:sz w:val="18"/>
              </w:rPr>
              <w:t>-</w:t>
            </w:r>
          </w:p>
        </w:tc>
        <w:tc>
          <w:tcPr>
            <w:tcW w:w="11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5"/>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03" w:right="0"/>
              <w:jc w:val="center"/>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2"/>
              <w:jc w:val="right"/>
              <w:rPr>
                <w:rFonts w:ascii="Times New Roman" w:hAnsi="Times New Roman" w:cs="Times New Roman" w:eastAsia="Times New Roman" w:hint="default"/>
                <w:sz w:val="18"/>
                <w:szCs w:val="18"/>
              </w:rPr>
            </w:pPr>
            <w:r>
              <w:rPr>
                <w:rFonts w:ascii="Times New Roman"/>
                <w:sz w:val="18"/>
              </w:rPr>
              <w:t>-</w:t>
            </w:r>
          </w:p>
        </w:tc>
        <w:tc>
          <w:tcPr>
            <w:tcW w:w="166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90"/>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3702"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43"/>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48"/>
              <w:jc w:val="right"/>
              <w:rPr>
                <w:rFonts w:ascii="Times New Roman" w:hAnsi="Times New Roman" w:cs="Times New Roman" w:eastAsia="Times New Roman" w:hint="default"/>
                <w:sz w:val="18"/>
                <w:szCs w:val="18"/>
              </w:rPr>
            </w:pPr>
            <w:r>
              <w:rPr>
                <w:rFonts w:ascii="Times New Roman"/>
                <w:sz w:val="18"/>
              </w:rPr>
              <w:t>-</w:t>
            </w:r>
          </w:p>
        </w:tc>
        <w:tc>
          <w:tcPr>
            <w:tcW w:w="11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5"/>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03" w:right="0"/>
              <w:jc w:val="center"/>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2"/>
              <w:jc w:val="right"/>
              <w:rPr>
                <w:rFonts w:ascii="Times New Roman" w:hAnsi="Times New Roman" w:cs="Times New Roman" w:eastAsia="Times New Roman" w:hint="default"/>
                <w:sz w:val="18"/>
                <w:szCs w:val="18"/>
              </w:rPr>
            </w:pPr>
            <w:r>
              <w:rPr>
                <w:rFonts w:ascii="Times New Roman"/>
                <w:sz w:val="18"/>
              </w:rPr>
              <w:t>-</w:t>
            </w:r>
          </w:p>
        </w:tc>
        <w:tc>
          <w:tcPr>
            <w:tcW w:w="166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90"/>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3702"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17"/>
              <w:jc w:val="right"/>
              <w:rPr>
                <w:rFonts w:ascii="Times New Roman" w:hAnsi="Times New Roman" w:cs="Times New Roman" w:eastAsia="Times New Roman" w:hint="default"/>
                <w:sz w:val="18"/>
                <w:szCs w:val="18"/>
              </w:rPr>
            </w:pPr>
            <w:r>
              <w:rPr>
                <w:rFonts w:ascii="Times New Roman"/>
                <w:spacing w:val="-1"/>
                <w:sz w:val="18"/>
              </w:rPr>
              <w:t>469,593,364.00</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98" w:right="0"/>
              <w:jc w:val="left"/>
              <w:rPr>
                <w:rFonts w:ascii="Times New Roman" w:hAnsi="Times New Roman" w:cs="Times New Roman" w:eastAsia="Times New Roman" w:hint="default"/>
                <w:sz w:val="18"/>
                <w:szCs w:val="18"/>
              </w:rPr>
            </w:pPr>
            <w:r>
              <w:rPr>
                <w:rFonts w:ascii="Times New Roman"/>
                <w:sz w:val="18"/>
              </w:rPr>
              <w:t>555,489,927.00</w:t>
            </w:r>
          </w:p>
        </w:tc>
        <w:tc>
          <w:tcPr>
            <w:tcW w:w="11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1"/>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49" w:right="0"/>
              <w:jc w:val="left"/>
              <w:rPr>
                <w:rFonts w:ascii="Times New Roman" w:hAnsi="Times New Roman" w:cs="Times New Roman" w:eastAsia="Times New Roman" w:hint="default"/>
                <w:sz w:val="18"/>
                <w:szCs w:val="18"/>
              </w:rPr>
            </w:pPr>
            <w:r>
              <w:rPr>
                <w:rFonts w:ascii="Times New Roman"/>
                <w:sz w:val="18"/>
              </w:rPr>
              <w:t>212,430,339.50</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-241,154,608.60</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03" w:right="0"/>
              <w:jc w:val="center"/>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96"/>
              <w:jc w:val="right"/>
              <w:rPr>
                <w:rFonts w:ascii="Times New Roman" w:hAnsi="Times New Roman" w:cs="Times New Roman" w:eastAsia="Times New Roman" w:hint="default"/>
                <w:sz w:val="18"/>
                <w:szCs w:val="18"/>
              </w:rPr>
            </w:pPr>
            <w:r>
              <w:rPr>
                <w:rFonts w:ascii="Times New Roman"/>
                <w:spacing w:val="-1"/>
                <w:sz w:val="18"/>
              </w:rPr>
              <w:t>120,737,461.39</w:t>
            </w:r>
          </w:p>
        </w:tc>
        <w:tc>
          <w:tcPr>
            <w:tcW w:w="166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66"/>
              <w:jc w:val="right"/>
              <w:rPr>
                <w:rFonts w:ascii="Times New Roman" w:hAnsi="Times New Roman" w:cs="Times New Roman" w:eastAsia="Times New Roman" w:hint="default"/>
                <w:sz w:val="18"/>
                <w:szCs w:val="18"/>
              </w:rPr>
            </w:pPr>
            <w:r>
              <w:rPr>
                <w:rFonts w:ascii="Times New Roman"/>
                <w:spacing w:val="-1"/>
                <w:sz w:val="18"/>
              </w:rPr>
              <w:t>1,117,096,483.29</w:t>
            </w:r>
          </w:p>
        </w:tc>
      </w:tr>
      <w:tr>
        <w:trPr>
          <w:trHeight w:val="281" w:hRule="exact"/>
        </w:trPr>
        <w:tc>
          <w:tcPr>
            <w:tcW w:w="3702"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宋体" w:hAnsi="宋体" w:cs="宋体" w:eastAsia="宋体" w:hint="default"/>
                <w:spacing w:val="-1"/>
                <w:sz w:val="18"/>
                <w:szCs w:val="18"/>
              </w:rPr>
              <w:t>三、本期增减变动金额（减少以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43"/>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18" w:right="0"/>
              <w:jc w:val="left"/>
              <w:rPr>
                <w:rFonts w:ascii="Times New Roman" w:hAnsi="Times New Roman" w:cs="Times New Roman" w:eastAsia="Times New Roman" w:hint="default"/>
                <w:sz w:val="18"/>
                <w:szCs w:val="18"/>
              </w:rPr>
            </w:pPr>
            <w:r>
              <w:rPr>
                <w:rFonts w:ascii="Times New Roman"/>
                <w:sz w:val="18"/>
              </w:rPr>
              <w:t>-70,021,578.69</w:t>
            </w:r>
          </w:p>
        </w:tc>
        <w:tc>
          <w:tcPr>
            <w:tcW w:w="11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pacing w:val="-1"/>
                <w:sz w:val="18"/>
              </w:rPr>
              <w:t>-101,886,354.83</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03" w:right="0"/>
              <w:jc w:val="center"/>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96"/>
              <w:jc w:val="right"/>
              <w:rPr>
                <w:rFonts w:ascii="Times New Roman" w:hAnsi="Times New Roman" w:cs="Times New Roman" w:eastAsia="Times New Roman" w:hint="default"/>
                <w:sz w:val="18"/>
                <w:szCs w:val="18"/>
              </w:rPr>
            </w:pPr>
            <w:r>
              <w:rPr>
                <w:rFonts w:ascii="Times New Roman"/>
                <w:spacing w:val="-1"/>
                <w:sz w:val="18"/>
              </w:rPr>
              <w:t>-8,337,192.34</w:t>
            </w:r>
          </w:p>
        </w:tc>
        <w:tc>
          <w:tcPr>
            <w:tcW w:w="166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65"/>
              <w:jc w:val="right"/>
              <w:rPr>
                <w:rFonts w:ascii="Times New Roman" w:hAnsi="Times New Roman" w:cs="Times New Roman" w:eastAsia="Times New Roman" w:hint="default"/>
                <w:sz w:val="18"/>
                <w:szCs w:val="18"/>
              </w:rPr>
            </w:pPr>
            <w:r>
              <w:rPr>
                <w:rFonts w:ascii="Times New Roman"/>
                <w:spacing w:val="-1"/>
                <w:sz w:val="18"/>
              </w:rPr>
              <w:t>-180,245,125.86</w:t>
            </w:r>
          </w:p>
        </w:tc>
      </w:tr>
      <w:tr>
        <w:trPr>
          <w:trHeight w:val="280" w:hRule="exact"/>
        </w:trPr>
        <w:tc>
          <w:tcPr>
            <w:tcW w:w="3702"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43"/>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48"/>
              <w:jc w:val="right"/>
              <w:rPr>
                <w:rFonts w:ascii="Times New Roman" w:hAnsi="Times New Roman" w:cs="Times New Roman" w:eastAsia="Times New Roman" w:hint="default"/>
                <w:sz w:val="18"/>
                <w:szCs w:val="18"/>
              </w:rPr>
            </w:pPr>
            <w:r>
              <w:rPr>
                <w:rFonts w:ascii="Times New Roman"/>
                <w:sz w:val="18"/>
              </w:rPr>
              <w:t>-</w:t>
            </w:r>
          </w:p>
        </w:tc>
        <w:tc>
          <w:tcPr>
            <w:tcW w:w="11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-114,627,831.55</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03" w:right="0"/>
              <w:jc w:val="center"/>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96"/>
              <w:jc w:val="right"/>
              <w:rPr>
                <w:rFonts w:ascii="Times New Roman" w:hAnsi="Times New Roman" w:cs="Times New Roman" w:eastAsia="Times New Roman" w:hint="default"/>
                <w:sz w:val="18"/>
                <w:szCs w:val="18"/>
              </w:rPr>
            </w:pPr>
            <w:r>
              <w:rPr>
                <w:rFonts w:ascii="Times New Roman"/>
                <w:spacing w:val="-1"/>
                <w:sz w:val="18"/>
              </w:rPr>
              <w:t>-8,808,360.83</w:t>
            </w:r>
          </w:p>
        </w:tc>
        <w:tc>
          <w:tcPr>
            <w:tcW w:w="166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65"/>
              <w:jc w:val="right"/>
              <w:rPr>
                <w:rFonts w:ascii="Times New Roman" w:hAnsi="Times New Roman" w:cs="Times New Roman" w:eastAsia="Times New Roman" w:hint="default"/>
                <w:sz w:val="18"/>
                <w:szCs w:val="18"/>
              </w:rPr>
            </w:pPr>
            <w:r>
              <w:rPr>
                <w:rFonts w:ascii="Times New Roman"/>
                <w:spacing w:val="-1"/>
                <w:sz w:val="18"/>
              </w:rPr>
              <w:t>-123,436,192.38</w:t>
            </w:r>
          </w:p>
        </w:tc>
      </w:tr>
      <w:tr>
        <w:trPr>
          <w:trHeight w:val="280" w:hRule="exact"/>
        </w:trPr>
        <w:tc>
          <w:tcPr>
            <w:tcW w:w="3702"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43"/>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18" w:right="0"/>
              <w:jc w:val="left"/>
              <w:rPr>
                <w:rFonts w:ascii="Times New Roman" w:hAnsi="Times New Roman" w:cs="Times New Roman" w:eastAsia="Times New Roman" w:hint="default"/>
                <w:sz w:val="18"/>
                <w:szCs w:val="18"/>
              </w:rPr>
            </w:pPr>
            <w:r>
              <w:rPr>
                <w:rFonts w:ascii="Times New Roman"/>
                <w:sz w:val="18"/>
              </w:rPr>
              <w:t>-70,021,578.69</w:t>
            </w:r>
          </w:p>
        </w:tc>
        <w:tc>
          <w:tcPr>
            <w:tcW w:w="11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1"/>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pacing w:val="-1"/>
                <w:sz w:val="18"/>
              </w:rPr>
              <w:t>12,741,476.72</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02" w:right="0"/>
              <w:jc w:val="center"/>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96"/>
              <w:jc w:val="right"/>
              <w:rPr>
                <w:rFonts w:ascii="Times New Roman" w:hAnsi="Times New Roman" w:cs="Times New Roman" w:eastAsia="Times New Roman" w:hint="default"/>
                <w:sz w:val="18"/>
                <w:szCs w:val="18"/>
              </w:rPr>
            </w:pPr>
            <w:r>
              <w:rPr>
                <w:rFonts w:ascii="Times New Roman"/>
                <w:sz w:val="18"/>
              </w:rPr>
              <w:t>471,168.49</w:t>
            </w:r>
          </w:p>
        </w:tc>
        <w:tc>
          <w:tcPr>
            <w:tcW w:w="166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65"/>
              <w:jc w:val="right"/>
              <w:rPr>
                <w:rFonts w:ascii="Times New Roman" w:hAnsi="Times New Roman" w:cs="Times New Roman" w:eastAsia="Times New Roman" w:hint="default"/>
                <w:sz w:val="18"/>
                <w:szCs w:val="18"/>
              </w:rPr>
            </w:pPr>
            <w:r>
              <w:rPr>
                <w:rFonts w:ascii="Times New Roman"/>
                <w:spacing w:val="-1"/>
                <w:sz w:val="18"/>
              </w:rPr>
              <w:t>-56,808,933.48</w:t>
            </w:r>
          </w:p>
        </w:tc>
      </w:tr>
      <w:tr>
        <w:trPr>
          <w:trHeight w:val="281" w:hRule="exact"/>
        </w:trPr>
        <w:tc>
          <w:tcPr>
            <w:tcW w:w="3702"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43"/>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18" w:right="0"/>
              <w:jc w:val="left"/>
              <w:rPr>
                <w:rFonts w:ascii="Times New Roman" w:hAnsi="Times New Roman" w:cs="Times New Roman" w:eastAsia="Times New Roman" w:hint="default"/>
                <w:sz w:val="18"/>
                <w:szCs w:val="18"/>
              </w:rPr>
            </w:pPr>
            <w:r>
              <w:rPr>
                <w:rFonts w:ascii="Times New Roman"/>
                <w:sz w:val="18"/>
              </w:rPr>
              <w:t>-70,021,578.69</w:t>
            </w:r>
          </w:p>
        </w:tc>
        <w:tc>
          <w:tcPr>
            <w:tcW w:w="11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pacing w:val="-1"/>
                <w:sz w:val="18"/>
              </w:rPr>
              <w:t>-101,886,354.83</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03" w:right="0"/>
              <w:jc w:val="center"/>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96"/>
              <w:jc w:val="right"/>
              <w:rPr>
                <w:rFonts w:ascii="Times New Roman" w:hAnsi="Times New Roman" w:cs="Times New Roman" w:eastAsia="Times New Roman" w:hint="default"/>
                <w:sz w:val="18"/>
                <w:szCs w:val="18"/>
              </w:rPr>
            </w:pPr>
            <w:r>
              <w:rPr>
                <w:rFonts w:ascii="Times New Roman"/>
                <w:spacing w:val="-1"/>
                <w:sz w:val="18"/>
              </w:rPr>
              <w:t>-8,337,192.34</w:t>
            </w:r>
          </w:p>
        </w:tc>
        <w:tc>
          <w:tcPr>
            <w:tcW w:w="166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65"/>
              <w:jc w:val="right"/>
              <w:rPr>
                <w:rFonts w:ascii="Times New Roman" w:hAnsi="Times New Roman" w:cs="Times New Roman" w:eastAsia="Times New Roman" w:hint="default"/>
                <w:sz w:val="18"/>
                <w:szCs w:val="18"/>
              </w:rPr>
            </w:pPr>
            <w:r>
              <w:rPr>
                <w:rFonts w:ascii="Times New Roman"/>
                <w:spacing w:val="-1"/>
                <w:sz w:val="18"/>
              </w:rPr>
              <w:t>-180,245,125.86</w:t>
            </w:r>
          </w:p>
        </w:tc>
      </w:tr>
      <w:tr>
        <w:trPr>
          <w:trHeight w:val="280" w:hRule="exact"/>
        </w:trPr>
        <w:tc>
          <w:tcPr>
            <w:tcW w:w="3702"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43"/>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48"/>
              <w:jc w:val="right"/>
              <w:rPr>
                <w:rFonts w:ascii="Times New Roman" w:hAnsi="Times New Roman" w:cs="Times New Roman" w:eastAsia="Times New Roman" w:hint="default"/>
                <w:sz w:val="18"/>
                <w:szCs w:val="18"/>
              </w:rPr>
            </w:pPr>
            <w:r>
              <w:rPr>
                <w:rFonts w:ascii="Times New Roman"/>
                <w:sz w:val="18"/>
              </w:rPr>
              <w:t>-</w:t>
            </w:r>
          </w:p>
        </w:tc>
        <w:tc>
          <w:tcPr>
            <w:tcW w:w="11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5"/>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03" w:right="0"/>
              <w:jc w:val="center"/>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96"/>
              <w:jc w:val="right"/>
              <w:rPr>
                <w:rFonts w:ascii="Times New Roman" w:hAnsi="Times New Roman" w:cs="Times New Roman" w:eastAsia="Times New Roman" w:hint="default"/>
                <w:sz w:val="18"/>
                <w:szCs w:val="18"/>
              </w:rPr>
            </w:pPr>
            <w:r>
              <w:rPr>
                <w:rFonts w:ascii="Times New Roman"/>
                <w:spacing w:val="-1"/>
                <w:sz w:val="18"/>
              </w:rPr>
              <w:t>20,000,000.00</w:t>
            </w:r>
          </w:p>
        </w:tc>
        <w:tc>
          <w:tcPr>
            <w:tcW w:w="166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65"/>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280" w:hRule="exact"/>
        </w:trPr>
        <w:tc>
          <w:tcPr>
            <w:tcW w:w="3702"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43"/>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48"/>
              <w:jc w:val="right"/>
              <w:rPr>
                <w:rFonts w:ascii="Times New Roman" w:hAnsi="Times New Roman" w:cs="Times New Roman" w:eastAsia="Times New Roman" w:hint="default"/>
                <w:sz w:val="18"/>
                <w:szCs w:val="18"/>
              </w:rPr>
            </w:pPr>
            <w:r>
              <w:rPr>
                <w:rFonts w:ascii="Times New Roman"/>
                <w:sz w:val="18"/>
              </w:rPr>
              <w:t>-</w:t>
            </w:r>
          </w:p>
        </w:tc>
        <w:tc>
          <w:tcPr>
            <w:tcW w:w="11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5"/>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03" w:right="0"/>
              <w:jc w:val="center"/>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96"/>
              <w:jc w:val="right"/>
              <w:rPr>
                <w:rFonts w:ascii="Times New Roman" w:hAnsi="Times New Roman" w:cs="Times New Roman" w:eastAsia="Times New Roman" w:hint="default"/>
                <w:sz w:val="18"/>
                <w:szCs w:val="18"/>
              </w:rPr>
            </w:pPr>
            <w:r>
              <w:rPr>
                <w:rFonts w:ascii="Times New Roman"/>
                <w:spacing w:val="-1"/>
                <w:sz w:val="18"/>
              </w:rPr>
              <w:t>20,000,000.00</w:t>
            </w:r>
          </w:p>
        </w:tc>
        <w:tc>
          <w:tcPr>
            <w:tcW w:w="166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65"/>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281" w:hRule="exact"/>
        </w:trPr>
        <w:tc>
          <w:tcPr>
            <w:tcW w:w="3702"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43"/>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48"/>
              <w:jc w:val="right"/>
              <w:rPr>
                <w:rFonts w:ascii="Times New Roman" w:hAnsi="Times New Roman" w:cs="Times New Roman" w:eastAsia="Times New Roman" w:hint="default"/>
                <w:sz w:val="18"/>
                <w:szCs w:val="18"/>
              </w:rPr>
            </w:pPr>
            <w:r>
              <w:rPr>
                <w:rFonts w:ascii="Times New Roman"/>
                <w:sz w:val="18"/>
              </w:rPr>
              <w:t>-</w:t>
            </w:r>
          </w:p>
        </w:tc>
        <w:tc>
          <w:tcPr>
            <w:tcW w:w="11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5"/>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03" w:right="0"/>
              <w:jc w:val="center"/>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2"/>
              <w:jc w:val="right"/>
              <w:rPr>
                <w:rFonts w:ascii="Times New Roman" w:hAnsi="Times New Roman" w:cs="Times New Roman" w:eastAsia="Times New Roman" w:hint="default"/>
                <w:sz w:val="18"/>
                <w:szCs w:val="18"/>
              </w:rPr>
            </w:pPr>
            <w:r>
              <w:rPr>
                <w:rFonts w:ascii="Times New Roman"/>
                <w:sz w:val="18"/>
              </w:rPr>
              <w:t>-</w:t>
            </w:r>
          </w:p>
        </w:tc>
        <w:tc>
          <w:tcPr>
            <w:tcW w:w="166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90"/>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3702"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43"/>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48"/>
              <w:jc w:val="right"/>
              <w:rPr>
                <w:rFonts w:ascii="Times New Roman" w:hAnsi="Times New Roman" w:cs="Times New Roman" w:eastAsia="Times New Roman" w:hint="default"/>
                <w:sz w:val="18"/>
                <w:szCs w:val="18"/>
              </w:rPr>
            </w:pPr>
            <w:r>
              <w:rPr>
                <w:rFonts w:ascii="Times New Roman"/>
                <w:sz w:val="18"/>
              </w:rPr>
              <w:t>-</w:t>
            </w:r>
          </w:p>
        </w:tc>
        <w:tc>
          <w:tcPr>
            <w:tcW w:w="11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5"/>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03" w:right="0"/>
              <w:jc w:val="center"/>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2"/>
              <w:jc w:val="right"/>
              <w:rPr>
                <w:rFonts w:ascii="Times New Roman" w:hAnsi="Times New Roman" w:cs="Times New Roman" w:eastAsia="Times New Roman" w:hint="default"/>
                <w:sz w:val="18"/>
                <w:szCs w:val="18"/>
              </w:rPr>
            </w:pPr>
            <w:r>
              <w:rPr>
                <w:rFonts w:ascii="Times New Roman"/>
                <w:sz w:val="18"/>
              </w:rPr>
              <w:t>-</w:t>
            </w:r>
          </w:p>
        </w:tc>
        <w:tc>
          <w:tcPr>
            <w:tcW w:w="166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90"/>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3702"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43"/>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48"/>
              <w:jc w:val="right"/>
              <w:rPr>
                <w:rFonts w:ascii="Times New Roman" w:hAnsi="Times New Roman" w:cs="Times New Roman" w:eastAsia="Times New Roman" w:hint="default"/>
                <w:sz w:val="18"/>
                <w:szCs w:val="18"/>
              </w:rPr>
            </w:pPr>
            <w:r>
              <w:rPr>
                <w:rFonts w:ascii="Times New Roman"/>
                <w:sz w:val="18"/>
              </w:rPr>
              <w:t>-</w:t>
            </w:r>
          </w:p>
        </w:tc>
        <w:tc>
          <w:tcPr>
            <w:tcW w:w="11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5"/>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03" w:right="0"/>
              <w:jc w:val="center"/>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96"/>
              <w:jc w:val="right"/>
              <w:rPr>
                <w:rFonts w:ascii="Times New Roman" w:hAnsi="Times New Roman" w:cs="Times New Roman" w:eastAsia="Times New Roman" w:hint="default"/>
                <w:sz w:val="18"/>
                <w:szCs w:val="18"/>
              </w:rPr>
            </w:pPr>
            <w:r>
              <w:rPr>
                <w:rFonts w:ascii="Times New Roman"/>
                <w:spacing w:val="-1"/>
                <w:sz w:val="18"/>
              </w:rPr>
              <w:t>-1,813,000.92</w:t>
            </w:r>
          </w:p>
        </w:tc>
        <w:tc>
          <w:tcPr>
            <w:tcW w:w="166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65"/>
              <w:jc w:val="right"/>
              <w:rPr>
                <w:rFonts w:ascii="Times New Roman" w:hAnsi="Times New Roman" w:cs="Times New Roman" w:eastAsia="Times New Roman" w:hint="default"/>
                <w:sz w:val="18"/>
                <w:szCs w:val="18"/>
              </w:rPr>
            </w:pPr>
            <w:r>
              <w:rPr>
                <w:rFonts w:ascii="Times New Roman"/>
                <w:spacing w:val="-1"/>
                <w:sz w:val="18"/>
              </w:rPr>
              <w:t>-1,813,000.92</w:t>
            </w:r>
          </w:p>
        </w:tc>
      </w:tr>
      <w:tr>
        <w:trPr>
          <w:trHeight w:val="281" w:hRule="exact"/>
        </w:trPr>
        <w:tc>
          <w:tcPr>
            <w:tcW w:w="3702"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43"/>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48"/>
              <w:jc w:val="right"/>
              <w:rPr>
                <w:rFonts w:ascii="Times New Roman" w:hAnsi="Times New Roman" w:cs="Times New Roman" w:eastAsia="Times New Roman" w:hint="default"/>
                <w:sz w:val="18"/>
                <w:szCs w:val="18"/>
              </w:rPr>
            </w:pPr>
            <w:r>
              <w:rPr>
                <w:rFonts w:ascii="Times New Roman"/>
                <w:sz w:val="18"/>
              </w:rPr>
              <w:t>-</w:t>
            </w:r>
          </w:p>
        </w:tc>
        <w:tc>
          <w:tcPr>
            <w:tcW w:w="11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5"/>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03" w:right="0"/>
              <w:jc w:val="center"/>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2"/>
              <w:jc w:val="right"/>
              <w:rPr>
                <w:rFonts w:ascii="Times New Roman" w:hAnsi="Times New Roman" w:cs="Times New Roman" w:eastAsia="Times New Roman" w:hint="default"/>
                <w:sz w:val="18"/>
                <w:szCs w:val="18"/>
              </w:rPr>
            </w:pPr>
            <w:r>
              <w:rPr>
                <w:rFonts w:ascii="Times New Roman"/>
                <w:sz w:val="18"/>
              </w:rPr>
              <w:t>-</w:t>
            </w:r>
          </w:p>
        </w:tc>
        <w:tc>
          <w:tcPr>
            <w:tcW w:w="166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90"/>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3702"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43"/>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48"/>
              <w:jc w:val="right"/>
              <w:rPr>
                <w:rFonts w:ascii="Times New Roman" w:hAnsi="Times New Roman" w:cs="Times New Roman" w:eastAsia="Times New Roman" w:hint="default"/>
                <w:sz w:val="18"/>
                <w:szCs w:val="18"/>
              </w:rPr>
            </w:pPr>
            <w:r>
              <w:rPr>
                <w:rFonts w:ascii="Times New Roman"/>
                <w:sz w:val="18"/>
              </w:rPr>
              <w:t>-</w:t>
            </w:r>
          </w:p>
        </w:tc>
        <w:tc>
          <w:tcPr>
            <w:tcW w:w="11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5"/>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03" w:right="0"/>
              <w:jc w:val="center"/>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2"/>
              <w:jc w:val="right"/>
              <w:rPr>
                <w:rFonts w:ascii="Times New Roman" w:hAnsi="Times New Roman" w:cs="Times New Roman" w:eastAsia="Times New Roman" w:hint="default"/>
                <w:sz w:val="18"/>
                <w:szCs w:val="18"/>
              </w:rPr>
            </w:pPr>
            <w:r>
              <w:rPr>
                <w:rFonts w:ascii="Times New Roman"/>
                <w:sz w:val="18"/>
              </w:rPr>
              <w:t>-</w:t>
            </w:r>
          </w:p>
        </w:tc>
        <w:tc>
          <w:tcPr>
            <w:tcW w:w="166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90"/>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3702"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43"/>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48"/>
              <w:jc w:val="right"/>
              <w:rPr>
                <w:rFonts w:ascii="Times New Roman" w:hAnsi="Times New Roman" w:cs="Times New Roman" w:eastAsia="Times New Roman" w:hint="default"/>
                <w:sz w:val="18"/>
                <w:szCs w:val="18"/>
              </w:rPr>
            </w:pPr>
            <w:r>
              <w:rPr>
                <w:rFonts w:ascii="Times New Roman"/>
                <w:sz w:val="18"/>
              </w:rPr>
              <w:t>-</w:t>
            </w:r>
          </w:p>
        </w:tc>
        <w:tc>
          <w:tcPr>
            <w:tcW w:w="11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5"/>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03" w:right="0"/>
              <w:jc w:val="center"/>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96"/>
              <w:jc w:val="right"/>
              <w:rPr>
                <w:rFonts w:ascii="Times New Roman" w:hAnsi="Times New Roman" w:cs="Times New Roman" w:eastAsia="Times New Roman" w:hint="default"/>
                <w:sz w:val="18"/>
                <w:szCs w:val="18"/>
              </w:rPr>
            </w:pPr>
            <w:r>
              <w:rPr>
                <w:rFonts w:ascii="Times New Roman"/>
                <w:spacing w:val="-1"/>
                <w:sz w:val="18"/>
              </w:rPr>
              <w:t>-1,813,000.92</w:t>
            </w:r>
          </w:p>
        </w:tc>
        <w:tc>
          <w:tcPr>
            <w:tcW w:w="166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65"/>
              <w:jc w:val="right"/>
              <w:rPr>
                <w:rFonts w:ascii="Times New Roman" w:hAnsi="Times New Roman" w:cs="Times New Roman" w:eastAsia="Times New Roman" w:hint="default"/>
                <w:sz w:val="18"/>
                <w:szCs w:val="18"/>
              </w:rPr>
            </w:pPr>
            <w:r>
              <w:rPr>
                <w:rFonts w:ascii="Times New Roman"/>
                <w:spacing w:val="-1"/>
                <w:sz w:val="18"/>
              </w:rPr>
              <w:t>-1,813,000.92</w:t>
            </w:r>
          </w:p>
        </w:tc>
      </w:tr>
      <w:tr>
        <w:trPr>
          <w:trHeight w:val="281" w:hRule="exact"/>
        </w:trPr>
        <w:tc>
          <w:tcPr>
            <w:tcW w:w="3702"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43"/>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48"/>
              <w:jc w:val="right"/>
              <w:rPr>
                <w:rFonts w:ascii="Times New Roman" w:hAnsi="Times New Roman" w:cs="Times New Roman" w:eastAsia="Times New Roman" w:hint="default"/>
                <w:sz w:val="18"/>
                <w:szCs w:val="18"/>
              </w:rPr>
            </w:pPr>
            <w:r>
              <w:rPr>
                <w:rFonts w:ascii="Times New Roman"/>
                <w:sz w:val="18"/>
              </w:rPr>
              <w:t>-</w:t>
            </w:r>
          </w:p>
        </w:tc>
        <w:tc>
          <w:tcPr>
            <w:tcW w:w="11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5"/>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03" w:right="0"/>
              <w:jc w:val="center"/>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2"/>
              <w:jc w:val="right"/>
              <w:rPr>
                <w:rFonts w:ascii="Times New Roman" w:hAnsi="Times New Roman" w:cs="Times New Roman" w:eastAsia="Times New Roman" w:hint="default"/>
                <w:sz w:val="18"/>
                <w:szCs w:val="18"/>
              </w:rPr>
            </w:pPr>
            <w:r>
              <w:rPr>
                <w:rFonts w:ascii="Times New Roman"/>
                <w:sz w:val="18"/>
              </w:rPr>
              <w:t>-</w:t>
            </w:r>
          </w:p>
        </w:tc>
        <w:tc>
          <w:tcPr>
            <w:tcW w:w="166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90"/>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3702"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43"/>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48"/>
              <w:jc w:val="right"/>
              <w:rPr>
                <w:rFonts w:ascii="Times New Roman" w:hAnsi="Times New Roman" w:cs="Times New Roman" w:eastAsia="Times New Roman" w:hint="default"/>
                <w:sz w:val="18"/>
                <w:szCs w:val="18"/>
              </w:rPr>
            </w:pPr>
            <w:r>
              <w:rPr>
                <w:rFonts w:ascii="Times New Roman"/>
                <w:sz w:val="18"/>
              </w:rPr>
              <w:t>-</w:t>
            </w:r>
          </w:p>
        </w:tc>
        <w:tc>
          <w:tcPr>
            <w:tcW w:w="11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5"/>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03" w:right="0"/>
              <w:jc w:val="center"/>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2"/>
              <w:jc w:val="right"/>
              <w:rPr>
                <w:rFonts w:ascii="Times New Roman" w:hAnsi="Times New Roman" w:cs="Times New Roman" w:eastAsia="Times New Roman" w:hint="default"/>
                <w:sz w:val="18"/>
                <w:szCs w:val="18"/>
              </w:rPr>
            </w:pPr>
            <w:r>
              <w:rPr>
                <w:rFonts w:ascii="Times New Roman"/>
                <w:sz w:val="18"/>
              </w:rPr>
              <w:t>-</w:t>
            </w:r>
          </w:p>
        </w:tc>
        <w:tc>
          <w:tcPr>
            <w:tcW w:w="166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90"/>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3702"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43"/>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48"/>
              <w:jc w:val="right"/>
              <w:rPr>
                <w:rFonts w:ascii="Times New Roman" w:hAnsi="Times New Roman" w:cs="Times New Roman" w:eastAsia="Times New Roman" w:hint="default"/>
                <w:sz w:val="18"/>
                <w:szCs w:val="18"/>
              </w:rPr>
            </w:pPr>
            <w:r>
              <w:rPr>
                <w:rFonts w:ascii="Times New Roman"/>
                <w:sz w:val="18"/>
              </w:rPr>
              <w:t>-</w:t>
            </w:r>
          </w:p>
        </w:tc>
        <w:tc>
          <w:tcPr>
            <w:tcW w:w="11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5"/>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03" w:right="0"/>
              <w:jc w:val="center"/>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2"/>
              <w:jc w:val="right"/>
              <w:rPr>
                <w:rFonts w:ascii="Times New Roman" w:hAnsi="Times New Roman" w:cs="Times New Roman" w:eastAsia="Times New Roman" w:hint="default"/>
                <w:sz w:val="18"/>
                <w:szCs w:val="18"/>
              </w:rPr>
            </w:pPr>
            <w:r>
              <w:rPr>
                <w:rFonts w:ascii="Times New Roman"/>
                <w:sz w:val="18"/>
              </w:rPr>
              <w:t>-</w:t>
            </w:r>
          </w:p>
        </w:tc>
        <w:tc>
          <w:tcPr>
            <w:tcW w:w="166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90"/>
              <w:jc w:val="right"/>
              <w:rPr>
                <w:rFonts w:ascii="Times New Roman" w:hAnsi="Times New Roman" w:cs="Times New Roman" w:eastAsia="Times New Roman" w:hint="default"/>
                <w:sz w:val="18"/>
                <w:szCs w:val="18"/>
              </w:rPr>
            </w:pPr>
            <w:r>
              <w:rPr>
                <w:rFonts w:ascii="Times New Roman"/>
                <w:sz w:val="18"/>
              </w:rPr>
              <w:t>-</w:t>
            </w:r>
          </w:p>
        </w:tc>
      </w:tr>
      <w:tr>
        <w:trPr>
          <w:trHeight w:val="281" w:hRule="exact"/>
        </w:trPr>
        <w:tc>
          <w:tcPr>
            <w:tcW w:w="3702"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43"/>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48"/>
              <w:jc w:val="right"/>
              <w:rPr>
                <w:rFonts w:ascii="Times New Roman" w:hAnsi="Times New Roman" w:cs="Times New Roman" w:eastAsia="Times New Roman" w:hint="default"/>
                <w:sz w:val="18"/>
                <w:szCs w:val="18"/>
              </w:rPr>
            </w:pPr>
            <w:r>
              <w:rPr>
                <w:rFonts w:ascii="Times New Roman"/>
                <w:sz w:val="18"/>
              </w:rPr>
              <w:t>-</w:t>
            </w:r>
          </w:p>
        </w:tc>
        <w:tc>
          <w:tcPr>
            <w:tcW w:w="11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5"/>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03" w:right="0"/>
              <w:jc w:val="center"/>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2"/>
              <w:jc w:val="right"/>
              <w:rPr>
                <w:rFonts w:ascii="Times New Roman" w:hAnsi="Times New Roman" w:cs="Times New Roman" w:eastAsia="Times New Roman" w:hint="default"/>
                <w:sz w:val="18"/>
                <w:szCs w:val="18"/>
              </w:rPr>
            </w:pPr>
            <w:r>
              <w:rPr>
                <w:rFonts w:ascii="Times New Roman"/>
                <w:sz w:val="18"/>
              </w:rPr>
              <w:t>-</w:t>
            </w:r>
          </w:p>
        </w:tc>
        <w:tc>
          <w:tcPr>
            <w:tcW w:w="166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90"/>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3702"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43"/>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48"/>
              <w:jc w:val="right"/>
              <w:rPr>
                <w:rFonts w:ascii="Times New Roman" w:hAnsi="Times New Roman" w:cs="Times New Roman" w:eastAsia="Times New Roman" w:hint="default"/>
                <w:sz w:val="18"/>
                <w:szCs w:val="18"/>
              </w:rPr>
            </w:pPr>
            <w:r>
              <w:rPr>
                <w:rFonts w:ascii="Times New Roman"/>
                <w:sz w:val="18"/>
              </w:rPr>
              <w:t>-</w:t>
            </w:r>
          </w:p>
        </w:tc>
        <w:tc>
          <w:tcPr>
            <w:tcW w:w="11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5"/>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03" w:right="0"/>
              <w:jc w:val="center"/>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2"/>
              <w:jc w:val="right"/>
              <w:rPr>
                <w:rFonts w:ascii="Times New Roman" w:hAnsi="Times New Roman" w:cs="Times New Roman" w:eastAsia="Times New Roman" w:hint="default"/>
                <w:sz w:val="18"/>
                <w:szCs w:val="18"/>
              </w:rPr>
            </w:pPr>
            <w:r>
              <w:rPr>
                <w:rFonts w:ascii="Times New Roman"/>
                <w:sz w:val="18"/>
              </w:rPr>
              <w:t>-</w:t>
            </w:r>
          </w:p>
        </w:tc>
        <w:tc>
          <w:tcPr>
            <w:tcW w:w="166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90"/>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3702"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43"/>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48"/>
              <w:jc w:val="right"/>
              <w:rPr>
                <w:rFonts w:ascii="Times New Roman" w:hAnsi="Times New Roman" w:cs="Times New Roman" w:eastAsia="Times New Roman" w:hint="default"/>
                <w:sz w:val="18"/>
                <w:szCs w:val="18"/>
              </w:rPr>
            </w:pPr>
            <w:r>
              <w:rPr>
                <w:rFonts w:ascii="Times New Roman"/>
                <w:sz w:val="18"/>
              </w:rPr>
              <w:t>-</w:t>
            </w:r>
          </w:p>
        </w:tc>
        <w:tc>
          <w:tcPr>
            <w:tcW w:w="11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0"/>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55"/>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5"/>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03" w:right="0"/>
              <w:jc w:val="center"/>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2"/>
              <w:jc w:val="right"/>
              <w:rPr>
                <w:rFonts w:ascii="Times New Roman" w:hAnsi="Times New Roman" w:cs="Times New Roman" w:eastAsia="Times New Roman" w:hint="default"/>
                <w:sz w:val="18"/>
                <w:szCs w:val="18"/>
              </w:rPr>
            </w:pPr>
            <w:r>
              <w:rPr>
                <w:rFonts w:ascii="Times New Roman"/>
                <w:sz w:val="18"/>
              </w:rPr>
              <w:t>-</w:t>
            </w:r>
          </w:p>
        </w:tc>
        <w:tc>
          <w:tcPr>
            <w:tcW w:w="166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90"/>
              <w:jc w:val="right"/>
              <w:rPr>
                <w:rFonts w:ascii="Times New Roman" w:hAnsi="Times New Roman" w:cs="Times New Roman" w:eastAsia="Times New Roman" w:hint="default"/>
                <w:sz w:val="18"/>
                <w:szCs w:val="18"/>
              </w:rPr>
            </w:pPr>
            <w:r>
              <w:rPr>
                <w:rFonts w:ascii="Times New Roman"/>
                <w:sz w:val="18"/>
              </w:rPr>
              <w:t>-</w:t>
            </w:r>
          </w:p>
        </w:tc>
      </w:tr>
      <w:tr>
        <w:trPr>
          <w:trHeight w:val="281" w:hRule="exact"/>
        </w:trPr>
        <w:tc>
          <w:tcPr>
            <w:tcW w:w="3702"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17"/>
              <w:jc w:val="right"/>
              <w:rPr>
                <w:rFonts w:ascii="Times New Roman" w:hAnsi="Times New Roman" w:cs="Times New Roman" w:eastAsia="Times New Roman" w:hint="default"/>
                <w:sz w:val="18"/>
                <w:szCs w:val="18"/>
              </w:rPr>
            </w:pPr>
            <w:r>
              <w:rPr>
                <w:rFonts w:ascii="Times New Roman"/>
                <w:spacing w:val="-1"/>
                <w:sz w:val="18"/>
              </w:rPr>
              <w:t>469,593,364.00</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98" w:right="0"/>
              <w:jc w:val="left"/>
              <w:rPr>
                <w:rFonts w:ascii="Times New Roman" w:hAnsi="Times New Roman" w:cs="Times New Roman" w:eastAsia="Times New Roman" w:hint="default"/>
                <w:sz w:val="18"/>
                <w:szCs w:val="18"/>
              </w:rPr>
            </w:pPr>
            <w:r>
              <w:rPr>
                <w:rFonts w:ascii="Times New Roman"/>
                <w:sz w:val="18"/>
              </w:rPr>
              <w:t>485,468,348.31</w:t>
            </w:r>
          </w:p>
        </w:tc>
        <w:tc>
          <w:tcPr>
            <w:tcW w:w="11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1"/>
              <w:jc w:val="right"/>
              <w:rPr>
                <w:rFonts w:ascii="Times New Roman" w:hAnsi="Times New Roman" w:cs="Times New Roman" w:eastAsia="Times New Roman" w:hint="default"/>
                <w:sz w:val="18"/>
                <w:szCs w:val="18"/>
              </w:rPr>
            </w:pPr>
            <w:r>
              <w:rPr>
                <w:rFonts w:ascii="Times New Roman"/>
                <w:sz w:val="18"/>
              </w:rPr>
              <w:t>-</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49" w:right="0"/>
              <w:jc w:val="left"/>
              <w:rPr>
                <w:rFonts w:ascii="Times New Roman" w:hAnsi="Times New Roman" w:cs="Times New Roman" w:eastAsia="Times New Roman" w:hint="default"/>
                <w:sz w:val="18"/>
                <w:szCs w:val="18"/>
              </w:rPr>
            </w:pPr>
            <w:r>
              <w:rPr>
                <w:rFonts w:ascii="Times New Roman"/>
                <w:sz w:val="18"/>
              </w:rPr>
              <w:t>212,430,339.50</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-343,040,963.43</w:t>
            </w:r>
          </w:p>
        </w:tc>
        <w:tc>
          <w:tcPr>
            <w:tcW w:w="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02" w:right="0"/>
              <w:jc w:val="center"/>
              <w:rPr>
                <w:rFonts w:ascii="Times New Roman" w:hAnsi="Times New Roman" w:cs="Times New Roman" w:eastAsia="Times New Roman" w:hint="default"/>
                <w:sz w:val="18"/>
                <w:szCs w:val="18"/>
              </w:rPr>
            </w:pPr>
            <w:r>
              <w:rPr>
                <w:rFonts w:ascii="Times New Roman"/>
                <w:sz w:val="18"/>
              </w:rPr>
              <w:t>-</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96"/>
              <w:jc w:val="right"/>
              <w:rPr>
                <w:rFonts w:ascii="Times New Roman" w:hAnsi="Times New Roman" w:cs="Times New Roman" w:eastAsia="Times New Roman" w:hint="default"/>
                <w:sz w:val="18"/>
                <w:szCs w:val="18"/>
              </w:rPr>
            </w:pPr>
            <w:r>
              <w:rPr>
                <w:rFonts w:ascii="Times New Roman"/>
                <w:spacing w:val="-1"/>
                <w:sz w:val="18"/>
              </w:rPr>
              <w:t>130,587,268.13</w:t>
            </w:r>
          </w:p>
        </w:tc>
        <w:tc>
          <w:tcPr>
            <w:tcW w:w="166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64"/>
              <w:jc w:val="right"/>
              <w:rPr>
                <w:rFonts w:ascii="Times New Roman" w:hAnsi="Times New Roman" w:cs="Times New Roman" w:eastAsia="Times New Roman" w:hint="default"/>
                <w:sz w:val="18"/>
                <w:szCs w:val="18"/>
              </w:rPr>
            </w:pPr>
            <w:r>
              <w:rPr>
                <w:rFonts w:ascii="Times New Roman"/>
                <w:spacing w:val="-1"/>
                <w:sz w:val="18"/>
              </w:rPr>
              <w:t>955,038,356.51</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tabs>
          <w:tab w:pos="6307" w:val="left" w:leader="none"/>
          <w:tab w:pos="12794" w:val="left" w:leader="none"/>
        </w:tabs>
        <w:spacing w:line="240" w:lineRule="auto" w:before="35"/>
        <w:ind w:left="134" w:right="0"/>
        <w:jc w:val="left"/>
      </w:pPr>
      <w:r>
        <w:rPr>
          <w:spacing w:val="-3"/>
        </w:rPr>
        <w:t>法定代表人：陈泰泉</w:t>
        <w:tab/>
      </w:r>
      <w:r>
        <w:rPr>
          <w:spacing w:val="-2"/>
        </w:rPr>
        <w:t>主管会计工作负责人：钟民</w:t>
        <w:tab/>
      </w:r>
      <w:r>
        <w:rPr>
          <w:spacing w:val="-3"/>
        </w:rPr>
        <w:t>会计机构负责人：钟民</w:t>
      </w:r>
    </w:p>
    <w:p>
      <w:pPr>
        <w:spacing w:after="0" w:line="240" w:lineRule="auto"/>
        <w:jc w:val="left"/>
        <w:sectPr>
          <w:pgSz w:w="16840" w:h="11900" w:orient="landscape"/>
          <w:pgMar w:header="0" w:footer="974" w:top="1100" w:bottom="1160" w:left="860" w:right="920"/>
        </w:sectPr>
      </w:pPr>
    </w:p>
    <w:p>
      <w:pPr>
        <w:pStyle w:val="Heading1"/>
        <w:spacing w:line="399" w:lineRule="exact"/>
        <w:ind w:left="18" w:right="0"/>
        <w:jc w:val="center"/>
      </w:pPr>
      <w:r>
        <w:rPr/>
        <w:t>母公司所有者权益变动表</w:t>
      </w:r>
    </w:p>
    <w:p>
      <w:pPr>
        <w:pStyle w:val="BodyText"/>
        <w:spacing w:line="240" w:lineRule="auto" w:before="14"/>
        <w:ind w:left="16" w:right="0"/>
        <w:jc w:val="center"/>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w:t>
      </w:r>
    </w:p>
    <w:p>
      <w:pPr>
        <w:pStyle w:val="BodyText"/>
        <w:tabs>
          <w:tab w:pos="11837" w:val="left" w:leader="none"/>
        </w:tabs>
        <w:spacing w:line="240" w:lineRule="auto" w:before="70"/>
        <w:ind w:left="16" w:right="0"/>
        <w:jc w:val="center"/>
      </w:pPr>
      <w:r>
        <w:rPr>
          <w:spacing w:val="-3"/>
        </w:rPr>
        <w:t>编制单位：</w:t>
      </w:r>
      <w:r>
        <w:rPr>
          <w:spacing w:val="-3"/>
          <w:u w:val="single" w:color="000000"/>
        </w:rPr>
        <w:t>深圳市鸿基（集团）股份有限公司</w:t>
      </w:r>
      <w:r>
        <w:rPr>
          <w:spacing w:val="-3"/>
        </w:rPr>
        <w:tab/>
      </w:r>
      <w:r>
        <w:rPr>
          <w:spacing w:val="-4"/>
        </w:rPr>
        <w:t>单位：元</w:t>
      </w:r>
      <w:r>
        <w:rPr>
          <w:spacing w:val="5"/>
        </w:rPr>
        <w:t> </w:t>
      </w:r>
      <w:r>
        <w:rPr>
          <w:spacing w:val="-3"/>
        </w:rPr>
        <w:t>币种：人民币</w:t>
      </w:r>
    </w:p>
    <w:p>
      <w:pPr>
        <w:spacing w:line="240" w:lineRule="auto" w:before="5"/>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4831"/>
        <w:gridCol w:w="1843"/>
        <w:gridCol w:w="1470"/>
        <w:gridCol w:w="1204"/>
        <w:gridCol w:w="1470"/>
        <w:gridCol w:w="1682"/>
        <w:gridCol w:w="1732"/>
      </w:tblGrid>
      <w:tr>
        <w:trPr>
          <w:trHeight w:val="280" w:hRule="exact"/>
        </w:trPr>
        <w:tc>
          <w:tcPr>
            <w:tcW w:w="4831" w:type="dxa"/>
            <w:vMerge w:val="restart"/>
            <w:tcBorders>
              <w:top w:val="single" w:sz="8" w:space="0" w:color="000000"/>
              <w:left w:val="nil" w:sz="6" w:space="0" w:color="auto"/>
              <w:right w:val="single" w:sz="8"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401" w:type="dxa"/>
            <w:gridSpan w:val="6"/>
            <w:tcBorders>
              <w:top w:val="single" w:sz="8" w:space="0" w:color="000000"/>
              <w:left w:val="single" w:sz="8" w:space="0" w:color="000000"/>
              <w:bottom w:val="single" w:sz="8" w:space="0" w:color="000000"/>
              <w:right w:val="nil" w:sz="6" w:space="0" w:color="auto"/>
            </w:tcBorders>
          </w:tcPr>
          <w:p>
            <w:pPr>
              <w:pStyle w:val="TableParagraph"/>
              <w:spacing w:line="233" w:lineRule="exact"/>
              <w:ind w:right="7"/>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560" w:hRule="exact"/>
        </w:trPr>
        <w:tc>
          <w:tcPr>
            <w:tcW w:w="4831" w:type="dxa"/>
            <w:vMerge/>
            <w:tcBorders>
              <w:left w:val="nil" w:sz="6" w:space="0" w:color="auto"/>
              <w:bottom w:val="single" w:sz="8" w:space="0" w:color="000000"/>
              <w:right w:val="single" w:sz="8" w:space="0" w:color="000000"/>
            </w:tcBorders>
          </w:tcPr>
          <w:p>
            <w:pP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551"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44"/>
              <w:ind w:left="461"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left="36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left="14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left="36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left="38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7"/>
              <w:ind w:right="234"/>
              <w:jc w:val="righ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80" w:hRule="exact"/>
        </w:trPr>
        <w:tc>
          <w:tcPr>
            <w:tcW w:w="4831"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2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36"/>
              <w:jc w:val="right"/>
              <w:rPr>
                <w:rFonts w:ascii="Times New Roman" w:hAnsi="Times New Roman" w:cs="Times New Roman" w:eastAsia="Times New Roman" w:hint="default"/>
                <w:sz w:val="18"/>
                <w:szCs w:val="18"/>
              </w:rPr>
            </w:pPr>
            <w:r>
              <w:rPr>
                <w:rFonts w:ascii="Times New Roman"/>
                <w:spacing w:val="-1"/>
                <w:sz w:val="18"/>
              </w:rPr>
              <w:t>469,593,364.00</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95"/>
              <w:jc w:val="right"/>
              <w:rPr>
                <w:rFonts w:ascii="Times New Roman" w:hAnsi="Times New Roman" w:cs="Times New Roman" w:eastAsia="Times New Roman" w:hint="default"/>
                <w:sz w:val="18"/>
                <w:szCs w:val="18"/>
              </w:rPr>
            </w:pPr>
            <w:r>
              <w:rPr>
                <w:rFonts w:ascii="Times New Roman"/>
                <w:spacing w:val="-1"/>
                <w:sz w:val="18"/>
              </w:rPr>
              <w:t>416,864,723.84</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73" w:right="0"/>
              <w:jc w:val="lef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spacing w:val="-1"/>
                <w:sz w:val="18"/>
              </w:rPr>
              <w:t>196,990,878.50</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69"/>
              <w:jc w:val="right"/>
              <w:rPr>
                <w:rFonts w:ascii="Times New Roman" w:hAnsi="Times New Roman" w:cs="Times New Roman" w:eastAsia="Times New Roman" w:hint="default"/>
                <w:sz w:val="18"/>
                <w:szCs w:val="18"/>
              </w:rPr>
            </w:pPr>
            <w:r>
              <w:rPr>
                <w:rFonts w:ascii="Times New Roman"/>
                <w:spacing w:val="-1"/>
                <w:sz w:val="18"/>
              </w:rPr>
              <w:t>-492,743,542.83</w:t>
            </w:r>
          </w:p>
        </w:tc>
        <w:tc>
          <w:tcPr>
            <w:tcW w:w="17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88"/>
              <w:jc w:val="right"/>
              <w:rPr>
                <w:rFonts w:ascii="Times New Roman" w:hAnsi="Times New Roman" w:cs="Times New Roman" w:eastAsia="Times New Roman" w:hint="default"/>
                <w:sz w:val="18"/>
                <w:szCs w:val="18"/>
              </w:rPr>
            </w:pPr>
            <w:r>
              <w:rPr>
                <w:rFonts w:ascii="Times New Roman"/>
                <w:spacing w:val="-1"/>
                <w:sz w:val="18"/>
              </w:rPr>
              <w:t>590,705,423.51</w:t>
            </w:r>
          </w:p>
        </w:tc>
      </w:tr>
      <w:tr>
        <w:trPr>
          <w:trHeight w:val="280" w:hRule="exact"/>
        </w:trPr>
        <w:tc>
          <w:tcPr>
            <w:tcW w:w="4831"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0"/>
              <w:jc w:val="righ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20"/>
              <w:jc w:val="right"/>
              <w:rPr>
                <w:rFonts w:ascii="Times New Roman" w:hAnsi="Times New Roman" w:cs="Times New Roman" w:eastAsia="Times New Roman" w:hint="default"/>
                <w:sz w:val="18"/>
                <w:szCs w:val="18"/>
              </w:rPr>
            </w:pPr>
            <w:r>
              <w:rPr>
                <w:rFonts w:ascii="Times New Roman"/>
                <w:sz w:val="18"/>
              </w:rPr>
              <w:t>-</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73" w:right="0"/>
              <w:jc w:val="lef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2"/>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95"/>
              <w:jc w:val="right"/>
              <w:rPr>
                <w:rFonts w:ascii="Times New Roman" w:hAnsi="Times New Roman" w:cs="Times New Roman" w:eastAsia="Times New Roman" w:hint="default"/>
                <w:sz w:val="18"/>
                <w:szCs w:val="18"/>
              </w:rPr>
            </w:pPr>
            <w:r>
              <w:rPr>
                <w:rFonts w:ascii="Times New Roman"/>
                <w:sz w:val="18"/>
              </w:rPr>
              <w:t>-</w:t>
            </w:r>
          </w:p>
        </w:tc>
        <w:tc>
          <w:tcPr>
            <w:tcW w:w="17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413"/>
              <w:jc w:val="right"/>
              <w:rPr>
                <w:rFonts w:ascii="Times New Roman" w:hAnsi="Times New Roman" w:cs="Times New Roman" w:eastAsia="Times New Roman" w:hint="default"/>
                <w:sz w:val="18"/>
                <w:szCs w:val="18"/>
              </w:rPr>
            </w:pPr>
            <w:r>
              <w:rPr>
                <w:rFonts w:ascii="Times New Roman"/>
                <w:sz w:val="18"/>
              </w:rPr>
              <w:t>-</w:t>
            </w:r>
          </w:p>
        </w:tc>
      </w:tr>
      <w:tr>
        <w:trPr>
          <w:trHeight w:val="281" w:hRule="exact"/>
        </w:trPr>
        <w:tc>
          <w:tcPr>
            <w:tcW w:w="4831"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0"/>
              <w:jc w:val="righ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20"/>
              <w:jc w:val="right"/>
              <w:rPr>
                <w:rFonts w:ascii="Times New Roman" w:hAnsi="Times New Roman" w:cs="Times New Roman" w:eastAsia="Times New Roman" w:hint="default"/>
                <w:sz w:val="18"/>
                <w:szCs w:val="18"/>
              </w:rPr>
            </w:pPr>
            <w:r>
              <w:rPr>
                <w:rFonts w:ascii="Times New Roman"/>
                <w:sz w:val="18"/>
              </w:rPr>
              <w:t>-</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73" w:right="0"/>
              <w:jc w:val="lef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2"/>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95"/>
              <w:jc w:val="right"/>
              <w:rPr>
                <w:rFonts w:ascii="Times New Roman" w:hAnsi="Times New Roman" w:cs="Times New Roman" w:eastAsia="Times New Roman" w:hint="default"/>
                <w:sz w:val="18"/>
                <w:szCs w:val="18"/>
              </w:rPr>
            </w:pPr>
            <w:r>
              <w:rPr>
                <w:rFonts w:ascii="Times New Roman"/>
                <w:sz w:val="18"/>
              </w:rPr>
              <w:t>-</w:t>
            </w:r>
          </w:p>
        </w:tc>
        <w:tc>
          <w:tcPr>
            <w:tcW w:w="17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413"/>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4831"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0"/>
              <w:jc w:val="righ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20"/>
              <w:jc w:val="right"/>
              <w:rPr>
                <w:rFonts w:ascii="Times New Roman" w:hAnsi="Times New Roman" w:cs="Times New Roman" w:eastAsia="Times New Roman" w:hint="default"/>
                <w:sz w:val="18"/>
                <w:szCs w:val="18"/>
              </w:rPr>
            </w:pPr>
            <w:r>
              <w:rPr>
                <w:rFonts w:ascii="Times New Roman"/>
                <w:sz w:val="18"/>
              </w:rPr>
              <w:t>-</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73" w:right="0"/>
              <w:jc w:val="lef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2"/>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95"/>
              <w:jc w:val="right"/>
              <w:rPr>
                <w:rFonts w:ascii="Times New Roman" w:hAnsi="Times New Roman" w:cs="Times New Roman" w:eastAsia="Times New Roman" w:hint="default"/>
                <w:sz w:val="18"/>
                <w:szCs w:val="18"/>
              </w:rPr>
            </w:pPr>
            <w:r>
              <w:rPr>
                <w:rFonts w:ascii="Times New Roman"/>
                <w:sz w:val="18"/>
              </w:rPr>
              <w:t>-</w:t>
            </w:r>
          </w:p>
        </w:tc>
        <w:tc>
          <w:tcPr>
            <w:tcW w:w="17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413"/>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4831"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2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36"/>
              <w:jc w:val="right"/>
              <w:rPr>
                <w:rFonts w:ascii="Times New Roman" w:hAnsi="Times New Roman" w:cs="Times New Roman" w:eastAsia="Times New Roman" w:hint="default"/>
                <w:sz w:val="18"/>
                <w:szCs w:val="18"/>
              </w:rPr>
            </w:pPr>
            <w:r>
              <w:rPr>
                <w:rFonts w:ascii="Times New Roman"/>
                <w:spacing w:val="-1"/>
                <w:sz w:val="18"/>
              </w:rPr>
              <w:t>469,593,364.00</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95"/>
              <w:jc w:val="right"/>
              <w:rPr>
                <w:rFonts w:ascii="Times New Roman" w:hAnsi="Times New Roman" w:cs="Times New Roman" w:eastAsia="Times New Roman" w:hint="default"/>
                <w:sz w:val="18"/>
                <w:szCs w:val="18"/>
              </w:rPr>
            </w:pPr>
            <w:r>
              <w:rPr>
                <w:rFonts w:ascii="Times New Roman"/>
                <w:spacing w:val="-1"/>
                <w:sz w:val="18"/>
              </w:rPr>
              <w:t>416,864,723.84</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73" w:right="0"/>
              <w:jc w:val="lef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spacing w:val="-1"/>
                <w:sz w:val="18"/>
              </w:rPr>
              <w:t>196,990,878.50</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69"/>
              <w:jc w:val="right"/>
              <w:rPr>
                <w:rFonts w:ascii="Times New Roman" w:hAnsi="Times New Roman" w:cs="Times New Roman" w:eastAsia="Times New Roman" w:hint="default"/>
                <w:sz w:val="18"/>
                <w:szCs w:val="18"/>
              </w:rPr>
            </w:pPr>
            <w:r>
              <w:rPr>
                <w:rFonts w:ascii="Times New Roman"/>
                <w:spacing w:val="-1"/>
                <w:sz w:val="18"/>
              </w:rPr>
              <w:t>-492,743,542.83</w:t>
            </w:r>
          </w:p>
        </w:tc>
        <w:tc>
          <w:tcPr>
            <w:tcW w:w="17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88"/>
              <w:jc w:val="right"/>
              <w:rPr>
                <w:rFonts w:ascii="Times New Roman" w:hAnsi="Times New Roman" w:cs="Times New Roman" w:eastAsia="Times New Roman" w:hint="default"/>
                <w:sz w:val="18"/>
                <w:szCs w:val="18"/>
              </w:rPr>
            </w:pPr>
            <w:r>
              <w:rPr>
                <w:rFonts w:ascii="Times New Roman"/>
                <w:spacing w:val="-1"/>
                <w:sz w:val="18"/>
              </w:rPr>
              <w:t>590,705,423.51</w:t>
            </w:r>
          </w:p>
        </w:tc>
      </w:tr>
      <w:tr>
        <w:trPr>
          <w:trHeight w:val="281" w:hRule="exact"/>
        </w:trPr>
        <w:tc>
          <w:tcPr>
            <w:tcW w:w="4831"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212"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三、本期增减变动金额（减少以“－”号填列）</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0"/>
              <w:jc w:val="righ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95"/>
              <w:jc w:val="right"/>
              <w:rPr>
                <w:rFonts w:ascii="Times New Roman" w:hAnsi="Times New Roman" w:cs="Times New Roman" w:eastAsia="Times New Roman" w:hint="default"/>
                <w:sz w:val="18"/>
                <w:szCs w:val="18"/>
              </w:rPr>
            </w:pPr>
            <w:r>
              <w:rPr>
                <w:rFonts w:ascii="Times New Roman"/>
                <w:spacing w:val="-1"/>
                <w:sz w:val="18"/>
              </w:rPr>
              <w:t>13,139,854.68</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73" w:right="0"/>
              <w:jc w:val="lef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3"/>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69"/>
              <w:jc w:val="right"/>
              <w:rPr>
                <w:rFonts w:ascii="Times New Roman" w:hAnsi="Times New Roman" w:cs="Times New Roman" w:eastAsia="Times New Roman" w:hint="default"/>
                <w:sz w:val="18"/>
                <w:szCs w:val="18"/>
              </w:rPr>
            </w:pPr>
            <w:r>
              <w:rPr>
                <w:rFonts w:ascii="Times New Roman"/>
                <w:spacing w:val="-1"/>
                <w:sz w:val="18"/>
              </w:rPr>
              <w:t>101,165,458.31</w:t>
            </w:r>
          </w:p>
        </w:tc>
        <w:tc>
          <w:tcPr>
            <w:tcW w:w="17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88"/>
              <w:jc w:val="right"/>
              <w:rPr>
                <w:rFonts w:ascii="Times New Roman" w:hAnsi="Times New Roman" w:cs="Times New Roman" w:eastAsia="Times New Roman" w:hint="default"/>
                <w:sz w:val="18"/>
                <w:szCs w:val="18"/>
              </w:rPr>
            </w:pPr>
            <w:r>
              <w:rPr>
                <w:rFonts w:ascii="Times New Roman"/>
                <w:spacing w:val="-1"/>
                <w:sz w:val="18"/>
              </w:rPr>
              <w:t>114,305,312.99</w:t>
            </w:r>
          </w:p>
        </w:tc>
      </w:tr>
      <w:tr>
        <w:trPr>
          <w:trHeight w:val="280" w:hRule="exact"/>
        </w:trPr>
        <w:tc>
          <w:tcPr>
            <w:tcW w:w="4831"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0"/>
              <w:jc w:val="righ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20"/>
              <w:jc w:val="right"/>
              <w:rPr>
                <w:rFonts w:ascii="Times New Roman" w:hAnsi="Times New Roman" w:cs="Times New Roman" w:eastAsia="Times New Roman" w:hint="default"/>
                <w:sz w:val="18"/>
                <w:szCs w:val="18"/>
              </w:rPr>
            </w:pPr>
            <w:r>
              <w:rPr>
                <w:rFonts w:ascii="Times New Roman"/>
                <w:sz w:val="18"/>
              </w:rPr>
              <w:t>-</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74" w:right="0"/>
              <w:jc w:val="lef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2"/>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69"/>
              <w:jc w:val="right"/>
              <w:rPr>
                <w:rFonts w:ascii="Times New Roman" w:hAnsi="Times New Roman" w:cs="Times New Roman" w:eastAsia="Times New Roman" w:hint="default"/>
                <w:sz w:val="18"/>
                <w:szCs w:val="18"/>
              </w:rPr>
            </w:pPr>
            <w:r>
              <w:rPr>
                <w:rFonts w:ascii="Times New Roman"/>
                <w:spacing w:val="-1"/>
                <w:sz w:val="18"/>
              </w:rPr>
              <w:t>101,165,458.31</w:t>
            </w:r>
          </w:p>
        </w:tc>
        <w:tc>
          <w:tcPr>
            <w:tcW w:w="17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87"/>
              <w:jc w:val="right"/>
              <w:rPr>
                <w:rFonts w:ascii="Times New Roman" w:hAnsi="Times New Roman" w:cs="Times New Roman" w:eastAsia="Times New Roman" w:hint="default"/>
                <w:sz w:val="18"/>
                <w:szCs w:val="18"/>
              </w:rPr>
            </w:pPr>
            <w:r>
              <w:rPr>
                <w:rFonts w:ascii="Times New Roman"/>
                <w:spacing w:val="-1"/>
                <w:sz w:val="18"/>
              </w:rPr>
              <w:t>101,165,458.31</w:t>
            </w:r>
          </w:p>
        </w:tc>
      </w:tr>
      <w:tr>
        <w:trPr>
          <w:trHeight w:val="280" w:hRule="exact"/>
        </w:trPr>
        <w:tc>
          <w:tcPr>
            <w:tcW w:w="4831"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0"/>
              <w:jc w:val="righ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95"/>
              <w:jc w:val="right"/>
              <w:rPr>
                <w:rFonts w:ascii="Times New Roman" w:hAnsi="Times New Roman" w:cs="Times New Roman" w:eastAsia="Times New Roman" w:hint="default"/>
                <w:sz w:val="18"/>
                <w:szCs w:val="18"/>
              </w:rPr>
            </w:pPr>
            <w:r>
              <w:rPr>
                <w:rFonts w:ascii="Times New Roman"/>
                <w:spacing w:val="-1"/>
                <w:sz w:val="18"/>
              </w:rPr>
              <w:t>13,139,854.68</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73" w:right="0"/>
              <w:jc w:val="lef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3"/>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95"/>
              <w:jc w:val="right"/>
              <w:rPr>
                <w:rFonts w:ascii="Times New Roman" w:hAnsi="Times New Roman" w:cs="Times New Roman" w:eastAsia="Times New Roman" w:hint="default"/>
                <w:sz w:val="18"/>
                <w:szCs w:val="18"/>
              </w:rPr>
            </w:pPr>
            <w:r>
              <w:rPr>
                <w:rFonts w:ascii="Times New Roman"/>
                <w:sz w:val="18"/>
              </w:rPr>
              <w:t>-</w:t>
            </w:r>
          </w:p>
        </w:tc>
        <w:tc>
          <w:tcPr>
            <w:tcW w:w="17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88"/>
              <w:jc w:val="right"/>
              <w:rPr>
                <w:rFonts w:ascii="Times New Roman" w:hAnsi="Times New Roman" w:cs="Times New Roman" w:eastAsia="Times New Roman" w:hint="default"/>
                <w:sz w:val="18"/>
                <w:szCs w:val="18"/>
              </w:rPr>
            </w:pPr>
            <w:r>
              <w:rPr>
                <w:rFonts w:ascii="Times New Roman"/>
                <w:spacing w:val="-1"/>
                <w:sz w:val="18"/>
              </w:rPr>
              <w:t>13,139,854.68</w:t>
            </w:r>
          </w:p>
        </w:tc>
      </w:tr>
      <w:tr>
        <w:trPr>
          <w:trHeight w:val="281" w:hRule="exact"/>
        </w:trPr>
        <w:tc>
          <w:tcPr>
            <w:tcW w:w="4831"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2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0"/>
              <w:jc w:val="righ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95"/>
              <w:jc w:val="right"/>
              <w:rPr>
                <w:rFonts w:ascii="Times New Roman" w:hAnsi="Times New Roman" w:cs="Times New Roman" w:eastAsia="Times New Roman" w:hint="default"/>
                <w:sz w:val="18"/>
                <w:szCs w:val="18"/>
              </w:rPr>
            </w:pPr>
            <w:r>
              <w:rPr>
                <w:rFonts w:ascii="Times New Roman"/>
                <w:spacing w:val="-1"/>
                <w:sz w:val="18"/>
              </w:rPr>
              <w:t>13,139,854.68</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73" w:right="0"/>
              <w:jc w:val="lef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3"/>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69"/>
              <w:jc w:val="right"/>
              <w:rPr>
                <w:rFonts w:ascii="Times New Roman" w:hAnsi="Times New Roman" w:cs="Times New Roman" w:eastAsia="Times New Roman" w:hint="default"/>
                <w:sz w:val="18"/>
                <w:szCs w:val="18"/>
              </w:rPr>
            </w:pPr>
            <w:r>
              <w:rPr>
                <w:rFonts w:ascii="Times New Roman"/>
                <w:spacing w:val="-1"/>
                <w:sz w:val="18"/>
              </w:rPr>
              <w:t>101,165,458.31</w:t>
            </w:r>
          </w:p>
        </w:tc>
        <w:tc>
          <w:tcPr>
            <w:tcW w:w="17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88"/>
              <w:jc w:val="right"/>
              <w:rPr>
                <w:rFonts w:ascii="Times New Roman" w:hAnsi="Times New Roman" w:cs="Times New Roman" w:eastAsia="Times New Roman" w:hint="default"/>
                <w:sz w:val="18"/>
                <w:szCs w:val="18"/>
              </w:rPr>
            </w:pPr>
            <w:r>
              <w:rPr>
                <w:rFonts w:ascii="Times New Roman"/>
                <w:spacing w:val="-1"/>
                <w:sz w:val="18"/>
              </w:rPr>
              <w:t>114,305,312.99</w:t>
            </w:r>
          </w:p>
        </w:tc>
      </w:tr>
      <w:tr>
        <w:trPr>
          <w:trHeight w:val="280" w:hRule="exact"/>
        </w:trPr>
        <w:tc>
          <w:tcPr>
            <w:tcW w:w="4831"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2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0"/>
              <w:jc w:val="righ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20"/>
              <w:jc w:val="right"/>
              <w:rPr>
                <w:rFonts w:ascii="Times New Roman" w:hAnsi="Times New Roman" w:cs="Times New Roman" w:eastAsia="Times New Roman" w:hint="default"/>
                <w:sz w:val="18"/>
                <w:szCs w:val="18"/>
              </w:rPr>
            </w:pPr>
            <w:r>
              <w:rPr>
                <w:rFonts w:ascii="Times New Roman"/>
                <w:sz w:val="18"/>
              </w:rPr>
              <w:t>-</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73" w:right="0"/>
              <w:jc w:val="lef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2"/>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95"/>
              <w:jc w:val="right"/>
              <w:rPr>
                <w:rFonts w:ascii="Times New Roman" w:hAnsi="Times New Roman" w:cs="Times New Roman" w:eastAsia="Times New Roman" w:hint="default"/>
                <w:sz w:val="18"/>
                <w:szCs w:val="18"/>
              </w:rPr>
            </w:pPr>
            <w:r>
              <w:rPr>
                <w:rFonts w:ascii="Times New Roman"/>
                <w:sz w:val="18"/>
              </w:rPr>
              <w:t>-</w:t>
            </w:r>
          </w:p>
        </w:tc>
        <w:tc>
          <w:tcPr>
            <w:tcW w:w="17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413"/>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4831"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0"/>
              <w:jc w:val="righ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20"/>
              <w:jc w:val="right"/>
              <w:rPr>
                <w:rFonts w:ascii="Times New Roman" w:hAnsi="Times New Roman" w:cs="Times New Roman" w:eastAsia="Times New Roman" w:hint="default"/>
                <w:sz w:val="18"/>
                <w:szCs w:val="18"/>
              </w:rPr>
            </w:pPr>
            <w:r>
              <w:rPr>
                <w:rFonts w:ascii="Times New Roman"/>
                <w:sz w:val="18"/>
              </w:rPr>
              <w:t>-</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73" w:right="0"/>
              <w:jc w:val="lef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2"/>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95"/>
              <w:jc w:val="right"/>
              <w:rPr>
                <w:rFonts w:ascii="Times New Roman" w:hAnsi="Times New Roman" w:cs="Times New Roman" w:eastAsia="Times New Roman" w:hint="default"/>
                <w:sz w:val="18"/>
                <w:szCs w:val="18"/>
              </w:rPr>
            </w:pPr>
            <w:r>
              <w:rPr>
                <w:rFonts w:ascii="Times New Roman"/>
                <w:sz w:val="18"/>
              </w:rPr>
              <w:t>-</w:t>
            </w:r>
          </w:p>
        </w:tc>
        <w:tc>
          <w:tcPr>
            <w:tcW w:w="17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413"/>
              <w:jc w:val="right"/>
              <w:rPr>
                <w:rFonts w:ascii="Times New Roman" w:hAnsi="Times New Roman" w:cs="Times New Roman" w:eastAsia="Times New Roman" w:hint="default"/>
                <w:sz w:val="18"/>
                <w:szCs w:val="18"/>
              </w:rPr>
            </w:pPr>
            <w:r>
              <w:rPr>
                <w:rFonts w:ascii="Times New Roman"/>
                <w:sz w:val="18"/>
              </w:rPr>
              <w:t>-</w:t>
            </w:r>
          </w:p>
        </w:tc>
      </w:tr>
      <w:tr>
        <w:trPr>
          <w:trHeight w:val="281" w:hRule="exact"/>
        </w:trPr>
        <w:tc>
          <w:tcPr>
            <w:tcW w:w="4831"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0"/>
              <w:jc w:val="righ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20"/>
              <w:jc w:val="right"/>
              <w:rPr>
                <w:rFonts w:ascii="Times New Roman" w:hAnsi="Times New Roman" w:cs="Times New Roman" w:eastAsia="Times New Roman" w:hint="default"/>
                <w:sz w:val="18"/>
                <w:szCs w:val="18"/>
              </w:rPr>
            </w:pPr>
            <w:r>
              <w:rPr>
                <w:rFonts w:ascii="Times New Roman"/>
                <w:sz w:val="18"/>
              </w:rPr>
              <w:t>-</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73" w:right="0"/>
              <w:jc w:val="lef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2"/>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95"/>
              <w:jc w:val="right"/>
              <w:rPr>
                <w:rFonts w:ascii="Times New Roman" w:hAnsi="Times New Roman" w:cs="Times New Roman" w:eastAsia="Times New Roman" w:hint="default"/>
                <w:sz w:val="18"/>
                <w:szCs w:val="18"/>
              </w:rPr>
            </w:pPr>
            <w:r>
              <w:rPr>
                <w:rFonts w:ascii="Times New Roman"/>
                <w:sz w:val="18"/>
              </w:rPr>
              <w:t>-</w:t>
            </w:r>
          </w:p>
        </w:tc>
        <w:tc>
          <w:tcPr>
            <w:tcW w:w="17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413"/>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4831"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0"/>
              <w:jc w:val="righ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20"/>
              <w:jc w:val="right"/>
              <w:rPr>
                <w:rFonts w:ascii="Times New Roman" w:hAnsi="Times New Roman" w:cs="Times New Roman" w:eastAsia="Times New Roman" w:hint="default"/>
                <w:sz w:val="18"/>
                <w:szCs w:val="18"/>
              </w:rPr>
            </w:pPr>
            <w:r>
              <w:rPr>
                <w:rFonts w:ascii="Times New Roman"/>
                <w:sz w:val="18"/>
              </w:rPr>
              <w:t>-</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73" w:right="0"/>
              <w:jc w:val="lef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2"/>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95"/>
              <w:jc w:val="right"/>
              <w:rPr>
                <w:rFonts w:ascii="Times New Roman" w:hAnsi="Times New Roman" w:cs="Times New Roman" w:eastAsia="Times New Roman" w:hint="default"/>
                <w:sz w:val="18"/>
                <w:szCs w:val="18"/>
              </w:rPr>
            </w:pPr>
            <w:r>
              <w:rPr>
                <w:rFonts w:ascii="Times New Roman"/>
                <w:sz w:val="18"/>
              </w:rPr>
              <w:t>-</w:t>
            </w:r>
          </w:p>
        </w:tc>
        <w:tc>
          <w:tcPr>
            <w:tcW w:w="17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413"/>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4831"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2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0"/>
              <w:jc w:val="righ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20"/>
              <w:jc w:val="right"/>
              <w:rPr>
                <w:rFonts w:ascii="Times New Roman" w:hAnsi="Times New Roman" w:cs="Times New Roman" w:eastAsia="Times New Roman" w:hint="default"/>
                <w:sz w:val="18"/>
                <w:szCs w:val="18"/>
              </w:rPr>
            </w:pPr>
            <w:r>
              <w:rPr>
                <w:rFonts w:ascii="Times New Roman"/>
                <w:sz w:val="18"/>
              </w:rPr>
              <w:t>-</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73" w:right="0"/>
              <w:jc w:val="lef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2"/>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95"/>
              <w:jc w:val="right"/>
              <w:rPr>
                <w:rFonts w:ascii="Times New Roman" w:hAnsi="Times New Roman" w:cs="Times New Roman" w:eastAsia="Times New Roman" w:hint="default"/>
                <w:sz w:val="18"/>
                <w:szCs w:val="18"/>
              </w:rPr>
            </w:pPr>
            <w:r>
              <w:rPr>
                <w:rFonts w:ascii="Times New Roman"/>
                <w:sz w:val="18"/>
              </w:rPr>
              <w:t>-</w:t>
            </w:r>
          </w:p>
        </w:tc>
        <w:tc>
          <w:tcPr>
            <w:tcW w:w="17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413"/>
              <w:jc w:val="right"/>
              <w:rPr>
                <w:rFonts w:ascii="Times New Roman" w:hAnsi="Times New Roman" w:cs="Times New Roman" w:eastAsia="Times New Roman" w:hint="default"/>
                <w:sz w:val="18"/>
                <w:szCs w:val="18"/>
              </w:rPr>
            </w:pPr>
            <w:r>
              <w:rPr>
                <w:rFonts w:ascii="Times New Roman"/>
                <w:sz w:val="18"/>
              </w:rPr>
              <w:t>-</w:t>
            </w:r>
          </w:p>
        </w:tc>
      </w:tr>
      <w:tr>
        <w:trPr>
          <w:trHeight w:val="281" w:hRule="exact"/>
        </w:trPr>
        <w:tc>
          <w:tcPr>
            <w:tcW w:w="4831" w:type="dxa"/>
            <w:tcBorders>
              <w:top w:val="single" w:sz="8" w:space="0" w:color="000000"/>
              <w:left w:val="nil" w:sz="6" w:space="0" w:color="auto"/>
              <w:bottom w:val="single" w:sz="8" w:space="0" w:color="000000"/>
              <w:right w:val="single" w:sz="8" w:space="0" w:color="000000"/>
            </w:tcBorders>
          </w:tcPr>
          <w:p>
            <w:pPr>
              <w:pStyle w:val="TableParagraph"/>
              <w:spacing w:line="246" w:lineRule="exact"/>
              <w:ind w:left="232" w:right="0"/>
              <w:jc w:val="left"/>
              <w:rPr>
                <w:rFonts w:ascii="宋体" w:hAnsi="宋体" w:cs="宋体" w:eastAsia="宋体" w:hint="default"/>
                <w:sz w:val="18"/>
                <w:szCs w:val="18"/>
              </w:rPr>
            </w:pPr>
            <w:r>
              <w:rPr>
                <w:rFonts w:ascii="Arial" w:hAnsi="Arial" w:cs="Arial" w:eastAsia="Arial" w:hint="default"/>
                <w:spacing w:val="-3"/>
                <w:sz w:val="18"/>
                <w:szCs w:val="18"/>
              </w:rPr>
              <w:t>1</w:t>
            </w:r>
            <w:r>
              <w:rPr>
                <w:rFonts w:ascii="宋体" w:hAnsi="宋体" w:cs="宋体" w:eastAsia="宋体" w:hint="default"/>
                <w:spacing w:val="-3"/>
                <w:sz w:val="18"/>
                <w:szCs w:val="18"/>
              </w:rPr>
              <w:t>．提取盈余公积</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0"/>
              <w:jc w:val="righ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20"/>
              <w:jc w:val="right"/>
              <w:rPr>
                <w:rFonts w:ascii="Times New Roman" w:hAnsi="Times New Roman" w:cs="Times New Roman" w:eastAsia="Times New Roman" w:hint="default"/>
                <w:sz w:val="18"/>
                <w:szCs w:val="18"/>
              </w:rPr>
            </w:pPr>
            <w:r>
              <w:rPr>
                <w:rFonts w:ascii="Times New Roman"/>
                <w:sz w:val="18"/>
              </w:rPr>
              <w:t>-</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73" w:right="0"/>
              <w:jc w:val="lef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2"/>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95"/>
              <w:jc w:val="right"/>
              <w:rPr>
                <w:rFonts w:ascii="Times New Roman" w:hAnsi="Times New Roman" w:cs="Times New Roman" w:eastAsia="Times New Roman" w:hint="default"/>
                <w:sz w:val="18"/>
                <w:szCs w:val="18"/>
              </w:rPr>
            </w:pPr>
            <w:r>
              <w:rPr>
                <w:rFonts w:ascii="Times New Roman"/>
                <w:sz w:val="18"/>
              </w:rPr>
              <w:t>-</w:t>
            </w:r>
          </w:p>
        </w:tc>
        <w:tc>
          <w:tcPr>
            <w:tcW w:w="17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413"/>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4831"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0"/>
              <w:jc w:val="righ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20"/>
              <w:jc w:val="right"/>
              <w:rPr>
                <w:rFonts w:ascii="Times New Roman" w:hAnsi="Times New Roman" w:cs="Times New Roman" w:eastAsia="Times New Roman" w:hint="default"/>
                <w:sz w:val="18"/>
                <w:szCs w:val="18"/>
              </w:rPr>
            </w:pPr>
            <w:r>
              <w:rPr>
                <w:rFonts w:ascii="Times New Roman"/>
                <w:sz w:val="18"/>
              </w:rPr>
              <w:t>-</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73" w:right="0"/>
              <w:jc w:val="lef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2"/>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95"/>
              <w:jc w:val="right"/>
              <w:rPr>
                <w:rFonts w:ascii="Times New Roman" w:hAnsi="Times New Roman" w:cs="Times New Roman" w:eastAsia="Times New Roman" w:hint="default"/>
                <w:sz w:val="18"/>
                <w:szCs w:val="18"/>
              </w:rPr>
            </w:pPr>
            <w:r>
              <w:rPr>
                <w:rFonts w:ascii="Times New Roman"/>
                <w:sz w:val="18"/>
              </w:rPr>
              <w:t>-</w:t>
            </w:r>
          </w:p>
        </w:tc>
        <w:tc>
          <w:tcPr>
            <w:tcW w:w="17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413"/>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4831"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0"/>
              <w:jc w:val="righ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20"/>
              <w:jc w:val="right"/>
              <w:rPr>
                <w:rFonts w:ascii="Times New Roman" w:hAnsi="Times New Roman" w:cs="Times New Roman" w:eastAsia="Times New Roman" w:hint="default"/>
                <w:sz w:val="18"/>
                <w:szCs w:val="18"/>
              </w:rPr>
            </w:pPr>
            <w:r>
              <w:rPr>
                <w:rFonts w:ascii="Times New Roman"/>
                <w:sz w:val="18"/>
              </w:rPr>
              <w:t>-</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73" w:right="0"/>
              <w:jc w:val="lef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2"/>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95"/>
              <w:jc w:val="right"/>
              <w:rPr>
                <w:rFonts w:ascii="Times New Roman" w:hAnsi="Times New Roman" w:cs="Times New Roman" w:eastAsia="Times New Roman" w:hint="default"/>
                <w:sz w:val="18"/>
                <w:szCs w:val="18"/>
              </w:rPr>
            </w:pPr>
            <w:r>
              <w:rPr>
                <w:rFonts w:ascii="Times New Roman"/>
                <w:sz w:val="18"/>
              </w:rPr>
              <w:t>-</w:t>
            </w:r>
          </w:p>
        </w:tc>
        <w:tc>
          <w:tcPr>
            <w:tcW w:w="17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413"/>
              <w:jc w:val="right"/>
              <w:rPr>
                <w:rFonts w:ascii="Times New Roman" w:hAnsi="Times New Roman" w:cs="Times New Roman" w:eastAsia="Times New Roman" w:hint="default"/>
                <w:sz w:val="18"/>
                <w:szCs w:val="18"/>
              </w:rPr>
            </w:pPr>
            <w:r>
              <w:rPr>
                <w:rFonts w:ascii="Times New Roman"/>
                <w:sz w:val="18"/>
              </w:rPr>
              <w:t>-</w:t>
            </w:r>
          </w:p>
        </w:tc>
      </w:tr>
      <w:tr>
        <w:trPr>
          <w:trHeight w:val="281" w:hRule="exact"/>
        </w:trPr>
        <w:tc>
          <w:tcPr>
            <w:tcW w:w="4831"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0"/>
              <w:jc w:val="righ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20"/>
              <w:jc w:val="right"/>
              <w:rPr>
                <w:rFonts w:ascii="Times New Roman" w:hAnsi="Times New Roman" w:cs="Times New Roman" w:eastAsia="Times New Roman" w:hint="default"/>
                <w:sz w:val="18"/>
                <w:szCs w:val="18"/>
              </w:rPr>
            </w:pPr>
            <w:r>
              <w:rPr>
                <w:rFonts w:ascii="Times New Roman"/>
                <w:sz w:val="18"/>
              </w:rPr>
              <w:t>-</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73" w:right="0"/>
              <w:jc w:val="lef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2"/>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95"/>
              <w:jc w:val="right"/>
              <w:rPr>
                <w:rFonts w:ascii="Times New Roman" w:hAnsi="Times New Roman" w:cs="Times New Roman" w:eastAsia="Times New Roman" w:hint="default"/>
                <w:sz w:val="18"/>
                <w:szCs w:val="18"/>
              </w:rPr>
            </w:pPr>
            <w:r>
              <w:rPr>
                <w:rFonts w:ascii="Times New Roman"/>
                <w:sz w:val="18"/>
              </w:rPr>
              <w:t>-</w:t>
            </w:r>
          </w:p>
        </w:tc>
        <w:tc>
          <w:tcPr>
            <w:tcW w:w="17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413"/>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4831"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2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0"/>
              <w:jc w:val="righ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20"/>
              <w:jc w:val="right"/>
              <w:rPr>
                <w:rFonts w:ascii="Times New Roman" w:hAnsi="Times New Roman" w:cs="Times New Roman" w:eastAsia="Times New Roman" w:hint="default"/>
                <w:sz w:val="18"/>
                <w:szCs w:val="18"/>
              </w:rPr>
            </w:pPr>
            <w:r>
              <w:rPr>
                <w:rFonts w:ascii="Times New Roman"/>
                <w:sz w:val="18"/>
              </w:rPr>
              <w:t>-</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73" w:right="0"/>
              <w:jc w:val="lef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2"/>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95"/>
              <w:jc w:val="right"/>
              <w:rPr>
                <w:rFonts w:ascii="Times New Roman" w:hAnsi="Times New Roman" w:cs="Times New Roman" w:eastAsia="Times New Roman" w:hint="default"/>
                <w:sz w:val="18"/>
                <w:szCs w:val="18"/>
              </w:rPr>
            </w:pPr>
            <w:r>
              <w:rPr>
                <w:rFonts w:ascii="Times New Roman"/>
                <w:sz w:val="18"/>
              </w:rPr>
              <w:t>-</w:t>
            </w:r>
          </w:p>
        </w:tc>
        <w:tc>
          <w:tcPr>
            <w:tcW w:w="17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413"/>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4831"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0"/>
              <w:jc w:val="righ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20"/>
              <w:jc w:val="right"/>
              <w:rPr>
                <w:rFonts w:ascii="Times New Roman" w:hAnsi="Times New Roman" w:cs="Times New Roman" w:eastAsia="Times New Roman" w:hint="default"/>
                <w:sz w:val="18"/>
                <w:szCs w:val="18"/>
              </w:rPr>
            </w:pPr>
            <w:r>
              <w:rPr>
                <w:rFonts w:ascii="Times New Roman"/>
                <w:sz w:val="18"/>
              </w:rPr>
              <w:t>-</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73" w:right="0"/>
              <w:jc w:val="lef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2"/>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95"/>
              <w:jc w:val="right"/>
              <w:rPr>
                <w:rFonts w:ascii="Times New Roman" w:hAnsi="Times New Roman" w:cs="Times New Roman" w:eastAsia="Times New Roman" w:hint="default"/>
                <w:sz w:val="18"/>
                <w:szCs w:val="18"/>
              </w:rPr>
            </w:pPr>
            <w:r>
              <w:rPr>
                <w:rFonts w:ascii="Times New Roman"/>
                <w:sz w:val="18"/>
              </w:rPr>
              <w:t>-</w:t>
            </w:r>
          </w:p>
        </w:tc>
        <w:tc>
          <w:tcPr>
            <w:tcW w:w="17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413"/>
              <w:jc w:val="right"/>
              <w:rPr>
                <w:rFonts w:ascii="Times New Roman" w:hAnsi="Times New Roman" w:cs="Times New Roman" w:eastAsia="Times New Roman" w:hint="default"/>
                <w:sz w:val="18"/>
                <w:szCs w:val="18"/>
              </w:rPr>
            </w:pPr>
            <w:r>
              <w:rPr>
                <w:rFonts w:ascii="Times New Roman"/>
                <w:sz w:val="18"/>
              </w:rPr>
              <w:t>-</w:t>
            </w:r>
          </w:p>
        </w:tc>
      </w:tr>
      <w:tr>
        <w:trPr>
          <w:trHeight w:val="281" w:hRule="exact"/>
        </w:trPr>
        <w:tc>
          <w:tcPr>
            <w:tcW w:w="4831"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0"/>
              <w:jc w:val="righ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20"/>
              <w:jc w:val="right"/>
              <w:rPr>
                <w:rFonts w:ascii="Times New Roman" w:hAnsi="Times New Roman" w:cs="Times New Roman" w:eastAsia="Times New Roman" w:hint="default"/>
                <w:sz w:val="18"/>
                <w:szCs w:val="18"/>
              </w:rPr>
            </w:pPr>
            <w:r>
              <w:rPr>
                <w:rFonts w:ascii="Times New Roman"/>
                <w:sz w:val="18"/>
              </w:rPr>
              <w:t>-</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73" w:right="0"/>
              <w:jc w:val="lef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2"/>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95"/>
              <w:jc w:val="right"/>
              <w:rPr>
                <w:rFonts w:ascii="Times New Roman" w:hAnsi="Times New Roman" w:cs="Times New Roman" w:eastAsia="Times New Roman" w:hint="default"/>
                <w:sz w:val="18"/>
                <w:szCs w:val="18"/>
              </w:rPr>
            </w:pPr>
            <w:r>
              <w:rPr>
                <w:rFonts w:ascii="Times New Roman"/>
                <w:sz w:val="18"/>
              </w:rPr>
              <w:t>-</w:t>
            </w:r>
          </w:p>
        </w:tc>
        <w:tc>
          <w:tcPr>
            <w:tcW w:w="17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413"/>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4831"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0"/>
              <w:jc w:val="righ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20"/>
              <w:jc w:val="right"/>
              <w:rPr>
                <w:rFonts w:ascii="Times New Roman" w:hAnsi="Times New Roman" w:cs="Times New Roman" w:eastAsia="Times New Roman" w:hint="default"/>
                <w:sz w:val="18"/>
                <w:szCs w:val="18"/>
              </w:rPr>
            </w:pPr>
            <w:r>
              <w:rPr>
                <w:rFonts w:ascii="Times New Roman"/>
                <w:sz w:val="18"/>
              </w:rPr>
              <w:t>-</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73" w:right="0"/>
              <w:jc w:val="lef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2"/>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95"/>
              <w:jc w:val="right"/>
              <w:rPr>
                <w:rFonts w:ascii="Times New Roman" w:hAnsi="Times New Roman" w:cs="Times New Roman" w:eastAsia="Times New Roman" w:hint="default"/>
                <w:sz w:val="18"/>
                <w:szCs w:val="18"/>
              </w:rPr>
            </w:pPr>
            <w:r>
              <w:rPr>
                <w:rFonts w:ascii="Times New Roman"/>
                <w:sz w:val="18"/>
              </w:rPr>
              <w:t>-</w:t>
            </w:r>
          </w:p>
        </w:tc>
        <w:tc>
          <w:tcPr>
            <w:tcW w:w="17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413"/>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4831"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60"/>
              <w:jc w:val="righ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20"/>
              <w:jc w:val="right"/>
              <w:rPr>
                <w:rFonts w:ascii="Times New Roman" w:hAnsi="Times New Roman" w:cs="Times New Roman" w:eastAsia="Times New Roman" w:hint="default"/>
                <w:sz w:val="18"/>
                <w:szCs w:val="18"/>
              </w:rPr>
            </w:pPr>
            <w:r>
              <w:rPr>
                <w:rFonts w:ascii="Times New Roman"/>
                <w:sz w:val="18"/>
              </w:rPr>
              <w:t>-</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73" w:right="0"/>
              <w:jc w:val="lef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2"/>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95"/>
              <w:jc w:val="right"/>
              <w:rPr>
                <w:rFonts w:ascii="Times New Roman" w:hAnsi="Times New Roman" w:cs="Times New Roman" w:eastAsia="Times New Roman" w:hint="default"/>
                <w:sz w:val="18"/>
                <w:szCs w:val="18"/>
              </w:rPr>
            </w:pPr>
            <w:r>
              <w:rPr>
                <w:rFonts w:ascii="Times New Roman"/>
                <w:sz w:val="18"/>
              </w:rPr>
              <w:t>-</w:t>
            </w:r>
          </w:p>
        </w:tc>
        <w:tc>
          <w:tcPr>
            <w:tcW w:w="17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413"/>
              <w:jc w:val="right"/>
              <w:rPr>
                <w:rFonts w:ascii="Times New Roman" w:hAnsi="Times New Roman" w:cs="Times New Roman" w:eastAsia="Times New Roman" w:hint="default"/>
                <w:sz w:val="18"/>
                <w:szCs w:val="18"/>
              </w:rPr>
            </w:pPr>
            <w:r>
              <w:rPr>
                <w:rFonts w:ascii="Times New Roman"/>
                <w:sz w:val="18"/>
              </w:rPr>
              <w:t>-</w:t>
            </w:r>
          </w:p>
        </w:tc>
      </w:tr>
      <w:tr>
        <w:trPr>
          <w:trHeight w:val="281" w:hRule="exact"/>
        </w:trPr>
        <w:tc>
          <w:tcPr>
            <w:tcW w:w="4831"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21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36"/>
              <w:jc w:val="right"/>
              <w:rPr>
                <w:rFonts w:ascii="Times New Roman" w:hAnsi="Times New Roman" w:cs="Times New Roman" w:eastAsia="Times New Roman" w:hint="default"/>
                <w:sz w:val="18"/>
                <w:szCs w:val="18"/>
              </w:rPr>
            </w:pPr>
            <w:r>
              <w:rPr>
                <w:rFonts w:ascii="Times New Roman"/>
                <w:spacing w:val="-1"/>
                <w:sz w:val="18"/>
              </w:rPr>
              <w:t>469,593,364.00</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95"/>
              <w:jc w:val="right"/>
              <w:rPr>
                <w:rFonts w:ascii="Times New Roman" w:hAnsi="Times New Roman" w:cs="Times New Roman" w:eastAsia="Times New Roman" w:hint="default"/>
                <w:sz w:val="18"/>
                <w:szCs w:val="18"/>
              </w:rPr>
            </w:pPr>
            <w:r>
              <w:rPr>
                <w:rFonts w:ascii="Times New Roman"/>
                <w:spacing w:val="-1"/>
                <w:sz w:val="18"/>
              </w:rPr>
              <w:t>430,004,578.52</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73" w:right="0"/>
              <w:jc w:val="lef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spacing w:val="-1"/>
                <w:sz w:val="18"/>
              </w:rPr>
              <w:t>196,990,878.50</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69"/>
              <w:jc w:val="right"/>
              <w:rPr>
                <w:rFonts w:ascii="Times New Roman" w:hAnsi="Times New Roman" w:cs="Times New Roman" w:eastAsia="Times New Roman" w:hint="default"/>
                <w:sz w:val="18"/>
                <w:szCs w:val="18"/>
              </w:rPr>
            </w:pPr>
            <w:r>
              <w:rPr>
                <w:rFonts w:ascii="Times New Roman"/>
                <w:spacing w:val="-1"/>
                <w:sz w:val="18"/>
              </w:rPr>
              <w:t>-391,578,084.52</w:t>
            </w:r>
          </w:p>
        </w:tc>
        <w:tc>
          <w:tcPr>
            <w:tcW w:w="17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88"/>
              <w:jc w:val="right"/>
              <w:rPr>
                <w:rFonts w:ascii="Times New Roman" w:hAnsi="Times New Roman" w:cs="Times New Roman" w:eastAsia="Times New Roman" w:hint="default"/>
                <w:sz w:val="18"/>
                <w:szCs w:val="18"/>
              </w:rPr>
            </w:pPr>
            <w:r>
              <w:rPr>
                <w:rFonts w:ascii="Times New Roman"/>
                <w:spacing w:val="-1"/>
                <w:sz w:val="18"/>
              </w:rPr>
              <w:t>705,010,736.50</w:t>
            </w:r>
          </w:p>
        </w:tc>
      </w:tr>
    </w:tbl>
    <w:p>
      <w:pPr>
        <w:spacing w:line="240" w:lineRule="auto" w:before="2"/>
        <w:rPr>
          <w:rFonts w:ascii="宋体" w:hAnsi="宋体" w:cs="宋体" w:eastAsia="宋体" w:hint="default"/>
          <w:sz w:val="13"/>
          <w:szCs w:val="13"/>
        </w:rPr>
      </w:pPr>
    </w:p>
    <w:p>
      <w:pPr>
        <w:pStyle w:val="BodyText"/>
        <w:tabs>
          <w:tab w:pos="5989" w:val="left" w:leader="none"/>
          <w:tab w:pos="12286" w:val="left" w:leader="none"/>
        </w:tabs>
        <w:spacing w:line="240" w:lineRule="auto" w:before="35"/>
        <w:ind w:left="110" w:right="0"/>
        <w:jc w:val="left"/>
      </w:pPr>
      <w:r>
        <w:rPr/>
        <w:t>法定代表人：陈泰泉</w:t>
        <w:tab/>
      </w:r>
      <w:r>
        <w:rPr>
          <w:spacing w:val="-1"/>
        </w:rPr>
        <w:t>主管会计工作负责人：钟民</w:t>
        <w:tab/>
        <w:t>会计机构负责人：钟民</w:t>
      </w:r>
    </w:p>
    <w:p>
      <w:pPr>
        <w:spacing w:after="0" w:line="240" w:lineRule="auto"/>
        <w:jc w:val="left"/>
        <w:sectPr>
          <w:pgSz w:w="16840" w:h="11900" w:orient="landscape"/>
          <w:pgMar w:header="0" w:footer="974" w:top="1100" w:bottom="1160" w:left="1160" w:right="1180"/>
        </w:sectPr>
      </w:pPr>
    </w:p>
    <w:p>
      <w:pPr>
        <w:pStyle w:val="Heading1"/>
        <w:spacing w:line="399" w:lineRule="exact"/>
        <w:ind w:left="0" w:right="39"/>
        <w:jc w:val="center"/>
      </w:pPr>
      <w:r>
        <w:rPr/>
        <w:t>母公司所有者权益变动表</w:t>
      </w:r>
    </w:p>
    <w:p>
      <w:pPr>
        <w:pStyle w:val="BodyText"/>
        <w:spacing w:line="240" w:lineRule="auto" w:before="14"/>
        <w:ind w:left="0" w:right="41"/>
        <w:jc w:val="center"/>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w:t>
      </w:r>
    </w:p>
    <w:p>
      <w:pPr>
        <w:pStyle w:val="BodyText"/>
        <w:tabs>
          <w:tab w:pos="11840" w:val="left" w:leader="none"/>
        </w:tabs>
        <w:spacing w:line="240" w:lineRule="auto" w:before="70"/>
        <w:ind w:left="0" w:right="11"/>
        <w:jc w:val="center"/>
      </w:pPr>
      <w:r>
        <w:rPr>
          <w:spacing w:val="-2"/>
        </w:rPr>
        <w:t>编制单位：</w:t>
      </w:r>
      <w:r>
        <w:rPr>
          <w:spacing w:val="-2"/>
          <w:u w:val="single" w:color="000000"/>
        </w:rPr>
        <w:t>深圳市鸿基（集团）股份有限公司</w:t>
      </w:r>
      <w:r>
        <w:rPr>
          <w:spacing w:val="-2"/>
        </w:rPr>
        <w:tab/>
      </w:r>
      <w:r>
        <w:rPr>
          <w:spacing w:val="-3"/>
        </w:rPr>
        <w:t>单位：元</w:t>
      </w:r>
      <w:r>
        <w:rPr>
          <w:spacing w:val="7"/>
        </w:rPr>
        <w:t> </w:t>
      </w:r>
      <w:r>
        <w:rPr>
          <w:spacing w:val="-2"/>
        </w:rPr>
        <w:t>币种：人民币</w:t>
      </w:r>
    </w:p>
    <w:p>
      <w:pPr>
        <w:spacing w:line="240" w:lineRule="auto" w:before="5"/>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799"/>
        <w:gridCol w:w="1842"/>
        <w:gridCol w:w="1507"/>
        <w:gridCol w:w="1202"/>
        <w:gridCol w:w="1469"/>
        <w:gridCol w:w="1682"/>
        <w:gridCol w:w="1730"/>
      </w:tblGrid>
      <w:tr>
        <w:trPr>
          <w:trHeight w:val="280" w:hRule="exact"/>
        </w:trPr>
        <w:tc>
          <w:tcPr>
            <w:tcW w:w="4799" w:type="dxa"/>
            <w:vMerge w:val="restart"/>
            <w:tcBorders>
              <w:top w:val="single" w:sz="8" w:space="0" w:color="000000"/>
              <w:left w:val="nil" w:sz="6" w:space="0" w:color="auto"/>
              <w:right w:val="single" w:sz="8"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433" w:type="dxa"/>
            <w:gridSpan w:val="6"/>
            <w:tcBorders>
              <w:top w:val="single" w:sz="8" w:space="0" w:color="000000"/>
              <w:left w:val="single" w:sz="8" w:space="0" w:color="000000"/>
              <w:bottom w:val="single" w:sz="8" w:space="0" w:color="000000"/>
              <w:right w:val="nil" w:sz="6" w:space="0" w:color="auto"/>
            </w:tcBorders>
          </w:tcPr>
          <w:p>
            <w:pPr>
              <w:pStyle w:val="TableParagraph"/>
              <w:spacing w:line="233" w:lineRule="exact"/>
              <w:ind w:right="6"/>
              <w:jc w:val="center"/>
              <w:rPr>
                <w:rFonts w:ascii="宋体" w:hAnsi="宋体" w:cs="宋体" w:eastAsia="宋体" w:hint="default"/>
                <w:sz w:val="18"/>
                <w:szCs w:val="18"/>
              </w:rPr>
            </w:pPr>
            <w:r>
              <w:rPr>
                <w:rFonts w:ascii="宋体" w:hAnsi="宋体" w:cs="宋体" w:eastAsia="宋体" w:hint="default"/>
                <w:sz w:val="18"/>
                <w:szCs w:val="18"/>
              </w:rPr>
              <w:t>上年同期金额</w:t>
            </w:r>
          </w:p>
        </w:tc>
      </w:tr>
      <w:tr>
        <w:trPr>
          <w:trHeight w:val="560" w:hRule="exact"/>
        </w:trPr>
        <w:tc>
          <w:tcPr>
            <w:tcW w:w="4799" w:type="dxa"/>
            <w:vMerge/>
            <w:tcBorders>
              <w:left w:val="nil" w:sz="6" w:space="0" w:color="auto"/>
              <w:bottom w:val="single" w:sz="8" w:space="0" w:color="000000"/>
              <w:right w:val="single" w:sz="8" w:space="0" w:color="000000"/>
            </w:tcBorders>
          </w:tcPr>
          <w:p>
            <w:pP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550"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44"/>
              <w:ind w:left="46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left="14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left="36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left="38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3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7"/>
              <w:ind w:left="22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80" w:hRule="exact"/>
        </w:trPr>
        <w:tc>
          <w:tcPr>
            <w:tcW w:w="4799"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2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spacing w:val="-1"/>
                <w:sz w:val="18"/>
              </w:rPr>
              <w:t>469,593,364.00</w:t>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96"/>
              <w:jc w:val="right"/>
              <w:rPr>
                <w:rFonts w:ascii="Times New Roman" w:hAnsi="Times New Roman" w:cs="Times New Roman" w:eastAsia="Times New Roman" w:hint="default"/>
                <w:sz w:val="18"/>
                <w:szCs w:val="18"/>
              </w:rPr>
            </w:pPr>
            <w:r>
              <w:rPr>
                <w:rFonts w:ascii="Times New Roman"/>
                <w:spacing w:val="-1"/>
                <w:sz w:val="18"/>
              </w:rPr>
              <w:t>480,120,803.84</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38" w:right="0"/>
              <w:jc w:val="left"/>
              <w:rPr>
                <w:rFonts w:ascii="Times New Roman" w:hAnsi="Times New Roman" w:cs="Times New Roman" w:eastAsia="Times New Roman" w:hint="default"/>
                <w:sz w:val="18"/>
                <w:szCs w:val="18"/>
              </w:rPr>
            </w:pPr>
            <w:r>
              <w:rPr>
                <w:rFonts w:ascii="Times New Roman"/>
                <w:sz w:val="18"/>
              </w:rPr>
              <w:t>-</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66" w:right="0"/>
              <w:jc w:val="left"/>
              <w:rPr>
                <w:rFonts w:ascii="Times New Roman" w:hAnsi="Times New Roman" w:cs="Times New Roman" w:eastAsia="Times New Roman" w:hint="default"/>
                <w:sz w:val="18"/>
                <w:szCs w:val="18"/>
              </w:rPr>
            </w:pPr>
            <w:r>
              <w:rPr>
                <w:rFonts w:ascii="Times New Roman"/>
                <w:sz w:val="18"/>
              </w:rPr>
              <w:t>196,990,878.50</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12"/>
              <w:jc w:val="right"/>
              <w:rPr>
                <w:rFonts w:ascii="Times New Roman" w:hAnsi="Times New Roman" w:cs="Times New Roman" w:eastAsia="Times New Roman" w:hint="default"/>
                <w:sz w:val="18"/>
                <w:szCs w:val="18"/>
              </w:rPr>
            </w:pPr>
            <w:r>
              <w:rPr>
                <w:rFonts w:ascii="Times New Roman"/>
                <w:spacing w:val="-1"/>
                <w:sz w:val="18"/>
              </w:rPr>
              <w:t>-404,061,864.61</w:t>
            </w:r>
          </w:p>
        </w:tc>
        <w:tc>
          <w:tcPr>
            <w:tcW w:w="173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56"/>
              <w:jc w:val="right"/>
              <w:rPr>
                <w:rFonts w:ascii="Times New Roman" w:hAnsi="Times New Roman" w:cs="Times New Roman" w:eastAsia="Times New Roman" w:hint="default"/>
                <w:sz w:val="18"/>
                <w:szCs w:val="18"/>
              </w:rPr>
            </w:pPr>
            <w:r>
              <w:rPr>
                <w:rFonts w:ascii="Times New Roman"/>
                <w:spacing w:val="-1"/>
                <w:sz w:val="18"/>
              </w:rPr>
              <w:t>742,643,181.73</w:t>
            </w:r>
          </w:p>
        </w:tc>
      </w:tr>
      <w:tr>
        <w:trPr>
          <w:trHeight w:val="280" w:hRule="exact"/>
        </w:trPr>
        <w:tc>
          <w:tcPr>
            <w:tcW w:w="4799"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8"/>
              <w:jc w:val="right"/>
              <w:rPr>
                <w:rFonts w:ascii="Times New Roman" w:hAnsi="Times New Roman" w:cs="Times New Roman" w:eastAsia="Times New Roman" w:hint="default"/>
                <w:sz w:val="18"/>
                <w:szCs w:val="18"/>
              </w:rPr>
            </w:pPr>
            <w:r>
              <w:rPr>
                <w:rFonts w:ascii="Times New Roman"/>
                <w:sz w:val="18"/>
              </w:rPr>
              <w:t>-</w:t>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2"/>
              <w:jc w:val="right"/>
              <w:rPr>
                <w:rFonts w:ascii="Times New Roman" w:hAnsi="Times New Roman" w:cs="Times New Roman" w:eastAsia="Times New Roman" w:hint="default"/>
                <w:sz w:val="18"/>
                <w:szCs w:val="18"/>
              </w:rPr>
            </w:pPr>
            <w:r>
              <w:rPr>
                <w:rFonts w:ascii="Times New Roman"/>
                <w:sz w:val="18"/>
              </w:rPr>
              <w:t>-</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39" w:right="0"/>
              <w:jc w:val="left"/>
              <w:rPr>
                <w:rFonts w:ascii="Times New Roman" w:hAnsi="Times New Roman" w:cs="Times New Roman" w:eastAsia="Times New Roman" w:hint="default"/>
                <w:sz w:val="18"/>
                <w:szCs w:val="18"/>
              </w:rPr>
            </w:pPr>
            <w:r>
              <w:rPr>
                <w:rFonts w:ascii="Times New Roman"/>
                <w:sz w:val="18"/>
              </w:rPr>
              <w:t>-</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80"/>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7"/>
              <w:jc w:val="right"/>
              <w:rPr>
                <w:rFonts w:ascii="Times New Roman" w:hAnsi="Times New Roman" w:cs="Times New Roman" w:eastAsia="Times New Roman" w:hint="default"/>
                <w:sz w:val="18"/>
                <w:szCs w:val="18"/>
              </w:rPr>
            </w:pPr>
            <w:r>
              <w:rPr>
                <w:rFonts w:ascii="Times New Roman"/>
                <w:sz w:val="18"/>
              </w:rPr>
              <w:t>-</w:t>
            </w:r>
          </w:p>
        </w:tc>
        <w:tc>
          <w:tcPr>
            <w:tcW w:w="173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82"/>
              <w:jc w:val="right"/>
              <w:rPr>
                <w:rFonts w:ascii="Times New Roman" w:hAnsi="Times New Roman" w:cs="Times New Roman" w:eastAsia="Times New Roman" w:hint="default"/>
                <w:sz w:val="18"/>
                <w:szCs w:val="18"/>
              </w:rPr>
            </w:pPr>
            <w:r>
              <w:rPr>
                <w:rFonts w:ascii="Times New Roman"/>
                <w:sz w:val="18"/>
              </w:rPr>
              <w:t>-</w:t>
            </w:r>
          </w:p>
        </w:tc>
      </w:tr>
      <w:tr>
        <w:trPr>
          <w:trHeight w:val="281" w:hRule="exact"/>
        </w:trPr>
        <w:tc>
          <w:tcPr>
            <w:tcW w:w="4799"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8"/>
              <w:jc w:val="right"/>
              <w:rPr>
                <w:rFonts w:ascii="Times New Roman" w:hAnsi="Times New Roman" w:cs="Times New Roman" w:eastAsia="Times New Roman" w:hint="default"/>
                <w:sz w:val="18"/>
                <w:szCs w:val="18"/>
              </w:rPr>
            </w:pPr>
            <w:r>
              <w:rPr>
                <w:rFonts w:ascii="Times New Roman"/>
                <w:sz w:val="18"/>
              </w:rPr>
              <w:t>-</w:t>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2"/>
              <w:jc w:val="right"/>
              <w:rPr>
                <w:rFonts w:ascii="Times New Roman" w:hAnsi="Times New Roman" w:cs="Times New Roman" w:eastAsia="Times New Roman" w:hint="default"/>
                <w:sz w:val="18"/>
                <w:szCs w:val="18"/>
              </w:rPr>
            </w:pPr>
            <w:r>
              <w:rPr>
                <w:rFonts w:ascii="Times New Roman"/>
                <w:sz w:val="18"/>
              </w:rPr>
              <w:t>-</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39" w:right="0"/>
              <w:jc w:val="left"/>
              <w:rPr>
                <w:rFonts w:ascii="Times New Roman" w:hAnsi="Times New Roman" w:cs="Times New Roman" w:eastAsia="Times New Roman" w:hint="default"/>
                <w:sz w:val="18"/>
                <w:szCs w:val="18"/>
              </w:rPr>
            </w:pPr>
            <w:r>
              <w:rPr>
                <w:rFonts w:ascii="Times New Roman"/>
                <w:sz w:val="18"/>
              </w:rPr>
              <w:t>-</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80"/>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7"/>
              <w:jc w:val="right"/>
              <w:rPr>
                <w:rFonts w:ascii="Times New Roman" w:hAnsi="Times New Roman" w:cs="Times New Roman" w:eastAsia="Times New Roman" w:hint="default"/>
                <w:sz w:val="18"/>
                <w:szCs w:val="18"/>
              </w:rPr>
            </w:pPr>
            <w:r>
              <w:rPr>
                <w:rFonts w:ascii="Times New Roman"/>
                <w:sz w:val="18"/>
              </w:rPr>
              <w:t>-</w:t>
            </w:r>
          </w:p>
        </w:tc>
        <w:tc>
          <w:tcPr>
            <w:tcW w:w="173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82"/>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4799"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8"/>
              <w:jc w:val="right"/>
              <w:rPr>
                <w:rFonts w:ascii="Times New Roman" w:hAnsi="Times New Roman" w:cs="Times New Roman" w:eastAsia="Times New Roman" w:hint="default"/>
                <w:sz w:val="18"/>
                <w:szCs w:val="18"/>
              </w:rPr>
            </w:pPr>
            <w:r>
              <w:rPr>
                <w:rFonts w:ascii="Times New Roman"/>
                <w:sz w:val="18"/>
              </w:rPr>
              <w:t>-</w:t>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2"/>
              <w:jc w:val="right"/>
              <w:rPr>
                <w:rFonts w:ascii="Times New Roman" w:hAnsi="Times New Roman" w:cs="Times New Roman" w:eastAsia="Times New Roman" w:hint="default"/>
                <w:sz w:val="18"/>
                <w:szCs w:val="18"/>
              </w:rPr>
            </w:pPr>
            <w:r>
              <w:rPr>
                <w:rFonts w:ascii="Times New Roman"/>
                <w:sz w:val="18"/>
              </w:rPr>
              <w:t>-</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39" w:right="0"/>
              <w:jc w:val="left"/>
              <w:rPr>
                <w:rFonts w:ascii="Times New Roman" w:hAnsi="Times New Roman" w:cs="Times New Roman" w:eastAsia="Times New Roman" w:hint="default"/>
                <w:sz w:val="18"/>
                <w:szCs w:val="18"/>
              </w:rPr>
            </w:pPr>
            <w:r>
              <w:rPr>
                <w:rFonts w:ascii="Times New Roman"/>
                <w:sz w:val="18"/>
              </w:rPr>
              <w:t>-</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80"/>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7"/>
              <w:jc w:val="right"/>
              <w:rPr>
                <w:rFonts w:ascii="Times New Roman" w:hAnsi="Times New Roman" w:cs="Times New Roman" w:eastAsia="Times New Roman" w:hint="default"/>
                <w:sz w:val="18"/>
                <w:szCs w:val="18"/>
              </w:rPr>
            </w:pPr>
            <w:r>
              <w:rPr>
                <w:rFonts w:ascii="Times New Roman"/>
                <w:sz w:val="18"/>
              </w:rPr>
              <w:t>-</w:t>
            </w:r>
          </w:p>
        </w:tc>
        <w:tc>
          <w:tcPr>
            <w:tcW w:w="173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82"/>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4799"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2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spacing w:val="-1"/>
                <w:sz w:val="18"/>
              </w:rPr>
              <w:t>469,593,364.00</w:t>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96"/>
              <w:jc w:val="right"/>
              <w:rPr>
                <w:rFonts w:ascii="Times New Roman" w:hAnsi="Times New Roman" w:cs="Times New Roman" w:eastAsia="Times New Roman" w:hint="default"/>
                <w:sz w:val="18"/>
                <w:szCs w:val="18"/>
              </w:rPr>
            </w:pPr>
            <w:r>
              <w:rPr>
                <w:rFonts w:ascii="Times New Roman"/>
                <w:spacing w:val="-1"/>
                <w:sz w:val="18"/>
              </w:rPr>
              <w:t>480,120,803.84</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38" w:right="0"/>
              <w:jc w:val="left"/>
              <w:rPr>
                <w:rFonts w:ascii="Times New Roman" w:hAnsi="Times New Roman" w:cs="Times New Roman" w:eastAsia="Times New Roman" w:hint="default"/>
                <w:sz w:val="18"/>
                <w:szCs w:val="18"/>
              </w:rPr>
            </w:pPr>
            <w:r>
              <w:rPr>
                <w:rFonts w:ascii="Times New Roman"/>
                <w:sz w:val="18"/>
              </w:rPr>
              <w:t>-</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66" w:right="0"/>
              <w:jc w:val="left"/>
              <w:rPr>
                <w:rFonts w:ascii="Times New Roman" w:hAnsi="Times New Roman" w:cs="Times New Roman" w:eastAsia="Times New Roman" w:hint="default"/>
                <w:sz w:val="18"/>
                <w:szCs w:val="18"/>
              </w:rPr>
            </w:pPr>
            <w:r>
              <w:rPr>
                <w:rFonts w:ascii="Times New Roman"/>
                <w:sz w:val="18"/>
              </w:rPr>
              <w:t>196,990,878.50</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12"/>
              <w:jc w:val="right"/>
              <w:rPr>
                <w:rFonts w:ascii="Times New Roman" w:hAnsi="Times New Roman" w:cs="Times New Roman" w:eastAsia="Times New Roman" w:hint="default"/>
                <w:sz w:val="18"/>
                <w:szCs w:val="18"/>
              </w:rPr>
            </w:pPr>
            <w:r>
              <w:rPr>
                <w:rFonts w:ascii="Times New Roman"/>
                <w:spacing w:val="-1"/>
                <w:sz w:val="18"/>
              </w:rPr>
              <w:t>-404,061,864.61</w:t>
            </w:r>
          </w:p>
        </w:tc>
        <w:tc>
          <w:tcPr>
            <w:tcW w:w="173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56"/>
              <w:jc w:val="right"/>
              <w:rPr>
                <w:rFonts w:ascii="Times New Roman" w:hAnsi="Times New Roman" w:cs="Times New Roman" w:eastAsia="Times New Roman" w:hint="default"/>
                <w:sz w:val="18"/>
                <w:szCs w:val="18"/>
              </w:rPr>
            </w:pPr>
            <w:r>
              <w:rPr>
                <w:rFonts w:ascii="Times New Roman"/>
                <w:spacing w:val="-1"/>
                <w:sz w:val="18"/>
              </w:rPr>
              <w:t>742,643,181.73</w:t>
            </w:r>
          </w:p>
        </w:tc>
      </w:tr>
      <w:tr>
        <w:trPr>
          <w:trHeight w:val="281" w:hRule="exact"/>
        </w:trPr>
        <w:tc>
          <w:tcPr>
            <w:tcW w:w="4799"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212"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三、本期增减变动金额（减少以“－”号填列）</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8"/>
              <w:jc w:val="right"/>
              <w:rPr>
                <w:rFonts w:ascii="Times New Roman" w:hAnsi="Times New Roman" w:cs="Times New Roman" w:eastAsia="Times New Roman" w:hint="default"/>
                <w:sz w:val="18"/>
                <w:szCs w:val="18"/>
              </w:rPr>
            </w:pPr>
            <w:r>
              <w:rPr>
                <w:rFonts w:ascii="Times New Roman"/>
                <w:sz w:val="18"/>
              </w:rPr>
              <w:t>-</w:t>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96"/>
              <w:jc w:val="right"/>
              <w:rPr>
                <w:rFonts w:ascii="Times New Roman" w:hAnsi="Times New Roman" w:cs="Times New Roman" w:eastAsia="Times New Roman" w:hint="default"/>
                <w:sz w:val="18"/>
                <w:szCs w:val="18"/>
              </w:rPr>
            </w:pPr>
            <w:r>
              <w:rPr>
                <w:rFonts w:ascii="Times New Roman"/>
                <w:spacing w:val="-1"/>
                <w:sz w:val="18"/>
              </w:rPr>
              <w:t>-63,256,080.00</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38" w:right="0"/>
              <w:jc w:val="left"/>
              <w:rPr>
                <w:rFonts w:ascii="Times New Roman" w:hAnsi="Times New Roman" w:cs="Times New Roman" w:eastAsia="Times New Roman" w:hint="default"/>
                <w:sz w:val="18"/>
                <w:szCs w:val="18"/>
              </w:rPr>
            </w:pPr>
            <w:r>
              <w:rPr>
                <w:rFonts w:ascii="Times New Roman"/>
                <w:sz w:val="18"/>
              </w:rPr>
              <w:t>-</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81"/>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12"/>
              <w:jc w:val="right"/>
              <w:rPr>
                <w:rFonts w:ascii="Times New Roman" w:hAnsi="Times New Roman" w:cs="Times New Roman" w:eastAsia="Times New Roman" w:hint="default"/>
                <w:sz w:val="18"/>
                <w:szCs w:val="18"/>
              </w:rPr>
            </w:pPr>
            <w:r>
              <w:rPr>
                <w:rFonts w:ascii="Times New Roman"/>
                <w:spacing w:val="-1"/>
                <w:sz w:val="18"/>
              </w:rPr>
              <w:t>-88,681,678.22</w:t>
            </w:r>
          </w:p>
        </w:tc>
        <w:tc>
          <w:tcPr>
            <w:tcW w:w="173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57"/>
              <w:jc w:val="right"/>
              <w:rPr>
                <w:rFonts w:ascii="Times New Roman" w:hAnsi="Times New Roman" w:cs="Times New Roman" w:eastAsia="Times New Roman" w:hint="default"/>
                <w:sz w:val="18"/>
                <w:szCs w:val="18"/>
              </w:rPr>
            </w:pPr>
            <w:r>
              <w:rPr>
                <w:rFonts w:ascii="Times New Roman"/>
                <w:spacing w:val="-1"/>
                <w:sz w:val="18"/>
              </w:rPr>
              <w:t>-151,937,758.22</w:t>
            </w:r>
          </w:p>
        </w:tc>
      </w:tr>
      <w:tr>
        <w:trPr>
          <w:trHeight w:val="280" w:hRule="exact"/>
        </w:trPr>
        <w:tc>
          <w:tcPr>
            <w:tcW w:w="4799"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8"/>
              <w:jc w:val="right"/>
              <w:rPr>
                <w:rFonts w:ascii="Times New Roman" w:hAnsi="Times New Roman" w:cs="Times New Roman" w:eastAsia="Times New Roman" w:hint="default"/>
                <w:sz w:val="18"/>
                <w:szCs w:val="18"/>
              </w:rPr>
            </w:pPr>
            <w:r>
              <w:rPr>
                <w:rFonts w:ascii="Times New Roman"/>
                <w:sz w:val="18"/>
              </w:rPr>
              <w:t>-</w:t>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2"/>
              <w:jc w:val="right"/>
              <w:rPr>
                <w:rFonts w:ascii="Times New Roman" w:hAnsi="Times New Roman" w:cs="Times New Roman" w:eastAsia="Times New Roman" w:hint="default"/>
                <w:sz w:val="18"/>
                <w:szCs w:val="18"/>
              </w:rPr>
            </w:pPr>
            <w:r>
              <w:rPr>
                <w:rFonts w:ascii="Times New Roman"/>
                <w:sz w:val="18"/>
              </w:rPr>
              <w:t>-</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39" w:right="0"/>
              <w:jc w:val="left"/>
              <w:rPr>
                <w:rFonts w:ascii="Times New Roman" w:hAnsi="Times New Roman" w:cs="Times New Roman" w:eastAsia="Times New Roman" w:hint="default"/>
                <w:sz w:val="18"/>
                <w:szCs w:val="18"/>
              </w:rPr>
            </w:pPr>
            <w:r>
              <w:rPr>
                <w:rFonts w:ascii="Times New Roman"/>
                <w:sz w:val="18"/>
              </w:rPr>
              <w:t>-</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80"/>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13"/>
              <w:jc w:val="right"/>
              <w:rPr>
                <w:rFonts w:ascii="Times New Roman" w:hAnsi="Times New Roman" w:cs="Times New Roman" w:eastAsia="Times New Roman" w:hint="default"/>
                <w:sz w:val="18"/>
                <w:szCs w:val="18"/>
              </w:rPr>
            </w:pPr>
            <w:r>
              <w:rPr>
                <w:rFonts w:ascii="Times New Roman"/>
                <w:spacing w:val="-1"/>
                <w:sz w:val="18"/>
              </w:rPr>
              <w:t>-88,681,678.22</w:t>
            </w:r>
          </w:p>
        </w:tc>
        <w:tc>
          <w:tcPr>
            <w:tcW w:w="173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56"/>
              <w:jc w:val="right"/>
              <w:rPr>
                <w:rFonts w:ascii="Times New Roman" w:hAnsi="Times New Roman" w:cs="Times New Roman" w:eastAsia="Times New Roman" w:hint="default"/>
                <w:sz w:val="18"/>
                <w:szCs w:val="18"/>
              </w:rPr>
            </w:pPr>
            <w:r>
              <w:rPr>
                <w:rFonts w:ascii="Times New Roman"/>
                <w:spacing w:val="-1"/>
                <w:sz w:val="18"/>
              </w:rPr>
              <w:t>-88,681,678.22</w:t>
            </w:r>
          </w:p>
        </w:tc>
      </w:tr>
      <w:tr>
        <w:trPr>
          <w:trHeight w:val="280" w:hRule="exact"/>
        </w:trPr>
        <w:tc>
          <w:tcPr>
            <w:tcW w:w="4799"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8"/>
              <w:jc w:val="right"/>
              <w:rPr>
                <w:rFonts w:ascii="Times New Roman" w:hAnsi="Times New Roman" w:cs="Times New Roman" w:eastAsia="Times New Roman" w:hint="default"/>
                <w:sz w:val="18"/>
                <w:szCs w:val="18"/>
              </w:rPr>
            </w:pPr>
            <w:r>
              <w:rPr>
                <w:rFonts w:ascii="Times New Roman"/>
                <w:sz w:val="18"/>
              </w:rPr>
              <w:t>-</w:t>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96"/>
              <w:jc w:val="right"/>
              <w:rPr>
                <w:rFonts w:ascii="Times New Roman" w:hAnsi="Times New Roman" w:cs="Times New Roman" w:eastAsia="Times New Roman" w:hint="default"/>
                <w:sz w:val="18"/>
                <w:szCs w:val="18"/>
              </w:rPr>
            </w:pPr>
            <w:r>
              <w:rPr>
                <w:rFonts w:ascii="Times New Roman"/>
                <w:spacing w:val="-1"/>
                <w:sz w:val="18"/>
              </w:rPr>
              <w:t>-63,256,080.00</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38" w:right="0"/>
              <w:jc w:val="left"/>
              <w:rPr>
                <w:rFonts w:ascii="Times New Roman" w:hAnsi="Times New Roman" w:cs="Times New Roman" w:eastAsia="Times New Roman" w:hint="default"/>
                <w:sz w:val="18"/>
                <w:szCs w:val="18"/>
              </w:rPr>
            </w:pPr>
            <w:r>
              <w:rPr>
                <w:rFonts w:ascii="Times New Roman"/>
                <w:sz w:val="18"/>
              </w:rPr>
              <w:t>-</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81"/>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7"/>
              <w:jc w:val="right"/>
              <w:rPr>
                <w:rFonts w:ascii="Times New Roman" w:hAnsi="Times New Roman" w:cs="Times New Roman" w:eastAsia="Times New Roman" w:hint="default"/>
                <w:sz w:val="18"/>
                <w:szCs w:val="18"/>
              </w:rPr>
            </w:pPr>
            <w:r>
              <w:rPr>
                <w:rFonts w:ascii="Times New Roman"/>
                <w:sz w:val="18"/>
              </w:rPr>
              <w:t>-</w:t>
            </w:r>
          </w:p>
        </w:tc>
        <w:tc>
          <w:tcPr>
            <w:tcW w:w="173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56"/>
              <w:jc w:val="right"/>
              <w:rPr>
                <w:rFonts w:ascii="Times New Roman" w:hAnsi="Times New Roman" w:cs="Times New Roman" w:eastAsia="Times New Roman" w:hint="default"/>
                <w:sz w:val="18"/>
                <w:szCs w:val="18"/>
              </w:rPr>
            </w:pPr>
            <w:r>
              <w:rPr>
                <w:rFonts w:ascii="Times New Roman"/>
                <w:spacing w:val="-1"/>
                <w:sz w:val="18"/>
              </w:rPr>
              <w:t>-63,256,080.00</w:t>
            </w:r>
          </w:p>
        </w:tc>
      </w:tr>
      <w:tr>
        <w:trPr>
          <w:trHeight w:val="281" w:hRule="exact"/>
        </w:trPr>
        <w:tc>
          <w:tcPr>
            <w:tcW w:w="4799"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2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8"/>
              <w:jc w:val="right"/>
              <w:rPr>
                <w:rFonts w:ascii="Times New Roman" w:hAnsi="Times New Roman" w:cs="Times New Roman" w:eastAsia="Times New Roman" w:hint="default"/>
                <w:sz w:val="18"/>
                <w:szCs w:val="18"/>
              </w:rPr>
            </w:pPr>
            <w:r>
              <w:rPr>
                <w:rFonts w:ascii="Times New Roman"/>
                <w:sz w:val="18"/>
              </w:rPr>
              <w:t>-</w:t>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96"/>
              <w:jc w:val="right"/>
              <w:rPr>
                <w:rFonts w:ascii="Times New Roman" w:hAnsi="Times New Roman" w:cs="Times New Roman" w:eastAsia="Times New Roman" w:hint="default"/>
                <w:sz w:val="18"/>
                <w:szCs w:val="18"/>
              </w:rPr>
            </w:pPr>
            <w:r>
              <w:rPr>
                <w:rFonts w:ascii="Times New Roman"/>
                <w:spacing w:val="-1"/>
                <w:sz w:val="18"/>
              </w:rPr>
              <w:t>-63,256,080.00</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38" w:right="0"/>
              <w:jc w:val="left"/>
              <w:rPr>
                <w:rFonts w:ascii="Times New Roman" w:hAnsi="Times New Roman" w:cs="Times New Roman" w:eastAsia="Times New Roman" w:hint="default"/>
                <w:sz w:val="18"/>
                <w:szCs w:val="18"/>
              </w:rPr>
            </w:pPr>
            <w:r>
              <w:rPr>
                <w:rFonts w:ascii="Times New Roman"/>
                <w:sz w:val="18"/>
              </w:rPr>
              <w:t>-</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81"/>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12"/>
              <w:jc w:val="right"/>
              <w:rPr>
                <w:rFonts w:ascii="Times New Roman" w:hAnsi="Times New Roman" w:cs="Times New Roman" w:eastAsia="Times New Roman" w:hint="default"/>
                <w:sz w:val="18"/>
                <w:szCs w:val="18"/>
              </w:rPr>
            </w:pPr>
            <w:r>
              <w:rPr>
                <w:rFonts w:ascii="Times New Roman"/>
                <w:spacing w:val="-1"/>
                <w:sz w:val="18"/>
              </w:rPr>
              <w:t>-88,681,678.22</w:t>
            </w:r>
          </w:p>
        </w:tc>
        <w:tc>
          <w:tcPr>
            <w:tcW w:w="173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57"/>
              <w:jc w:val="right"/>
              <w:rPr>
                <w:rFonts w:ascii="Times New Roman" w:hAnsi="Times New Roman" w:cs="Times New Roman" w:eastAsia="Times New Roman" w:hint="default"/>
                <w:sz w:val="18"/>
                <w:szCs w:val="18"/>
              </w:rPr>
            </w:pPr>
            <w:r>
              <w:rPr>
                <w:rFonts w:ascii="Times New Roman"/>
                <w:spacing w:val="-1"/>
                <w:sz w:val="18"/>
              </w:rPr>
              <w:t>-151,937,758.22</w:t>
            </w:r>
          </w:p>
        </w:tc>
      </w:tr>
      <w:tr>
        <w:trPr>
          <w:trHeight w:val="280" w:hRule="exact"/>
        </w:trPr>
        <w:tc>
          <w:tcPr>
            <w:tcW w:w="4799"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2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8"/>
              <w:jc w:val="right"/>
              <w:rPr>
                <w:rFonts w:ascii="Times New Roman" w:hAnsi="Times New Roman" w:cs="Times New Roman" w:eastAsia="Times New Roman" w:hint="default"/>
                <w:sz w:val="18"/>
                <w:szCs w:val="18"/>
              </w:rPr>
            </w:pPr>
            <w:r>
              <w:rPr>
                <w:rFonts w:ascii="Times New Roman"/>
                <w:sz w:val="18"/>
              </w:rPr>
              <w:t>-</w:t>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2"/>
              <w:jc w:val="right"/>
              <w:rPr>
                <w:rFonts w:ascii="Times New Roman" w:hAnsi="Times New Roman" w:cs="Times New Roman" w:eastAsia="Times New Roman" w:hint="default"/>
                <w:sz w:val="18"/>
                <w:szCs w:val="18"/>
              </w:rPr>
            </w:pPr>
            <w:r>
              <w:rPr>
                <w:rFonts w:ascii="Times New Roman"/>
                <w:sz w:val="18"/>
              </w:rPr>
              <w:t>-</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39" w:right="0"/>
              <w:jc w:val="left"/>
              <w:rPr>
                <w:rFonts w:ascii="Times New Roman" w:hAnsi="Times New Roman" w:cs="Times New Roman" w:eastAsia="Times New Roman" w:hint="default"/>
                <w:sz w:val="18"/>
                <w:szCs w:val="18"/>
              </w:rPr>
            </w:pPr>
            <w:r>
              <w:rPr>
                <w:rFonts w:ascii="Times New Roman"/>
                <w:sz w:val="18"/>
              </w:rPr>
              <w:t>-</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80"/>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7"/>
              <w:jc w:val="right"/>
              <w:rPr>
                <w:rFonts w:ascii="Times New Roman" w:hAnsi="Times New Roman" w:cs="Times New Roman" w:eastAsia="Times New Roman" w:hint="default"/>
                <w:sz w:val="18"/>
                <w:szCs w:val="18"/>
              </w:rPr>
            </w:pPr>
            <w:r>
              <w:rPr>
                <w:rFonts w:ascii="Times New Roman"/>
                <w:sz w:val="18"/>
              </w:rPr>
              <w:t>-</w:t>
            </w:r>
          </w:p>
        </w:tc>
        <w:tc>
          <w:tcPr>
            <w:tcW w:w="173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82"/>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4799"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8"/>
              <w:jc w:val="right"/>
              <w:rPr>
                <w:rFonts w:ascii="Times New Roman" w:hAnsi="Times New Roman" w:cs="Times New Roman" w:eastAsia="Times New Roman" w:hint="default"/>
                <w:sz w:val="18"/>
                <w:szCs w:val="18"/>
              </w:rPr>
            </w:pPr>
            <w:r>
              <w:rPr>
                <w:rFonts w:ascii="Times New Roman"/>
                <w:sz w:val="18"/>
              </w:rPr>
              <w:t>-</w:t>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2"/>
              <w:jc w:val="right"/>
              <w:rPr>
                <w:rFonts w:ascii="Times New Roman" w:hAnsi="Times New Roman" w:cs="Times New Roman" w:eastAsia="Times New Roman" w:hint="default"/>
                <w:sz w:val="18"/>
                <w:szCs w:val="18"/>
              </w:rPr>
            </w:pPr>
            <w:r>
              <w:rPr>
                <w:rFonts w:ascii="Times New Roman"/>
                <w:sz w:val="18"/>
              </w:rPr>
              <w:t>-</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39" w:right="0"/>
              <w:jc w:val="left"/>
              <w:rPr>
                <w:rFonts w:ascii="Times New Roman" w:hAnsi="Times New Roman" w:cs="Times New Roman" w:eastAsia="Times New Roman" w:hint="default"/>
                <w:sz w:val="18"/>
                <w:szCs w:val="18"/>
              </w:rPr>
            </w:pPr>
            <w:r>
              <w:rPr>
                <w:rFonts w:ascii="Times New Roman"/>
                <w:sz w:val="18"/>
              </w:rPr>
              <w:t>-</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80"/>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7"/>
              <w:jc w:val="right"/>
              <w:rPr>
                <w:rFonts w:ascii="Times New Roman" w:hAnsi="Times New Roman" w:cs="Times New Roman" w:eastAsia="Times New Roman" w:hint="default"/>
                <w:sz w:val="18"/>
                <w:szCs w:val="18"/>
              </w:rPr>
            </w:pPr>
            <w:r>
              <w:rPr>
                <w:rFonts w:ascii="Times New Roman"/>
                <w:sz w:val="18"/>
              </w:rPr>
              <w:t>-</w:t>
            </w:r>
          </w:p>
        </w:tc>
        <w:tc>
          <w:tcPr>
            <w:tcW w:w="173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82"/>
              <w:jc w:val="right"/>
              <w:rPr>
                <w:rFonts w:ascii="Times New Roman" w:hAnsi="Times New Roman" w:cs="Times New Roman" w:eastAsia="Times New Roman" w:hint="default"/>
                <w:sz w:val="18"/>
                <w:szCs w:val="18"/>
              </w:rPr>
            </w:pPr>
            <w:r>
              <w:rPr>
                <w:rFonts w:ascii="Times New Roman"/>
                <w:sz w:val="18"/>
              </w:rPr>
              <w:t>-</w:t>
            </w:r>
          </w:p>
        </w:tc>
      </w:tr>
      <w:tr>
        <w:trPr>
          <w:trHeight w:val="281" w:hRule="exact"/>
        </w:trPr>
        <w:tc>
          <w:tcPr>
            <w:tcW w:w="4799"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8"/>
              <w:jc w:val="right"/>
              <w:rPr>
                <w:rFonts w:ascii="Times New Roman" w:hAnsi="Times New Roman" w:cs="Times New Roman" w:eastAsia="Times New Roman" w:hint="default"/>
                <w:sz w:val="18"/>
                <w:szCs w:val="18"/>
              </w:rPr>
            </w:pPr>
            <w:r>
              <w:rPr>
                <w:rFonts w:ascii="Times New Roman"/>
                <w:sz w:val="18"/>
              </w:rPr>
              <w:t>-</w:t>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2"/>
              <w:jc w:val="right"/>
              <w:rPr>
                <w:rFonts w:ascii="Times New Roman" w:hAnsi="Times New Roman" w:cs="Times New Roman" w:eastAsia="Times New Roman" w:hint="default"/>
                <w:sz w:val="18"/>
                <w:szCs w:val="18"/>
              </w:rPr>
            </w:pPr>
            <w:r>
              <w:rPr>
                <w:rFonts w:ascii="Times New Roman"/>
                <w:sz w:val="18"/>
              </w:rPr>
              <w:t>-</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39" w:right="0"/>
              <w:jc w:val="left"/>
              <w:rPr>
                <w:rFonts w:ascii="Times New Roman" w:hAnsi="Times New Roman" w:cs="Times New Roman" w:eastAsia="Times New Roman" w:hint="default"/>
                <w:sz w:val="18"/>
                <w:szCs w:val="18"/>
              </w:rPr>
            </w:pPr>
            <w:r>
              <w:rPr>
                <w:rFonts w:ascii="Times New Roman"/>
                <w:sz w:val="18"/>
              </w:rPr>
              <w:t>-</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80"/>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7"/>
              <w:jc w:val="right"/>
              <w:rPr>
                <w:rFonts w:ascii="Times New Roman" w:hAnsi="Times New Roman" w:cs="Times New Roman" w:eastAsia="Times New Roman" w:hint="default"/>
                <w:sz w:val="18"/>
                <w:szCs w:val="18"/>
              </w:rPr>
            </w:pPr>
            <w:r>
              <w:rPr>
                <w:rFonts w:ascii="Times New Roman"/>
                <w:sz w:val="18"/>
              </w:rPr>
              <w:t>-</w:t>
            </w:r>
          </w:p>
        </w:tc>
        <w:tc>
          <w:tcPr>
            <w:tcW w:w="173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82"/>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4799"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8"/>
              <w:jc w:val="right"/>
              <w:rPr>
                <w:rFonts w:ascii="Times New Roman" w:hAnsi="Times New Roman" w:cs="Times New Roman" w:eastAsia="Times New Roman" w:hint="default"/>
                <w:sz w:val="18"/>
                <w:szCs w:val="18"/>
              </w:rPr>
            </w:pPr>
            <w:r>
              <w:rPr>
                <w:rFonts w:ascii="Times New Roman"/>
                <w:sz w:val="18"/>
              </w:rPr>
              <w:t>-</w:t>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2"/>
              <w:jc w:val="right"/>
              <w:rPr>
                <w:rFonts w:ascii="Times New Roman" w:hAnsi="Times New Roman" w:cs="Times New Roman" w:eastAsia="Times New Roman" w:hint="default"/>
                <w:sz w:val="18"/>
                <w:szCs w:val="18"/>
              </w:rPr>
            </w:pPr>
            <w:r>
              <w:rPr>
                <w:rFonts w:ascii="Times New Roman"/>
                <w:sz w:val="18"/>
              </w:rPr>
              <w:t>-</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39" w:right="0"/>
              <w:jc w:val="left"/>
              <w:rPr>
                <w:rFonts w:ascii="Times New Roman" w:hAnsi="Times New Roman" w:cs="Times New Roman" w:eastAsia="Times New Roman" w:hint="default"/>
                <w:sz w:val="18"/>
                <w:szCs w:val="18"/>
              </w:rPr>
            </w:pPr>
            <w:r>
              <w:rPr>
                <w:rFonts w:ascii="Times New Roman"/>
                <w:sz w:val="18"/>
              </w:rPr>
              <w:t>-</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80"/>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7"/>
              <w:jc w:val="right"/>
              <w:rPr>
                <w:rFonts w:ascii="Times New Roman" w:hAnsi="Times New Roman" w:cs="Times New Roman" w:eastAsia="Times New Roman" w:hint="default"/>
                <w:sz w:val="18"/>
                <w:szCs w:val="18"/>
              </w:rPr>
            </w:pPr>
            <w:r>
              <w:rPr>
                <w:rFonts w:ascii="Times New Roman"/>
                <w:sz w:val="18"/>
              </w:rPr>
              <w:t>-</w:t>
            </w:r>
          </w:p>
        </w:tc>
        <w:tc>
          <w:tcPr>
            <w:tcW w:w="173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82"/>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4799"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2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8"/>
              <w:jc w:val="right"/>
              <w:rPr>
                <w:rFonts w:ascii="Times New Roman" w:hAnsi="Times New Roman" w:cs="Times New Roman" w:eastAsia="Times New Roman" w:hint="default"/>
                <w:sz w:val="18"/>
                <w:szCs w:val="18"/>
              </w:rPr>
            </w:pPr>
            <w:r>
              <w:rPr>
                <w:rFonts w:ascii="Times New Roman"/>
                <w:sz w:val="18"/>
              </w:rPr>
              <w:t>-</w:t>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2"/>
              <w:jc w:val="right"/>
              <w:rPr>
                <w:rFonts w:ascii="Times New Roman" w:hAnsi="Times New Roman" w:cs="Times New Roman" w:eastAsia="Times New Roman" w:hint="default"/>
                <w:sz w:val="18"/>
                <w:szCs w:val="18"/>
              </w:rPr>
            </w:pPr>
            <w:r>
              <w:rPr>
                <w:rFonts w:ascii="Times New Roman"/>
                <w:sz w:val="18"/>
              </w:rPr>
              <w:t>-</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39" w:right="0"/>
              <w:jc w:val="left"/>
              <w:rPr>
                <w:rFonts w:ascii="Times New Roman" w:hAnsi="Times New Roman" w:cs="Times New Roman" w:eastAsia="Times New Roman" w:hint="default"/>
                <w:sz w:val="18"/>
                <w:szCs w:val="18"/>
              </w:rPr>
            </w:pPr>
            <w:r>
              <w:rPr>
                <w:rFonts w:ascii="Times New Roman"/>
                <w:sz w:val="18"/>
              </w:rPr>
              <w:t>-</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80"/>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7"/>
              <w:jc w:val="right"/>
              <w:rPr>
                <w:rFonts w:ascii="Times New Roman" w:hAnsi="Times New Roman" w:cs="Times New Roman" w:eastAsia="Times New Roman" w:hint="default"/>
                <w:sz w:val="18"/>
                <w:szCs w:val="18"/>
              </w:rPr>
            </w:pPr>
            <w:r>
              <w:rPr>
                <w:rFonts w:ascii="Times New Roman"/>
                <w:sz w:val="18"/>
              </w:rPr>
              <w:t>-</w:t>
            </w:r>
          </w:p>
        </w:tc>
        <w:tc>
          <w:tcPr>
            <w:tcW w:w="173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82"/>
              <w:jc w:val="right"/>
              <w:rPr>
                <w:rFonts w:ascii="Times New Roman" w:hAnsi="Times New Roman" w:cs="Times New Roman" w:eastAsia="Times New Roman" w:hint="default"/>
                <w:sz w:val="18"/>
                <w:szCs w:val="18"/>
              </w:rPr>
            </w:pPr>
            <w:r>
              <w:rPr>
                <w:rFonts w:ascii="Times New Roman"/>
                <w:sz w:val="18"/>
              </w:rPr>
              <w:t>-</w:t>
            </w:r>
          </w:p>
        </w:tc>
      </w:tr>
      <w:tr>
        <w:trPr>
          <w:trHeight w:val="281" w:hRule="exact"/>
        </w:trPr>
        <w:tc>
          <w:tcPr>
            <w:tcW w:w="4799" w:type="dxa"/>
            <w:tcBorders>
              <w:top w:val="single" w:sz="8" w:space="0" w:color="000000"/>
              <w:left w:val="nil" w:sz="6" w:space="0" w:color="auto"/>
              <w:bottom w:val="single" w:sz="8" w:space="0" w:color="000000"/>
              <w:right w:val="single" w:sz="8" w:space="0" w:color="000000"/>
            </w:tcBorders>
          </w:tcPr>
          <w:p>
            <w:pPr>
              <w:pStyle w:val="TableParagraph"/>
              <w:spacing w:line="246" w:lineRule="exact"/>
              <w:ind w:left="232" w:right="0"/>
              <w:jc w:val="left"/>
              <w:rPr>
                <w:rFonts w:ascii="宋体" w:hAnsi="宋体" w:cs="宋体" w:eastAsia="宋体" w:hint="default"/>
                <w:sz w:val="18"/>
                <w:szCs w:val="18"/>
              </w:rPr>
            </w:pPr>
            <w:r>
              <w:rPr>
                <w:rFonts w:ascii="Arial" w:hAnsi="Arial" w:cs="Arial" w:eastAsia="Arial" w:hint="default"/>
                <w:spacing w:val="-3"/>
                <w:sz w:val="18"/>
                <w:szCs w:val="18"/>
              </w:rPr>
              <w:t>1</w:t>
            </w:r>
            <w:r>
              <w:rPr>
                <w:rFonts w:ascii="宋体" w:hAnsi="宋体" w:cs="宋体" w:eastAsia="宋体" w:hint="default"/>
                <w:spacing w:val="-3"/>
                <w:sz w:val="18"/>
                <w:szCs w:val="18"/>
              </w:rPr>
              <w:t>．提取盈余公积</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8"/>
              <w:jc w:val="right"/>
              <w:rPr>
                <w:rFonts w:ascii="Times New Roman" w:hAnsi="Times New Roman" w:cs="Times New Roman" w:eastAsia="Times New Roman" w:hint="default"/>
                <w:sz w:val="18"/>
                <w:szCs w:val="18"/>
              </w:rPr>
            </w:pPr>
            <w:r>
              <w:rPr>
                <w:rFonts w:ascii="Times New Roman"/>
                <w:sz w:val="18"/>
              </w:rPr>
              <w:t>-</w:t>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2"/>
              <w:jc w:val="right"/>
              <w:rPr>
                <w:rFonts w:ascii="Times New Roman" w:hAnsi="Times New Roman" w:cs="Times New Roman" w:eastAsia="Times New Roman" w:hint="default"/>
                <w:sz w:val="18"/>
                <w:szCs w:val="18"/>
              </w:rPr>
            </w:pPr>
            <w:r>
              <w:rPr>
                <w:rFonts w:ascii="Times New Roman"/>
                <w:sz w:val="18"/>
              </w:rPr>
              <w:t>-</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39" w:right="0"/>
              <w:jc w:val="left"/>
              <w:rPr>
                <w:rFonts w:ascii="Times New Roman" w:hAnsi="Times New Roman" w:cs="Times New Roman" w:eastAsia="Times New Roman" w:hint="default"/>
                <w:sz w:val="18"/>
                <w:szCs w:val="18"/>
              </w:rPr>
            </w:pPr>
            <w:r>
              <w:rPr>
                <w:rFonts w:ascii="Times New Roman"/>
                <w:sz w:val="18"/>
              </w:rPr>
              <w:t>-</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80"/>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7"/>
              <w:jc w:val="right"/>
              <w:rPr>
                <w:rFonts w:ascii="Times New Roman" w:hAnsi="Times New Roman" w:cs="Times New Roman" w:eastAsia="Times New Roman" w:hint="default"/>
                <w:sz w:val="18"/>
                <w:szCs w:val="18"/>
              </w:rPr>
            </w:pPr>
            <w:r>
              <w:rPr>
                <w:rFonts w:ascii="Times New Roman"/>
                <w:sz w:val="18"/>
              </w:rPr>
              <w:t>-</w:t>
            </w:r>
          </w:p>
        </w:tc>
        <w:tc>
          <w:tcPr>
            <w:tcW w:w="173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82"/>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4799"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8"/>
              <w:jc w:val="right"/>
              <w:rPr>
                <w:rFonts w:ascii="Times New Roman" w:hAnsi="Times New Roman" w:cs="Times New Roman" w:eastAsia="Times New Roman" w:hint="default"/>
                <w:sz w:val="18"/>
                <w:szCs w:val="18"/>
              </w:rPr>
            </w:pPr>
            <w:r>
              <w:rPr>
                <w:rFonts w:ascii="Times New Roman"/>
                <w:sz w:val="18"/>
              </w:rPr>
              <w:t>-</w:t>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2"/>
              <w:jc w:val="right"/>
              <w:rPr>
                <w:rFonts w:ascii="Times New Roman" w:hAnsi="Times New Roman" w:cs="Times New Roman" w:eastAsia="Times New Roman" w:hint="default"/>
                <w:sz w:val="18"/>
                <w:szCs w:val="18"/>
              </w:rPr>
            </w:pPr>
            <w:r>
              <w:rPr>
                <w:rFonts w:ascii="Times New Roman"/>
                <w:sz w:val="18"/>
              </w:rPr>
              <w:t>-</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39" w:right="0"/>
              <w:jc w:val="left"/>
              <w:rPr>
                <w:rFonts w:ascii="Times New Roman" w:hAnsi="Times New Roman" w:cs="Times New Roman" w:eastAsia="Times New Roman" w:hint="default"/>
                <w:sz w:val="18"/>
                <w:szCs w:val="18"/>
              </w:rPr>
            </w:pPr>
            <w:r>
              <w:rPr>
                <w:rFonts w:ascii="Times New Roman"/>
                <w:sz w:val="18"/>
              </w:rPr>
              <w:t>-</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80"/>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7"/>
              <w:jc w:val="right"/>
              <w:rPr>
                <w:rFonts w:ascii="Times New Roman" w:hAnsi="Times New Roman" w:cs="Times New Roman" w:eastAsia="Times New Roman" w:hint="default"/>
                <w:sz w:val="18"/>
                <w:szCs w:val="18"/>
              </w:rPr>
            </w:pPr>
            <w:r>
              <w:rPr>
                <w:rFonts w:ascii="Times New Roman"/>
                <w:sz w:val="18"/>
              </w:rPr>
              <w:t>-</w:t>
            </w:r>
          </w:p>
        </w:tc>
        <w:tc>
          <w:tcPr>
            <w:tcW w:w="173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82"/>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4799"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8"/>
              <w:jc w:val="right"/>
              <w:rPr>
                <w:rFonts w:ascii="Times New Roman" w:hAnsi="Times New Roman" w:cs="Times New Roman" w:eastAsia="Times New Roman" w:hint="default"/>
                <w:sz w:val="18"/>
                <w:szCs w:val="18"/>
              </w:rPr>
            </w:pPr>
            <w:r>
              <w:rPr>
                <w:rFonts w:ascii="Times New Roman"/>
                <w:sz w:val="18"/>
              </w:rPr>
              <w:t>-</w:t>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2"/>
              <w:jc w:val="right"/>
              <w:rPr>
                <w:rFonts w:ascii="Times New Roman" w:hAnsi="Times New Roman" w:cs="Times New Roman" w:eastAsia="Times New Roman" w:hint="default"/>
                <w:sz w:val="18"/>
                <w:szCs w:val="18"/>
              </w:rPr>
            </w:pPr>
            <w:r>
              <w:rPr>
                <w:rFonts w:ascii="Times New Roman"/>
                <w:sz w:val="18"/>
              </w:rPr>
              <w:t>-</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39" w:right="0"/>
              <w:jc w:val="left"/>
              <w:rPr>
                <w:rFonts w:ascii="Times New Roman" w:hAnsi="Times New Roman" w:cs="Times New Roman" w:eastAsia="Times New Roman" w:hint="default"/>
                <w:sz w:val="18"/>
                <w:szCs w:val="18"/>
              </w:rPr>
            </w:pPr>
            <w:r>
              <w:rPr>
                <w:rFonts w:ascii="Times New Roman"/>
                <w:sz w:val="18"/>
              </w:rPr>
              <w:t>-</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80"/>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7"/>
              <w:jc w:val="right"/>
              <w:rPr>
                <w:rFonts w:ascii="Times New Roman" w:hAnsi="Times New Roman" w:cs="Times New Roman" w:eastAsia="Times New Roman" w:hint="default"/>
                <w:sz w:val="18"/>
                <w:szCs w:val="18"/>
              </w:rPr>
            </w:pPr>
            <w:r>
              <w:rPr>
                <w:rFonts w:ascii="Times New Roman"/>
                <w:sz w:val="18"/>
              </w:rPr>
              <w:t>-</w:t>
            </w:r>
          </w:p>
        </w:tc>
        <w:tc>
          <w:tcPr>
            <w:tcW w:w="173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82"/>
              <w:jc w:val="right"/>
              <w:rPr>
                <w:rFonts w:ascii="Times New Roman" w:hAnsi="Times New Roman" w:cs="Times New Roman" w:eastAsia="Times New Roman" w:hint="default"/>
                <w:sz w:val="18"/>
                <w:szCs w:val="18"/>
              </w:rPr>
            </w:pPr>
            <w:r>
              <w:rPr>
                <w:rFonts w:ascii="Times New Roman"/>
                <w:sz w:val="18"/>
              </w:rPr>
              <w:t>-</w:t>
            </w:r>
          </w:p>
        </w:tc>
      </w:tr>
      <w:tr>
        <w:trPr>
          <w:trHeight w:val="281" w:hRule="exact"/>
        </w:trPr>
        <w:tc>
          <w:tcPr>
            <w:tcW w:w="4799"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8"/>
              <w:jc w:val="right"/>
              <w:rPr>
                <w:rFonts w:ascii="Times New Roman" w:hAnsi="Times New Roman" w:cs="Times New Roman" w:eastAsia="Times New Roman" w:hint="default"/>
                <w:sz w:val="18"/>
                <w:szCs w:val="18"/>
              </w:rPr>
            </w:pPr>
            <w:r>
              <w:rPr>
                <w:rFonts w:ascii="Times New Roman"/>
                <w:sz w:val="18"/>
              </w:rPr>
              <w:t>-</w:t>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2"/>
              <w:jc w:val="right"/>
              <w:rPr>
                <w:rFonts w:ascii="Times New Roman" w:hAnsi="Times New Roman" w:cs="Times New Roman" w:eastAsia="Times New Roman" w:hint="default"/>
                <w:sz w:val="18"/>
                <w:szCs w:val="18"/>
              </w:rPr>
            </w:pPr>
            <w:r>
              <w:rPr>
                <w:rFonts w:ascii="Times New Roman"/>
                <w:sz w:val="18"/>
              </w:rPr>
              <w:t>-</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39" w:right="0"/>
              <w:jc w:val="left"/>
              <w:rPr>
                <w:rFonts w:ascii="Times New Roman" w:hAnsi="Times New Roman" w:cs="Times New Roman" w:eastAsia="Times New Roman" w:hint="default"/>
                <w:sz w:val="18"/>
                <w:szCs w:val="18"/>
              </w:rPr>
            </w:pPr>
            <w:r>
              <w:rPr>
                <w:rFonts w:ascii="Times New Roman"/>
                <w:sz w:val="18"/>
              </w:rPr>
              <w:t>-</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80"/>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7"/>
              <w:jc w:val="right"/>
              <w:rPr>
                <w:rFonts w:ascii="Times New Roman" w:hAnsi="Times New Roman" w:cs="Times New Roman" w:eastAsia="Times New Roman" w:hint="default"/>
                <w:sz w:val="18"/>
                <w:szCs w:val="18"/>
              </w:rPr>
            </w:pPr>
            <w:r>
              <w:rPr>
                <w:rFonts w:ascii="Times New Roman"/>
                <w:sz w:val="18"/>
              </w:rPr>
              <w:t>-</w:t>
            </w:r>
          </w:p>
        </w:tc>
        <w:tc>
          <w:tcPr>
            <w:tcW w:w="173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82"/>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4799"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2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8"/>
              <w:jc w:val="right"/>
              <w:rPr>
                <w:rFonts w:ascii="Times New Roman" w:hAnsi="Times New Roman" w:cs="Times New Roman" w:eastAsia="Times New Roman" w:hint="default"/>
                <w:sz w:val="18"/>
                <w:szCs w:val="18"/>
              </w:rPr>
            </w:pPr>
            <w:r>
              <w:rPr>
                <w:rFonts w:ascii="Times New Roman"/>
                <w:sz w:val="18"/>
              </w:rPr>
              <w:t>-</w:t>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2"/>
              <w:jc w:val="right"/>
              <w:rPr>
                <w:rFonts w:ascii="Times New Roman" w:hAnsi="Times New Roman" w:cs="Times New Roman" w:eastAsia="Times New Roman" w:hint="default"/>
                <w:sz w:val="18"/>
                <w:szCs w:val="18"/>
              </w:rPr>
            </w:pPr>
            <w:r>
              <w:rPr>
                <w:rFonts w:ascii="Times New Roman"/>
                <w:sz w:val="18"/>
              </w:rPr>
              <w:t>-</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39" w:right="0"/>
              <w:jc w:val="left"/>
              <w:rPr>
                <w:rFonts w:ascii="Times New Roman" w:hAnsi="Times New Roman" w:cs="Times New Roman" w:eastAsia="Times New Roman" w:hint="default"/>
                <w:sz w:val="18"/>
                <w:szCs w:val="18"/>
              </w:rPr>
            </w:pPr>
            <w:r>
              <w:rPr>
                <w:rFonts w:ascii="Times New Roman"/>
                <w:sz w:val="18"/>
              </w:rPr>
              <w:t>-</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80"/>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7"/>
              <w:jc w:val="right"/>
              <w:rPr>
                <w:rFonts w:ascii="Times New Roman" w:hAnsi="Times New Roman" w:cs="Times New Roman" w:eastAsia="Times New Roman" w:hint="default"/>
                <w:sz w:val="18"/>
                <w:szCs w:val="18"/>
              </w:rPr>
            </w:pPr>
            <w:r>
              <w:rPr>
                <w:rFonts w:ascii="Times New Roman"/>
                <w:sz w:val="18"/>
              </w:rPr>
              <w:t>-</w:t>
            </w:r>
          </w:p>
        </w:tc>
        <w:tc>
          <w:tcPr>
            <w:tcW w:w="173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82"/>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4799"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8"/>
              <w:jc w:val="right"/>
              <w:rPr>
                <w:rFonts w:ascii="Times New Roman" w:hAnsi="Times New Roman" w:cs="Times New Roman" w:eastAsia="Times New Roman" w:hint="default"/>
                <w:sz w:val="18"/>
                <w:szCs w:val="18"/>
              </w:rPr>
            </w:pPr>
            <w:r>
              <w:rPr>
                <w:rFonts w:ascii="Times New Roman"/>
                <w:sz w:val="18"/>
              </w:rPr>
              <w:t>-</w:t>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2"/>
              <w:jc w:val="right"/>
              <w:rPr>
                <w:rFonts w:ascii="Times New Roman" w:hAnsi="Times New Roman" w:cs="Times New Roman" w:eastAsia="Times New Roman" w:hint="default"/>
                <w:sz w:val="18"/>
                <w:szCs w:val="18"/>
              </w:rPr>
            </w:pPr>
            <w:r>
              <w:rPr>
                <w:rFonts w:ascii="Times New Roman"/>
                <w:sz w:val="18"/>
              </w:rPr>
              <w:t>-</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39" w:right="0"/>
              <w:jc w:val="left"/>
              <w:rPr>
                <w:rFonts w:ascii="Times New Roman" w:hAnsi="Times New Roman" w:cs="Times New Roman" w:eastAsia="Times New Roman" w:hint="default"/>
                <w:sz w:val="18"/>
                <w:szCs w:val="18"/>
              </w:rPr>
            </w:pPr>
            <w:r>
              <w:rPr>
                <w:rFonts w:ascii="Times New Roman"/>
                <w:sz w:val="18"/>
              </w:rPr>
              <w:t>-</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80"/>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7"/>
              <w:jc w:val="right"/>
              <w:rPr>
                <w:rFonts w:ascii="Times New Roman" w:hAnsi="Times New Roman" w:cs="Times New Roman" w:eastAsia="Times New Roman" w:hint="default"/>
                <w:sz w:val="18"/>
                <w:szCs w:val="18"/>
              </w:rPr>
            </w:pPr>
            <w:r>
              <w:rPr>
                <w:rFonts w:ascii="Times New Roman"/>
                <w:sz w:val="18"/>
              </w:rPr>
              <w:t>-</w:t>
            </w:r>
          </w:p>
        </w:tc>
        <w:tc>
          <w:tcPr>
            <w:tcW w:w="173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82"/>
              <w:jc w:val="right"/>
              <w:rPr>
                <w:rFonts w:ascii="Times New Roman" w:hAnsi="Times New Roman" w:cs="Times New Roman" w:eastAsia="Times New Roman" w:hint="default"/>
                <w:sz w:val="18"/>
                <w:szCs w:val="18"/>
              </w:rPr>
            </w:pPr>
            <w:r>
              <w:rPr>
                <w:rFonts w:ascii="Times New Roman"/>
                <w:sz w:val="18"/>
              </w:rPr>
              <w:t>-</w:t>
            </w:r>
          </w:p>
        </w:tc>
      </w:tr>
      <w:tr>
        <w:trPr>
          <w:trHeight w:val="281" w:hRule="exact"/>
        </w:trPr>
        <w:tc>
          <w:tcPr>
            <w:tcW w:w="4799"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8"/>
              <w:jc w:val="right"/>
              <w:rPr>
                <w:rFonts w:ascii="Times New Roman" w:hAnsi="Times New Roman" w:cs="Times New Roman" w:eastAsia="Times New Roman" w:hint="default"/>
                <w:sz w:val="18"/>
                <w:szCs w:val="18"/>
              </w:rPr>
            </w:pPr>
            <w:r>
              <w:rPr>
                <w:rFonts w:ascii="Times New Roman"/>
                <w:sz w:val="18"/>
              </w:rPr>
              <w:t>-</w:t>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2"/>
              <w:jc w:val="right"/>
              <w:rPr>
                <w:rFonts w:ascii="Times New Roman" w:hAnsi="Times New Roman" w:cs="Times New Roman" w:eastAsia="Times New Roman" w:hint="default"/>
                <w:sz w:val="18"/>
                <w:szCs w:val="18"/>
              </w:rPr>
            </w:pPr>
            <w:r>
              <w:rPr>
                <w:rFonts w:ascii="Times New Roman"/>
                <w:sz w:val="18"/>
              </w:rPr>
              <w:t>-</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39" w:right="0"/>
              <w:jc w:val="left"/>
              <w:rPr>
                <w:rFonts w:ascii="Times New Roman" w:hAnsi="Times New Roman" w:cs="Times New Roman" w:eastAsia="Times New Roman" w:hint="default"/>
                <w:sz w:val="18"/>
                <w:szCs w:val="18"/>
              </w:rPr>
            </w:pPr>
            <w:r>
              <w:rPr>
                <w:rFonts w:ascii="Times New Roman"/>
                <w:sz w:val="18"/>
              </w:rPr>
              <w:t>-</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80"/>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7"/>
              <w:jc w:val="right"/>
              <w:rPr>
                <w:rFonts w:ascii="Times New Roman" w:hAnsi="Times New Roman" w:cs="Times New Roman" w:eastAsia="Times New Roman" w:hint="default"/>
                <w:sz w:val="18"/>
                <w:szCs w:val="18"/>
              </w:rPr>
            </w:pPr>
            <w:r>
              <w:rPr>
                <w:rFonts w:ascii="Times New Roman"/>
                <w:sz w:val="18"/>
              </w:rPr>
              <w:t>-</w:t>
            </w:r>
          </w:p>
        </w:tc>
        <w:tc>
          <w:tcPr>
            <w:tcW w:w="173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82"/>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4799"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8"/>
              <w:jc w:val="right"/>
              <w:rPr>
                <w:rFonts w:ascii="Times New Roman" w:hAnsi="Times New Roman" w:cs="Times New Roman" w:eastAsia="Times New Roman" w:hint="default"/>
                <w:sz w:val="18"/>
                <w:szCs w:val="18"/>
              </w:rPr>
            </w:pPr>
            <w:r>
              <w:rPr>
                <w:rFonts w:ascii="Times New Roman"/>
                <w:sz w:val="18"/>
              </w:rPr>
              <w:t>-</w:t>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2"/>
              <w:jc w:val="right"/>
              <w:rPr>
                <w:rFonts w:ascii="Times New Roman" w:hAnsi="Times New Roman" w:cs="Times New Roman" w:eastAsia="Times New Roman" w:hint="default"/>
                <w:sz w:val="18"/>
                <w:szCs w:val="18"/>
              </w:rPr>
            </w:pPr>
            <w:r>
              <w:rPr>
                <w:rFonts w:ascii="Times New Roman"/>
                <w:sz w:val="18"/>
              </w:rPr>
              <w:t>-</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39" w:right="0"/>
              <w:jc w:val="left"/>
              <w:rPr>
                <w:rFonts w:ascii="Times New Roman" w:hAnsi="Times New Roman" w:cs="Times New Roman" w:eastAsia="Times New Roman" w:hint="default"/>
                <w:sz w:val="18"/>
                <w:szCs w:val="18"/>
              </w:rPr>
            </w:pPr>
            <w:r>
              <w:rPr>
                <w:rFonts w:ascii="Times New Roman"/>
                <w:sz w:val="18"/>
              </w:rPr>
              <w:t>-</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80"/>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7"/>
              <w:jc w:val="right"/>
              <w:rPr>
                <w:rFonts w:ascii="Times New Roman" w:hAnsi="Times New Roman" w:cs="Times New Roman" w:eastAsia="Times New Roman" w:hint="default"/>
                <w:sz w:val="18"/>
                <w:szCs w:val="18"/>
              </w:rPr>
            </w:pPr>
            <w:r>
              <w:rPr>
                <w:rFonts w:ascii="Times New Roman"/>
                <w:sz w:val="18"/>
              </w:rPr>
              <w:t>-</w:t>
            </w:r>
          </w:p>
        </w:tc>
        <w:tc>
          <w:tcPr>
            <w:tcW w:w="173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82"/>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4799"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8"/>
              <w:jc w:val="right"/>
              <w:rPr>
                <w:rFonts w:ascii="Times New Roman" w:hAnsi="Times New Roman" w:cs="Times New Roman" w:eastAsia="Times New Roman" w:hint="default"/>
                <w:sz w:val="18"/>
                <w:szCs w:val="18"/>
              </w:rPr>
            </w:pPr>
            <w:r>
              <w:rPr>
                <w:rFonts w:ascii="Times New Roman"/>
                <w:sz w:val="18"/>
              </w:rPr>
              <w:t>-</w:t>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22"/>
              <w:jc w:val="right"/>
              <w:rPr>
                <w:rFonts w:ascii="Times New Roman" w:hAnsi="Times New Roman" w:cs="Times New Roman" w:eastAsia="Times New Roman" w:hint="default"/>
                <w:sz w:val="18"/>
                <w:szCs w:val="18"/>
              </w:rPr>
            </w:pPr>
            <w:r>
              <w:rPr>
                <w:rFonts w:ascii="Times New Roman"/>
                <w:sz w:val="18"/>
              </w:rPr>
              <w:t>-</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39" w:right="0"/>
              <w:jc w:val="left"/>
              <w:rPr>
                <w:rFonts w:ascii="Times New Roman" w:hAnsi="Times New Roman" w:cs="Times New Roman" w:eastAsia="Times New Roman" w:hint="default"/>
                <w:sz w:val="18"/>
                <w:szCs w:val="18"/>
              </w:rPr>
            </w:pPr>
            <w:r>
              <w:rPr>
                <w:rFonts w:ascii="Times New Roman"/>
                <w:sz w:val="18"/>
              </w:rPr>
              <w:t>-</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80"/>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37"/>
              <w:jc w:val="right"/>
              <w:rPr>
                <w:rFonts w:ascii="Times New Roman" w:hAnsi="Times New Roman" w:cs="Times New Roman" w:eastAsia="Times New Roman" w:hint="default"/>
                <w:sz w:val="18"/>
                <w:szCs w:val="18"/>
              </w:rPr>
            </w:pPr>
            <w:r>
              <w:rPr>
                <w:rFonts w:ascii="Times New Roman"/>
                <w:sz w:val="18"/>
              </w:rPr>
              <w:t>-</w:t>
            </w:r>
          </w:p>
        </w:tc>
        <w:tc>
          <w:tcPr>
            <w:tcW w:w="173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382"/>
              <w:jc w:val="right"/>
              <w:rPr>
                <w:rFonts w:ascii="Times New Roman" w:hAnsi="Times New Roman" w:cs="Times New Roman" w:eastAsia="Times New Roman" w:hint="default"/>
                <w:sz w:val="18"/>
                <w:szCs w:val="18"/>
              </w:rPr>
            </w:pPr>
            <w:r>
              <w:rPr>
                <w:rFonts w:ascii="Times New Roman"/>
                <w:sz w:val="18"/>
              </w:rPr>
              <w:t>-</w:t>
            </w:r>
          </w:p>
        </w:tc>
      </w:tr>
      <w:tr>
        <w:trPr>
          <w:trHeight w:val="281" w:hRule="exact"/>
        </w:trPr>
        <w:tc>
          <w:tcPr>
            <w:tcW w:w="4799"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21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spacing w:val="-1"/>
                <w:sz w:val="18"/>
              </w:rPr>
              <w:t>469,593,364.00</w:t>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96"/>
              <w:jc w:val="right"/>
              <w:rPr>
                <w:rFonts w:ascii="Times New Roman" w:hAnsi="Times New Roman" w:cs="Times New Roman" w:eastAsia="Times New Roman" w:hint="default"/>
                <w:sz w:val="18"/>
                <w:szCs w:val="18"/>
              </w:rPr>
            </w:pPr>
            <w:r>
              <w:rPr>
                <w:rFonts w:ascii="Times New Roman"/>
                <w:spacing w:val="-1"/>
                <w:sz w:val="18"/>
              </w:rPr>
              <w:t>416,864,723.84</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38" w:right="0"/>
              <w:jc w:val="left"/>
              <w:rPr>
                <w:rFonts w:ascii="Times New Roman" w:hAnsi="Times New Roman" w:cs="Times New Roman" w:eastAsia="Times New Roman" w:hint="default"/>
                <w:sz w:val="18"/>
                <w:szCs w:val="18"/>
              </w:rPr>
            </w:pPr>
            <w:r>
              <w:rPr>
                <w:rFonts w:ascii="Times New Roman"/>
                <w:sz w:val="18"/>
              </w:rPr>
              <w:t>-</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66" w:right="0"/>
              <w:jc w:val="left"/>
              <w:rPr>
                <w:rFonts w:ascii="Times New Roman" w:hAnsi="Times New Roman" w:cs="Times New Roman" w:eastAsia="Times New Roman" w:hint="default"/>
                <w:sz w:val="18"/>
                <w:szCs w:val="18"/>
              </w:rPr>
            </w:pPr>
            <w:r>
              <w:rPr>
                <w:rFonts w:ascii="Times New Roman"/>
                <w:sz w:val="18"/>
              </w:rPr>
              <w:t>196,990,878.50</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12"/>
              <w:jc w:val="right"/>
              <w:rPr>
                <w:rFonts w:ascii="Times New Roman" w:hAnsi="Times New Roman" w:cs="Times New Roman" w:eastAsia="Times New Roman" w:hint="default"/>
                <w:sz w:val="18"/>
                <w:szCs w:val="18"/>
              </w:rPr>
            </w:pPr>
            <w:r>
              <w:rPr>
                <w:rFonts w:ascii="Times New Roman"/>
                <w:spacing w:val="-1"/>
                <w:sz w:val="18"/>
              </w:rPr>
              <w:t>-492,743,542.83</w:t>
            </w:r>
          </w:p>
        </w:tc>
        <w:tc>
          <w:tcPr>
            <w:tcW w:w="173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56"/>
              <w:jc w:val="right"/>
              <w:rPr>
                <w:rFonts w:ascii="Times New Roman" w:hAnsi="Times New Roman" w:cs="Times New Roman" w:eastAsia="Times New Roman" w:hint="default"/>
                <w:sz w:val="18"/>
                <w:szCs w:val="18"/>
              </w:rPr>
            </w:pPr>
            <w:r>
              <w:rPr>
                <w:rFonts w:ascii="Times New Roman"/>
                <w:spacing w:val="-1"/>
                <w:sz w:val="18"/>
              </w:rPr>
              <w:t>590,705,423.51</w:t>
            </w:r>
          </w:p>
        </w:tc>
      </w:tr>
    </w:tbl>
    <w:p>
      <w:pPr>
        <w:spacing w:line="240" w:lineRule="auto" w:before="2"/>
        <w:rPr>
          <w:rFonts w:ascii="宋体" w:hAnsi="宋体" w:cs="宋体" w:eastAsia="宋体" w:hint="default"/>
          <w:sz w:val="13"/>
          <w:szCs w:val="13"/>
        </w:rPr>
      </w:pPr>
    </w:p>
    <w:p>
      <w:pPr>
        <w:pStyle w:val="BodyText"/>
        <w:tabs>
          <w:tab w:pos="6011" w:val="left" w:leader="none"/>
          <w:tab w:pos="12308" w:val="left" w:leader="none"/>
        </w:tabs>
        <w:spacing w:line="240" w:lineRule="auto" w:before="35"/>
        <w:ind w:left="238" w:right="0"/>
        <w:jc w:val="left"/>
      </w:pPr>
      <w:r>
        <w:rPr/>
        <w:t>法定代表人：陈泰泉</w:t>
        <w:tab/>
      </w:r>
      <w:r>
        <w:rPr>
          <w:spacing w:val="-1"/>
        </w:rPr>
        <w:t>主管会计工作负责人：钟民</w:t>
        <w:tab/>
        <w:t>会计机构负责人：钟民</w:t>
      </w:r>
    </w:p>
    <w:p>
      <w:pPr>
        <w:spacing w:after="0" w:line="240" w:lineRule="auto"/>
        <w:jc w:val="left"/>
        <w:sectPr>
          <w:pgSz w:w="16840" w:h="11900" w:orient="landscape"/>
          <w:pgMar w:header="0" w:footer="974" w:top="1100" w:bottom="1160" w:left="1180" w:right="1140"/>
        </w:sectPr>
      </w:pPr>
    </w:p>
    <w:p>
      <w:pPr>
        <w:pStyle w:val="Heading1"/>
        <w:spacing w:line="405" w:lineRule="exact"/>
        <w:ind w:right="2606"/>
        <w:jc w:val="center"/>
      </w:pPr>
      <w:r>
        <w:rPr/>
        <w:t>深圳市鸿基（集团）股份有限公司</w:t>
      </w:r>
    </w:p>
    <w:p>
      <w:pPr>
        <w:spacing w:before="81"/>
        <w:ind w:left="2514" w:right="2606" w:firstLine="0"/>
        <w:jc w:val="center"/>
        <w:rPr>
          <w:rFonts w:ascii="黑体" w:hAnsi="黑体" w:cs="黑体" w:eastAsia="黑体" w:hint="default"/>
          <w:sz w:val="32"/>
          <w:szCs w:val="32"/>
        </w:rPr>
      </w:pPr>
      <w:r>
        <w:rPr>
          <w:rFonts w:ascii="黑体" w:hAnsi="黑体" w:cs="黑体" w:eastAsia="黑体" w:hint="default"/>
          <w:sz w:val="32"/>
          <w:szCs w:val="32"/>
        </w:rPr>
        <w:t>财务报表附注</w:t>
      </w:r>
    </w:p>
    <w:p>
      <w:pPr>
        <w:pStyle w:val="BodyText"/>
        <w:spacing w:line="240" w:lineRule="auto" w:before="241"/>
        <w:ind w:left="2514" w:right="2606"/>
        <w:jc w:val="center"/>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114" w:right="87"/>
        <w:jc w:val="left"/>
        <w:rPr>
          <w:rFonts w:ascii="黑体" w:hAnsi="黑体" w:cs="黑体" w:eastAsia="黑体" w:hint="default"/>
        </w:rPr>
      </w:pPr>
      <w:r>
        <w:rPr>
          <w:rFonts w:ascii="黑体" w:hAnsi="黑体" w:cs="黑体" w:eastAsia="黑体" w:hint="default"/>
        </w:rPr>
        <w:t>一、公司基本情况</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15"/>
          <w:szCs w:val="15"/>
        </w:rPr>
      </w:pPr>
    </w:p>
    <w:p>
      <w:pPr>
        <w:pStyle w:val="BodyText"/>
        <w:spacing w:line="240" w:lineRule="auto"/>
        <w:ind w:left="114" w:right="87"/>
        <w:jc w:val="left"/>
      </w:pPr>
      <w:r>
        <w:rPr>
          <w:rFonts w:ascii="Times New Roman" w:hAnsi="Times New Roman" w:cs="Times New Roman" w:eastAsia="Times New Roman" w:hint="default"/>
          <w:b/>
          <w:bCs/>
        </w:rPr>
        <w:t>1</w:t>
      </w:r>
      <w:r>
        <w:rPr/>
        <w:t>、公司概况</w:t>
      </w:r>
    </w:p>
    <w:p>
      <w:pPr>
        <w:spacing w:line="240" w:lineRule="auto" w:before="0"/>
        <w:rPr>
          <w:rFonts w:ascii="宋体" w:hAnsi="宋体" w:cs="宋体" w:eastAsia="宋体" w:hint="default"/>
          <w:sz w:val="16"/>
          <w:szCs w:val="16"/>
        </w:rPr>
      </w:pPr>
    </w:p>
    <w:p>
      <w:pPr>
        <w:pStyle w:val="BodyText"/>
        <w:spacing w:line="412" w:lineRule="auto"/>
        <w:ind w:left="113" w:right="87" w:firstLine="421"/>
        <w:jc w:val="left"/>
      </w:pPr>
      <w:r>
        <w:rPr>
          <w:spacing w:val="-6"/>
        </w:rPr>
        <w:t>深圳市鸿基（集团）股份有限公司（以下简称</w:t>
      </w:r>
      <w:r>
        <w:rPr>
          <w:rFonts w:ascii="Times New Roman" w:hAnsi="Times New Roman" w:cs="Times New Roman" w:eastAsia="Times New Roman" w:hint="default"/>
          <w:spacing w:val="-6"/>
        </w:rPr>
        <w:t>“</w:t>
      </w:r>
      <w:r>
        <w:rPr>
          <w:spacing w:val="-6"/>
        </w:rPr>
        <w:t>本公司</w:t>
      </w:r>
      <w:r>
        <w:rPr>
          <w:rFonts w:ascii="Times New Roman" w:hAnsi="Times New Roman" w:cs="Times New Roman" w:eastAsia="Times New Roman" w:hint="default"/>
          <w:spacing w:val="-6"/>
        </w:rPr>
        <w:t>”</w:t>
      </w:r>
      <w:r>
        <w:rPr>
          <w:spacing w:val="-6"/>
        </w:rPr>
        <w:t>）是于</w:t>
      </w:r>
      <w:r>
        <w:rPr>
          <w:spacing w:val="-52"/>
        </w:rPr>
        <w:t> </w:t>
      </w:r>
      <w:r>
        <w:rPr>
          <w:rFonts w:ascii="Times New Roman" w:hAnsi="Times New Roman" w:cs="Times New Roman" w:eastAsia="Times New Roman" w:hint="default"/>
        </w:rPr>
        <w:t>1993</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日经深府办复</w:t>
      </w:r>
      <w:r>
        <w:rPr>
          <w:rFonts w:ascii="Times New Roman" w:hAnsi="Times New Roman" w:cs="Times New Roman" w:eastAsia="Times New Roman" w:hint="default"/>
        </w:rPr>
        <w:t>[1993]926 </w:t>
      </w:r>
      <w:r>
        <w:rPr>
          <w:spacing w:val="-4"/>
        </w:rPr>
        <w:t>号文批准在原深圳市装卸运输公司的基础上改组设立的股份有限公司。</w:t>
      </w:r>
      <w:r>
        <w:rPr>
          <w:rFonts w:ascii="Times New Roman" w:hAnsi="Times New Roman" w:cs="Times New Roman" w:eastAsia="Times New Roman" w:hint="default"/>
          <w:spacing w:val="-4"/>
        </w:rPr>
        <w:t>1994</w:t>
      </w:r>
      <w:r>
        <w:rPr>
          <w:rFonts w:ascii="Times New Roman" w:hAnsi="Times New Roman" w:cs="Times New Roman" w:eastAsia="Times New Roman" w:hint="default"/>
          <w:spacing w:val="-17"/>
        </w:rPr>
        <w:t> </w:t>
      </w:r>
      <w:r>
        <w:rPr/>
        <w:t>年</w:t>
      </w:r>
      <w:r>
        <w:rPr>
          <w:spacing w:val="-70"/>
        </w:rPr>
        <w:t> </w:t>
      </w:r>
      <w:r>
        <w:rPr>
          <w:rFonts w:ascii="Times New Roman" w:hAnsi="Times New Roman" w:cs="Times New Roman" w:eastAsia="Times New Roman" w:hint="default"/>
        </w:rPr>
        <w:t>2</w:t>
      </w:r>
      <w:r>
        <w:rPr>
          <w:rFonts w:ascii="Times New Roman" w:hAnsi="Times New Roman" w:cs="Times New Roman" w:eastAsia="Times New Roman" w:hint="default"/>
          <w:spacing w:val="-16"/>
        </w:rPr>
        <w:t> </w:t>
      </w:r>
      <w:r>
        <w:rPr/>
        <w:t>月</w:t>
      </w:r>
      <w:r>
        <w:rPr>
          <w:spacing w:val="-70"/>
        </w:rPr>
        <w:t> </w:t>
      </w:r>
      <w:r>
        <w:rPr>
          <w:rFonts w:ascii="Times New Roman" w:hAnsi="Times New Roman" w:cs="Times New Roman" w:eastAsia="Times New Roman" w:hint="default"/>
        </w:rPr>
        <w:t>8</w:t>
      </w:r>
      <w:r>
        <w:rPr>
          <w:rFonts w:ascii="Times New Roman" w:hAnsi="Times New Roman" w:cs="Times New Roman" w:eastAsia="Times New Roman" w:hint="default"/>
          <w:spacing w:val="-17"/>
        </w:rPr>
        <w:t> </w:t>
      </w:r>
      <w:r>
        <w:rPr>
          <w:spacing w:val="-1"/>
        </w:rPr>
        <w:t>日经深证办复</w:t>
      </w:r>
      <w:r>
        <w:rPr>
          <w:rFonts w:ascii="Times New Roman" w:hAnsi="Times New Roman" w:cs="Times New Roman" w:eastAsia="Times New Roman" w:hint="default"/>
          <w:spacing w:val="-1"/>
        </w:rPr>
        <w:t>[1994]40</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号文批准，向社会公众公开发行人民币普通股股票，并于同年在深圳证券交易所挂牌上市。</w:t>
      </w:r>
      <w:r>
        <w:rPr>
          <w:rFonts w:ascii="Times New Roman" w:hAnsi="Times New Roman" w:cs="Times New Roman" w:eastAsia="Times New Roman" w:hint="default"/>
        </w:rPr>
        <w:t>1995</w:t>
      </w:r>
      <w:r>
        <w:rPr>
          <w:rFonts w:ascii="Times New Roman" w:hAnsi="Times New Roman" w:cs="Times New Roman" w:eastAsia="Times New Roman" w:hint="default"/>
          <w:spacing w:val="-23"/>
        </w:rPr>
        <w:t> </w:t>
      </w:r>
      <w:r>
        <w:rPr/>
        <w:t>年</w:t>
      </w:r>
      <w:r>
        <w:rPr>
          <w:spacing w:val="-7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3"/>
        </w:rPr>
        <w:t> </w:t>
      </w:r>
      <w:r>
        <w:rPr/>
        <w:t>月、 </w:t>
      </w:r>
      <w:r>
        <w:rPr>
          <w:rFonts w:ascii="Times New Roman" w:hAnsi="Times New Roman" w:cs="Times New Roman" w:eastAsia="Times New Roman" w:hint="default"/>
        </w:rPr>
        <w:t>1997</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月、</w:t>
      </w:r>
      <w:r>
        <w:rPr>
          <w:rFonts w:ascii="Times New Roman" w:hAnsi="Times New Roman" w:cs="Times New Roman" w:eastAsia="Times New Roman" w:hint="default"/>
        </w:rPr>
        <w:t>1999</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月分别实施了增资配股、分红派息和公积金转增股本，截至</w:t>
      </w:r>
      <w:r>
        <w:rPr>
          <w:spacing w:val="-42"/>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0"/>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p>
    <w:p>
      <w:pPr>
        <w:pStyle w:val="BodyText"/>
        <w:spacing w:line="240" w:lineRule="auto" w:before="41"/>
        <w:ind w:left="113" w:right="87"/>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日止，总股本为</w:t>
      </w:r>
      <w:r>
        <w:rPr>
          <w:spacing w:val="-51"/>
        </w:rPr>
        <w:t> </w:t>
      </w:r>
      <w:r>
        <w:rPr>
          <w:rFonts w:ascii="Times New Roman" w:hAnsi="Times New Roman" w:cs="Times New Roman" w:eastAsia="Times New Roman" w:hint="default"/>
        </w:rPr>
        <w:t>469,593,364</w:t>
      </w:r>
      <w:r>
        <w:rPr>
          <w:rFonts w:ascii="Times New Roman" w:hAnsi="Times New Roman" w:cs="Times New Roman" w:eastAsia="Times New Roman" w:hint="default"/>
          <w:spacing w:val="2"/>
        </w:rPr>
        <w:t> </w:t>
      </w:r>
      <w:r>
        <w:rPr/>
        <w:t>元。自</w:t>
      </w:r>
      <w:r>
        <w:rPr>
          <w:spacing w:val="-5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日起，中国宝安集团控股有限公司通过二级市场买</w:t>
      </w:r>
    </w:p>
    <w:p>
      <w:pPr>
        <w:spacing w:line="240" w:lineRule="auto" w:before="0"/>
        <w:rPr>
          <w:rFonts w:ascii="宋体" w:hAnsi="宋体" w:cs="宋体" w:eastAsia="宋体" w:hint="default"/>
          <w:sz w:val="16"/>
          <w:szCs w:val="16"/>
        </w:rPr>
      </w:pPr>
    </w:p>
    <w:p>
      <w:pPr>
        <w:pStyle w:val="BodyText"/>
        <w:spacing w:line="240" w:lineRule="auto"/>
        <w:ind w:left="114" w:right="87"/>
        <w:jc w:val="left"/>
      </w:pPr>
      <w:r>
        <w:rPr/>
        <w:t>入本公司股票，至</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日持有本公司</w:t>
      </w:r>
      <w:r>
        <w:rPr>
          <w:spacing w:val="-55"/>
        </w:rPr>
        <w:t> </w:t>
      </w:r>
      <w:r>
        <w:rPr>
          <w:rFonts w:ascii="Times New Roman" w:hAnsi="Times New Roman" w:cs="Times New Roman" w:eastAsia="Times New Roman" w:hint="default"/>
        </w:rPr>
        <w:t>19.80</w:t>
      </w:r>
      <w:r>
        <w:rPr/>
        <w:t>％股票</w:t>
      </w:r>
      <w:r>
        <w:rPr>
          <w:rFonts w:ascii="Times New Roman" w:hAnsi="Times New Roman" w:cs="Times New Roman" w:eastAsia="Times New Roman" w:hint="default"/>
        </w:rPr>
        <w:t>,</w:t>
      </w:r>
      <w:r>
        <w:rPr/>
        <w:t>为本公司第一大股东。</w:t>
      </w:r>
    </w:p>
    <w:p>
      <w:pPr>
        <w:spacing w:line="240" w:lineRule="auto" w:before="0"/>
        <w:rPr>
          <w:rFonts w:ascii="宋体" w:hAnsi="宋体" w:cs="宋体" w:eastAsia="宋体" w:hint="default"/>
          <w:sz w:val="16"/>
          <w:szCs w:val="16"/>
        </w:rPr>
      </w:pPr>
    </w:p>
    <w:p>
      <w:pPr>
        <w:pStyle w:val="BodyText"/>
        <w:spacing w:line="412" w:lineRule="auto"/>
        <w:ind w:left="113" w:right="201" w:firstLine="421"/>
        <w:jc w:val="left"/>
      </w:pPr>
      <w:r>
        <w:rPr/>
        <w:t>本公司持有深司字</w:t>
      </w:r>
      <w:r>
        <w:rPr>
          <w:spacing w:val="-47"/>
        </w:rPr>
        <w:t> </w:t>
      </w:r>
      <w:r>
        <w:rPr>
          <w:rFonts w:ascii="Times New Roman" w:hAnsi="Times New Roman" w:cs="Times New Roman" w:eastAsia="Times New Roman" w:hint="default"/>
        </w:rPr>
        <w:t>N24470</w:t>
      </w:r>
      <w:r>
        <w:rPr>
          <w:rFonts w:ascii="Times New Roman" w:hAnsi="Times New Roman" w:cs="Times New Roman" w:eastAsia="Times New Roman" w:hint="default"/>
          <w:spacing w:val="6"/>
        </w:rPr>
        <w:t> </w:t>
      </w:r>
      <w:r>
        <w:rPr/>
        <w:t>号企业法人营业执照，注册号为</w:t>
      </w:r>
      <w:r>
        <w:rPr>
          <w:spacing w:val="-47"/>
        </w:rPr>
        <w:t> </w:t>
      </w:r>
      <w:r>
        <w:rPr>
          <w:rFonts w:ascii="Times New Roman" w:hAnsi="Times New Roman" w:cs="Times New Roman" w:eastAsia="Times New Roman" w:hint="default"/>
        </w:rPr>
        <w:t>4403011002854</w:t>
      </w:r>
      <w:r>
        <w:rPr>
          <w:rFonts w:ascii="Times New Roman" w:hAnsi="Times New Roman" w:cs="Times New Roman" w:eastAsia="Times New Roman" w:hint="default"/>
          <w:spacing w:val="6"/>
        </w:rPr>
        <w:t> </w:t>
      </w:r>
      <w:r>
        <w:rPr/>
        <w:t>号。公司注册地址及办公 地址均位于深圳市罗湖区东门中路</w:t>
      </w:r>
      <w:r>
        <w:rPr>
          <w:spacing w:val="-55"/>
        </w:rPr>
        <w:t> </w:t>
      </w:r>
      <w:r>
        <w:rPr>
          <w:rFonts w:ascii="Times New Roman" w:hAnsi="Times New Roman" w:cs="Times New Roman" w:eastAsia="Times New Roman" w:hint="default"/>
          <w:spacing w:val="-3"/>
        </w:rPr>
        <w:t>1011</w:t>
      </w:r>
      <w:r>
        <w:rPr>
          <w:rFonts w:ascii="Times New Roman" w:hAnsi="Times New Roman" w:cs="Times New Roman" w:eastAsia="Times New Roman" w:hint="default"/>
          <w:spacing w:val="-2"/>
        </w:rPr>
        <w:t> </w:t>
      </w:r>
      <w:r>
        <w:rPr/>
        <w:t>号鸿基大厦</w:t>
      </w:r>
      <w:r>
        <w:rPr>
          <w:spacing w:val="-55"/>
        </w:rPr>
        <w:t> </w:t>
      </w:r>
      <w:r>
        <w:rPr>
          <w:rFonts w:ascii="Times New Roman" w:hAnsi="Times New Roman" w:cs="Times New Roman" w:eastAsia="Times New Roman" w:hint="default"/>
        </w:rPr>
        <w:t>25</w:t>
      </w:r>
      <w:r>
        <w:rPr/>
        <w:t>－</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楼。</w:t>
      </w:r>
    </w:p>
    <w:p>
      <w:pPr>
        <w:pStyle w:val="BodyText"/>
        <w:spacing w:line="412" w:lineRule="auto" w:before="42"/>
        <w:ind w:left="535" w:right="188" w:hanging="422"/>
        <w:jc w:val="left"/>
      </w:pPr>
      <w:r>
        <w:rPr>
          <w:rFonts w:ascii="Times New Roman" w:hAnsi="Times New Roman" w:cs="Times New Roman" w:eastAsia="Times New Roman" w:hint="default"/>
          <w:b/>
          <w:bCs/>
        </w:rPr>
        <w:t>2</w:t>
      </w:r>
      <w:r>
        <w:rPr/>
        <w:t>、公司经营范围</w:t>
      </w:r>
      <w:r>
        <w:rPr>
          <w:spacing w:val="-100"/>
        </w:rPr>
        <w:t> </w:t>
      </w:r>
      <w:r>
        <w:rPr>
          <w:spacing w:val="-100"/>
        </w:rPr>
      </w:r>
      <w:r>
        <w:rPr/>
        <w:t>本公司及控股子公司（以下统称</w:t>
      </w:r>
      <w:r>
        <w:rPr>
          <w:rFonts w:ascii="Times New Roman" w:hAnsi="Times New Roman" w:cs="Times New Roman" w:eastAsia="Times New Roman" w:hint="default"/>
        </w:rPr>
        <w:t>“</w:t>
      </w:r>
      <w:r>
        <w:rPr/>
        <w:t>本集团</w:t>
      </w:r>
      <w:r>
        <w:rPr>
          <w:rFonts w:ascii="Times New Roman" w:hAnsi="Times New Roman" w:cs="Times New Roman" w:eastAsia="Times New Roman" w:hint="default"/>
        </w:rPr>
        <w:t>”</w:t>
      </w:r>
      <w:r>
        <w:rPr/>
        <w:t>）综合经营多种行业，主要包括：房地产开发及物业管理，</w:t>
      </w:r>
    </w:p>
    <w:p>
      <w:pPr>
        <w:pStyle w:val="BodyText"/>
        <w:spacing w:line="240" w:lineRule="auto" w:before="41"/>
        <w:ind w:left="113" w:right="87"/>
        <w:jc w:val="left"/>
      </w:pPr>
      <w:r>
        <w:rPr/>
        <w:t>运输、物流业务，酒店管理业务和其他业务。</w:t>
      </w:r>
    </w:p>
    <w:p>
      <w:pPr>
        <w:spacing w:line="240" w:lineRule="auto" w:before="3"/>
        <w:rPr>
          <w:rFonts w:ascii="宋体" w:hAnsi="宋体" w:cs="宋体" w:eastAsia="宋体" w:hint="default"/>
          <w:sz w:val="17"/>
          <w:szCs w:val="17"/>
        </w:rPr>
      </w:pPr>
    </w:p>
    <w:p>
      <w:pPr>
        <w:pStyle w:val="BodyText"/>
        <w:spacing w:line="412" w:lineRule="auto"/>
        <w:ind w:left="533" w:right="7412" w:hanging="420"/>
        <w:jc w:val="left"/>
      </w:pPr>
      <w:r>
        <w:rPr>
          <w:rFonts w:ascii="Times New Roman" w:hAnsi="Times New Roman" w:cs="Times New Roman" w:eastAsia="Times New Roman" w:hint="default"/>
          <w:b/>
          <w:bCs/>
        </w:rPr>
        <w:t>3</w:t>
      </w:r>
      <w:r>
        <w:rPr/>
        <w:t>、母公司以及最终母公司</w:t>
      </w:r>
      <w:r>
        <w:rPr>
          <w:spacing w:val="-100"/>
        </w:rPr>
        <w:t> </w:t>
      </w:r>
      <w:r>
        <w:rPr>
          <w:spacing w:val="-100"/>
        </w:rPr>
      </w:r>
      <w:r>
        <w:rPr/>
        <w:t>不适用。</w:t>
      </w:r>
    </w:p>
    <w:p>
      <w:pPr>
        <w:pStyle w:val="BodyText"/>
        <w:spacing w:line="240" w:lineRule="auto" w:before="73"/>
        <w:ind w:left="113" w:right="87"/>
        <w:jc w:val="left"/>
      </w:pPr>
      <w:r>
        <w:rPr>
          <w:rFonts w:ascii="Times New Roman" w:hAnsi="Times New Roman" w:cs="Times New Roman" w:eastAsia="Times New Roman" w:hint="default"/>
          <w:b/>
          <w:bCs/>
        </w:rPr>
        <w:t>4</w:t>
      </w:r>
      <w:r>
        <w:rPr/>
        <w:t>、财务报告的批准报出者和财务报告批准报出日</w:t>
      </w:r>
    </w:p>
    <w:p>
      <w:pPr>
        <w:spacing w:line="240" w:lineRule="auto" w:before="0"/>
        <w:rPr>
          <w:rFonts w:ascii="宋体" w:hAnsi="宋体" w:cs="宋体" w:eastAsia="宋体" w:hint="default"/>
          <w:sz w:val="16"/>
          <w:szCs w:val="16"/>
        </w:rPr>
      </w:pPr>
    </w:p>
    <w:p>
      <w:pPr>
        <w:pStyle w:val="BodyText"/>
        <w:spacing w:line="240" w:lineRule="auto"/>
        <w:ind w:left="535" w:right="87"/>
        <w:jc w:val="left"/>
      </w:pPr>
      <w:r>
        <w:rPr/>
        <w:t>本公司财务报告经本公司</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日第六届董事局第三次定期会议决议通过。</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pStyle w:val="BodyText"/>
        <w:spacing w:line="240" w:lineRule="auto"/>
        <w:ind w:left="113" w:right="87"/>
        <w:jc w:val="left"/>
        <w:rPr>
          <w:rFonts w:ascii="黑体" w:hAnsi="黑体" w:cs="黑体" w:eastAsia="黑体" w:hint="default"/>
        </w:rPr>
      </w:pPr>
      <w:r>
        <w:rPr>
          <w:rFonts w:ascii="黑体" w:hAnsi="黑体" w:cs="黑体" w:eastAsia="黑体" w:hint="default"/>
        </w:rPr>
        <w:t>二、公司主要会计政策、会计估计和前期差错</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15"/>
          <w:szCs w:val="15"/>
        </w:rPr>
      </w:pPr>
    </w:p>
    <w:p>
      <w:pPr>
        <w:pStyle w:val="BodyText"/>
        <w:spacing w:line="412" w:lineRule="auto"/>
        <w:ind w:left="534" w:right="87" w:hanging="421"/>
        <w:jc w:val="left"/>
      </w:pPr>
      <w:r>
        <w:rPr>
          <w:rFonts w:ascii="Times New Roman" w:hAnsi="Times New Roman" w:cs="Times New Roman" w:eastAsia="Times New Roman" w:hint="default"/>
          <w:b/>
          <w:bCs/>
        </w:rPr>
        <w:t>1</w:t>
      </w:r>
      <w:r>
        <w:rPr/>
        <w:t>、财务报表的编制基础</w:t>
      </w:r>
      <w:r>
        <w:rPr>
          <w:spacing w:val="-100"/>
        </w:rPr>
        <w:t> </w:t>
      </w:r>
      <w:r>
        <w:rPr>
          <w:spacing w:val="-100"/>
        </w:rPr>
      </w:r>
      <w:r>
        <w:rPr>
          <w:spacing w:val="-1"/>
        </w:rPr>
        <w:t>本公司以持续经营为基础，根据实际发生的交易和事项，按照《企业会计准则</w:t>
      </w:r>
      <w:r>
        <w:rPr>
          <w:rFonts w:ascii="Times New Roman" w:hAnsi="Times New Roman" w:cs="Times New Roman" w:eastAsia="Times New Roman" w:hint="default"/>
          <w:spacing w:val="-1"/>
        </w:rPr>
        <w:t>――</w:t>
      </w:r>
      <w:r>
        <w:rPr>
          <w:spacing w:val="-1"/>
        </w:rPr>
        <w:t>基本准则》和其他</w:t>
      </w:r>
    </w:p>
    <w:p>
      <w:pPr>
        <w:pStyle w:val="BodyText"/>
        <w:spacing w:line="240" w:lineRule="auto" w:before="42"/>
        <w:ind w:left="114" w:right="87"/>
        <w:jc w:val="left"/>
      </w:pPr>
      <w:r>
        <w:rPr/>
        <w:t>各项会计准则的规定进行确认和计量，在此基础上编制财务报表。</w:t>
      </w:r>
    </w:p>
    <w:p>
      <w:pPr>
        <w:spacing w:after="0" w:line="240" w:lineRule="auto"/>
        <w:jc w:val="left"/>
        <w:sectPr>
          <w:footerReference w:type="default" r:id="rId14"/>
          <w:pgSz w:w="11900" w:h="16840"/>
          <w:pgMar w:footer="982" w:header="0" w:top="1180" w:bottom="1180" w:left="1020" w:right="920"/>
          <w:pgNumType w:start="15"/>
        </w:sectPr>
      </w:pPr>
    </w:p>
    <w:p>
      <w:pPr>
        <w:pStyle w:val="BodyText"/>
        <w:spacing w:line="396" w:lineRule="auto" w:before="7"/>
        <w:ind w:left="534" w:right="193" w:hanging="420"/>
        <w:jc w:val="left"/>
        <w:rPr>
          <w:rFonts w:ascii="Times New Roman" w:hAnsi="Times New Roman" w:cs="Times New Roman" w:eastAsia="Times New Roman" w:hint="default"/>
        </w:rPr>
      </w:pPr>
      <w:r>
        <w:rPr>
          <w:rFonts w:ascii="Times New Roman" w:hAnsi="Times New Roman" w:cs="Times New Roman" w:eastAsia="Times New Roman" w:hint="default"/>
          <w:b/>
          <w:bCs/>
        </w:rPr>
        <w:t>2</w:t>
      </w:r>
      <w:r>
        <w:rPr/>
        <w:t>、遵循企业会计准则的声明</w:t>
      </w:r>
      <w:r>
        <w:rPr>
          <w:spacing w:val="-99"/>
        </w:rPr>
        <w:t> </w:t>
      </w:r>
      <w:r>
        <w:rPr>
          <w:spacing w:val="-99"/>
        </w:rPr>
      </w:r>
      <w:r>
        <w:rPr>
          <w:spacing w:val="-2"/>
        </w:rPr>
        <w:t>本公司基于上述编制基础编制的财务报表符合企业会计准则的要求，真实、完整地反映了本公司</w:t>
      </w:r>
      <w:r>
        <w:rPr>
          <w:spacing w:val="-44"/>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rPr>
      </w:r>
    </w:p>
    <w:p>
      <w:pPr>
        <w:pStyle w:val="BodyText"/>
        <w:spacing w:line="240" w:lineRule="auto" w:before="38"/>
        <w:ind w:left="113" w:right="87"/>
        <w:jc w:val="left"/>
      </w:pP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日的财务状况，以及</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年度经营成果和现金流量等有关信息。</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pStyle w:val="BodyText"/>
        <w:spacing w:line="240" w:lineRule="auto"/>
        <w:ind w:left="113" w:right="87"/>
        <w:jc w:val="left"/>
      </w:pPr>
      <w:r>
        <w:rPr>
          <w:rFonts w:ascii="Times New Roman" w:hAnsi="Times New Roman" w:cs="Times New Roman" w:eastAsia="Times New Roman" w:hint="default"/>
          <w:b/>
          <w:bCs/>
        </w:rPr>
        <w:t>3</w:t>
      </w:r>
      <w:r>
        <w:rPr/>
        <w:t>、会计期间</w:t>
      </w:r>
    </w:p>
    <w:p>
      <w:pPr>
        <w:pStyle w:val="BodyText"/>
        <w:spacing w:line="240" w:lineRule="auto" w:before="189"/>
        <w:ind w:left="533" w:right="87"/>
        <w:jc w:val="left"/>
      </w:pPr>
      <w:r>
        <w:rPr/>
        <w:t>采用公历年度，即从每年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日为一个会计年度。</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pStyle w:val="BodyText"/>
        <w:spacing w:line="240" w:lineRule="auto"/>
        <w:ind w:left="113" w:right="87"/>
        <w:jc w:val="left"/>
      </w:pPr>
      <w:r>
        <w:rPr>
          <w:rFonts w:ascii="Times New Roman" w:hAnsi="Times New Roman" w:cs="Times New Roman" w:eastAsia="Times New Roman" w:hint="default"/>
          <w:b/>
          <w:bCs/>
        </w:rPr>
        <w:t>4</w:t>
      </w:r>
      <w:r>
        <w:rPr/>
        <w:t>、记账本位币</w:t>
      </w:r>
    </w:p>
    <w:p>
      <w:pPr>
        <w:pStyle w:val="BodyText"/>
        <w:spacing w:line="240" w:lineRule="auto" w:before="189"/>
        <w:ind w:left="533" w:right="87"/>
        <w:jc w:val="left"/>
      </w:pPr>
      <w:r>
        <w:rPr/>
        <w:t>以人民币为记账本位币。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1"/>
        <w:ind w:left="113" w:right="87"/>
        <w:jc w:val="left"/>
      </w:pPr>
      <w:r>
        <w:rPr>
          <w:rFonts w:ascii="Times New Roman" w:hAnsi="Times New Roman" w:cs="Times New Roman" w:eastAsia="Times New Roman" w:hint="default"/>
          <w:b/>
          <w:bCs/>
        </w:rPr>
        <w:t>5</w:t>
      </w:r>
      <w:r>
        <w:rPr/>
        <w:t>、同一控制下和非同一控制下企业合并的会计处理方法</w:t>
      </w:r>
    </w:p>
    <w:p>
      <w:pPr>
        <w:pStyle w:val="BodyText"/>
        <w:spacing w:line="396" w:lineRule="auto" w:before="189"/>
        <w:ind w:left="533" w:right="87" w:hanging="1"/>
        <w:jc w:val="left"/>
      </w:pPr>
      <w:r>
        <w:rPr/>
        <w:t>（</w:t>
      </w:r>
      <w:r>
        <w:rPr>
          <w:rFonts w:ascii="Times New Roman" w:hAnsi="Times New Roman" w:cs="Times New Roman" w:eastAsia="Times New Roman" w:hint="default"/>
        </w:rPr>
        <w:t>1</w:t>
      </w:r>
      <w:r>
        <w:rPr/>
        <w:t>）同一控制下的企业合并 </w:t>
      </w:r>
      <w:r>
        <w:rPr>
          <w:spacing w:val="-1"/>
        </w:rPr>
        <w:t>在企业合并中取得的资产和负债，按照合并日在被合并方的账面价值计量。取得的净资产账面价值与</w:t>
      </w:r>
    </w:p>
    <w:p>
      <w:pPr>
        <w:pStyle w:val="BodyText"/>
        <w:spacing w:line="420" w:lineRule="auto" w:before="68"/>
        <w:ind w:left="113" w:right="98"/>
        <w:jc w:val="left"/>
      </w:pPr>
      <w:r>
        <w:rPr/>
        <w:t>支付的合并对价账面价值（或发行股份面值总额）的差额，调整资本公积；资本公积不足冲减的，调整留 存收益。为进行企业合并发生的各项直接相关费用，包括为进行企业合并而支付的审计费用、评估费用、 法律服务费用等，于发生时计入当期损益。企业合并形成母子公司关系的，母公司编制合并日的合并资产 负债表、合并利润表和合并现金流量表。合并资产负债表中被合并方的各项资产、负债，按其账面价值计 </w:t>
      </w:r>
      <w:r>
        <w:rPr>
          <w:spacing w:val="-3"/>
        </w:rPr>
        <w:t>量。因被合并方采用的会计政策与合并方不一致，按照本准则规定进行调整的，以调整后的账面价值计量。</w:t>
      </w:r>
      <w:r>
        <w:rPr>
          <w:spacing w:val="-90"/>
        </w:rPr>
        <w:t> </w:t>
      </w:r>
      <w:r>
        <w:rPr>
          <w:spacing w:val="-90"/>
        </w:rPr>
      </w:r>
      <w:r>
        <w:rPr/>
        <w:t>合并利润表包括参与合并各方自合并当期期初至合并日所发生的收入、费用和利润。被合并方在合并前实</w:t>
      </w:r>
      <w:r>
        <w:rPr/>
        <w:t> 现的净利润，在合并利润表中单列项目反映。合并现金流量表包括参与合并各方自合并当期期初至合并日 的现金流量。</w:t>
      </w:r>
    </w:p>
    <w:p>
      <w:pPr>
        <w:pStyle w:val="BodyText"/>
        <w:spacing w:line="396" w:lineRule="auto" w:before="47"/>
        <w:ind w:left="534" w:right="87" w:hanging="1"/>
        <w:jc w:val="left"/>
      </w:pPr>
      <w:r>
        <w:rPr/>
        <w:t>（</w:t>
      </w:r>
      <w:r>
        <w:rPr>
          <w:rFonts w:ascii="Times New Roman" w:hAnsi="Times New Roman" w:cs="Times New Roman" w:eastAsia="Times New Roman" w:hint="default"/>
        </w:rPr>
        <w:t>2</w:t>
      </w:r>
      <w:r>
        <w:rPr/>
        <w:t>）非同一控制下的企业合并 </w:t>
      </w:r>
      <w:r>
        <w:rPr>
          <w:spacing w:val="-1"/>
        </w:rPr>
        <w:t>在购买日为取得对被购买方的控制权而付出的资产、发生或承担的负债以及发行的权益性证券的公允</w:t>
      </w:r>
    </w:p>
    <w:p>
      <w:pPr>
        <w:pStyle w:val="BodyText"/>
        <w:spacing w:line="420" w:lineRule="auto" w:before="68"/>
        <w:ind w:left="114" w:right="205"/>
        <w:jc w:val="both"/>
      </w:pPr>
      <w:r>
        <w:rPr>
          <w:spacing w:val="-1"/>
        </w:rPr>
        <w:t>价值加上各项直接相关费用为合并成本。在购买日对作为企业合并对价付出的资产、发生或承担的负债按</w:t>
      </w:r>
      <w:r>
        <w:rPr>
          <w:spacing w:val="-81"/>
        </w:rPr>
        <w:t> </w:t>
      </w:r>
      <w:r>
        <w:rPr>
          <w:spacing w:val="-81"/>
        </w:rPr>
      </w:r>
      <w:r>
        <w:rPr>
          <w:spacing w:val="-1"/>
        </w:rPr>
        <w:t>照公允价值计量，公允价值与其账面价值的差额，计入当期损益。对合并成本大于合并中取得的被购买方</w:t>
      </w:r>
      <w:r>
        <w:rPr>
          <w:spacing w:val="-83"/>
        </w:rPr>
        <w:t> </w:t>
      </w:r>
      <w:r>
        <w:rPr>
          <w:spacing w:val="-83"/>
        </w:rPr>
      </w:r>
      <w:r>
        <w:rPr>
          <w:spacing w:val="-1"/>
        </w:rPr>
        <w:t>可辨认净资产公允价值份额的差额，确认为商誉。对合并成本小于合并中取得的被购买方可辨认净资产公</w:t>
      </w:r>
      <w:r>
        <w:rPr>
          <w:spacing w:val="-81"/>
        </w:rPr>
        <w:t> </w:t>
      </w:r>
      <w:r>
        <w:rPr>
          <w:spacing w:val="-81"/>
        </w:rPr>
      </w:r>
      <w:r>
        <w:rPr>
          <w:spacing w:val="-1"/>
        </w:rPr>
        <w:t>允价值份额的时，对取得的被购买方各项可辨认资产、负债及或有负债的公允价值以及合并成本的计量进</w:t>
      </w:r>
      <w:r>
        <w:rPr>
          <w:spacing w:val="-81"/>
        </w:rPr>
        <w:t> </w:t>
      </w:r>
      <w:r>
        <w:rPr>
          <w:spacing w:val="-81"/>
        </w:rPr>
      </w:r>
      <w:r>
        <w:rPr>
          <w:spacing w:val="-1"/>
        </w:rPr>
        <w:t>行复核；经复核后合并成本仍小于合并中取得的被购买方可辨认净资产公允价值份额的，其差额计入当期</w:t>
      </w:r>
      <w:r>
        <w:rPr>
          <w:spacing w:val="-81"/>
        </w:rPr>
        <w:t> </w:t>
      </w:r>
      <w:r>
        <w:rPr>
          <w:spacing w:val="-81"/>
        </w:rPr>
      </w:r>
      <w:r>
        <w:rPr>
          <w:spacing w:val="-1"/>
        </w:rPr>
        <w:t>损益。企业合并形成母子公司关系的，母公司编制购买日的合并资产负债表，因企业合并取得的被购买方</w:t>
      </w:r>
    </w:p>
    <w:p>
      <w:pPr>
        <w:pStyle w:val="BodyText"/>
        <w:spacing w:line="240" w:lineRule="auto" w:before="47"/>
        <w:ind w:left="114" w:right="87"/>
        <w:jc w:val="left"/>
      </w:pPr>
      <w:r>
        <w:rPr/>
        <w:t>各项可辨认资产、负债及或有负债以公允价值列示。</w:t>
      </w:r>
    </w:p>
    <w:p>
      <w:pPr>
        <w:spacing w:after="0" w:line="240" w:lineRule="auto"/>
        <w:jc w:val="left"/>
        <w:sectPr>
          <w:pgSz w:w="11900" w:h="16840"/>
          <w:pgMar w:header="0" w:footer="982" w:top="1300" w:bottom="1180" w:left="1020" w:right="920"/>
        </w:sectPr>
      </w:pPr>
    </w:p>
    <w:p>
      <w:pPr>
        <w:pStyle w:val="BodyText"/>
        <w:spacing w:line="240" w:lineRule="auto" w:before="6"/>
        <w:ind w:left="114" w:right="0"/>
        <w:jc w:val="both"/>
      </w:pPr>
      <w:r>
        <w:rPr>
          <w:rFonts w:ascii="Times New Roman" w:hAnsi="Times New Roman" w:cs="Times New Roman" w:eastAsia="Times New Roman" w:hint="default"/>
          <w:b/>
          <w:bCs/>
        </w:rPr>
        <w:t>6</w:t>
      </w:r>
      <w:r>
        <w:rPr/>
        <w:t>、合并财务报表的编制方法</w:t>
      </w:r>
    </w:p>
    <w:p>
      <w:pPr>
        <w:spacing w:line="240" w:lineRule="auto" w:before="0"/>
        <w:rPr>
          <w:rFonts w:ascii="宋体" w:hAnsi="宋体" w:cs="宋体" w:eastAsia="宋体" w:hint="default"/>
          <w:sz w:val="16"/>
          <w:szCs w:val="16"/>
        </w:rPr>
      </w:pPr>
    </w:p>
    <w:p>
      <w:pPr>
        <w:pStyle w:val="BodyText"/>
        <w:spacing w:line="429" w:lineRule="auto"/>
        <w:ind w:left="114" w:right="103" w:firstLine="420"/>
        <w:jc w:val="both"/>
      </w:pPr>
      <w:r>
        <w:rPr/>
        <w:t>（</w:t>
      </w:r>
      <w:r>
        <w:rPr>
          <w:rFonts w:ascii="Times New Roman" w:hAnsi="Times New Roman" w:cs="Times New Roman" w:eastAsia="Times New Roman" w:hint="default"/>
        </w:rPr>
        <w:t>1</w:t>
      </w:r>
      <w:r>
        <w:rPr/>
        <w:t>）合并财务报表以本公司和纳入合并财务报表范围的各子公司的财务报表及其他有关资料为合并</w:t>
      </w:r>
      <w:r>
        <w:rPr>
          <w:spacing w:val="2"/>
        </w:rPr>
        <w:t> </w:t>
      </w:r>
      <w:r>
        <w:rPr>
          <w:spacing w:val="-1"/>
        </w:rPr>
        <w:t>依据，按照权益法调整对子公司的长期股权投资，将本公司和纳入合并财务报表范围的各子公司之间的投</w:t>
      </w:r>
      <w:r>
        <w:rPr>
          <w:spacing w:val="-81"/>
        </w:rPr>
        <w:t> </w:t>
      </w:r>
      <w:r>
        <w:rPr>
          <w:spacing w:val="-81"/>
        </w:rPr>
      </w:r>
      <w:r>
        <w:rPr>
          <w:spacing w:val="-1"/>
        </w:rPr>
        <w:t>资、交易及往来等全部抵销，并计算少数股东损益及少数股东权益后合并编制而成。合并时，如纳入合并</w:t>
      </w:r>
      <w:r>
        <w:rPr>
          <w:spacing w:val="-82"/>
        </w:rPr>
        <w:t> </w:t>
      </w:r>
      <w:r>
        <w:rPr>
          <w:spacing w:val="-82"/>
        </w:rPr>
      </w:r>
      <w:r>
        <w:rPr/>
        <w:t>范围的子公司与本公司会计政策不一致，按本公司执行的会计政策对其进行调整后合并。</w:t>
      </w:r>
    </w:p>
    <w:p>
      <w:pPr>
        <w:pStyle w:val="BodyText"/>
        <w:spacing w:line="412" w:lineRule="auto" w:before="58"/>
        <w:ind w:left="113" w:right="103" w:firstLine="420"/>
        <w:jc w:val="both"/>
      </w:pPr>
      <w:r>
        <w:rPr/>
        <w:t>（</w:t>
      </w:r>
      <w:r>
        <w:rPr>
          <w:rFonts w:ascii="Times New Roman" w:hAnsi="Times New Roman" w:cs="Times New Roman" w:eastAsia="Times New Roman" w:hint="default"/>
        </w:rPr>
        <w:t>2</w:t>
      </w:r>
      <w:r>
        <w:rPr/>
        <w:t>）对于同一控制下企业合并取得的子公司，视同该企业合并于合并当期的期初已经发生，从合并</w:t>
      </w:r>
      <w:r>
        <w:rPr>
          <w:spacing w:val="2"/>
        </w:rPr>
        <w:t> </w:t>
      </w:r>
      <w:r>
        <w:rPr/>
        <w:t>当期的期初起将其资产、负债、经营成果和现金流量纳入合并财务报表。</w:t>
      </w:r>
    </w:p>
    <w:p>
      <w:pPr>
        <w:pStyle w:val="BodyText"/>
        <w:spacing w:line="412" w:lineRule="auto" w:before="74"/>
        <w:ind w:left="114" w:right="202" w:firstLine="406"/>
        <w:jc w:val="both"/>
      </w:pPr>
      <w:r>
        <w:rPr/>
        <w:t>（</w:t>
      </w:r>
      <w:r>
        <w:rPr>
          <w:rFonts w:ascii="Times New Roman" w:hAnsi="Times New Roman" w:cs="Times New Roman" w:eastAsia="Times New Roman" w:hint="default"/>
        </w:rPr>
        <w:t>3</w:t>
      </w:r>
      <w:r>
        <w:rPr/>
        <w:t>）同一控制下的企业合并事项的，被重组方合并前的净损益应计入非经常性损益，并在申报财务 报表中单独列示。</w:t>
      </w:r>
    </w:p>
    <w:p>
      <w:pPr>
        <w:pStyle w:val="BodyText"/>
        <w:spacing w:line="412" w:lineRule="auto" w:before="74"/>
        <w:ind w:left="113" w:right="103" w:firstLine="420"/>
        <w:jc w:val="both"/>
      </w:pPr>
      <w:r>
        <w:rPr/>
        <w:t>（</w:t>
      </w:r>
      <w:r>
        <w:rPr>
          <w:rFonts w:ascii="Times New Roman" w:hAnsi="Times New Roman" w:cs="Times New Roman" w:eastAsia="Times New Roman" w:hint="default"/>
        </w:rPr>
        <w:t>4</w:t>
      </w:r>
      <w:r>
        <w:rPr/>
        <w:t>）重组属于同一公司控制权人下的非企业合并事项，但被重组方重组前一个会计年度末的资产总</w:t>
      </w:r>
      <w:r>
        <w:rPr>
          <w:spacing w:val="2"/>
        </w:rPr>
        <w:t> </w:t>
      </w:r>
      <w:r>
        <w:rPr/>
        <w:t>额或前一个会计年度的营业收入或利润总额达到或超过重组前发行人相应项目</w:t>
      </w:r>
      <w:r>
        <w:rPr>
          <w:spacing w:val="-44"/>
        </w:rPr>
        <w:t> </w:t>
      </w:r>
      <w:r>
        <w:rPr>
          <w:rFonts w:ascii="Times New Roman" w:hAnsi="Times New Roman" w:cs="Times New Roman" w:eastAsia="Times New Roman" w:hint="default"/>
          <w:spacing w:val="-4"/>
        </w:rPr>
        <w:t>20%</w:t>
      </w:r>
      <w:r>
        <w:rPr>
          <w:spacing w:val="-4"/>
        </w:rPr>
        <w:t>的，从合并当期的期初</w:t>
      </w:r>
      <w:r>
        <w:rPr/>
        <w:t> 起编制备考利润表。</w:t>
      </w:r>
    </w:p>
    <w:p>
      <w:pPr>
        <w:pStyle w:val="BodyText"/>
        <w:spacing w:line="412" w:lineRule="auto" w:before="74"/>
        <w:ind w:left="113" w:right="103" w:firstLine="420"/>
        <w:jc w:val="both"/>
      </w:pPr>
      <w:r>
        <w:rPr/>
        <w:t>（</w:t>
      </w:r>
      <w:r>
        <w:rPr>
          <w:rFonts w:ascii="Times New Roman" w:hAnsi="Times New Roman" w:cs="Times New Roman" w:eastAsia="Times New Roman" w:hint="default"/>
        </w:rPr>
        <w:t>5</w:t>
      </w:r>
      <w:r>
        <w:rPr/>
        <w:t>）对于因非同一控制下企业合并取得的子公司，在编制合并报表时，以购买日可辨认净资产公允</w:t>
      </w:r>
      <w:r>
        <w:rPr>
          <w:spacing w:val="2"/>
        </w:rPr>
        <w:t> </w:t>
      </w:r>
      <w:r>
        <w:rPr/>
        <w:t>价值为基础对个别财务报表进行调整。</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412" w:lineRule="auto"/>
        <w:ind w:left="533" w:right="4267" w:hanging="420"/>
        <w:jc w:val="left"/>
      </w:pPr>
      <w:r>
        <w:rPr>
          <w:rFonts w:ascii="Times New Roman" w:hAnsi="Times New Roman" w:cs="Times New Roman" w:eastAsia="Times New Roman" w:hint="default"/>
          <w:b/>
          <w:bCs/>
        </w:rPr>
        <w:t>7</w:t>
      </w:r>
      <w:r>
        <w:rPr/>
        <w:t>、现金及现金等价物的确定标准</w:t>
      </w:r>
      <w:r>
        <w:rPr>
          <w:spacing w:val="-96"/>
        </w:rPr>
        <w:t> </w:t>
      </w:r>
      <w:r>
        <w:rPr>
          <w:spacing w:val="-96"/>
        </w:rPr>
      </w:r>
      <w:r>
        <w:rPr/>
        <w:t>现金是指本公司的库存现金以及随时用于支付的存款。</w:t>
      </w:r>
    </w:p>
    <w:p>
      <w:pPr>
        <w:pStyle w:val="BodyText"/>
        <w:spacing w:line="436" w:lineRule="auto" w:before="73"/>
        <w:ind w:left="113" w:right="103" w:firstLine="420"/>
        <w:jc w:val="both"/>
      </w:pPr>
      <w:r>
        <w:rPr>
          <w:spacing w:val="-1"/>
        </w:rPr>
        <w:t>现金等价物为本公司持有的期限短（一般是指从购买日起三个月内到期）、流动性强、易于转换为已</w:t>
      </w:r>
      <w:r>
        <w:rPr>
          <w:spacing w:val="2"/>
        </w:rPr>
        <w:t> </w:t>
      </w:r>
      <w:r>
        <w:rPr/>
        <w:t>知金额现金且价值变动风险很小的投资。</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240" w:lineRule="auto"/>
        <w:ind w:left="113" w:right="0"/>
        <w:jc w:val="both"/>
      </w:pPr>
      <w:r>
        <w:rPr>
          <w:rFonts w:ascii="Times New Roman" w:hAnsi="Times New Roman" w:cs="Times New Roman" w:eastAsia="Times New Roman" w:hint="default"/>
          <w:b/>
          <w:bCs/>
        </w:rPr>
        <w:t>8</w:t>
      </w:r>
      <w:r>
        <w:rPr/>
        <w:t>、外币业务和外币报表折算</w:t>
      </w:r>
    </w:p>
    <w:p>
      <w:pPr>
        <w:spacing w:line="240" w:lineRule="auto" w:before="0"/>
        <w:rPr>
          <w:rFonts w:ascii="宋体" w:hAnsi="宋体" w:cs="宋体" w:eastAsia="宋体" w:hint="default"/>
          <w:sz w:val="16"/>
          <w:szCs w:val="16"/>
        </w:rPr>
      </w:pPr>
    </w:p>
    <w:p>
      <w:pPr>
        <w:pStyle w:val="BodyText"/>
        <w:spacing w:line="240" w:lineRule="auto"/>
        <w:ind w:left="533" w:right="4267"/>
        <w:jc w:val="left"/>
      </w:pPr>
      <w:r>
        <w:rPr/>
        <w:t>（</w:t>
      </w:r>
      <w:r>
        <w:rPr>
          <w:rFonts w:ascii="Times New Roman" w:hAnsi="Times New Roman" w:cs="Times New Roman" w:eastAsia="Times New Roman" w:hint="default"/>
        </w:rPr>
        <w:t>1</w:t>
      </w:r>
      <w:r>
        <w:rPr/>
        <w:t>）外币业务核算方法</w:t>
      </w:r>
    </w:p>
    <w:p>
      <w:pPr>
        <w:spacing w:line="240" w:lineRule="auto" w:before="2"/>
        <w:rPr>
          <w:rFonts w:ascii="宋体" w:hAnsi="宋体" w:cs="宋体" w:eastAsia="宋体" w:hint="default"/>
          <w:sz w:val="17"/>
          <w:szCs w:val="17"/>
        </w:rPr>
      </w:pPr>
    </w:p>
    <w:p>
      <w:pPr>
        <w:spacing w:line="458" w:lineRule="auto" w:before="0"/>
        <w:ind w:left="533" w:right="0" w:firstLine="0"/>
        <w:jc w:val="left"/>
        <w:rPr>
          <w:rFonts w:ascii="宋体" w:hAnsi="宋体" w:cs="宋体" w:eastAsia="宋体" w:hint="default"/>
          <w:sz w:val="20"/>
          <w:szCs w:val="20"/>
        </w:rPr>
      </w:pPr>
      <w:r>
        <w:rPr>
          <w:rFonts w:ascii="宋体" w:hAnsi="宋体" w:cs="宋体" w:eastAsia="宋体" w:hint="default"/>
          <w:sz w:val="20"/>
          <w:szCs w:val="20"/>
        </w:rPr>
        <w:t>本公司外币交易均按交易发生日的即期近似汇率折算为记账本位币。</w:t>
      </w:r>
      <w:r>
        <w:rPr>
          <w:rFonts w:ascii="宋体" w:hAnsi="宋体" w:cs="宋体" w:eastAsia="宋体" w:hint="default"/>
          <w:w w:val="100"/>
          <w:sz w:val="20"/>
          <w:szCs w:val="20"/>
        </w:rPr>
        <w:t> </w:t>
      </w:r>
      <w:r>
        <w:rPr>
          <w:rFonts w:ascii="宋体" w:hAnsi="宋体" w:cs="宋体" w:eastAsia="宋体" w:hint="default"/>
          <w:spacing w:val="-3"/>
          <w:sz w:val="20"/>
          <w:szCs w:val="20"/>
        </w:rPr>
        <w:t>在资产负债表日：</w:t>
      </w:r>
      <w:r>
        <w:rPr>
          <w:rFonts w:ascii="Times New Roman" w:hAnsi="Times New Roman" w:cs="Times New Roman" w:eastAsia="Times New Roman" w:hint="default"/>
          <w:spacing w:val="-3"/>
          <w:sz w:val="20"/>
          <w:szCs w:val="20"/>
        </w:rPr>
        <w:t>a</w:t>
      </w:r>
      <w:r>
        <w:rPr>
          <w:rFonts w:ascii="宋体" w:hAnsi="宋体" w:cs="宋体" w:eastAsia="宋体" w:hint="default"/>
          <w:spacing w:val="-3"/>
          <w:sz w:val="20"/>
          <w:szCs w:val="20"/>
        </w:rPr>
        <w:t>、外币货币性项目，采用资产负债表日即期汇率折算。因资产负债表日即期汇率与初始</w:t>
      </w:r>
    </w:p>
    <w:p>
      <w:pPr>
        <w:spacing w:line="441" w:lineRule="auto" w:before="22"/>
        <w:ind w:left="114" w:right="105" w:firstLine="0"/>
        <w:jc w:val="both"/>
        <w:rPr>
          <w:rFonts w:ascii="宋体" w:hAnsi="宋体" w:cs="宋体" w:eastAsia="宋体" w:hint="default"/>
          <w:sz w:val="20"/>
          <w:szCs w:val="20"/>
        </w:rPr>
      </w:pPr>
      <w:r>
        <w:rPr>
          <w:rFonts w:ascii="宋体" w:hAnsi="宋体" w:cs="宋体" w:eastAsia="宋体" w:hint="default"/>
          <w:spacing w:val="-2"/>
          <w:sz w:val="20"/>
          <w:szCs w:val="20"/>
        </w:rPr>
        <w:t>确认时或前一资产负债表日即期汇率不同而产生的汇兑差额，计入当期损益。</w:t>
      </w:r>
      <w:r>
        <w:rPr>
          <w:rFonts w:ascii="Times New Roman" w:hAnsi="Times New Roman" w:cs="Times New Roman" w:eastAsia="Times New Roman" w:hint="default"/>
          <w:spacing w:val="-2"/>
          <w:sz w:val="20"/>
          <w:szCs w:val="20"/>
        </w:rPr>
        <w:t>b</w:t>
      </w:r>
      <w:r>
        <w:rPr>
          <w:rFonts w:ascii="宋体" w:hAnsi="宋体" w:cs="宋体" w:eastAsia="宋体" w:hint="default"/>
          <w:spacing w:val="-2"/>
          <w:sz w:val="20"/>
          <w:szCs w:val="20"/>
        </w:rPr>
        <w:t>、以历史成本计量的外币非货币</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pacing w:val="-2"/>
          <w:sz w:val="20"/>
          <w:szCs w:val="20"/>
        </w:rPr>
        <w:t>性项目，仍采用交易发生日的即期汇率折算，不改变其记账本位币金额。</w:t>
      </w:r>
      <w:r>
        <w:rPr>
          <w:rFonts w:ascii="Times New Roman" w:hAnsi="Times New Roman" w:cs="Times New Roman" w:eastAsia="Times New Roman" w:hint="default"/>
          <w:spacing w:val="-2"/>
          <w:sz w:val="20"/>
          <w:szCs w:val="20"/>
        </w:rPr>
        <w:t>c</w:t>
      </w:r>
      <w:r>
        <w:rPr>
          <w:rFonts w:ascii="宋体" w:hAnsi="宋体" w:cs="宋体" w:eastAsia="宋体" w:hint="default"/>
          <w:spacing w:val="-2"/>
          <w:sz w:val="20"/>
          <w:szCs w:val="20"/>
        </w:rPr>
        <w:t>、以公允价值计量的外币非货币性项</w:t>
      </w:r>
      <w:r>
        <w:rPr>
          <w:rFonts w:ascii="宋体" w:hAnsi="宋体" w:cs="宋体" w:eastAsia="宋体" w:hint="default"/>
          <w:spacing w:val="-70"/>
          <w:sz w:val="20"/>
          <w:szCs w:val="20"/>
        </w:rPr>
        <w:t> </w:t>
      </w:r>
      <w:r>
        <w:rPr>
          <w:rFonts w:ascii="宋体" w:hAnsi="宋体" w:cs="宋体" w:eastAsia="宋体" w:hint="default"/>
          <w:spacing w:val="-70"/>
          <w:sz w:val="20"/>
          <w:szCs w:val="20"/>
        </w:rPr>
      </w:r>
      <w:r>
        <w:rPr>
          <w:rFonts w:ascii="宋体" w:hAnsi="宋体" w:cs="宋体" w:eastAsia="宋体" w:hint="default"/>
          <w:sz w:val="20"/>
          <w:szCs w:val="20"/>
        </w:rPr>
        <w:t>目，采用公允价值确定日的即期汇率折算，折算后的记账本位币金额与原记账本位币金额的差额，作为公允价</w:t>
      </w:r>
      <w:r>
        <w:rPr>
          <w:rFonts w:ascii="宋体" w:hAnsi="宋体" w:cs="宋体" w:eastAsia="宋体" w:hint="default"/>
          <w:w w:val="100"/>
          <w:sz w:val="20"/>
          <w:szCs w:val="20"/>
        </w:rPr>
        <w:t> </w:t>
      </w:r>
      <w:r>
        <w:rPr>
          <w:rFonts w:ascii="宋体" w:hAnsi="宋体" w:cs="宋体" w:eastAsia="宋体" w:hint="default"/>
          <w:sz w:val="20"/>
          <w:szCs w:val="20"/>
        </w:rPr>
        <w:t>值变动处理，计入当期损益。</w:t>
      </w:r>
    </w:p>
    <w:p>
      <w:pPr>
        <w:spacing w:after="0" w:line="441" w:lineRule="auto"/>
        <w:jc w:val="both"/>
        <w:rPr>
          <w:rFonts w:ascii="宋体" w:hAnsi="宋体" w:cs="宋体" w:eastAsia="宋体" w:hint="default"/>
          <w:sz w:val="20"/>
          <w:szCs w:val="20"/>
        </w:rPr>
        <w:sectPr>
          <w:pgSz w:w="11900" w:h="16840"/>
          <w:pgMar w:header="0" w:footer="982" w:top="1320" w:bottom="1180" w:left="1020" w:right="1020"/>
        </w:sectPr>
      </w:pPr>
    </w:p>
    <w:p>
      <w:pPr>
        <w:spacing w:before="22"/>
        <w:ind w:left="534" w:right="87"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）外币财务报表的折算方法</w:t>
      </w:r>
    </w:p>
    <w:p>
      <w:pPr>
        <w:spacing w:line="240" w:lineRule="auto" w:before="12"/>
        <w:rPr>
          <w:rFonts w:ascii="宋体" w:hAnsi="宋体" w:cs="宋体" w:eastAsia="宋体" w:hint="default"/>
          <w:sz w:val="15"/>
          <w:szCs w:val="15"/>
        </w:rPr>
      </w:pPr>
    </w:p>
    <w:p>
      <w:pPr>
        <w:pStyle w:val="BodyText"/>
        <w:spacing w:line="240" w:lineRule="auto"/>
        <w:ind w:left="534" w:right="87"/>
        <w:jc w:val="left"/>
      </w:pPr>
      <w:r>
        <w:rPr/>
        <w:t>公司对境外经营的财务报表进行折算时，遵循下列规定：</w:t>
      </w:r>
    </w:p>
    <w:p>
      <w:pPr>
        <w:spacing w:line="240" w:lineRule="auto" w:before="2"/>
        <w:rPr>
          <w:rFonts w:ascii="宋体" w:hAnsi="宋体" w:cs="宋体" w:eastAsia="宋体" w:hint="default"/>
          <w:sz w:val="17"/>
          <w:szCs w:val="17"/>
        </w:rPr>
      </w:pPr>
    </w:p>
    <w:p>
      <w:pPr>
        <w:pStyle w:val="BodyText"/>
        <w:spacing w:line="412" w:lineRule="auto"/>
        <w:ind w:left="113" w:right="190" w:firstLine="420"/>
        <w:jc w:val="left"/>
      </w:pPr>
      <w:r>
        <w:rPr>
          <w:rFonts w:ascii="Times New Roman" w:hAnsi="Times New Roman" w:cs="Times New Roman" w:eastAsia="Times New Roman" w:hint="default"/>
        </w:rPr>
        <w:t>a</w:t>
      </w:r>
      <w:r>
        <w:rPr/>
        <w:t>、资产负债表中的资产和负债项目，采用资产负债表日的即期汇率折算，所有者权益项目除</w:t>
      </w:r>
      <w:r>
        <w:rPr>
          <w:rFonts w:ascii="Times New Roman" w:hAnsi="Times New Roman" w:cs="Times New Roman" w:eastAsia="Times New Roman" w:hint="default"/>
        </w:rPr>
        <w:t>“</w:t>
      </w:r>
      <w:r>
        <w:rPr/>
        <w:t>未分配 利润</w:t>
      </w:r>
      <w:r>
        <w:rPr>
          <w:rFonts w:ascii="Times New Roman" w:hAnsi="Times New Roman" w:cs="Times New Roman" w:eastAsia="Times New Roman" w:hint="default"/>
        </w:rPr>
        <w:t>”</w:t>
      </w:r>
      <w:r>
        <w:rPr/>
        <w:t>项目外，其他项目采用发生时的即期近似汇率折算。</w:t>
      </w:r>
    </w:p>
    <w:p>
      <w:pPr>
        <w:pStyle w:val="BodyText"/>
        <w:spacing w:line="412" w:lineRule="auto" w:before="42"/>
        <w:ind w:left="534" w:right="586" w:hanging="1"/>
        <w:jc w:val="left"/>
      </w:pPr>
      <w:r>
        <w:rPr>
          <w:rFonts w:ascii="Times New Roman" w:hAnsi="Times New Roman" w:cs="Times New Roman" w:eastAsia="Times New Roman" w:hint="default"/>
        </w:rPr>
        <w:t>b</w:t>
      </w:r>
      <w:r>
        <w:rPr/>
        <w:t>、利润表中的收入和费用项目，采用交易发生日的即期近似汇率折算。 按照上述方法折算产生的外币财务报表折算差额，在资产负债表中所有者权益项目下单独列示。</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ind w:left="114" w:right="87"/>
        <w:jc w:val="left"/>
      </w:pPr>
      <w:r>
        <w:rPr>
          <w:rFonts w:ascii="Times New Roman" w:hAnsi="Times New Roman" w:cs="Times New Roman" w:eastAsia="Times New Roman" w:hint="default"/>
          <w:b/>
          <w:bCs/>
        </w:rPr>
        <w:t>9</w:t>
      </w:r>
      <w:r>
        <w:rPr/>
        <w:t>、金融工具</w:t>
      </w:r>
    </w:p>
    <w:p>
      <w:pPr>
        <w:spacing w:line="240" w:lineRule="auto" w:before="12"/>
        <w:rPr>
          <w:rFonts w:ascii="宋体" w:hAnsi="宋体" w:cs="宋体" w:eastAsia="宋体" w:hint="default"/>
          <w:sz w:val="15"/>
          <w:szCs w:val="15"/>
        </w:rPr>
      </w:pPr>
    </w:p>
    <w:p>
      <w:pPr>
        <w:pStyle w:val="BodyText"/>
        <w:spacing w:line="412" w:lineRule="auto"/>
        <w:ind w:left="534" w:right="5416" w:hanging="1"/>
        <w:jc w:val="left"/>
      </w:pPr>
      <w:r>
        <w:rPr/>
        <w:t>（</w:t>
      </w:r>
      <w:r>
        <w:rPr>
          <w:rFonts w:ascii="Times New Roman" w:hAnsi="Times New Roman" w:cs="Times New Roman" w:eastAsia="Times New Roman" w:hint="default"/>
        </w:rPr>
        <w:t>1</w:t>
      </w:r>
      <w:r>
        <w:rPr/>
        <w:t>）金融资产金融负债的分类 本公司持有的金融资产划分为四类，包括：</w:t>
      </w:r>
    </w:p>
    <w:p>
      <w:pPr>
        <w:pStyle w:val="BodyText"/>
        <w:spacing w:line="436" w:lineRule="auto" w:before="74"/>
        <w:ind w:left="114" w:right="87" w:firstLine="420"/>
        <w:jc w:val="left"/>
      </w:pPr>
      <w:r>
        <w:rPr>
          <w:spacing w:val="-1"/>
        </w:rPr>
        <w:t>①以公允价值计量且其变动计入当期损益的金融资产，包括交易性金融资产和指定为公允价值计量且</w:t>
      </w:r>
      <w:r>
        <w:rPr/>
        <w:t> 其变动计入当期损益的金融资产。</w:t>
      </w:r>
    </w:p>
    <w:p>
      <w:pPr>
        <w:pStyle w:val="BodyText"/>
        <w:spacing w:line="240" w:lineRule="auto" w:before="53"/>
        <w:ind w:left="534" w:right="87"/>
        <w:jc w:val="left"/>
      </w:pPr>
      <w:r>
        <w:rPr/>
        <w:t>②持有至到期投资</w:t>
      </w:r>
    </w:p>
    <w:p>
      <w:pPr>
        <w:spacing w:line="240" w:lineRule="auto" w:before="3"/>
        <w:rPr>
          <w:rFonts w:ascii="宋体" w:hAnsi="宋体" w:cs="宋体" w:eastAsia="宋体" w:hint="default"/>
          <w:sz w:val="17"/>
          <w:szCs w:val="17"/>
        </w:rPr>
      </w:pPr>
    </w:p>
    <w:p>
      <w:pPr>
        <w:pStyle w:val="BodyText"/>
        <w:spacing w:line="240" w:lineRule="auto"/>
        <w:ind w:left="534" w:right="87"/>
        <w:jc w:val="left"/>
      </w:pPr>
      <w:r>
        <w:rPr/>
        <w:t>③贷款和应收款项</w:t>
      </w:r>
    </w:p>
    <w:p>
      <w:pPr>
        <w:spacing w:line="240" w:lineRule="auto" w:before="2"/>
        <w:rPr>
          <w:rFonts w:ascii="宋体" w:hAnsi="宋体" w:cs="宋体" w:eastAsia="宋体" w:hint="default"/>
          <w:sz w:val="17"/>
          <w:szCs w:val="17"/>
        </w:rPr>
      </w:pPr>
    </w:p>
    <w:p>
      <w:pPr>
        <w:pStyle w:val="BodyText"/>
        <w:spacing w:line="436" w:lineRule="auto"/>
        <w:ind w:left="534" w:right="3946"/>
        <w:jc w:val="left"/>
      </w:pPr>
      <w:r>
        <w:rPr/>
        <w:t>④可供出售金融资产 本公司持有的金融负债为交易性金融负债和其他金融负债。</w:t>
      </w:r>
    </w:p>
    <w:p>
      <w:pPr>
        <w:pStyle w:val="BodyText"/>
        <w:spacing w:line="424" w:lineRule="auto" w:before="53"/>
        <w:ind w:left="534" w:right="87" w:hanging="1"/>
        <w:jc w:val="left"/>
      </w:pPr>
      <w:r>
        <w:rPr/>
        <w:t>（</w:t>
      </w:r>
      <w:r>
        <w:rPr>
          <w:rFonts w:ascii="Times New Roman" w:hAnsi="Times New Roman" w:cs="Times New Roman" w:eastAsia="Times New Roman" w:hint="default"/>
        </w:rPr>
        <w:t>2</w:t>
      </w:r>
      <w:r>
        <w:rPr/>
        <w:t>）金融工具的确认与计量 本公司成为金融工具合同的一方时，确认金融资产或金融负债，初始确认时以公允价值计量。 </w:t>
      </w:r>
      <w:r>
        <w:rPr>
          <w:spacing w:val="3"/>
        </w:rPr>
        <w:t>交易性金融资产和负债是指本公司持有目的为近期内出售或回购取得且公允价值可以可靠取得的投</w:t>
      </w:r>
    </w:p>
    <w:p>
      <w:pPr>
        <w:pStyle w:val="BodyText"/>
        <w:spacing w:line="436" w:lineRule="auto" w:before="64"/>
        <w:ind w:left="114" w:right="87"/>
        <w:jc w:val="left"/>
      </w:pPr>
      <w:r>
        <w:rPr>
          <w:spacing w:val="-1"/>
        </w:rPr>
        <w:t>资，包括本公司于交易所购入股票、基金和以套期保值为目的持有的期货、期权合约等。交易性金融资产</w:t>
      </w:r>
      <w:r>
        <w:rPr>
          <w:spacing w:val="-82"/>
        </w:rPr>
        <w:t> </w:t>
      </w:r>
      <w:r>
        <w:rPr>
          <w:spacing w:val="-82"/>
        </w:rPr>
      </w:r>
      <w:r>
        <w:rPr/>
        <w:t>和负债以公允价值进行后续计量。</w:t>
      </w:r>
    </w:p>
    <w:p>
      <w:pPr>
        <w:pStyle w:val="BodyText"/>
        <w:spacing w:line="436" w:lineRule="auto" w:before="53"/>
        <w:ind w:left="114" w:right="87" w:firstLine="420"/>
        <w:jc w:val="left"/>
      </w:pPr>
      <w:r>
        <w:rPr>
          <w:spacing w:val="-1"/>
        </w:rPr>
        <w:t>持有至到期投资是指本公司有明确意图和能力持有至到期、且其到期日和回收金额固定或可确定、公</w:t>
      </w:r>
      <w:r>
        <w:rPr/>
        <w:t> 允价值可以可靠取得的投资。</w:t>
      </w:r>
    </w:p>
    <w:p>
      <w:pPr>
        <w:pStyle w:val="BodyText"/>
        <w:spacing w:line="436" w:lineRule="auto" w:before="52"/>
        <w:ind w:left="114" w:right="91" w:firstLine="420"/>
        <w:jc w:val="left"/>
      </w:pPr>
      <w:r>
        <w:rPr>
          <w:spacing w:val="-3"/>
        </w:rPr>
        <w:t>贷款和应收款项指在活跃市场中没有报价、回收金额固定或可确定的非衍生金融资产。包括应收账款、</w:t>
      </w:r>
      <w:r>
        <w:rPr/>
        <w:t> </w:t>
      </w:r>
      <w:r>
        <w:rPr>
          <w:spacing w:val="-3"/>
        </w:rPr>
        <w:t>其他应收款、发放的贷款和拆出资金等，贷款和应收款项初始确认后采用实际利率法按摊余成本进行计量。</w:t>
      </w:r>
    </w:p>
    <w:p>
      <w:pPr>
        <w:pStyle w:val="BodyText"/>
        <w:spacing w:line="436" w:lineRule="auto" w:before="53"/>
        <w:ind w:left="114" w:right="205" w:firstLine="420"/>
        <w:jc w:val="both"/>
      </w:pPr>
      <w:r>
        <w:rPr>
          <w:spacing w:val="-1"/>
        </w:rPr>
        <w:t>可供出售金融资产是指其公允价值能够可靠取得，初始确认时即指定为可供出售的非衍生金融资产和</w:t>
      </w:r>
      <w:r>
        <w:rPr/>
        <w:t> </w:t>
      </w:r>
      <w:r>
        <w:rPr>
          <w:spacing w:val="-1"/>
        </w:rPr>
        <w:t>除上述三类金融资产以外的其他金融资产。主要包括本公司原持有的上市公司法人股份，该股份已取得股</w:t>
      </w:r>
      <w:r>
        <w:rPr>
          <w:spacing w:val="-81"/>
        </w:rPr>
        <w:t> </w:t>
      </w:r>
      <w:r>
        <w:rPr>
          <w:spacing w:val="-81"/>
        </w:rPr>
      </w:r>
      <w:r>
        <w:rPr>
          <w:spacing w:val="-1"/>
        </w:rPr>
        <w:t>改流通权，包括尚处于被限制流通的股份。可供出售金融资产以公允价值进行后续计量，公允价值变动计</w:t>
      </w:r>
    </w:p>
    <w:p>
      <w:pPr>
        <w:pStyle w:val="BodyText"/>
        <w:spacing w:line="240" w:lineRule="auto" w:before="53"/>
        <w:ind w:left="114" w:right="87"/>
        <w:jc w:val="left"/>
      </w:pPr>
      <w:r>
        <w:rPr/>
        <w:t>入资本公积。</w:t>
      </w:r>
    </w:p>
    <w:p>
      <w:pPr>
        <w:spacing w:after="0" w:line="240" w:lineRule="auto"/>
        <w:jc w:val="left"/>
        <w:sectPr>
          <w:pgSz w:w="11900" w:h="16840"/>
          <w:pgMar w:header="0" w:footer="982" w:top="1320" w:bottom="1180" w:left="1020" w:right="920"/>
        </w:sectPr>
      </w:pPr>
    </w:p>
    <w:p>
      <w:pPr>
        <w:pStyle w:val="BodyText"/>
        <w:spacing w:line="436" w:lineRule="auto" w:before="6"/>
        <w:ind w:left="114" w:right="205" w:firstLine="420"/>
        <w:jc w:val="both"/>
      </w:pPr>
      <w:r>
        <w:rPr>
          <w:spacing w:val="-1"/>
        </w:rPr>
        <w:t>其他金融负债指本公司除交易性金融负债以外的金融负债。其他金融负债初始确认后采用实际利率法</w:t>
      </w:r>
      <w:r>
        <w:rPr/>
        <w:t> 按摊余成本进行计量。</w:t>
      </w:r>
    </w:p>
    <w:p>
      <w:pPr>
        <w:pStyle w:val="BodyText"/>
        <w:spacing w:line="412" w:lineRule="auto" w:before="52"/>
        <w:ind w:left="534" w:right="87" w:hanging="1"/>
        <w:jc w:val="left"/>
      </w:pPr>
      <w:r>
        <w:rPr/>
        <w:t>（</w:t>
      </w:r>
      <w:r>
        <w:rPr>
          <w:rFonts w:ascii="Times New Roman" w:hAnsi="Times New Roman" w:cs="Times New Roman" w:eastAsia="Times New Roman" w:hint="default"/>
        </w:rPr>
        <w:t>3</w:t>
      </w:r>
      <w:r>
        <w:rPr/>
        <w:t>）金融资产转移与金融负债终止确认 </w:t>
      </w:r>
      <w:r>
        <w:rPr>
          <w:spacing w:val="-1"/>
        </w:rPr>
        <w:t>本公司已将金融资产所有权上几乎所有的风险和报酬转移给转入方的，则终止确认该金融资产；本公</w:t>
      </w:r>
    </w:p>
    <w:p>
      <w:pPr>
        <w:pStyle w:val="BodyText"/>
        <w:spacing w:line="436" w:lineRule="auto" w:before="74"/>
        <w:ind w:left="534" w:right="87" w:hanging="420"/>
        <w:jc w:val="left"/>
      </w:pPr>
      <w:r>
        <w:rPr/>
        <w:t>司保留了金融资产所有权上几乎所有的风险和报酬的，则不终止确认该金融资产。 </w:t>
      </w:r>
      <w:r>
        <w:rPr>
          <w:spacing w:val="-1"/>
        </w:rPr>
        <w:t>本公司对于金融资产转移满足终止确认条件的，按照因转移而收到的对价，及原直接计入所有者权益</w:t>
      </w:r>
    </w:p>
    <w:p>
      <w:pPr>
        <w:pStyle w:val="BodyText"/>
        <w:spacing w:line="436" w:lineRule="auto" w:before="53"/>
        <w:ind w:left="114" w:right="205"/>
        <w:jc w:val="both"/>
      </w:pPr>
      <w:r>
        <w:rPr>
          <w:spacing w:val="-1"/>
        </w:rPr>
        <w:t>的公允价值变动累计额（涉及转移的金融资产为可供出售金融资产的情形）之和，与所转移金融资产的账</w:t>
      </w:r>
      <w:r>
        <w:rPr>
          <w:spacing w:val="-83"/>
        </w:rPr>
        <w:t> </w:t>
      </w:r>
      <w:r>
        <w:rPr>
          <w:spacing w:val="-83"/>
        </w:rPr>
      </w:r>
      <w:r>
        <w:rPr>
          <w:spacing w:val="-1"/>
        </w:rPr>
        <w:t>面价值之间的差额计入当期损益。本公司对于金融资产转移不满足终止确认条件的，继续确认所转移金融</w:t>
      </w:r>
      <w:r>
        <w:rPr>
          <w:spacing w:val="-81"/>
        </w:rPr>
        <w:t> </w:t>
      </w:r>
      <w:r>
        <w:rPr>
          <w:spacing w:val="-81"/>
        </w:rPr>
      </w:r>
      <w:r>
        <w:rPr/>
        <w:t>资产，并将收到的对价确认为一项金融负债。</w:t>
      </w:r>
    </w:p>
    <w:p>
      <w:pPr>
        <w:pStyle w:val="BodyText"/>
        <w:spacing w:line="436" w:lineRule="auto" w:before="53"/>
        <w:ind w:left="114" w:right="205" w:firstLine="420"/>
        <w:jc w:val="both"/>
      </w:pPr>
      <w:r>
        <w:rPr>
          <w:spacing w:val="-1"/>
        </w:rPr>
        <w:t>金融负债的现时义务全部或部分已经解除的，本公司终止确认该金融负债或其一部分。本公司以承兑</w:t>
      </w:r>
      <w:r>
        <w:rPr/>
        <w:t> </w:t>
      </w:r>
      <w:r>
        <w:rPr>
          <w:spacing w:val="-1"/>
        </w:rPr>
        <w:t>汇票贴现方式或其他应收账款抵押方式向银行融资时，不终止确认相关金融资产，取得的融资款项记录为</w:t>
      </w:r>
      <w:r>
        <w:rPr>
          <w:spacing w:val="-81"/>
        </w:rPr>
        <w:t> </w:t>
      </w:r>
      <w:r>
        <w:rPr>
          <w:spacing w:val="-81"/>
        </w:rPr>
      </w:r>
      <w:r>
        <w:rPr/>
        <w:t>本公司负债。</w:t>
      </w:r>
    </w:p>
    <w:p>
      <w:pPr>
        <w:pStyle w:val="BodyText"/>
        <w:spacing w:line="412" w:lineRule="auto" w:before="53"/>
        <w:ind w:left="534" w:right="87" w:hanging="1"/>
        <w:jc w:val="left"/>
      </w:pPr>
      <w:r>
        <w:rPr/>
        <w:t>（</w:t>
      </w:r>
      <w:r>
        <w:rPr>
          <w:rFonts w:ascii="Times New Roman" w:hAnsi="Times New Roman" w:cs="Times New Roman" w:eastAsia="Times New Roman" w:hint="default"/>
        </w:rPr>
        <w:t>4</w:t>
      </w:r>
      <w:r>
        <w:rPr/>
        <w:t>）公允价值的确定 </w:t>
      </w:r>
      <w:r>
        <w:rPr>
          <w:spacing w:val="-1"/>
        </w:rPr>
        <w:t>存在活跃市场的金融工具，本公司采用活跃市场中的报价确定其公允价值。金融工具不存在活跃市场</w:t>
      </w:r>
    </w:p>
    <w:p>
      <w:pPr>
        <w:pStyle w:val="BodyText"/>
        <w:spacing w:line="436" w:lineRule="auto" w:before="73"/>
        <w:ind w:left="114" w:right="97"/>
        <w:jc w:val="left"/>
      </w:pPr>
      <w:r>
        <w:rPr/>
        <w:t>的，本公司采用估值技术确定其公允价值。估值技术包括参考熟悉情况并自愿交易的各方最近进行的市场 </w:t>
      </w:r>
      <w:r>
        <w:rPr>
          <w:spacing w:val="-3"/>
        </w:rPr>
        <w:t>交易中使用的价格、参照实质上相同的其他金融工具的当前公允价值、现金流量折现法和期权定价模型等。</w:t>
      </w:r>
    </w:p>
    <w:p>
      <w:pPr>
        <w:pStyle w:val="BodyText"/>
        <w:spacing w:line="412" w:lineRule="auto" w:before="53"/>
        <w:ind w:left="534" w:right="87" w:hanging="1"/>
        <w:jc w:val="left"/>
      </w:pPr>
      <w:r>
        <w:rPr/>
        <w:t>（</w:t>
      </w:r>
      <w:r>
        <w:rPr>
          <w:rFonts w:ascii="Times New Roman" w:hAnsi="Times New Roman" w:cs="Times New Roman" w:eastAsia="Times New Roman" w:hint="default"/>
        </w:rPr>
        <w:t>5</w:t>
      </w:r>
      <w:r>
        <w:rPr/>
        <w:t>）金融资产减值 </w:t>
      </w:r>
      <w:r>
        <w:rPr>
          <w:spacing w:val="3"/>
        </w:rPr>
        <w:t>在资产负债表日对以公允价值计量且其变动计入当期损益的金融资产以外的金融资产的账面价值进</w:t>
      </w:r>
    </w:p>
    <w:p>
      <w:pPr>
        <w:pStyle w:val="BodyText"/>
        <w:spacing w:line="436" w:lineRule="auto" w:before="74"/>
        <w:ind w:left="114" w:right="206"/>
        <w:jc w:val="both"/>
      </w:pPr>
      <w:r>
        <w:rPr>
          <w:spacing w:val="-1"/>
        </w:rPr>
        <w:t>行检查，有客观证据表明该金融资产发生减值的，计提减值准备。金融资产发生减值的客观证据，包括下</w:t>
      </w:r>
      <w:r>
        <w:rPr>
          <w:spacing w:val="-82"/>
        </w:rPr>
        <w:t> </w:t>
      </w:r>
      <w:r>
        <w:rPr>
          <w:spacing w:val="-82"/>
        </w:rPr>
      </w:r>
      <w:r>
        <w:rPr/>
        <w:t>列各项：</w:t>
      </w:r>
    </w:p>
    <w:p>
      <w:pPr>
        <w:pStyle w:val="BodyText"/>
        <w:spacing w:line="412" w:lineRule="auto" w:before="52"/>
        <w:ind w:left="534" w:right="87"/>
        <w:jc w:val="left"/>
      </w:pPr>
      <w:r>
        <w:rPr>
          <w:rFonts w:ascii="Times New Roman" w:hAnsi="Times New Roman" w:cs="Times New Roman" w:eastAsia="Times New Roman" w:hint="default"/>
        </w:rPr>
        <w:t>a</w:t>
      </w:r>
      <w:r>
        <w:rPr/>
        <w:t>、发行方或债务人发生严重财务困难； </w:t>
      </w:r>
      <w:r>
        <w:rPr>
          <w:rFonts w:ascii="Times New Roman" w:hAnsi="Times New Roman" w:cs="Times New Roman" w:eastAsia="Times New Roman" w:hint="default"/>
        </w:rPr>
        <w:t>b</w:t>
      </w:r>
      <w:r>
        <w:rPr/>
        <w:t>、债务人违反了合同条款，如偿付利息或本金发生违约或逾期等； </w:t>
      </w:r>
      <w:r>
        <w:rPr>
          <w:rFonts w:ascii="Times New Roman" w:hAnsi="Times New Roman" w:cs="Times New Roman" w:eastAsia="Times New Roman" w:hint="default"/>
        </w:rPr>
        <w:t>c</w:t>
      </w:r>
      <w:r>
        <w:rPr/>
        <w:t>、本公司出于经济或法律等方面因素的考虑，对发生困难的债务人作出让步； </w:t>
      </w:r>
      <w:r>
        <w:rPr>
          <w:rFonts w:ascii="Times New Roman" w:hAnsi="Times New Roman" w:cs="Times New Roman" w:eastAsia="Times New Roman" w:hint="default"/>
        </w:rPr>
        <w:t>d</w:t>
      </w:r>
      <w:r>
        <w:rPr/>
        <w:t>、债务人很可能倒闭或进行其他财务重组； </w:t>
      </w:r>
      <w:r>
        <w:rPr>
          <w:rFonts w:ascii="Times New Roman" w:hAnsi="Times New Roman" w:cs="Times New Roman" w:eastAsia="Times New Roman" w:hint="default"/>
        </w:rPr>
        <w:t>e</w:t>
      </w:r>
      <w:r>
        <w:rPr/>
        <w:t>、因发行方发生重大财务困难，该金融资产无法在活跃市场继续交易； </w:t>
      </w:r>
      <w:r>
        <w:rPr>
          <w:rFonts w:ascii="Times New Roman" w:hAnsi="Times New Roman" w:cs="Times New Roman" w:eastAsia="Times New Roman" w:hint="default"/>
          <w:spacing w:val="-3"/>
        </w:rPr>
        <w:t>f</w:t>
      </w:r>
      <w:r>
        <w:rPr>
          <w:spacing w:val="-3"/>
        </w:rPr>
        <w:t>、债务人经营所处的技术、市场、经济和法律环境等发生重大不利变化，使本公司可能无法收回投资</w:t>
      </w:r>
    </w:p>
    <w:p>
      <w:pPr>
        <w:pStyle w:val="BodyText"/>
        <w:spacing w:line="240" w:lineRule="auto" w:before="41"/>
        <w:ind w:left="114" w:right="0"/>
        <w:jc w:val="both"/>
      </w:pPr>
      <w:r>
        <w:rPr/>
        <w:t>成本；</w:t>
      </w:r>
    </w:p>
    <w:p>
      <w:pPr>
        <w:spacing w:after="0" w:line="240" w:lineRule="auto"/>
        <w:jc w:val="both"/>
        <w:sectPr>
          <w:pgSz w:w="11900" w:h="16840"/>
          <w:pgMar w:header="0" w:footer="982" w:top="1320" w:bottom="1180" w:left="1020" w:right="920"/>
        </w:sectPr>
      </w:pPr>
    </w:p>
    <w:p>
      <w:pPr>
        <w:spacing w:line="240" w:lineRule="auto" w:before="11"/>
        <w:rPr>
          <w:rFonts w:ascii="宋体" w:hAnsi="宋体" w:cs="宋体" w:eastAsia="宋体" w:hint="default"/>
          <w:sz w:val="20"/>
          <w:szCs w:val="20"/>
        </w:rPr>
      </w:pPr>
    </w:p>
    <w:p>
      <w:pPr>
        <w:pStyle w:val="BodyText"/>
        <w:spacing w:line="446" w:lineRule="auto" w:before="35"/>
        <w:ind w:left="234" w:right="112" w:firstLine="420"/>
        <w:jc w:val="left"/>
      </w:pPr>
      <w:r>
        <w:rPr>
          <w:rFonts w:ascii="Times New Roman" w:hAnsi="Times New Roman" w:cs="Times New Roman" w:eastAsia="Times New Roman" w:hint="default"/>
        </w:rPr>
        <w:t>g</w:t>
      </w:r>
      <w:r>
        <w:rPr/>
        <w:t>、无法辨认一组金融资产中的某项资产的现金流量是否已经减少，但根据公开的数据对其进行总体</w:t>
      </w:r>
      <w:r>
        <w:rPr>
          <w:spacing w:val="2"/>
        </w:rPr>
        <w:t> </w:t>
      </w:r>
      <w:r>
        <w:rPr/>
        <w:t>评价后发现，该组金融资产自初始确认以来的预计未来现金流量确已减少且可计量；</w:t>
      </w:r>
    </w:p>
    <w:p>
      <w:pPr>
        <w:pStyle w:val="BodyText"/>
        <w:spacing w:line="446" w:lineRule="auto" w:before="84"/>
        <w:ind w:left="654" w:right="4282" w:hanging="1"/>
        <w:jc w:val="left"/>
      </w:pPr>
      <w:r>
        <w:rPr>
          <w:rFonts w:ascii="Times New Roman" w:hAnsi="Times New Roman" w:cs="Times New Roman" w:eastAsia="Times New Roman" w:hint="default"/>
        </w:rPr>
        <w:t>h</w:t>
      </w:r>
      <w:r>
        <w:rPr/>
        <w:t>、权益工具投资的公允价值发生严重或非暂时性下跌； </w:t>
      </w:r>
      <w:r>
        <w:rPr>
          <w:rFonts w:ascii="Times New Roman" w:hAnsi="Times New Roman" w:cs="Times New Roman" w:eastAsia="Times New Roman" w:hint="default"/>
        </w:rPr>
        <w:t>i</w:t>
      </w:r>
      <w:r>
        <w:rPr/>
        <w:t>、其他表明金融资产发生减值的客观证据。</w:t>
      </w:r>
    </w:p>
    <w:p>
      <w:pPr>
        <w:pStyle w:val="BodyText"/>
        <w:spacing w:line="446" w:lineRule="auto" w:before="49"/>
        <w:ind w:left="654" w:right="112" w:hanging="1"/>
        <w:jc w:val="left"/>
      </w:pPr>
      <w:r>
        <w:rPr/>
        <w:t>（</w:t>
      </w:r>
      <w:r>
        <w:rPr>
          <w:rFonts w:ascii="Times New Roman" w:hAnsi="Times New Roman" w:cs="Times New Roman" w:eastAsia="Times New Roman" w:hint="default"/>
        </w:rPr>
        <w:t>6</w:t>
      </w:r>
      <w:r>
        <w:rPr/>
        <w:t>）金融资产减值损失的计量 </w:t>
      </w:r>
      <w:r>
        <w:rPr>
          <w:rFonts w:ascii="Times New Roman" w:hAnsi="Times New Roman" w:cs="Times New Roman" w:eastAsia="Times New Roman" w:hint="default"/>
        </w:rPr>
        <w:t>a</w:t>
      </w:r>
      <w:r>
        <w:rPr/>
        <w:t>、以公允价值计量且其变动计入当期损益的金融资产不需要进行减值测试； </w:t>
      </w:r>
      <w:r>
        <w:rPr>
          <w:rFonts w:ascii="Times New Roman" w:hAnsi="Times New Roman" w:cs="Times New Roman" w:eastAsia="Times New Roman" w:hint="default"/>
        </w:rPr>
        <w:t>b</w:t>
      </w:r>
      <w:r>
        <w:rPr/>
        <w:t>、持有至到期投资的减值损失的计量：按预计未来现金流现值低于期末账面价值的差额计提减值准</w:t>
      </w:r>
    </w:p>
    <w:p>
      <w:pPr>
        <w:pStyle w:val="BodyText"/>
        <w:spacing w:line="240" w:lineRule="auto" w:before="49"/>
        <w:ind w:left="234" w:right="112"/>
        <w:jc w:val="left"/>
      </w:pPr>
      <w:r>
        <w:rPr/>
        <w:t>备；</w:t>
      </w:r>
    </w:p>
    <w:p>
      <w:pPr>
        <w:spacing w:line="240" w:lineRule="auto" w:before="3"/>
        <w:rPr>
          <w:rFonts w:ascii="宋体" w:hAnsi="宋体" w:cs="宋体" w:eastAsia="宋体" w:hint="default"/>
          <w:sz w:val="20"/>
          <w:szCs w:val="20"/>
        </w:rPr>
      </w:pPr>
    </w:p>
    <w:p>
      <w:pPr>
        <w:pStyle w:val="BodyText"/>
        <w:spacing w:line="446" w:lineRule="auto"/>
        <w:ind w:left="234" w:right="112" w:firstLine="420"/>
        <w:jc w:val="left"/>
      </w:pPr>
      <w:r>
        <w:rPr>
          <w:rFonts w:ascii="Times New Roman" w:hAnsi="Times New Roman" w:cs="Times New Roman" w:eastAsia="Times New Roman" w:hint="default"/>
        </w:rPr>
        <w:t>c</w:t>
      </w:r>
      <w:r>
        <w:rPr/>
        <w:t>、若可供出售的金融资产公允价值出现持续下降，且其下降属于非暂时性的，则可认定该项金融资</w:t>
      </w:r>
      <w:r>
        <w:rPr>
          <w:spacing w:val="2"/>
        </w:rPr>
        <w:t> </w:t>
      </w:r>
      <w:r>
        <w:rPr/>
        <w:t>产发生了减值，原直接计入资本公积的累计损失予以转出计入当期损益。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446" w:lineRule="auto"/>
        <w:ind w:left="234" w:right="5226"/>
        <w:jc w:val="left"/>
      </w:pPr>
      <w:r>
        <w:rPr>
          <w:rFonts w:ascii="Times New Roman" w:hAnsi="Times New Roman" w:cs="Times New Roman" w:eastAsia="Times New Roman" w:hint="default"/>
          <w:b/>
          <w:bCs/>
        </w:rPr>
        <w:t>10</w:t>
      </w:r>
      <w:r>
        <w:rPr/>
        <w:t>、应收款项 本公司应收款项主要包括应收账款、其他应收款。</w:t>
      </w:r>
    </w:p>
    <w:p>
      <w:pPr>
        <w:pStyle w:val="BodyText"/>
        <w:spacing w:line="240" w:lineRule="auto" w:before="84"/>
        <w:ind w:left="234" w:right="112"/>
        <w:jc w:val="left"/>
      </w:pPr>
      <w:r>
        <w:rPr/>
        <w:t>（</w:t>
      </w:r>
      <w:r>
        <w:rPr>
          <w:rFonts w:ascii="Times New Roman" w:hAnsi="Times New Roman" w:cs="Times New Roman" w:eastAsia="Times New Roman" w:hint="default"/>
        </w:rPr>
        <w:t>1</w:t>
      </w:r>
      <w:r>
        <w:rPr/>
        <w:t>）单项金额重大的应收款项坏账准备的确认标准、计提方法：</w:t>
      </w:r>
    </w:p>
    <w:tbl>
      <w:tblPr>
        <w:tblW w:w="0" w:type="auto"/>
        <w:jc w:val="left"/>
        <w:tblInd w:w="106" w:type="dxa"/>
        <w:tblLayout w:type="fixed"/>
        <w:tblCellMar>
          <w:top w:w="0" w:type="dxa"/>
          <w:left w:w="0" w:type="dxa"/>
          <w:bottom w:w="0" w:type="dxa"/>
          <w:right w:w="0" w:type="dxa"/>
        </w:tblCellMar>
        <w:tblLook w:val="01E0"/>
      </w:tblPr>
      <w:tblGrid>
        <w:gridCol w:w="4942"/>
        <w:gridCol w:w="4927"/>
      </w:tblGrid>
      <w:tr>
        <w:trPr>
          <w:trHeight w:val="550"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单项金额重大的应收款项坏账准备的确认标准</w:t>
            </w:r>
          </w:p>
        </w:tc>
        <w:tc>
          <w:tcPr>
            <w:tcW w:w="49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万元以上</w:t>
            </w:r>
          </w:p>
        </w:tc>
      </w:tr>
      <w:tr>
        <w:trPr>
          <w:trHeight w:val="1068"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单项金额重大的应收款项坏账准备的计提方法</w:t>
            </w:r>
          </w:p>
        </w:tc>
        <w:tc>
          <w:tcPr>
            <w:tcW w:w="49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72" w:lineRule="exact"/>
              <w:ind w:left="103" w:right="101"/>
              <w:jc w:val="both"/>
              <w:rPr>
                <w:rFonts w:ascii="宋体" w:hAnsi="宋体" w:cs="宋体" w:eastAsia="宋体" w:hint="default"/>
                <w:sz w:val="21"/>
                <w:szCs w:val="21"/>
              </w:rPr>
            </w:pPr>
            <w:r>
              <w:rPr>
                <w:rFonts w:ascii="宋体" w:hAnsi="宋体" w:cs="宋体" w:eastAsia="宋体" w:hint="default"/>
                <w:spacing w:val="3"/>
                <w:sz w:val="21"/>
                <w:szCs w:val="21"/>
              </w:rPr>
              <w:t>若有客观证据表明某笔金额重大的应收款项未来现</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金流量的现值低于其账面价值，则将其差额确认为</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减值损失并计提坏账准备。</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446" w:lineRule="auto" w:before="35"/>
        <w:ind w:left="234" w:right="112"/>
        <w:jc w:val="left"/>
      </w:pPr>
      <w:r>
        <w:rPr/>
        <w:pict>
          <v:shape style="position:absolute;margin-left:51.060001pt;margin-top:44.073521pt;width:493.1pt;height:81.1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94"/>
                    <w:gridCol w:w="6053"/>
                  </w:tblGrid>
                  <w:tr>
                    <w:trPr>
                      <w:trHeight w:val="516" w:hRule="exact"/>
                    </w:trPr>
                    <w:tc>
                      <w:tcPr>
                        <w:tcW w:w="3794" w:type="dxa"/>
                        <w:tcBorders>
                          <w:top w:val="single" w:sz="4" w:space="0" w:color="000000"/>
                          <w:left w:val="nil" w:sz="6" w:space="0" w:color="auto"/>
                          <w:bottom w:val="nil" w:sz="6" w:space="0" w:color="auto"/>
                          <w:right w:val="single" w:sz="4" w:space="0" w:color="000000"/>
                        </w:tcBorders>
                      </w:tcPr>
                      <w:p>
                        <w:pPr/>
                      </w:p>
                    </w:tc>
                    <w:tc>
                      <w:tcPr>
                        <w:tcW w:w="6053" w:type="dxa"/>
                        <w:tcBorders>
                          <w:top w:val="single" w:sz="4" w:space="0" w:color="000000"/>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6"/>
                            <w:sz w:val="21"/>
                            <w:szCs w:val="21"/>
                          </w:rPr>
                          <w:t>对于经单独减值测试后未发生减值的单项金额重大款项和单项</w:t>
                        </w:r>
                        <w:r>
                          <w:rPr>
                            <w:rFonts w:ascii="宋体" w:hAnsi="宋体" w:cs="宋体" w:eastAsia="宋体" w:hint="default"/>
                            <w:sz w:val="21"/>
                            <w:szCs w:val="21"/>
                          </w:rPr>
                        </w:r>
                      </w:p>
                    </w:tc>
                  </w:tr>
                  <w:tr>
                    <w:trPr>
                      <w:trHeight w:val="278" w:hRule="exact"/>
                    </w:trPr>
                    <w:tc>
                      <w:tcPr>
                        <w:tcW w:w="3794" w:type="dxa"/>
                        <w:tcBorders>
                          <w:top w:val="nil" w:sz="6" w:space="0" w:color="auto"/>
                          <w:left w:val="nil" w:sz="6" w:space="0" w:color="auto"/>
                          <w:bottom w:val="nil" w:sz="6" w:space="0" w:color="auto"/>
                          <w:right w:val="single" w:sz="4" w:space="0" w:color="000000"/>
                        </w:tcBorders>
                      </w:tcPr>
                      <w:p>
                        <w:pPr/>
                      </w:p>
                    </w:tc>
                    <w:tc>
                      <w:tcPr>
                        <w:tcW w:w="6053" w:type="dxa"/>
                        <w:tcBorders>
                          <w:top w:val="nil" w:sz="6" w:space="0" w:color="auto"/>
                          <w:left w:val="single" w:sz="4" w:space="0" w:color="000000"/>
                          <w:bottom w:val="nil" w:sz="6" w:space="0" w:color="auto"/>
                          <w:right w:val="nil" w:sz="6" w:space="0" w:color="auto"/>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金额在</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万元以下的款项，本公司按其期限情况进行划分和组</w:t>
                        </w:r>
                      </w:p>
                    </w:tc>
                  </w:tr>
                  <w:tr>
                    <w:trPr>
                      <w:trHeight w:val="267" w:hRule="exact"/>
                    </w:trPr>
                    <w:tc>
                      <w:tcPr>
                        <w:tcW w:w="3794" w:type="dxa"/>
                        <w:tcBorders>
                          <w:top w:val="nil" w:sz="6" w:space="0" w:color="auto"/>
                          <w:left w:val="nil" w:sz="6" w:space="0" w:color="auto"/>
                          <w:bottom w:val="nil" w:sz="6" w:space="0" w:color="auto"/>
                          <w:right w:val="single" w:sz="4" w:space="0" w:color="000000"/>
                        </w:tcBorders>
                      </w:tcPr>
                      <w:p>
                        <w:pPr>
                          <w:pStyle w:val="TableParagraph"/>
                          <w:spacing w:line="235" w:lineRule="exact"/>
                          <w:ind w:left="108" w:right="0"/>
                          <w:jc w:val="left"/>
                          <w:rPr>
                            <w:rFonts w:ascii="宋体" w:hAnsi="宋体" w:cs="宋体" w:eastAsia="宋体" w:hint="default"/>
                            <w:sz w:val="21"/>
                            <w:szCs w:val="21"/>
                          </w:rPr>
                        </w:pPr>
                        <w:r>
                          <w:rPr>
                            <w:rFonts w:ascii="宋体" w:hAnsi="宋体" w:cs="宋体" w:eastAsia="宋体" w:hint="default"/>
                            <w:sz w:val="21"/>
                            <w:szCs w:val="21"/>
                          </w:rPr>
                          <w:t>信用风险特征组合的确定依据</w:t>
                        </w:r>
                      </w:p>
                    </w:tc>
                    <w:tc>
                      <w:tcPr>
                        <w:tcW w:w="6053" w:type="dxa"/>
                        <w:tcBorders>
                          <w:top w:val="nil" w:sz="6" w:space="0" w:color="auto"/>
                          <w:left w:val="single" w:sz="4" w:space="0" w:color="000000"/>
                          <w:bottom w:val="nil" w:sz="6" w:space="0" w:color="auto"/>
                          <w:right w:val="nil" w:sz="6" w:space="0" w:color="auto"/>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合，根据以前年度相同或类似组合的实际损失率为基础，结合现</w:t>
                        </w:r>
                      </w:p>
                    </w:tc>
                  </w:tr>
                  <w:tr>
                    <w:trPr>
                      <w:trHeight w:val="272" w:hRule="exact"/>
                    </w:trPr>
                    <w:tc>
                      <w:tcPr>
                        <w:tcW w:w="3794" w:type="dxa"/>
                        <w:tcBorders>
                          <w:top w:val="nil" w:sz="6" w:space="0" w:color="auto"/>
                          <w:left w:val="nil" w:sz="6" w:space="0" w:color="auto"/>
                          <w:bottom w:val="nil" w:sz="6" w:space="0" w:color="auto"/>
                          <w:right w:val="single" w:sz="4" w:space="0" w:color="000000"/>
                        </w:tcBorders>
                      </w:tcPr>
                      <w:p>
                        <w:pPr/>
                      </w:p>
                    </w:tc>
                    <w:tc>
                      <w:tcPr>
                        <w:tcW w:w="6053" w:type="dxa"/>
                        <w:tcBorders>
                          <w:top w:val="nil" w:sz="6" w:space="0" w:color="auto"/>
                          <w:left w:val="single" w:sz="4" w:space="0" w:color="000000"/>
                          <w:bottom w:val="nil" w:sz="6" w:space="0" w:color="auto"/>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时情况，按组合的资产负债表日余额的一定比例计算本期应计提</w:t>
                        </w:r>
                      </w:p>
                    </w:tc>
                  </w:tr>
                  <w:tr>
                    <w:trPr>
                      <w:trHeight w:val="279" w:hRule="exact"/>
                    </w:trPr>
                    <w:tc>
                      <w:tcPr>
                        <w:tcW w:w="3794" w:type="dxa"/>
                        <w:tcBorders>
                          <w:top w:val="nil" w:sz="6" w:space="0" w:color="auto"/>
                          <w:left w:val="nil" w:sz="6" w:space="0" w:color="auto"/>
                          <w:bottom w:val="single" w:sz="4" w:space="0" w:color="000000"/>
                          <w:right w:val="single" w:sz="4" w:space="0" w:color="000000"/>
                        </w:tcBorders>
                      </w:tcPr>
                      <w:p>
                        <w:pPr/>
                      </w:p>
                    </w:tc>
                    <w:tc>
                      <w:tcPr>
                        <w:tcW w:w="6053" w:type="dxa"/>
                        <w:tcBorders>
                          <w:top w:val="nil" w:sz="6" w:space="0" w:color="auto"/>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的坏账准备。</w:t>
                        </w:r>
                      </w:p>
                    </w:tc>
                  </w:tr>
                </w:tbl>
                <w:p>
                  <w:pPr/>
                </w:p>
              </w:txbxContent>
            </v:textbox>
            <w10:wrap type="none"/>
          </v:shape>
        </w:pict>
      </w:r>
      <w:r>
        <w:rPr/>
        <w:t>（</w:t>
      </w:r>
      <w:r>
        <w:rPr>
          <w:rFonts w:ascii="Times New Roman" w:hAnsi="Times New Roman" w:cs="Times New Roman" w:eastAsia="Times New Roman" w:hint="default"/>
        </w:rPr>
        <w:t>2</w:t>
      </w:r>
      <w:r>
        <w:rPr/>
        <w:t>）单项金额不重大但按信用风险特征组合后该组合的风险较大的应收款项坏账准备的确定依据、计提</w:t>
      </w:r>
      <w:r>
        <w:rPr>
          <w:spacing w:val="-35"/>
        </w:rPr>
        <w:t> </w:t>
      </w:r>
      <w:r>
        <w:rPr>
          <w:spacing w:val="-35"/>
        </w:rPr>
      </w:r>
      <w:r>
        <w:rPr/>
        <w:t>方法：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40" w:lineRule="auto" w:before="35"/>
        <w:ind w:left="234" w:right="112"/>
        <w:jc w:val="left"/>
      </w:pPr>
      <w:r>
        <w:rPr/>
        <w:t>根据信用风险特征组合确定的计提方法：账龄分析法。</w:t>
      </w:r>
    </w:p>
    <w:p>
      <w:pPr>
        <w:spacing w:line="240" w:lineRule="auto" w:before="7"/>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93.95pt;height:.5pt;mso-position-horizontal-relative:char;mso-position-vertical-relative:line" coordorigin="0,0" coordsize="9879,10">
            <v:group style="position:absolute;left:5;top:5;width:9869;height:2" coordorigin="5,5" coordsize="9869,2">
              <v:shape style="position:absolute;left:5;top:5;width:9869;height:2" coordorigin="5,5" coordsize="9869,0" path="m5,5l9874,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40"/>
          <w:pgMar w:header="0" w:footer="982" w:top="1600" w:bottom="1180" w:left="900" w:right="900"/>
        </w:sectPr>
      </w:pPr>
    </w:p>
    <w:p>
      <w:pPr>
        <w:pStyle w:val="BodyText"/>
        <w:spacing w:line="240" w:lineRule="auto" w:before="6"/>
        <w:ind w:left="234" w:right="112"/>
        <w:jc w:val="left"/>
      </w:pPr>
      <w:r>
        <w:rPr/>
        <w:t>（</w:t>
      </w:r>
      <w:r>
        <w:rPr>
          <w:rFonts w:ascii="Times New Roman" w:hAnsi="Times New Roman" w:cs="Times New Roman" w:eastAsia="Times New Roman" w:hint="default"/>
        </w:rPr>
        <w:t>3</w:t>
      </w:r>
      <w:r>
        <w:rPr/>
        <w:t>）账龄分析法</w:t>
      </w:r>
    </w:p>
    <w:tbl>
      <w:tblPr>
        <w:tblW w:w="0" w:type="auto"/>
        <w:jc w:val="left"/>
        <w:tblInd w:w="106" w:type="dxa"/>
        <w:tblLayout w:type="fixed"/>
        <w:tblCellMar>
          <w:top w:w="0" w:type="dxa"/>
          <w:left w:w="0" w:type="dxa"/>
          <w:bottom w:w="0" w:type="dxa"/>
          <w:right w:w="0" w:type="dxa"/>
        </w:tblCellMar>
        <w:tblLook w:val="01E0"/>
      </w:tblPr>
      <w:tblGrid>
        <w:gridCol w:w="2641"/>
        <w:gridCol w:w="1877"/>
        <w:gridCol w:w="2692"/>
        <w:gridCol w:w="2659"/>
      </w:tblGrid>
      <w:tr>
        <w:trPr>
          <w:trHeight w:val="510" w:hRule="exact"/>
        </w:trPr>
        <w:tc>
          <w:tcPr>
            <w:tcW w:w="451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应收账款计提比例</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510" w:hRule="exact"/>
        </w:trPr>
        <w:tc>
          <w:tcPr>
            <w:tcW w:w="451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未逾期款项</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0.5%</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0.5%</w:t>
            </w:r>
          </w:p>
        </w:tc>
      </w:tr>
      <w:tr>
        <w:trPr>
          <w:trHeight w:val="510" w:hRule="exact"/>
        </w:trPr>
        <w:tc>
          <w:tcPr>
            <w:tcW w:w="451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已逾期款项</w:t>
            </w:r>
          </w:p>
        </w:tc>
        <w:tc>
          <w:tcPr>
            <w:tcW w:w="2692" w:type="dxa"/>
            <w:tcBorders>
              <w:top w:val="single" w:sz="4" w:space="0" w:color="000000"/>
              <w:left w:val="single" w:sz="4" w:space="0" w:color="000000"/>
              <w:bottom w:val="single" w:sz="4" w:space="0" w:color="000000"/>
              <w:right w:val="single" w:sz="4" w:space="0" w:color="000000"/>
            </w:tcBorders>
          </w:tcPr>
          <w:p>
            <w:pPr/>
          </w:p>
        </w:tc>
        <w:tc>
          <w:tcPr>
            <w:tcW w:w="2659"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451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5%</w:t>
            </w:r>
          </w:p>
        </w:tc>
      </w:tr>
      <w:tr>
        <w:trPr>
          <w:trHeight w:val="510" w:hRule="exact"/>
        </w:trPr>
        <w:tc>
          <w:tcPr>
            <w:tcW w:w="451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15%</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15%</w:t>
            </w:r>
          </w:p>
        </w:tc>
      </w:tr>
      <w:tr>
        <w:trPr>
          <w:trHeight w:val="510" w:hRule="exact"/>
        </w:trPr>
        <w:tc>
          <w:tcPr>
            <w:tcW w:w="451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30%</w:t>
            </w:r>
          </w:p>
        </w:tc>
      </w:tr>
      <w:tr>
        <w:trPr>
          <w:trHeight w:val="510" w:hRule="exact"/>
        </w:trPr>
        <w:tc>
          <w:tcPr>
            <w:tcW w:w="451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50%</w:t>
            </w:r>
          </w:p>
        </w:tc>
      </w:tr>
      <w:tr>
        <w:trPr>
          <w:trHeight w:val="510" w:hRule="exact"/>
        </w:trPr>
        <w:tc>
          <w:tcPr>
            <w:tcW w:w="451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80%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80%</w:t>
            </w:r>
          </w:p>
        </w:tc>
      </w:tr>
      <w:tr>
        <w:trPr>
          <w:trHeight w:val="510" w:hRule="exact"/>
        </w:trPr>
        <w:tc>
          <w:tcPr>
            <w:tcW w:w="451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100%</w:t>
            </w:r>
          </w:p>
        </w:tc>
      </w:tr>
      <w:tr>
        <w:trPr>
          <w:trHeight w:val="947" w:hRule="exact"/>
        </w:trPr>
        <w:tc>
          <w:tcPr>
            <w:tcW w:w="26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计提坏账准备的说明</w:t>
            </w:r>
          </w:p>
        </w:tc>
        <w:tc>
          <w:tcPr>
            <w:tcW w:w="7228" w:type="dxa"/>
            <w:gridSpan w:val="3"/>
            <w:tcBorders>
              <w:top w:val="single" w:sz="4" w:space="0" w:color="000000"/>
              <w:left w:val="single" w:sz="4" w:space="0" w:color="000000"/>
              <w:bottom w:val="single" w:sz="4" w:space="0" w:color="000000"/>
              <w:right w:val="nil" w:sz="6" w:space="0" w:color="auto"/>
            </w:tcBorders>
          </w:tcPr>
          <w:p>
            <w:pPr>
              <w:pStyle w:val="TableParagraph"/>
              <w:spacing w:line="272" w:lineRule="exact" w:before="112"/>
              <w:ind w:left="103" w:right="105"/>
              <w:jc w:val="both"/>
              <w:rPr>
                <w:rFonts w:ascii="宋体" w:hAnsi="宋体" w:cs="宋体" w:eastAsia="宋体" w:hint="default"/>
                <w:sz w:val="21"/>
                <w:szCs w:val="21"/>
              </w:rPr>
            </w:pPr>
            <w:r>
              <w:rPr>
                <w:rFonts w:ascii="宋体" w:hAnsi="宋体" w:cs="宋体" w:eastAsia="宋体" w:hint="default"/>
                <w:spacing w:val="2"/>
                <w:sz w:val="21"/>
                <w:szCs w:val="21"/>
              </w:rPr>
              <w:t>未逾期款项是指按合同约定尚未到期的应收款项，已逾期款项是指按合同约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定已到期但尚未归还的应收款项及无固定还款期的应收款项，按账龄情况进</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行组合。</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6"/>
        <w:ind w:left="234" w:right="112" w:firstLine="0"/>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11</w:t>
      </w:r>
      <w:r>
        <w:rPr>
          <w:rFonts w:ascii="宋体" w:hAnsi="宋体" w:cs="宋体" w:eastAsia="宋体" w:hint="default"/>
          <w:spacing w:val="-3"/>
          <w:sz w:val="21"/>
          <w:szCs w:val="21"/>
        </w:rPr>
        <w:t>、存货</w:t>
      </w:r>
    </w:p>
    <w:p>
      <w:pPr>
        <w:spacing w:line="240" w:lineRule="auto" w:before="0"/>
        <w:rPr>
          <w:rFonts w:ascii="宋体" w:hAnsi="宋体" w:cs="宋体" w:eastAsia="宋体" w:hint="default"/>
          <w:sz w:val="16"/>
          <w:szCs w:val="16"/>
        </w:rPr>
      </w:pPr>
    </w:p>
    <w:p>
      <w:pPr>
        <w:pStyle w:val="BodyText"/>
        <w:spacing w:line="412" w:lineRule="auto"/>
        <w:ind w:left="654" w:right="2706" w:hanging="421"/>
        <w:jc w:val="left"/>
      </w:pPr>
      <w:r>
        <w:rPr/>
        <w:t>（</w:t>
      </w:r>
      <w:r>
        <w:rPr>
          <w:rFonts w:ascii="Times New Roman" w:hAnsi="Times New Roman" w:cs="Times New Roman" w:eastAsia="Times New Roman" w:hint="default"/>
        </w:rPr>
        <w:t>1</w:t>
      </w:r>
      <w:r>
        <w:rPr/>
        <w:t>）存货的分类 存货分为原材料、在产品、产成品及库存商品、开发产品、开发成本等。</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412" w:lineRule="auto"/>
        <w:ind w:left="654" w:right="3126" w:hanging="421"/>
        <w:jc w:val="left"/>
      </w:pPr>
      <w:r>
        <w:rPr/>
        <w:t>（</w:t>
      </w:r>
      <w:r>
        <w:rPr>
          <w:rFonts w:ascii="Times New Roman" w:hAnsi="Times New Roman" w:cs="Times New Roman" w:eastAsia="Times New Roman" w:hint="default"/>
        </w:rPr>
        <w:t>2</w:t>
      </w:r>
      <w:r>
        <w:rPr/>
        <w:t>）发出存货的计价方法 各类存货的购入与入库按实际成本计价，发出采用加权平均法计价。</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412" w:lineRule="auto"/>
        <w:ind w:left="654" w:right="112" w:hanging="421"/>
        <w:jc w:val="left"/>
      </w:pPr>
      <w:r>
        <w:rPr/>
        <w:t>（</w:t>
      </w:r>
      <w:r>
        <w:rPr>
          <w:rFonts w:ascii="Times New Roman" w:hAnsi="Times New Roman" w:cs="Times New Roman" w:eastAsia="Times New Roman" w:hint="default"/>
        </w:rPr>
        <w:t>3</w:t>
      </w:r>
      <w:r>
        <w:rPr/>
        <w:t>）存货可变现净值的确定依据及存货跌价准备的计提方法 </w:t>
      </w:r>
      <w:r>
        <w:rPr>
          <w:spacing w:val="-1"/>
        </w:rPr>
        <w:t>存货可变现净值系根据本公司在正常经营过程中，以估计售价减去估计完工成本及销售所必须的估计</w:t>
      </w:r>
    </w:p>
    <w:p>
      <w:pPr>
        <w:pStyle w:val="BodyText"/>
        <w:spacing w:line="436" w:lineRule="auto" w:before="74"/>
        <w:ind w:left="654" w:right="112" w:hanging="420"/>
        <w:jc w:val="left"/>
      </w:pPr>
      <w:r>
        <w:rPr/>
        <w:t>费用后的价值。 </w:t>
      </w:r>
      <w:r>
        <w:rPr>
          <w:spacing w:val="-1"/>
        </w:rPr>
        <w:t>存货跌价准备的计提方法：本公司于每年中期期末及年度终了在对存货进行全面盘点的基础上，对遭</w:t>
      </w:r>
    </w:p>
    <w:p>
      <w:pPr>
        <w:pStyle w:val="BodyText"/>
        <w:spacing w:line="436" w:lineRule="auto" w:before="52"/>
        <w:ind w:left="234" w:right="203"/>
        <w:jc w:val="both"/>
      </w:pPr>
      <w:r>
        <w:rPr>
          <w:spacing w:val="-1"/>
        </w:rPr>
        <w:t>受损失，全部或部分陈旧过时或销售价格低于成本的存货，根据存货成本与可变现净值孰低计量，按单个</w:t>
      </w:r>
      <w:r>
        <w:rPr>
          <w:spacing w:val="-83"/>
        </w:rPr>
        <w:t> </w:t>
      </w:r>
      <w:r>
        <w:rPr>
          <w:spacing w:val="-83"/>
        </w:rPr>
      </w:r>
      <w:r>
        <w:rPr>
          <w:spacing w:val="-1"/>
        </w:rPr>
        <w:t>存货项目对同类存货项目的可变现净值低于存货成本的差额计提存货跌价准备，并计入当期损益。确定可</w:t>
      </w:r>
      <w:r>
        <w:rPr>
          <w:spacing w:val="-81"/>
        </w:rPr>
        <w:t> </w:t>
      </w:r>
      <w:r>
        <w:rPr>
          <w:spacing w:val="-81"/>
        </w:rPr>
      </w:r>
      <w:r>
        <w:rPr/>
        <w:t>变现净值时，除考虑持有目的和资产负债表日该存货的价格与成本波动外，还需要考虑未来事项的影响。</w:t>
      </w:r>
    </w:p>
    <w:p>
      <w:pPr>
        <w:spacing w:after="0" w:line="436" w:lineRule="auto"/>
        <w:jc w:val="both"/>
        <w:sectPr>
          <w:pgSz w:w="11900" w:h="16840"/>
          <w:pgMar w:header="0" w:footer="982" w:top="1320" w:bottom="1180" w:left="900" w:right="900"/>
        </w:sectPr>
      </w:pPr>
    </w:p>
    <w:p>
      <w:pPr>
        <w:pStyle w:val="BodyText"/>
        <w:spacing w:line="412" w:lineRule="auto" w:before="6"/>
        <w:ind w:left="534" w:right="6196" w:hanging="421"/>
        <w:jc w:val="left"/>
      </w:pPr>
      <w:r>
        <w:rPr/>
        <w:t>（</w:t>
      </w:r>
      <w:r>
        <w:rPr>
          <w:rFonts w:ascii="Times New Roman" w:hAnsi="Times New Roman" w:cs="Times New Roman" w:eastAsia="Times New Roman" w:hint="default"/>
        </w:rPr>
        <w:t>4</w:t>
      </w:r>
      <w:r>
        <w:rPr/>
        <w:t>）存货的盘存制度 存货的盘存制度采用永续盘存制。</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412" w:lineRule="auto"/>
        <w:ind w:left="534" w:right="946" w:hanging="421"/>
        <w:jc w:val="left"/>
      </w:pPr>
      <w:r>
        <w:rPr/>
        <w:t>（</w:t>
      </w:r>
      <w:r>
        <w:rPr>
          <w:rFonts w:ascii="Times New Roman" w:hAnsi="Times New Roman" w:cs="Times New Roman" w:eastAsia="Times New Roman" w:hint="default"/>
        </w:rPr>
        <w:t>5</w:t>
      </w:r>
      <w:r>
        <w:rPr/>
        <w:t>）低值易耗品和包装物的摊销方法 低值易耗品于其领用时采用一次性摊销法摊销。包装物于其领用时采用一次性摊销法摊销。</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0"/>
        <w:ind w:left="114" w:right="61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sz w:val="21"/>
          <w:szCs w:val="21"/>
        </w:rPr>
        <w:t>、长期股权投资</w:t>
      </w:r>
    </w:p>
    <w:p>
      <w:pPr>
        <w:spacing w:line="240" w:lineRule="auto" w:before="0"/>
        <w:rPr>
          <w:rFonts w:ascii="宋体" w:hAnsi="宋体" w:cs="宋体" w:eastAsia="宋体" w:hint="default"/>
          <w:sz w:val="16"/>
          <w:szCs w:val="16"/>
        </w:rPr>
      </w:pPr>
    </w:p>
    <w:p>
      <w:pPr>
        <w:pStyle w:val="BodyText"/>
        <w:spacing w:line="240" w:lineRule="auto"/>
        <w:ind w:left="114" w:right="6196"/>
        <w:jc w:val="left"/>
      </w:pPr>
      <w:r>
        <w:rPr/>
        <w:t>（</w:t>
      </w:r>
      <w:r>
        <w:rPr>
          <w:rFonts w:ascii="Times New Roman" w:hAnsi="Times New Roman" w:cs="Times New Roman" w:eastAsia="Times New Roman" w:hint="default"/>
        </w:rPr>
        <w:t>1</w:t>
      </w:r>
      <w:r>
        <w:rPr/>
        <w:t>）初始投资成本确定</w:t>
      </w:r>
    </w:p>
    <w:p>
      <w:pPr>
        <w:spacing w:line="240" w:lineRule="auto" w:before="1"/>
        <w:rPr>
          <w:rFonts w:ascii="宋体" w:hAnsi="宋体" w:cs="宋体" w:eastAsia="宋体" w:hint="default"/>
          <w:sz w:val="17"/>
          <w:szCs w:val="17"/>
        </w:rPr>
      </w:pPr>
    </w:p>
    <w:p>
      <w:pPr>
        <w:spacing w:line="434" w:lineRule="auto" w:before="0"/>
        <w:ind w:left="533" w:right="101"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A</w:t>
      </w:r>
      <w:r>
        <w:rPr>
          <w:rFonts w:ascii="宋体" w:hAnsi="宋体" w:cs="宋体" w:eastAsia="宋体" w:hint="default"/>
          <w:sz w:val="20"/>
          <w:szCs w:val="20"/>
        </w:rPr>
        <w:t>、企业合并形成的长期股权投资，按照下列规定确定其初始投资成本：</w:t>
      </w:r>
      <w:r>
        <w:rPr>
          <w:rFonts w:ascii="宋体" w:hAnsi="宋体" w:cs="宋体" w:eastAsia="宋体" w:hint="default"/>
          <w:w w:val="100"/>
          <w:sz w:val="20"/>
          <w:szCs w:val="20"/>
        </w:rPr>
        <w:t> </w:t>
      </w:r>
      <w:r>
        <w:rPr>
          <w:rFonts w:ascii="Times New Roman" w:hAnsi="Times New Roman" w:cs="Times New Roman" w:eastAsia="Times New Roman" w:hint="default"/>
          <w:spacing w:val="-3"/>
          <w:sz w:val="20"/>
          <w:szCs w:val="20"/>
        </w:rPr>
        <w:t>a</w:t>
      </w:r>
      <w:r>
        <w:rPr>
          <w:rFonts w:ascii="宋体" w:hAnsi="宋体" w:cs="宋体" w:eastAsia="宋体" w:hint="default"/>
          <w:spacing w:val="-3"/>
          <w:sz w:val="20"/>
          <w:szCs w:val="20"/>
        </w:rPr>
        <w:t>、同一控制下的企业合并，合并方以支付现金、转让非现金资产或承担债务方式作为合并对价的，在合并</w:t>
      </w:r>
    </w:p>
    <w:p>
      <w:pPr>
        <w:spacing w:line="458" w:lineRule="auto" w:before="44"/>
        <w:ind w:left="114" w:right="182" w:firstLine="0"/>
        <w:jc w:val="both"/>
        <w:rPr>
          <w:rFonts w:ascii="宋体" w:hAnsi="宋体" w:cs="宋体" w:eastAsia="宋体" w:hint="default"/>
          <w:sz w:val="20"/>
          <w:szCs w:val="20"/>
        </w:rPr>
      </w:pPr>
      <w:r>
        <w:rPr>
          <w:rFonts w:ascii="宋体" w:hAnsi="宋体" w:cs="宋体" w:eastAsia="宋体" w:hint="default"/>
          <w:spacing w:val="-1"/>
          <w:sz w:val="20"/>
          <w:szCs w:val="20"/>
        </w:rPr>
        <w:t>日按照取得被合并方所有者权益账面价值的份额作为长期股权投资的初始投资成本。长期股权投资初始投资成</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本与支付的现金、转让的非现金资产以及所承担债务账面价值之间的差额，调整资本公积；资本公积不足冲减</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的，调整留存收益。</w:t>
      </w:r>
    </w:p>
    <w:p>
      <w:pPr>
        <w:spacing w:line="458" w:lineRule="auto" w:before="56"/>
        <w:ind w:left="114" w:right="162" w:firstLine="420"/>
        <w:jc w:val="both"/>
        <w:rPr>
          <w:rFonts w:ascii="宋体" w:hAnsi="宋体" w:cs="宋体" w:eastAsia="宋体" w:hint="default"/>
          <w:sz w:val="20"/>
          <w:szCs w:val="20"/>
        </w:rPr>
      </w:pPr>
      <w:r>
        <w:rPr>
          <w:rFonts w:ascii="宋体" w:hAnsi="宋体" w:cs="宋体" w:eastAsia="宋体" w:hint="default"/>
          <w:spacing w:val="-1"/>
          <w:sz w:val="20"/>
          <w:szCs w:val="20"/>
        </w:rPr>
        <w:t>合并方以发行权益性证券作为合并对价的，在合并日按照取得被合并方所有者权益账面价值的份额作为长</w:t>
      </w:r>
      <w:r>
        <w:rPr>
          <w:rFonts w:ascii="宋体" w:hAnsi="宋体" w:cs="宋体" w:eastAsia="宋体" w:hint="default"/>
          <w:w w:val="100"/>
          <w:sz w:val="20"/>
          <w:szCs w:val="20"/>
        </w:rPr>
        <w:t> </w:t>
      </w:r>
      <w:r>
        <w:rPr>
          <w:rFonts w:ascii="宋体" w:hAnsi="宋体" w:cs="宋体" w:eastAsia="宋体" w:hint="default"/>
          <w:spacing w:val="-1"/>
          <w:sz w:val="20"/>
          <w:szCs w:val="20"/>
        </w:rPr>
        <w:t>期股权投资的初始投资成本。按照发行股份的面值总额作为股本，长期股权投资初始投资成本与所发行股份面</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值总额之间的差额，调整资本公积；资本公积不足冲减的，调整留存收益。</w:t>
      </w:r>
    </w:p>
    <w:p>
      <w:pPr>
        <w:spacing w:before="56"/>
        <w:ind w:left="534" w:right="101"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b</w:t>
      </w:r>
      <w:r>
        <w:rPr>
          <w:rFonts w:ascii="宋体" w:hAnsi="宋体" w:cs="宋体" w:eastAsia="宋体" w:hint="default"/>
          <w:sz w:val="20"/>
          <w:szCs w:val="20"/>
        </w:rPr>
        <w:t>、非同一控制下的企业合并，按照下列规定确定的合并成本作为长期股权投资的初始投资成本：</w:t>
      </w:r>
    </w:p>
    <w:p>
      <w:pPr>
        <w:spacing w:line="240" w:lineRule="auto" w:before="13"/>
        <w:rPr>
          <w:rFonts w:ascii="宋体" w:hAnsi="宋体" w:cs="宋体" w:eastAsia="宋体" w:hint="default"/>
          <w:sz w:val="16"/>
          <w:szCs w:val="16"/>
        </w:rPr>
      </w:pPr>
    </w:p>
    <w:p>
      <w:pPr>
        <w:spacing w:line="434" w:lineRule="auto" w:before="0"/>
        <w:ind w:left="114" w:right="101" w:firstLine="42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一次交换交易实现的企业合并，合并成本为购买方在购买日为取得对被购买方的控制权而付出的资产、</w:t>
      </w:r>
      <w:r>
        <w:rPr>
          <w:rFonts w:ascii="宋体" w:hAnsi="宋体" w:cs="宋体" w:eastAsia="宋体" w:hint="default"/>
          <w:w w:val="100"/>
          <w:sz w:val="20"/>
          <w:szCs w:val="20"/>
        </w:rPr>
        <w:t> </w:t>
      </w:r>
      <w:r>
        <w:rPr>
          <w:rFonts w:ascii="宋体" w:hAnsi="宋体" w:cs="宋体" w:eastAsia="宋体" w:hint="default"/>
          <w:sz w:val="20"/>
          <w:szCs w:val="20"/>
        </w:rPr>
        <w:t>发生或承担的负债以及发行的权益性证券的公允价值。</w:t>
      </w:r>
    </w:p>
    <w:p>
      <w:pPr>
        <w:spacing w:before="76"/>
        <w:ind w:left="534" w:right="946"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41"/>
          <w:sz w:val="20"/>
          <w:szCs w:val="20"/>
        </w:rPr>
        <w:t> </w:t>
      </w:r>
      <w:r>
        <w:rPr>
          <w:rFonts w:ascii="宋体" w:hAnsi="宋体" w:cs="宋体" w:eastAsia="宋体" w:hint="default"/>
          <w:sz w:val="20"/>
          <w:szCs w:val="20"/>
        </w:rPr>
        <w:t>通过多次交换交易分步实现的企业合并，合并成本为每一单项交易成本之和。</w:t>
      </w:r>
    </w:p>
    <w:p>
      <w:pPr>
        <w:spacing w:line="240" w:lineRule="auto" w:before="13"/>
        <w:rPr>
          <w:rFonts w:ascii="宋体" w:hAnsi="宋体" w:cs="宋体" w:eastAsia="宋体" w:hint="default"/>
          <w:sz w:val="16"/>
          <w:szCs w:val="16"/>
        </w:rPr>
      </w:pPr>
    </w:p>
    <w:p>
      <w:pPr>
        <w:spacing w:before="0"/>
        <w:ind w:left="533" w:right="946"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41"/>
          <w:sz w:val="20"/>
          <w:szCs w:val="20"/>
        </w:rPr>
        <w:t> </w:t>
      </w:r>
      <w:r>
        <w:rPr>
          <w:rFonts w:ascii="宋体" w:hAnsi="宋体" w:cs="宋体" w:eastAsia="宋体" w:hint="default"/>
          <w:sz w:val="20"/>
          <w:szCs w:val="20"/>
        </w:rPr>
        <w:t>购买方为进行企业合并发生的各项直接相关费用也应当计入企业合并成本。</w:t>
      </w:r>
    </w:p>
    <w:p>
      <w:pPr>
        <w:spacing w:line="240" w:lineRule="auto" w:before="1"/>
        <w:rPr>
          <w:rFonts w:ascii="宋体" w:hAnsi="宋体" w:cs="宋体" w:eastAsia="宋体" w:hint="default"/>
          <w:sz w:val="17"/>
          <w:szCs w:val="17"/>
        </w:rPr>
      </w:pPr>
    </w:p>
    <w:p>
      <w:pPr>
        <w:spacing w:line="434" w:lineRule="auto" w:before="0"/>
        <w:ind w:left="113" w:right="134" w:firstLine="42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在合并合同或协议中对可能影响合并成本的未来事项作出约定的，购买日如果估计未来事项很可能发生</w:t>
      </w:r>
      <w:r>
        <w:rPr>
          <w:rFonts w:ascii="宋体" w:hAnsi="宋体" w:cs="宋体" w:eastAsia="宋体" w:hint="default"/>
          <w:w w:val="100"/>
          <w:sz w:val="20"/>
          <w:szCs w:val="20"/>
        </w:rPr>
        <w:t> </w:t>
      </w:r>
      <w:r>
        <w:rPr>
          <w:rFonts w:ascii="宋体" w:hAnsi="宋体" w:cs="宋体" w:eastAsia="宋体" w:hint="default"/>
          <w:sz w:val="20"/>
          <w:szCs w:val="20"/>
        </w:rPr>
        <w:t>并且对合并成本的影响金额能够可靠计量的，购买方应当将其计入合并成本。</w:t>
      </w:r>
    </w:p>
    <w:p>
      <w:pPr>
        <w:spacing w:line="434" w:lineRule="auto" w:before="75"/>
        <w:ind w:left="113" w:right="101" w:firstLine="420"/>
        <w:jc w:val="left"/>
        <w:rPr>
          <w:rFonts w:ascii="宋体" w:hAnsi="宋体" w:cs="宋体" w:eastAsia="宋体" w:hint="default"/>
          <w:sz w:val="20"/>
          <w:szCs w:val="20"/>
        </w:rPr>
      </w:pPr>
      <w:r>
        <w:rPr>
          <w:rFonts w:ascii="Times New Roman" w:hAnsi="Times New Roman" w:cs="Times New Roman" w:eastAsia="Times New Roman" w:hint="default"/>
          <w:spacing w:val="-1"/>
          <w:sz w:val="20"/>
          <w:szCs w:val="20"/>
        </w:rPr>
        <w:t>B</w:t>
      </w:r>
      <w:r>
        <w:rPr>
          <w:rFonts w:ascii="宋体" w:hAnsi="宋体" w:cs="宋体" w:eastAsia="宋体" w:hint="default"/>
          <w:spacing w:val="-1"/>
          <w:sz w:val="20"/>
          <w:szCs w:val="20"/>
        </w:rPr>
        <w:t>、除企业合并形成的长期股权投资以外，其它方式取得的长期股权投资，按照下列规定确定其初始投资</w:t>
      </w:r>
      <w:r>
        <w:rPr>
          <w:rFonts w:ascii="宋体" w:hAnsi="宋体" w:cs="宋体" w:eastAsia="宋体" w:hint="default"/>
          <w:w w:val="100"/>
          <w:sz w:val="20"/>
          <w:szCs w:val="20"/>
        </w:rPr>
        <w:t> </w:t>
      </w:r>
      <w:r>
        <w:rPr>
          <w:rFonts w:ascii="宋体" w:hAnsi="宋体" w:cs="宋体" w:eastAsia="宋体" w:hint="default"/>
          <w:sz w:val="20"/>
          <w:szCs w:val="20"/>
        </w:rPr>
        <w:t>成本：</w:t>
      </w:r>
    </w:p>
    <w:p>
      <w:pPr>
        <w:spacing w:line="432" w:lineRule="auto" w:before="76"/>
        <w:ind w:left="113" w:right="101" w:firstLine="42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a</w:t>
      </w:r>
      <w:r>
        <w:rPr>
          <w:rFonts w:ascii="宋体" w:hAnsi="宋体" w:cs="宋体" w:eastAsia="宋体" w:hint="default"/>
          <w:spacing w:val="-3"/>
          <w:sz w:val="20"/>
          <w:szCs w:val="20"/>
        </w:rPr>
        <w:t>、以支付现金取得的长期股权投资，按照实际支付的购买价款作为初始投资成本。初始投资成本包括与取</w:t>
      </w:r>
      <w:r>
        <w:rPr>
          <w:rFonts w:ascii="宋体" w:hAnsi="宋体" w:cs="宋体" w:eastAsia="宋体" w:hint="default"/>
          <w:w w:val="100"/>
          <w:sz w:val="20"/>
          <w:szCs w:val="20"/>
        </w:rPr>
        <w:t> </w:t>
      </w:r>
      <w:r>
        <w:rPr>
          <w:rFonts w:ascii="宋体" w:hAnsi="宋体" w:cs="宋体" w:eastAsia="宋体" w:hint="default"/>
          <w:sz w:val="20"/>
          <w:szCs w:val="20"/>
        </w:rPr>
        <w:t>得长期股权投资直接相关的费用、税金及其它必要支出。</w:t>
      </w:r>
    </w:p>
    <w:p>
      <w:pPr>
        <w:spacing w:before="78"/>
        <w:ind w:left="533" w:right="101"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b</w:t>
      </w:r>
      <w:r>
        <w:rPr>
          <w:rFonts w:ascii="宋体" w:hAnsi="宋体" w:cs="宋体" w:eastAsia="宋体" w:hint="default"/>
          <w:sz w:val="20"/>
          <w:szCs w:val="20"/>
        </w:rPr>
        <w:t>、以发行权益性证券取得的长期股权投资，按照发行权益性证券的公允价值作为初始投资成本。</w:t>
      </w:r>
    </w:p>
    <w:p>
      <w:pPr>
        <w:spacing w:after="0"/>
        <w:jc w:val="left"/>
        <w:rPr>
          <w:rFonts w:ascii="宋体" w:hAnsi="宋体" w:cs="宋体" w:eastAsia="宋体" w:hint="default"/>
          <w:sz w:val="20"/>
          <w:szCs w:val="20"/>
        </w:rPr>
        <w:sectPr>
          <w:pgSz w:w="11900" w:h="16840"/>
          <w:pgMar w:header="0" w:footer="982" w:top="1320" w:bottom="1180" w:left="1020" w:right="980"/>
        </w:sectPr>
      </w:pPr>
    </w:p>
    <w:p>
      <w:pPr>
        <w:spacing w:line="240" w:lineRule="auto" w:before="7"/>
        <w:rPr>
          <w:rFonts w:ascii="宋体" w:hAnsi="宋体" w:cs="宋体" w:eastAsia="宋体" w:hint="default"/>
          <w:sz w:val="15"/>
          <w:szCs w:val="15"/>
        </w:rPr>
      </w:pPr>
    </w:p>
    <w:p>
      <w:pPr>
        <w:spacing w:line="432" w:lineRule="auto" w:before="38"/>
        <w:ind w:left="114" w:right="105" w:firstLine="420"/>
        <w:jc w:val="both"/>
        <w:rPr>
          <w:rFonts w:ascii="宋体" w:hAnsi="宋体" w:cs="宋体" w:eastAsia="宋体" w:hint="default"/>
          <w:sz w:val="20"/>
          <w:szCs w:val="20"/>
        </w:rPr>
      </w:pPr>
      <w:r>
        <w:rPr>
          <w:rFonts w:ascii="Times New Roman" w:hAnsi="Times New Roman" w:cs="Times New Roman" w:eastAsia="Times New Roman" w:hint="default"/>
          <w:spacing w:val="-3"/>
          <w:sz w:val="20"/>
          <w:szCs w:val="20"/>
        </w:rPr>
        <w:t>c</w:t>
      </w:r>
      <w:r>
        <w:rPr>
          <w:rFonts w:ascii="宋体" w:hAnsi="宋体" w:cs="宋体" w:eastAsia="宋体" w:hint="default"/>
          <w:spacing w:val="-3"/>
          <w:sz w:val="20"/>
          <w:szCs w:val="20"/>
        </w:rPr>
        <w:t>、投资者投入的长期股权投资，按照投资合同或协议约定的价值作为初始投资成本，但合同或协议约定价</w:t>
      </w:r>
      <w:r>
        <w:rPr>
          <w:rFonts w:ascii="宋体" w:hAnsi="宋体" w:cs="宋体" w:eastAsia="宋体" w:hint="default"/>
          <w:w w:val="100"/>
          <w:sz w:val="20"/>
          <w:szCs w:val="20"/>
        </w:rPr>
        <w:t> </w:t>
      </w:r>
      <w:r>
        <w:rPr>
          <w:rFonts w:ascii="宋体" w:hAnsi="宋体" w:cs="宋体" w:eastAsia="宋体" w:hint="default"/>
          <w:sz w:val="20"/>
          <w:szCs w:val="20"/>
        </w:rPr>
        <w:t>值不公允的除外。</w:t>
      </w:r>
    </w:p>
    <w:p>
      <w:pPr>
        <w:spacing w:line="446" w:lineRule="auto" w:before="78"/>
        <w:ind w:left="114" w:right="105" w:firstLine="420"/>
        <w:jc w:val="both"/>
        <w:rPr>
          <w:rFonts w:ascii="宋体" w:hAnsi="宋体" w:cs="宋体" w:eastAsia="宋体" w:hint="default"/>
          <w:sz w:val="20"/>
          <w:szCs w:val="20"/>
        </w:rPr>
      </w:pPr>
      <w:r>
        <w:rPr>
          <w:rFonts w:ascii="Times New Roman" w:hAnsi="Times New Roman" w:cs="Times New Roman" w:eastAsia="Times New Roman" w:hint="default"/>
          <w:spacing w:val="-3"/>
          <w:sz w:val="20"/>
          <w:szCs w:val="20"/>
        </w:rPr>
        <w:t>d</w:t>
      </w:r>
      <w:r>
        <w:rPr>
          <w:rFonts w:ascii="宋体" w:hAnsi="宋体" w:cs="宋体" w:eastAsia="宋体" w:hint="default"/>
          <w:spacing w:val="-3"/>
          <w:sz w:val="20"/>
          <w:szCs w:val="20"/>
        </w:rPr>
        <w:t>、通过非货币性资产交换取得的长期股权投资，如非货币性资产交换具有商业实质，换入的长期股权投资</w:t>
      </w:r>
      <w:r>
        <w:rPr>
          <w:rFonts w:ascii="宋体" w:hAnsi="宋体" w:cs="宋体" w:eastAsia="宋体" w:hint="default"/>
          <w:w w:val="100"/>
          <w:sz w:val="20"/>
          <w:szCs w:val="20"/>
        </w:rPr>
        <w:t> </w:t>
      </w:r>
      <w:r>
        <w:rPr>
          <w:rFonts w:ascii="宋体" w:hAnsi="宋体" w:cs="宋体" w:eastAsia="宋体" w:hint="default"/>
          <w:sz w:val="20"/>
          <w:szCs w:val="20"/>
        </w:rPr>
        <w:t>按照公允价值和应支付的相关税费作为初始投资成本；如非货币资产交易不具有商业实质，换入的长期股权投</w:t>
      </w:r>
      <w:r>
        <w:rPr>
          <w:rFonts w:ascii="宋体" w:hAnsi="宋体" w:cs="宋体" w:eastAsia="宋体" w:hint="default"/>
          <w:w w:val="100"/>
          <w:sz w:val="20"/>
          <w:szCs w:val="20"/>
        </w:rPr>
        <w:t> </w:t>
      </w:r>
      <w:r>
        <w:rPr>
          <w:rFonts w:ascii="宋体" w:hAnsi="宋体" w:cs="宋体" w:eastAsia="宋体" w:hint="default"/>
          <w:sz w:val="20"/>
          <w:szCs w:val="20"/>
        </w:rPr>
        <w:t>资以换出资产的账面价值和应支付的相关税费作为初始投资成本。</w:t>
      </w:r>
    </w:p>
    <w:p>
      <w:pPr>
        <w:pStyle w:val="BodyText"/>
        <w:spacing w:line="240" w:lineRule="auto" w:before="51"/>
        <w:ind w:left="534" w:right="0"/>
        <w:jc w:val="left"/>
      </w:pPr>
      <w:r>
        <w:rPr>
          <w:rFonts w:ascii="Times New Roman" w:hAnsi="Times New Roman" w:cs="Times New Roman" w:eastAsia="Times New Roman" w:hint="default"/>
        </w:rPr>
        <w:t>e</w:t>
      </w:r>
      <w:r>
        <w:rPr/>
        <w:t>、通过债务重组取得的长期股权投资，其初始投资成本按照公允价值和应付的相关税费确定。</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pStyle w:val="BodyText"/>
        <w:spacing w:line="240" w:lineRule="auto"/>
        <w:ind w:left="113" w:right="4267"/>
        <w:jc w:val="left"/>
      </w:pPr>
      <w:r>
        <w:rPr/>
        <w:t>（</w:t>
      </w:r>
      <w:r>
        <w:rPr>
          <w:rFonts w:ascii="Times New Roman" w:hAnsi="Times New Roman" w:cs="Times New Roman" w:eastAsia="Times New Roman" w:hint="default"/>
        </w:rPr>
        <w:t>2</w:t>
      </w:r>
      <w:r>
        <w:rPr/>
        <w:t>）后续计量及损益确认方法</w:t>
      </w:r>
    </w:p>
    <w:p>
      <w:pPr>
        <w:spacing w:line="240" w:lineRule="auto" w:before="3"/>
        <w:rPr>
          <w:rFonts w:ascii="宋体" w:hAnsi="宋体" w:cs="宋体" w:eastAsia="宋体" w:hint="default"/>
          <w:sz w:val="17"/>
          <w:szCs w:val="17"/>
        </w:rPr>
      </w:pPr>
    </w:p>
    <w:p>
      <w:pPr>
        <w:spacing w:line="458" w:lineRule="auto" w:before="0"/>
        <w:ind w:left="114" w:right="122" w:firstLine="420"/>
        <w:jc w:val="both"/>
        <w:rPr>
          <w:rFonts w:ascii="宋体" w:hAnsi="宋体" w:cs="宋体" w:eastAsia="宋体" w:hint="default"/>
          <w:sz w:val="20"/>
          <w:szCs w:val="20"/>
        </w:rPr>
      </w:pPr>
      <w:r>
        <w:rPr>
          <w:rFonts w:ascii="宋体" w:hAnsi="宋体" w:cs="宋体" w:eastAsia="宋体" w:hint="default"/>
          <w:spacing w:val="-1"/>
          <w:sz w:val="20"/>
          <w:szCs w:val="20"/>
        </w:rPr>
        <w:t>本公司能够对被投资单位实施控制的长期股权投资或本公司对被投资单位不具有共同控制或重大影响，并</w:t>
      </w:r>
      <w:r>
        <w:rPr>
          <w:rFonts w:ascii="宋体" w:hAnsi="宋体" w:cs="宋体" w:eastAsia="宋体" w:hint="default"/>
          <w:w w:val="100"/>
          <w:sz w:val="20"/>
          <w:szCs w:val="20"/>
        </w:rPr>
        <w:t> </w:t>
      </w:r>
      <w:r>
        <w:rPr>
          <w:rFonts w:ascii="宋体" w:hAnsi="宋体" w:cs="宋体" w:eastAsia="宋体" w:hint="default"/>
          <w:spacing w:val="-1"/>
          <w:sz w:val="20"/>
          <w:szCs w:val="20"/>
        </w:rPr>
        <w:t>且在活跃市场中没有报价、公允价值不能可靠计量的长期股权投资采用成本法核算；本公司对被投资单位具有</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共同控制或重大影响的长期股权投资采用权益法核算。</w:t>
      </w:r>
    </w:p>
    <w:p>
      <w:pPr>
        <w:spacing w:line="458" w:lineRule="auto" w:before="56"/>
        <w:ind w:left="533" w:right="0" w:firstLine="0"/>
        <w:jc w:val="left"/>
        <w:rPr>
          <w:rFonts w:ascii="宋体" w:hAnsi="宋体" w:cs="宋体" w:eastAsia="宋体" w:hint="default"/>
          <w:sz w:val="20"/>
          <w:szCs w:val="20"/>
        </w:rPr>
      </w:pPr>
      <w:r>
        <w:rPr>
          <w:rFonts w:ascii="宋体" w:hAnsi="宋体" w:cs="宋体" w:eastAsia="宋体" w:hint="default"/>
          <w:sz w:val="20"/>
          <w:szCs w:val="20"/>
        </w:rPr>
        <w:t>采用成本法核算的，在被投资单位宣告发放现金股利时确认投资收益。</w:t>
      </w:r>
      <w:r>
        <w:rPr>
          <w:rFonts w:ascii="宋体" w:hAnsi="宋体" w:cs="宋体" w:eastAsia="宋体" w:hint="default"/>
          <w:w w:val="100"/>
          <w:sz w:val="20"/>
          <w:szCs w:val="20"/>
        </w:rPr>
        <w:t> </w:t>
      </w:r>
      <w:r>
        <w:rPr>
          <w:rFonts w:ascii="宋体" w:hAnsi="宋体" w:cs="宋体" w:eastAsia="宋体" w:hint="default"/>
          <w:spacing w:val="-1"/>
          <w:sz w:val="20"/>
          <w:szCs w:val="20"/>
        </w:rPr>
        <w:t>采用权益法核算的，以取得被投资单位股权后发生的净损益为基础，在各会计期末按应分享或应分担的被</w:t>
      </w:r>
    </w:p>
    <w:p>
      <w:pPr>
        <w:spacing w:before="55"/>
        <w:ind w:left="114" w:right="0" w:firstLine="0"/>
        <w:jc w:val="left"/>
        <w:rPr>
          <w:rFonts w:ascii="宋体" w:hAnsi="宋体" w:cs="宋体" w:eastAsia="宋体" w:hint="default"/>
          <w:sz w:val="20"/>
          <w:szCs w:val="20"/>
        </w:rPr>
      </w:pPr>
      <w:r>
        <w:rPr>
          <w:rFonts w:ascii="宋体" w:hAnsi="宋体" w:cs="宋体" w:eastAsia="宋体" w:hint="default"/>
          <w:sz w:val="20"/>
          <w:szCs w:val="20"/>
        </w:rPr>
        <w:t>投资单位实现的净利润或发生的净亏损的份额，确认投资收益，并调整长期股权投资的账面价值。</w:t>
      </w:r>
    </w:p>
    <w:p>
      <w:pPr>
        <w:spacing w:line="240" w:lineRule="auto" w:before="1"/>
        <w:rPr>
          <w:rFonts w:ascii="宋体" w:hAnsi="宋体" w:cs="宋体" w:eastAsia="宋体" w:hint="default"/>
          <w:sz w:val="17"/>
          <w:szCs w:val="17"/>
        </w:rPr>
      </w:pPr>
    </w:p>
    <w:p>
      <w:pPr>
        <w:pStyle w:val="BodyText"/>
        <w:spacing w:line="240" w:lineRule="auto"/>
        <w:ind w:left="114" w:right="0"/>
        <w:jc w:val="left"/>
      </w:pPr>
      <w:r>
        <w:rPr/>
        <w:t>处置长期股权投资时，将投资的账面价值与实际取得价款的差额，作为当期投资收益。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12" w:lineRule="auto"/>
        <w:ind w:left="534" w:right="0" w:hanging="421"/>
        <w:jc w:val="left"/>
      </w:pPr>
      <w:r>
        <w:rPr/>
        <w:t>（</w:t>
      </w:r>
      <w:r>
        <w:rPr>
          <w:rFonts w:ascii="Times New Roman" w:hAnsi="Times New Roman" w:cs="Times New Roman" w:eastAsia="Times New Roman" w:hint="default"/>
        </w:rPr>
        <w:t>3</w:t>
      </w:r>
      <w:r>
        <w:rPr/>
        <w:t>）确定对被投资单位具有共同控制、重大影响的依据 </w:t>
      </w:r>
      <w:r>
        <w:rPr>
          <w:spacing w:val="-1"/>
        </w:rPr>
        <w:t>共同控制，是指按照合同约定对某项经济活动所共有的控制，仅在与该项经济活动相关的重要财务和</w:t>
      </w:r>
    </w:p>
    <w:p>
      <w:pPr>
        <w:pStyle w:val="BodyText"/>
        <w:spacing w:line="436" w:lineRule="auto" w:before="74"/>
        <w:ind w:left="114" w:right="105"/>
        <w:jc w:val="both"/>
      </w:pPr>
      <w:r>
        <w:rPr>
          <w:spacing w:val="-1"/>
        </w:rPr>
        <w:t>经营决策需要分享控制权的投资方一致同意时存在。重大影响，是指对一个企业的财务和经营政策有参与</w:t>
      </w:r>
      <w:r>
        <w:rPr>
          <w:spacing w:val="-81"/>
        </w:rPr>
        <w:t> </w:t>
      </w:r>
      <w:r>
        <w:rPr>
          <w:spacing w:val="-81"/>
        </w:rPr>
      </w:r>
      <w:r>
        <w:rPr/>
        <w:t>决策的权力，但并不能够控制或者与其他方一起共同控制这些政策的制定。</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412" w:lineRule="auto"/>
        <w:ind w:left="534" w:right="0" w:hanging="421"/>
        <w:jc w:val="left"/>
      </w:pPr>
      <w:r>
        <w:rPr/>
        <w:t>（</w:t>
      </w:r>
      <w:r>
        <w:rPr>
          <w:rFonts w:ascii="Times New Roman" w:hAnsi="Times New Roman" w:cs="Times New Roman" w:eastAsia="Times New Roman" w:hint="default"/>
        </w:rPr>
        <w:t>4</w:t>
      </w:r>
      <w:r>
        <w:rPr/>
        <w:t>）减值测试方法及简直准备计提方法 </w:t>
      </w:r>
      <w:r>
        <w:rPr>
          <w:spacing w:val="-1"/>
        </w:rPr>
        <w:t>资产负债表日对长期股权投资逐项进行检查，判断长期股权投资是否存在可能发生减值的迹象。如果</w:t>
      </w:r>
    </w:p>
    <w:p>
      <w:pPr>
        <w:pStyle w:val="BodyText"/>
        <w:spacing w:line="436" w:lineRule="auto" w:before="74"/>
        <w:ind w:left="114" w:right="105"/>
        <w:jc w:val="both"/>
      </w:pPr>
      <w:r>
        <w:rPr>
          <w:spacing w:val="-1"/>
        </w:rPr>
        <w:t>存在被投资单位经营状况恶化等减值迹象的，则估计其可收回金额。可收回金额的计量结果表明，长期股</w:t>
      </w:r>
      <w:r>
        <w:rPr>
          <w:spacing w:val="-83"/>
        </w:rPr>
        <w:t> </w:t>
      </w:r>
      <w:r>
        <w:rPr>
          <w:spacing w:val="-83"/>
        </w:rPr>
      </w:r>
      <w:r>
        <w:rPr>
          <w:spacing w:val="-1"/>
        </w:rPr>
        <w:t>权投资的可收回金额低于其账面价值的，将长期股权投资的账面价值减记至可收回金额，减记的金额确认</w:t>
      </w:r>
      <w:r>
        <w:rPr>
          <w:spacing w:val="-81"/>
        </w:rPr>
        <w:t> </w:t>
      </w:r>
      <w:r>
        <w:rPr>
          <w:spacing w:val="-81"/>
        </w:rPr>
      </w:r>
      <w:r>
        <w:rPr>
          <w:spacing w:val="-1"/>
        </w:rPr>
        <w:t>为资产减值损失，计入当期损益，同时计提相应的长期投资减值准备。长期投资减值损失一经确认，在以</w:t>
      </w:r>
      <w:r>
        <w:rPr>
          <w:spacing w:val="-82"/>
        </w:rPr>
        <w:t> </w:t>
      </w:r>
      <w:r>
        <w:rPr>
          <w:spacing w:val="-82"/>
        </w:rPr>
      </w:r>
      <w:r>
        <w:rPr/>
        <w:t>后会计期间不再转回。</w:t>
      </w:r>
    </w:p>
    <w:p>
      <w:pPr>
        <w:spacing w:after="0" w:line="436" w:lineRule="auto"/>
        <w:jc w:val="both"/>
        <w:sectPr>
          <w:pgSz w:w="11900" w:h="16840"/>
          <w:pgMar w:header="0" w:footer="982" w:top="1600" w:bottom="1180" w:left="1020" w:right="1020"/>
        </w:sectPr>
      </w:pPr>
    </w:p>
    <w:p>
      <w:pPr>
        <w:pStyle w:val="BodyText"/>
        <w:spacing w:line="412" w:lineRule="auto" w:before="6"/>
        <w:ind w:left="653" w:right="1867" w:hanging="420"/>
        <w:jc w:val="left"/>
      </w:pPr>
      <w:r>
        <w:rPr>
          <w:rFonts w:ascii="Times New Roman" w:hAnsi="Times New Roman" w:cs="Times New Roman" w:eastAsia="Times New Roman" w:hint="default"/>
          <w:b/>
          <w:bCs/>
        </w:rPr>
        <w:t>13</w:t>
      </w:r>
      <w:r>
        <w:rPr/>
        <w:t>、投资性房地产</w:t>
      </w:r>
      <w:r>
        <w:rPr>
          <w:spacing w:val="-100"/>
        </w:rPr>
        <w:t> </w:t>
      </w:r>
      <w:r>
        <w:rPr>
          <w:spacing w:val="-100"/>
        </w:rPr>
      </w:r>
      <w:r>
        <w:rPr/>
        <w:t>投资性房地产是指为赚取租金或资本增值，或两者兼有而持有的房地产开发物业。</w:t>
      </w:r>
    </w:p>
    <w:p>
      <w:pPr>
        <w:pStyle w:val="BodyText"/>
        <w:spacing w:line="436" w:lineRule="auto" w:before="73"/>
        <w:ind w:left="233" w:right="225" w:firstLine="420"/>
        <w:jc w:val="both"/>
      </w:pPr>
      <w:r>
        <w:rPr>
          <w:spacing w:val="-1"/>
        </w:rPr>
        <w:t>投资性房地产按照取得时的成本进行初始计量，在资产负债表日采用成本模式对投资性房地产进行后</w:t>
      </w:r>
      <w:r>
        <w:rPr/>
        <w:t> 续计量。投资性房地产在预计可使用年限之内分期摊销。</w:t>
      </w:r>
    </w:p>
    <w:p>
      <w:pPr>
        <w:pStyle w:val="BodyText"/>
        <w:spacing w:line="436" w:lineRule="auto" w:before="53"/>
        <w:ind w:left="233" w:right="225" w:firstLine="420"/>
        <w:jc w:val="both"/>
      </w:pPr>
      <w:r>
        <w:rPr>
          <w:spacing w:val="-1"/>
        </w:rPr>
        <w:t>资产负债表日判断投资性房地产是否存在可能发生减值的迹象。存在减值迹象的，应当估计其可收回</w:t>
      </w:r>
      <w:r>
        <w:rPr/>
        <w:t> </w:t>
      </w:r>
      <w:r>
        <w:rPr>
          <w:spacing w:val="-1"/>
        </w:rPr>
        <w:t>金额。可收回金额的计量结果表明，投资性房地产的可收回金额低于其账面价值的，应当将投资性房地产</w:t>
      </w:r>
      <w:r>
        <w:rPr>
          <w:spacing w:val="-83"/>
        </w:rPr>
        <w:t> </w:t>
      </w:r>
      <w:r>
        <w:rPr>
          <w:spacing w:val="-83"/>
        </w:rPr>
      </w:r>
      <w:r>
        <w:rPr>
          <w:spacing w:val="-1"/>
        </w:rPr>
        <w:t>的账面价值减记至可收回金额，减记的金额确认为资产减值损失，计入当期损益，同时计提相应的资产减</w:t>
      </w:r>
      <w:r>
        <w:rPr>
          <w:spacing w:val="-83"/>
        </w:rPr>
        <w:t> </w:t>
      </w:r>
      <w:r>
        <w:rPr>
          <w:spacing w:val="-83"/>
        </w:rPr>
      </w:r>
      <w:r>
        <w:rPr/>
        <w:t>值准备。</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spacing w:before="0"/>
        <w:ind w:left="233" w:right="11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sz w:val="21"/>
          <w:szCs w:val="21"/>
        </w:rPr>
        <w:t>、固定资产</w:t>
      </w:r>
    </w:p>
    <w:p>
      <w:pPr>
        <w:spacing w:line="240" w:lineRule="auto" w:before="0"/>
        <w:rPr>
          <w:rFonts w:ascii="宋体" w:hAnsi="宋体" w:cs="宋体" w:eastAsia="宋体" w:hint="default"/>
          <w:sz w:val="16"/>
          <w:szCs w:val="16"/>
        </w:rPr>
      </w:pPr>
    </w:p>
    <w:p>
      <w:pPr>
        <w:pStyle w:val="BodyText"/>
        <w:spacing w:line="412" w:lineRule="auto"/>
        <w:ind w:left="653" w:right="112" w:hanging="421"/>
        <w:jc w:val="left"/>
      </w:pPr>
      <w:r>
        <w:rPr/>
        <w:t>（</w:t>
      </w:r>
      <w:r>
        <w:rPr>
          <w:rFonts w:ascii="Times New Roman" w:hAnsi="Times New Roman" w:cs="Times New Roman" w:eastAsia="Times New Roman" w:hint="default"/>
        </w:rPr>
        <w:t>1</w:t>
      </w:r>
      <w:r>
        <w:rPr/>
        <w:t>）固定资产确认 </w:t>
      </w:r>
      <w:r>
        <w:rPr>
          <w:spacing w:val="-3"/>
        </w:rPr>
        <w:t>固定资产为生产商品、提供劳务、出租或经营管理而持有的、使用寿命超过一个会计年度的有形资产。</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line="432" w:lineRule="auto" w:before="0"/>
        <w:ind w:left="233" w:right="112" w:firstLine="0"/>
        <w:jc w:val="left"/>
        <w:rPr>
          <w:rFonts w:ascii="宋体" w:hAnsi="宋体" w:cs="宋体" w:eastAsia="宋体" w:hint="default"/>
          <w:sz w:val="20"/>
          <w:szCs w:val="20"/>
        </w:rPr>
      </w:pPr>
      <w:r>
        <w:rPr/>
        <w:pict>
          <v:shape style="position:absolute;margin-left:50.34pt;margin-top:39.579975pt;width:494.2pt;height:153.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78"/>
                    <w:gridCol w:w="2462"/>
                    <w:gridCol w:w="2464"/>
                    <w:gridCol w:w="2465"/>
                  </w:tblGrid>
                  <w:tr>
                    <w:trPr>
                      <w:trHeight w:val="510"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2"/>
                          <w:ind w:right="5"/>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10"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2"/>
                          <w:ind w:right="3"/>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2.375%</w:t>
                        </w:r>
                        <w:r>
                          <w:rPr>
                            <w:rFonts w:ascii="宋体" w:hAnsi="宋体" w:cs="宋体" w:eastAsia="宋体" w:hint="default"/>
                            <w:sz w:val="21"/>
                            <w:szCs w:val="21"/>
                          </w:rPr>
                          <w:t>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9.50%</w:t>
                        </w:r>
                      </w:p>
                    </w:tc>
                  </w:tr>
                  <w:tr>
                    <w:trPr>
                      <w:trHeight w:val="510"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年</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2"/>
                          <w:ind w:right="4"/>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9.50%</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15.83%</w:t>
                        </w:r>
                      </w:p>
                    </w:tc>
                  </w:tr>
                  <w:tr>
                    <w:trPr>
                      <w:trHeight w:val="510"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年</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2"/>
                          <w:ind w:right="3"/>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9.50%</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w:t>
                        </w:r>
                      </w:p>
                    </w:tc>
                  </w:tr>
                  <w:tr>
                    <w:trPr>
                      <w:trHeight w:val="510"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19%</w:t>
                        </w:r>
                      </w:p>
                    </w:tc>
                  </w:tr>
                  <w:tr>
                    <w:trPr>
                      <w:trHeight w:val="510"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19%</w:t>
                        </w:r>
                      </w:p>
                    </w:tc>
                  </w:tr>
                </w:tbl>
                <w:p>
                  <w:pPr/>
                </w:p>
              </w:txbxContent>
            </v:textbox>
            <w10:wrap type="none"/>
          </v:shape>
        </w:pict>
      </w: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）各类固定资产的折旧方法</w:t>
      </w:r>
      <w:r>
        <w:rPr>
          <w:rFonts w:ascii="宋体" w:hAnsi="宋体" w:cs="宋体" w:eastAsia="宋体" w:hint="default"/>
          <w:w w:val="100"/>
          <w:sz w:val="20"/>
          <w:szCs w:val="20"/>
        </w:rPr>
        <w:t> </w:t>
      </w:r>
      <w:r>
        <w:rPr>
          <w:rFonts w:ascii="宋体" w:hAnsi="宋体" w:cs="宋体" w:eastAsia="宋体" w:hint="default"/>
          <w:spacing w:val="-1"/>
          <w:sz w:val="20"/>
          <w:szCs w:val="20"/>
        </w:rPr>
        <w:t>固定资产采用直线法计提折旧，按固定资产的类别、估计经济使用年限和估计残值确定分类折旧率如下：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412" w:lineRule="auto" w:before="35"/>
        <w:ind w:left="654" w:right="111" w:hanging="421"/>
        <w:jc w:val="left"/>
      </w:pPr>
      <w:r>
        <w:rPr/>
        <w:t>（</w:t>
      </w:r>
      <w:r>
        <w:rPr>
          <w:rFonts w:ascii="Times New Roman" w:hAnsi="Times New Roman" w:cs="Times New Roman" w:eastAsia="Times New Roman" w:hint="default"/>
        </w:rPr>
        <w:t>3</w:t>
      </w:r>
      <w:r>
        <w:rPr/>
        <w:t>）固定资产的减值 </w:t>
      </w:r>
      <w:r>
        <w:rPr>
          <w:spacing w:val="-3"/>
        </w:rPr>
        <w:t>资产负债表日判断固定资产是否存在可能发生减值的迹象。如果存在资产市价持续下跌，或技术陈旧、</w:t>
      </w:r>
    </w:p>
    <w:p>
      <w:pPr>
        <w:pStyle w:val="BodyText"/>
        <w:spacing w:line="436" w:lineRule="auto" w:before="73"/>
        <w:ind w:left="233" w:right="205"/>
        <w:jc w:val="both"/>
      </w:pPr>
      <w:r>
        <w:rPr>
          <w:spacing w:val="-1"/>
        </w:rPr>
        <w:t>损坏、长期闲置等减值迹象的，则估计其可收回金额。可收回金额的计量结果表明，固定资产的可收回金</w:t>
      </w:r>
      <w:r>
        <w:rPr>
          <w:spacing w:val="-82"/>
        </w:rPr>
        <w:t> </w:t>
      </w:r>
      <w:r>
        <w:rPr>
          <w:spacing w:val="-82"/>
        </w:rPr>
      </w:r>
      <w:r>
        <w:rPr>
          <w:spacing w:val="-1"/>
        </w:rPr>
        <w:t>额低于其账面价值的，将固定资产的账面价值减记至可收回金额，减记的金额确认为资产减值损失，计入</w:t>
      </w:r>
      <w:r>
        <w:rPr>
          <w:spacing w:val="-83"/>
        </w:rPr>
        <w:t> </w:t>
      </w:r>
      <w:r>
        <w:rPr>
          <w:spacing w:val="-83"/>
        </w:rPr>
      </w:r>
      <w:r>
        <w:rPr/>
        <w:t>当期损益，同时计提相应的固定资产减值准备。固定资产减值损失一经确认，在以后会计期间不再转回。</w:t>
      </w:r>
    </w:p>
    <w:p>
      <w:pPr>
        <w:spacing w:after="0" w:line="436" w:lineRule="auto"/>
        <w:jc w:val="both"/>
        <w:sectPr>
          <w:pgSz w:w="11900" w:h="16840"/>
          <w:pgMar w:header="0" w:footer="982" w:top="1320" w:bottom="1180" w:left="900" w:right="900"/>
        </w:sectPr>
      </w:pPr>
    </w:p>
    <w:p>
      <w:pPr>
        <w:spacing w:line="240" w:lineRule="auto" w:before="8"/>
        <w:rPr>
          <w:rFonts w:ascii="宋体" w:hAnsi="宋体" w:cs="宋体" w:eastAsia="宋体" w:hint="default"/>
          <w:sz w:val="11"/>
          <w:szCs w:val="11"/>
        </w:rPr>
      </w:pPr>
    </w:p>
    <w:p>
      <w:pPr>
        <w:pStyle w:val="BodyText"/>
        <w:spacing w:line="240" w:lineRule="auto" w:before="35"/>
        <w:ind w:left="114" w:right="87"/>
        <w:jc w:val="left"/>
      </w:pPr>
      <w:r>
        <w:rPr/>
        <w:t>（</w:t>
      </w:r>
      <w:r>
        <w:rPr>
          <w:rFonts w:ascii="Times New Roman" w:hAnsi="Times New Roman" w:cs="Times New Roman" w:eastAsia="Times New Roman" w:hint="default"/>
        </w:rPr>
        <w:t>4</w:t>
      </w:r>
      <w:r>
        <w:rPr/>
        <w:t>）其他说明</w:t>
      </w:r>
    </w:p>
    <w:p>
      <w:pPr>
        <w:pStyle w:val="BodyText"/>
        <w:spacing w:line="420" w:lineRule="auto" w:before="189"/>
        <w:ind w:left="114" w:right="87" w:firstLine="420"/>
        <w:jc w:val="left"/>
      </w:pPr>
      <w:r>
        <w:rPr>
          <w:spacing w:val="-1"/>
        </w:rPr>
        <w:t>无法为本公司产生收益或暂时未使用（季节性停用除外）的固定资产，作为闲置固定资产。闲置固定</w:t>
      </w:r>
      <w:r>
        <w:rPr/>
        <w:t> 资产需重新估计预计使用寿命和折旧率，折旧直接计入当期损益。</w:t>
      </w:r>
    </w:p>
    <w:p>
      <w:pPr>
        <w:pStyle w:val="BodyText"/>
        <w:spacing w:line="240" w:lineRule="auto" w:before="47"/>
        <w:ind w:left="534" w:right="87"/>
        <w:jc w:val="left"/>
      </w:pPr>
      <w:r>
        <w:rPr/>
        <w:t>本公司至少于每年年度终了，对固定资产使用寿命和折旧进行复核，必要时进行调整。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1"/>
        <w:ind w:left="114" w:right="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sz w:val="21"/>
          <w:szCs w:val="21"/>
        </w:rPr>
        <w:t>、在建工程</w:t>
      </w:r>
    </w:p>
    <w:p>
      <w:pPr>
        <w:pStyle w:val="BodyText"/>
        <w:spacing w:line="420" w:lineRule="auto" w:before="189"/>
        <w:ind w:left="113" w:right="203" w:firstLine="420"/>
        <w:jc w:val="both"/>
      </w:pPr>
      <w:r>
        <w:rPr>
          <w:spacing w:val="-1"/>
        </w:rPr>
        <w:t>在建工程包括施工前期准备、正在施工中的建筑工程、安装工程、技术改造工程和大修理工程等。在</w:t>
      </w:r>
      <w:r>
        <w:rPr/>
        <w:t> </w:t>
      </w:r>
      <w:r>
        <w:rPr>
          <w:spacing w:val="-1"/>
        </w:rPr>
        <w:t>建工程按照实际发生的支出分项目核算，并在工程达到预定可使用状态时结转为固定资产。与在建工程有</w:t>
      </w:r>
      <w:r>
        <w:rPr>
          <w:spacing w:val="-81"/>
        </w:rPr>
        <w:t> </w:t>
      </w:r>
      <w:r>
        <w:rPr>
          <w:spacing w:val="-81"/>
        </w:rPr>
      </w:r>
      <w:r>
        <w:rPr>
          <w:spacing w:val="-1"/>
        </w:rPr>
        <w:t>关的借款费用（包括借款利息、溢折价摊销、汇兑损益等），在相关工程达到预定可使用状态前的计入工</w:t>
      </w:r>
      <w:r>
        <w:rPr>
          <w:spacing w:val="-94"/>
        </w:rPr>
        <w:t> </w:t>
      </w:r>
      <w:r>
        <w:rPr>
          <w:spacing w:val="-94"/>
        </w:rPr>
      </w:r>
      <w:r>
        <w:rPr/>
        <w:t>程成本，在相关工程达到预定可使用状态后的计入当期财务费用。</w:t>
      </w:r>
    </w:p>
    <w:p>
      <w:pPr>
        <w:pStyle w:val="BodyText"/>
        <w:spacing w:line="410" w:lineRule="auto" w:before="47"/>
        <w:ind w:left="114" w:right="87" w:firstLine="420"/>
        <w:jc w:val="left"/>
      </w:pPr>
      <w:r>
        <w:rPr>
          <w:spacing w:val="-6"/>
        </w:rPr>
        <w:t>资产负债表日对在建工程进行全面检查，判断在建工程是否存在可能发生减值的迹象。如果存在：（</w:t>
      </w:r>
      <w:r>
        <w:rPr>
          <w:rFonts w:ascii="Times New Roman" w:hAnsi="Times New Roman" w:cs="Times New Roman" w:eastAsia="Times New Roman" w:hint="default"/>
          <w:spacing w:val="-6"/>
        </w:rPr>
        <w:t>1</w:t>
      </w:r>
      <w:r>
        <w:rPr>
          <w:spacing w:val="-6"/>
        </w:rPr>
        <w:t>）</w:t>
      </w:r>
      <w:r>
        <w:rPr/>
        <w:t> 在建工程长期停建并且预计在未来</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spacing w:val="-5"/>
        </w:rPr>
        <w:t>年内不会重新开工，（</w:t>
      </w:r>
      <w:r>
        <w:rPr>
          <w:rFonts w:ascii="Times New Roman" w:hAnsi="Times New Roman" w:cs="Times New Roman" w:eastAsia="Times New Roman" w:hint="default"/>
          <w:spacing w:val="-5"/>
        </w:rPr>
        <w:t>2</w:t>
      </w:r>
      <w:r>
        <w:rPr>
          <w:spacing w:val="-5"/>
        </w:rPr>
        <w:t>）所建项目在性能上、技术上已经落后并且所</w:t>
      </w:r>
      <w:r>
        <w:rPr>
          <w:spacing w:val="-93"/>
        </w:rPr>
        <w:t> </w:t>
      </w:r>
      <w:r>
        <w:rPr>
          <w:spacing w:val="-93"/>
        </w:rPr>
      </w:r>
      <w:r>
        <w:rPr/>
        <w:t>带来的经济效益具有很大的不确定性等减值迹象的，则估计其可收回金额。可收回金额的计量结果表明， 在建工程的可收回金额低于其账面价值的，将在建工程的账面价值减记至可收回金额，减记的金额确认为</w:t>
      </w:r>
      <w:r>
        <w:rPr/>
        <w:t> 资产减值损失，计入当期损益，同时计提相应的在建工程减值准备。在建工程减值损失一经确认，在以后 会计期间不再转回。</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spacing w:before="0"/>
        <w:ind w:left="114" w:right="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sz w:val="21"/>
          <w:szCs w:val="21"/>
        </w:rPr>
        <w:t>、借款费用</w:t>
      </w:r>
    </w:p>
    <w:p>
      <w:pPr>
        <w:spacing w:line="240" w:lineRule="auto" w:before="12"/>
        <w:rPr>
          <w:rFonts w:ascii="宋体" w:hAnsi="宋体" w:cs="宋体" w:eastAsia="宋体" w:hint="default"/>
          <w:sz w:val="15"/>
          <w:szCs w:val="15"/>
        </w:rPr>
      </w:pPr>
    </w:p>
    <w:p>
      <w:pPr>
        <w:pStyle w:val="BodyText"/>
        <w:spacing w:line="436" w:lineRule="auto"/>
        <w:ind w:left="113" w:right="167" w:firstLine="420"/>
        <w:jc w:val="left"/>
      </w:pPr>
      <w:r>
        <w:rPr/>
        <w:t>借款费用可直接归属于符合资本化条件的资产的购建或者生产的，予以资本化，计入相关资产成本； 其他借款费用，在发生时根据其发生额确认为费用，计入当期损益。</w:t>
      </w:r>
    </w:p>
    <w:p>
      <w:pPr>
        <w:pStyle w:val="BodyText"/>
        <w:spacing w:line="240" w:lineRule="auto" w:before="52"/>
        <w:ind w:left="533" w:right="87"/>
        <w:jc w:val="left"/>
      </w:pPr>
      <w:r>
        <w:rPr/>
        <w:t>借款费用同时满足下列条件的，开始资本化：</w:t>
      </w:r>
    </w:p>
    <w:p>
      <w:pPr>
        <w:spacing w:line="240" w:lineRule="auto" w:before="3"/>
        <w:rPr>
          <w:rFonts w:ascii="宋体" w:hAnsi="宋体" w:cs="宋体" w:eastAsia="宋体" w:hint="default"/>
          <w:sz w:val="17"/>
          <w:szCs w:val="17"/>
        </w:rPr>
      </w:pPr>
    </w:p>
    <w:p>
      <w:pPr>
        <w:pStyle w:val="BodyText"/>
        <w:spacing w:line="412" w:lineRule="auto"/>
        <w:ind w:left="113" w:right="283" w:firstLine="420"/>
        <w:jc w:val="left"/>
      </w:pPr>
      <w:r>
        <w:rPr>
          <w:rFonts w:ascii="Times New Roman" w:hAnsi="Times New Roman" w:cs="Times New Roman" w:eastAsia="Times New Roman" w:hint="default"/>
        </w:rPr>
        <w:t>a</w:t>
      </w:r>
      <w:r>
        <w:rPr/>
        <w:t>、资产支出已经发生，资产支出包括为购建或者生产符合资本化条件的资产而以支付现金、转移非 现金资产或者承担带息债务形式发生的支出；</w:t>
      </w:r>
    </w:p>
    <w:p>
      <w:pPr>
        <w:pStyle w:val="BodyText"/>
        <w:spacing w:line="412" w:lineRule="auto" w:before="73"/>
        <w:ind w:left="534" w:right="87" w:hanging="1"/>
        <w:jc w:val="left"/>
      </w:pPr>
      <w:r>
        <w:rPr>
          <w:rFonts w:ascii="Times New Roman" w:hAnsi="Times New Roman" w:cs="Times New Roman" w:eastAsia="Times New Roman" w:hint="default"/>
        </w:rPr>
        <w:t>b</w:t>
      </w:r>
      <w:r>
        <w:rPr/>
        <w:t>、借款费用已经发生； </w:t>
      </w:r>
      <w:r>
        <w:rPr>
          <w:rFonts w:ascii="Times New Roman" w:hAnsi="Times New Roman" w:cs="Times New Roman" w:eastAsia="Times New Roman" w:hint="default"/>
        </w:rPr>
        <w:t>c</w:t>
      </w:r>
      <w:r>
        <w:rPr/>
        <w:t>、为使资产达到预定可使用或者可销售状态所必要的购建或者生产活动已经开始。 </w:t>
      </w:r>
      <w:r>
        <w:rPr>
          <w:spacing w:val="3"/>
        </w:rPr>
        <w:t>借款费用资本化的期间为资产支出已经发生和借款费用已经发生以及相关生产或购建活动已经开始</w:t>
      </w:r>
    </w:p>
    <w:p>
      <w:pPr>
        <w:pStyle w:val="BodyText"/>
        <w:spacing w:line="436" w:lineRule="auto" w:before="73"/>
        <w:ind w:left="114" w:right="87"/>
        <w:jc w:val="left"/>
      </w:pPr>
      <w:r>
        <w:rPr>
          <w:spacing w:val="-1"/>
        </w:rPr>
        <w:t>至相关资产达到预定可使用或销售状态时的期间，在此期间内，如相关生产或购建活动发生非正常的中断</w:t>
      </w:r>
      <w:r>
        <w:rPr>
          <w:spacing w:val="-81"/>
        </w:rPr>
        <w:t> </w:t>
      </w:r>
      <w:r>
        <w:rPr>
          <w:spacing w:val="-81"/>
        </w:rPr>
      </w:r>
      <w:r>
        <w:rPr/>
        <w:t>且时间超过</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个月的，则暂停借款费用资本化。</w:t>
      </w:r>
    </w:p>
    <w:p>
      <w:pPr>
        <w:spacing w:after="0" w:line="436" w:lineRule="auto"/>
        <w:jc w:val="left"/>
        <w:sectPr>
          <w:pgSz w:w="11900" w:h="16840"/>
          <w:pgMar w:header="0" w:footer="982" w:top="1600" w:bottom="1180" w:left="1020" w:right="920"/>
        </w:sectPr>
      </w:pPr>
    </w:p>
    <w:p>
      <w:pPr>
        <w:spacing w:before="6"/>
        <w:ind w:left="114" w:right="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sz w:val="21"/>
          <w:szCs w:val="21"/>
        </w:rPr>
        <w:t>、无形资产</w:t>
      </w:r>
    </w:p>
    <w:p>
      <w:pPr>
        <w:spacing w:line="240" w:lineRule="auto" w:before="0"/>
        <w:rPr>
          <w:rFonts w:ascii="宋体" w:hAnsi="宋体" w:cs="宋体" w:eastAsia="宋体" w:hint="default"/>
          <w:sz w:val="16"/>
          <w:szCs w:val="16"/>
        </w:rPr>
      </w:pPr>
    </w:p>
    <w:p>
      <w:pPr>
        <w:pStyle w:val="BodyText"/>
        <w:spacing w:line="436" w:lineRule="auto"/>
        <w:ind w:left="113" w:right="184" w:firstLine="420"/>
        <w:jc w:val="both"/>
      </w:pPr>
      <w:r>
        <w:rPr/>
        <w:t>无形资产指企业拥有或控制的没有实物形态的可辨认非货币性资产，包括专有技术、土地使用权等。 无形资产在取得时按照实际成本计价。</w:t>
      </w:r>
    </w:p>
    <w:p>
      <w:pPr>
        <w:pStyle w:val="BodyText"/>
        <w:spacing w:line="436" w:lineRule="auto" w:before="53"/>
        <w:ind w:left="113" w:right="205" w:firstLine="420"/>
        <w:jc w:val="both"/>
      </w:pPr>
      <w:r>
        <w:rPr>
          <w:spacing w:val="-1"/>
        </w:rPr>
        <w:t>无形资产在取得时分析判断其使用寿命。使用寿命有限的无形资产，自无形资产可供使用时起在预计</w:t>
      </w:r>
      <w:r>
        <w:rPr/>
        <w:t> </w:t>
      </w:r>
      <w:r>
        <w:rPr>
          <w:spacing w:val="-1"/>
        </w:rPr>
        <w:t>使用年限、合同规定的受益年限和法律规定有效年限三者中最短者分期平均摊销。公司于年度终了对无形</w:t>
      </w:r>
      <w:r>
        <w:rPr>
          <w:spacing w:val="-81"/>
        </w:rPr>
        <w:t> </w:t>
      </w:r>
      <w:r>
        <w:rPr>
          <w:spacing w:val="-81"/>
        </w:rPr>
      </w:r>
      <w:r>
        <w:rPr>
          <w:spacing w:val="-1"/>
        </w:rPr>
        <w:t>资产的使用寿命及摊销方法进行复核，使用寿命及摊销方法与以前估计不同的，则改变摊销期限和摊销方</w:t>
      </w:r>
      <w:r>
        <w:rPr>
          <w:spacing w:val="-81"/>
        </w:rPr>
        <w:t> </w:t>
      </w:r>
      <w:r>
        <w:rPr>
          <w:spacing w:val="-81"/>
        </w:rPr>
      </w:r>
      <w:r>
        <w:rPr/>
        <w:t>法。</w:t>
      </w:r>
    </w:p>
    <w:p>
      <w:pPr>
        <w:pStyle w:val="BodyText"/>
        <w:spacing w:line="422" w:lineRule="auto" w:before="53"/>
        <w:ind w:left="113" w:right="92" w:firstLine="419"/>
        <w:jc w:val="left"/>
      </w:pPr>
      <w:r>
        <w:rPr>
          <w:spacing w:val="-3"/>
        </w:rPr>
        <w:t>本公司期末检查各项无形资产预计给本公司带来未来经济利益的能力，当存在以下情形之一时：（</w:t>
      </w:r>
      <w:r>
        <w:rPr>
          <w:rFonts w:ascii="Times New Roman" w:hAnsi="Times New Roman" w:cs="Times New Roman" w:eastAsia="Times New Roman" w:hint="default"/>
          <w:spacing w:val="-3"/>
        </w:rPr>
        <w:t>1</w:t>
      </w:r>
      <w:r>
        <w:rPr>
          <w:spacing w:val="-3"/>
        </w:rPr>
        <w:t>）</w:t>
      </w:r>
      <w:r>
        <w:rPr/>
        <w:t> </w:t>
      </w:r>
      <w:r>
        <w:rPr>
          <w:spacing w:val="-3"/>
        </w:rPr>
        <w:t>某项无形资产已被其他新技术等所替代，使其为企业创造经济利益的能力受到重大不利影响；（</w:t>
      </w:r>
      <w:r>
        <w:rPr>
          <w:rFonts w:ascii="Times New Roman" w:hAnsi="Times New Roman" w:cs="Times New Roman" w:eastAsia="Times New Roman" w:hint="default"/>
          <w:spacing w:val="-3"/>
        </w:rPr>
        <w:t>2</w:t>
      </w:r>
      <w:r>
        <w:rPr>
          <w:spacing w:val="-3"/>
        </w:rPr>
        <w:t>）某项无</w:t>
      </w:r>
      <w:r>
        <w:rPr>
          <w:spacing w:val="-93"/>
        </w:rPr>
        <w:t> </w:t>
      </w:r>
      <w:r>
        <w:rPr>
          <w:spacing w:val="-93"/>
        </w:rPr>
      </w:r>
      <w:r>
        <w:rPr>
          <w:spacing w:val="-5"/>
        </w:rPr>
        <w:t>形资产的市价在当期大幅下跌，在剩余摊销年限内预期不会恢复；（</w:t>
      </w:r>
      <w:r>
        <w:rPr>
          <w:rFonts w:ascii="Times New Roman" w:hAnsi="Times New Roman" w:cs="Times New Roman" w:eastAsia="Times New Roman" w:hint="default"/>
          <w:spacing w:val="-5"/>
        </w:rPr>
        <w:t>3</w:t>
      </w:r>
      <w:r>
        <w:rPr>
          <w:spacing w:val="-5"/>
        </w:rPr>
        <w:t>）某项无形资产已超过法律保护期限，</w:t>
      </w:r>
      <w:r>
        <w:rPr>
          <w:spacing w:val="-99"/>
        </w:rPr>
        <w:t> </w:t>
      </w:r>
      <w:r>
        <w:rPr>
          <w:spacing w:val="-99"/>
        </w:rPr>
      </w:r>
      <w:r>
        <w:rPr/>
        <w:t>但仍然具有部分使用价值等减值迹象的，则估计其可收回金额。可收回金额的计量结果表明，无形资产的</w:t>
      </w:r>
      <w:r>
        <w:rPr/>
        <w:t> 可收回金额低于其账面价值的，将无形资产的账面价值减记至可收回金额，减记的金额确认为资产减值损 </w:t>
      </w:r>
      <w:r>
        <w:rPr>
          <w:spacing w:val="-3"/>
        </w:rPr>
        <w:t>失，计入当期损益，同时计提相应的无形资产减值准备；（</w:t>
      </w:r>
      <w:r>
        <w:rPr>
          <w:rFonts w:ascii="Times New Roman" w:hAnsi="Times New Roman" w:cs="Times New Roman" w:eastAsia="Times New Roman" w:hint="default"/>
          <w:spacing w:val="-3"/>
        </w:rPr>
        <w:t>4</w:t>
      </w:r>
      <w:r>
        <w:rPr>
          <w:spacing w:val="-3"/>
        </w:rPr>
        <w:t>）其他足以证明某项无形资产实质上已发生了</w:t>
      </w:r>
      <w:r>
        <w:rPr>
          <w:spacing w:val="-93"/>
        </w:rPr>
        <w:t> </w:t>
      </w:r>
      <w:r>
        <w:rPr>
          <w:spacing w:val="-93"/>
        </w:rPr>
      </w:r>
      <w:r>
        <w:rPr/>
        <w:t>减值准备情形的情况，按预计可收回金额低于账面价值的差额计提无形资产减值准备。无形资产减值损失</w:t>
      </w:r>
      <w:r>
        <w:rPr/>
        <w:t> 一经确认，在以后会计期间不再转回。</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412" w:lineRule="auto"/>
        <w:ind w:left="534" w:right="2266" w:hanging="420"/>
        <w:jc w:val="left"/>
      </w:pPr>
      <w:r>
        <w:rPr>
          <w:rFonts w:ascii="Times New Roman" w:hAnsi="Times New Roman" w:cs="Times New Roman" w:eastAsia="Times New Roman" w:hint="default"/>
          <w:b/>
          <w:bCs/>
        </w:rPr>
        <w:t>18</w:t>
      </w:r>
      <w:r>
        <w:rPr/>
        <w:t>、长期待摊费用</w:t>
      </w:r>
      <w:r>
        <w:rPr>
          <w:spacing w:val="-100"/>
        </w:rPr>
        <w:t> </w:t>
      </w:r>
      <w:r>
        <w:rPr>
          <w:spacing w:val="-100"/>
        </w:rPr>
      </w:r>
      <w:r>
        <w:rPr/>
        <w:t>长期待摊费用指应由本期和以后各期负担的分摊期限在一年以上的各项费用。</w:t>
      </w:r>
    </w:p>
    <w:p>
      <w:pPr>
        <w:pStyle w:val="BodyText"/>
        <w:spacing w:line="429" w:lineRule="auto" w:before="74"/>
        <w:ind w:left="114" w:right="205" w:firstLine="420"/>
        <w:jc w:val="both"/>
      </w:pPr>
      <w:r>
        <w:rPr>
          <w:spacing w:val="-1"/>
        </w:rPr>
        <w:t>长期待摊费用在取得时按照实际成本计价，开办费在发生时计入当期损益；经营性租赁固定资产的装</w:t>
      </w:r>
      <w:r>
        <w:rPr/>
        <w:t> 修费用按其在自生产经营之日起</w:t>
      </w:r>
      <w:r>
        <w:rPr>
          <w:spacing w:val="-64"/>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年内或租赁期内的较短者平均摊销，其他长期待摊费用按项目的受益期 </w:t>
      </w:r>
      <w:r>
        <w:rPr>
          <w:spacing w:val="-1"/>
        </w:rPr>
        <w:t>平均摊销。对于在以后会计期间已无法带来预期经济利益的长期待摊费用，本公司对其尚未摊销的摊余价</w:t>
      </w:r>
      <w:r>
        <w:rPr>
          <w:spacing w:val="-81"/>
        </w:rPr>
        <w:t> </w:t>
      </w:r>
      <w:r>
        <w:rPr>
          <w:spacing w:val="-81"/>
        </w:rPr>
      </w:r>
      <w:r>
        <w:rPr/>
        <w:t>值全部转入当期损益。</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before="0"/>
        <w:ind w:left="114" w:right="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sz w:val="21"/>
          <w:szCs w:val="21"/>
        </w:rPr>
        <w:t>、预计负债</w:t>
      </w:r>
    </w:p>
    <w:p>
      <w:pPr>
        <w:spacing w:line="240" w:lineRule="auto" w:before="6"/>
        <w:rPr>
          <w:rFonts w:ascii="宋体" w:hAnsi="宋体" w:cs="宋体" w:eastAsia="宋体" w:hint="default"/>
          <w:sz w:val="17"/>
          <w:szCs w:val="17"/>
        </w:rPr>
      </w:pPr>
    </w:p>
    <w:p>
      <w:pPr>
        <w:pStyle w:val="BodyText"/>
        <w:spacing w:line="456" w:lineRule="auto"/>
        <w:ind w:left="114" w:right="205" w:firstLine="420"/>
        <w:jc w:val="both"/>
      </w:pPr>
      <w:r>
        <w:rPr>
          <w:spacing w:val="-1"/>
        </w:rPr>
        <w:t>与或有事项相关的义务同时符合以下条件，本公司将其确认为预计负债：该义务是本公司承担的现时</w:t>
      </w:r>
      <w:r>
        <w:rPr/>
        <w:t> 义务；该义务的履行很可能导致经济利益流出企业；该义务的金额能够可靠的计量；</w:t>
      </w:r>
    </w:p>
    <w:p>
      <w:pPr>
        <w:pStyle w:val="BodyText"/>
        <w:spacing w:line="453" w:lineRule="auto" w:before="55"/>
        <w:ind w:left="113" w:right="205" w:firstLine="420"/>
        <w:jc w:val="both"/>
      </w:pPr>
      <w:r>
        <w:rPr>
          <w:spacing w:val="-1"/>
        </w:rPr>
        <w:t>清偿预计负债所需支出全部或部分预期由第三方补偿的，补偿金额只有在基本确定能够收到时，才能</w:t>
      </w:r>
      <w:r>
        <w:rPr/>
        <w:t> 作为资产单独确认，同时对该项单独核算的资产确认的补偿金额不超过对应的预计负债的账面金额。</w:t>
      </w:r>
    </w:p>
    <w:p>
      <w:pPr>
        <w:spacing w:after="0" w:line="453" w:lineRule="auto"/>
        <w:jc w:val="both"/>
        <w:sectPr>
          <w:pgSz w:w="11900" w:h="16840"/>
          <w:pgMar w:header="0" w:footer="982" w:top="1320" w:bottom="1180" w:left="1020" w:right="920"/>
        </w:sectPr>
      </w:pPr>
    </w:p>
    <w:p>
      <w:pPr>
        <w:spacing w:before="7"/>
        <w:ind w:left="114"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sz w:val="21"/>
          <w:szCs w:val="21"/>
        </w:rPr>
        <w:t>、收入</w:t>
      </w:r>
    </w:p>
    <w:p>
      <w:pPr>
        <w:spacing w:line="240" w:lineRule="auto" w:before="6"/>
        <w:rPr>
          <w:rFonts w:ascii="宋体" w:hAnsi="宋体" w:cs="宋体" w:eastAsia="宋体" w:hint="default"/>
          <w:sz w:val="17"/>
          <w:szCs w:val="17"/>
        </w:rPr>
      </w:pPr>
    </w:p>
    <w:p>
      <w:pPr>
        <w:pStyle w:val="BodyText"/>
        <w:spacing w:line="429" w:lineRule="auto"/>
        <w:ind w:left="535" w:right="96" w:hanging="1"/>
        <w:jc w:val="left"/>
      </w:pPr>
      <w:r>
        <w:rPr/>
        <w:t>（</w:t>
      </w:r>
      <w:r>
        <w:rPr>
          <w:rFonts w:ascii="Times New Roman" w:hAnsi="Times New Roman" w:cs="Times New Roman" w:eastAsia="Times New Roman" w:hint="default"/>
        </w:rPr>
        <w:t>1</w:t>
      </w:r>
      <w:r>
        <w:rPr/>
        <w:t>）销售商品收入 </w:t>
      </w:r>
      <w:r>
        <w:rPr>
          <w:spacing w:val="-1"/>
        </w:rPr>
        <w:t>企业已将商品所有权上的主要风险和报酬转移给购货方；企业既没有保留通常与所有权相联系的继续</w:t>
      </w:r>
    </w:p>
    <w:p>
      <w:pPr>
        <w:pStyle w:val="BodyText"/>
        <w:spacing w:line="453" w:lineRule="auto" w:before="79"/>
        <w:ind w:left="114" w:right="96"/>
        <w:jc w:val="left"/>
      </w:pPr>
      <w:r>
        <w:rPr>
          <w:spacing w:val="-1"/>
        </w:rPr>
        <w:t>管理权，也没有对已售出的商品实施有效控制；收入的金额能够可靠地计量；相关的经济利益很可能流入</w:t>
      </w:r>
      <w:r>
        <w:rPr>
          <w:spacing w:val="-83"/>
        </w:rPr>
        <w:t> </w:t>
      </w:r>
      <w:r>
        <w:rPr>
          <w:spacing w:val="-83"/>
        </w:rPr>
      </w:r>
      <w:r>
        <w:rPr/>
        <w:t>企业；相关的已发生或将发生的成本能够可靠地计量。</w:t>
      </w:r>
    </w:p>
    <w:p>
      <w:pPr>
        <w:pStyle w:val="BodyText"/>
        <w:spacing w:line="429" w:lineRule="auto" w:before="59"/>
        <w:ind w:left="534" w:right="96" w:firstLine="1"/>
        <w:jc w:val="left"/>
      </w:pPr>
      <w:r>
        <w:rPr/>
        <w:t>（</w:t>
      </w:r>
      <w:r>
        <w:rPr>
          <w:rFonts w:ascii="Times New Roman" w:hAnsi="Times New Roman" w:cs="Times New Roman" w:eastAsia="Times New Roman" w:hint="default"/>
        </w:rPr>
        <w:t>2</w:t>
      </w:r>
      <w:r>
        <w:rPr/>
        <w:t>）提供劳务收入 </w:t>
      </w:r>
      <w:r>
        <w:rPr>
          <w:spacing w:val="-1"/>
        </w:rPr>
        <w:t>资产负债表日，本公司对提供的劳务交易或建造合同的结果能够可靠估计的，采用完工百分比法确认</w:t>
      </w:r>
    </w:p>
    <w:p>
      <w:pPr>
        <w:pStyle w:val="BodyText"/>
        <w:spacing w:line="456" w:lineRule="auto" w:before="79"/>
        <w:ind w:left="114" w:right="96"/>
        <w:jc w:val="left"/>
      </w:pPr>
      <w:r>
        <w:rPr>
          <w:spacing w:val="-1"/>
        </w:rPr>
        <w:t>收入实现，完工进度采用已完工作的测量确定。提供的劳务交易或建造合同的结果能够可靠估计，是指相</w:t>
      </w:r>
      <w:r>
        <w:rPr>
          <w:spacing w:val="-83"/>
        </w:rPr>
        <w:t> </w:t>
      </w:r>
      <w:r>
        <w:rPr>
          <w:spacing w:val="-83"/>
        </w:rPr>
      </w:r>
      <w:r>
        <w:rPr/>
        <w:t>关的合同总收入和实际发生以及将发生的成本能够可靠计量，与合同相关的经济利益很可能流入。</w:t>
      </w:r>
    </w:p>
    <w:p>
      <w:pPr>
        <w:pStyle w:val="BodyText"/>
        <w:spacing w:line="429" w:lineRule="auto" w:before="55"/>
        <w:ind w:left="534" w:right="96" w:firstLine="1"/>
        <w:jc w:val="left"/>
      </w:pPr>
      <w:r>
        <w:rPr/>
        <w:t>（</w:t>
      </w:r>
      <w:r>
        <w:rPr>
          <w:rFonts w:ascii="Times New Roman" w:hAnsi="Times New Roman" w:cs="Times New Roman" w:eastAsia="Times New Roman" w:hint="default"/>
        </w:rPr>
        <w:t>3</w:t>
      </w:r>
      <w:r>
        <w:rPr/>
        <w:t>）让渡资产使用权收入 </w:t>
      </w:r>
      <w:r>
        <w:rPr>
          <w:spacing w:val="-1"/>
        </w:rPr>
        <w:t>让渡资产使用权收入在相关的经济利益很可能流入且收入的金额能够可靠地计量时确认。本公司让渡</w:t>
      </w:r>
    </w:p>
    <w:p>
      <w:pPr>
        <w:pStyle w:val="BodyText"/>
        <w:spacing w:line="453" w:lineRule="auto" w:before="80"/>
        <w:ind w:left="114" w:right="96"/>
        <w:jc w:val="left"/>
      </w:pPr>
      <w:r>
        <w:rPr>
          <w:spacing w:val="-1"/>
        </w:rPr>
        <w:t>资产使用权收入包括利息收入、使用费收入等，利息收入按照贷款企业使用本公司资金时间和实际利率计</w:t>
      </w:r>
      <w:r>
        <w:rPr>
          <w:spacing w:val="-81"/>
        </w:rPr>
        <w:t> </w:t>
      </w:r>
      <w:r>
        <w:rPr>
          <w:spacing w:val="-81"/>
        </w:rPr>
      </w:r>
      <w:r>
        <w:rPr/>
        <w:t>算确定，使用费收入包括出租车承包经营收入和租金收入等，按照合同约定收费时间和方法计算确定。</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0"/>
        <w:ind w:left="114"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sz w:val="21"/>
          <w:szCs w:val="21"/>
        </w:rPr>
        <w:t>、政府补助</w:t>
      </w:r>
    </w:p>
    <w:p>
      <w:pPr>
        <w:spacing w:line="240" w:lineRule="auto" w:before="6"/>
        <w:rPr>
          <w:rFonts w:ascii="宋体" w:hAnsi="宋体" w:cs="宋体" w:eastAsia="宋体" w:hint="default"/>
          <w:sz w:val="17"/>
          <w:szCs w:val="17"/>
        </w:rPr>
      </w:pPr>
    </w:p>
    <w:p>
      <w:pPr>
        <w:pStyle w:val="BodyText"/>
        <w:spacing w:line="453" w:lineRule="auto"/>
        <w:ind w:left="114" w:right="125" w:firstLine="420"/>
        <w:jc w:val="both"/>
      </w:pPr>
      <w:r>
        <w:rPr>
          <w:spacing w:val="-1"/>
        </w:rPr>
        <w:t>本公司收到的与资产相关的政府补助，确认为递延收益，自相关资产达到预定可使用状态时起，在该</w:t>
      </w:r>
      <w:r>
        <w:rPr/>
        <w:t> </w:t>
      </w:r>
      <w:r>
        <w:rPr>
          <w:spacing w:val="-1"/>
        </w:rPr>
        <w:t>资产使用寿命内平均计入各期损益。相关资产在使用寿命结束前被出售、转让、报废或发生毁损的，将递</w:t>
      </w:r>
      <w:r>
        <w:rPr>
          <w:spacing w:val="-82"/>
        </w:rPr>
        <w:t> </w:t>
      </w:r>
      <w:r>
        <w:rPr>
          <w:spacing w:val="-82"/>
        </w:rPr>
      </w:r>
      <w:r>
        <w:rPr/>
        <w:t>延收益余额一次性转入资产处置当期的损益。</w:t>
      </w:r>
    </w:p>
    <w:p>
      <w:pPr>
        <w:pStyle w:val="BodyText"/>
        <w:spacing w:line="453" w:lineRule="auto" w:before="58"/>
        <w:ind w:left="114" w:right="103" w:firstLine="420"/>
        <w:jc w:val="both"/>
      </w:pPr>
      <w:r>
        <w:rPr>
          <w:spacing w:val="-1"/>
        </w:rPr>
        <w:t>本公司收到的与收益相关的政府补助，用于补偿以后期间的相关费用或损失的，确认为递延收益，在</w:t>
      </w:r>
      <w:r>
        <w:rPr/>
        <w:t> 确认相关费用的期间计入当期损益；用于补偿已经发生的相关费用或损失的，取得时直接计入当期损益。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ind w:left="114" w:right="96"/>
        <w:jc w:val="left"/>
      </w:pPr>
      <w:r>
        <w:rPr>
          <w:rFonts w:ascii="Times New Roman" w:hAnsi="Times New Roman" w:cs="Times New Roman" w:eastAsia="Times New Roman" w:hint="default"/>
          <w:b/>
          <w:bCs/>
        </w:rPr>
        <w:t>22</w:t>
      </w:r>
      <w:r>
        <w:rPr/>
        <w:t>、递延所得税资产</w:t>
      </w:r>
      <w:r>
        <w:rPr>
          <w:rFonts w:ascii="Times New Roman" w:hAnsi="Times New Roman" w:cs="Times New Roman" w:eastAsia="Times New Roman" w:hint="default"/>
          <w:b/>
          <w:bCs/>
        </w:rPr>
        <w:t>/</w:t>
      </w:r>
      <w:r>
        <w:rPr/>
        <w:t>递延所得税负债</w:t>
      </w:r>
    </w:p>
    <w:p>
      <w:pPr>
        <w:spacing w:line="240" w:lineRule="auto" w:before="12"/>
        <w:rPr>
          <w:rFonts w:ascii="宋体" w:hAnsi="宋体" w:cs="宋体" w:eastAsia="宋体" w:hint="default"/>
          <w:sz w:val="15"/>
          <w:szCs w:val="15"/>
        </w:rPr>
      </w:pPr>
    </w:p>
    <w:p>
      <w:pPr>
        <w:pStyle w:val="BodyText"/>
        <w:spacing w:line="240" w:lineRule="auto"/>
        <w:ind w:left="534" w:right="96"/>
        <w:jc w:val="left"/>
      </w:pPr>
      <w:r>
        <w:rPr/>
        <w:t>（</w:t>
      </w:r>
      <w:r>
        <w:rPr>
          <w:rFonts w:ascii="Times New Roman" w:hAnsi="Times New Roman" w:cs="Times New Roman" w:eastAsia="Times New Roman" w:hint="default"/>
        </w:rPr>
        <w:t>1</w:t>
      </w:r>
      <w:r>
        <w:rPr/>
        <w:t>）递延所得税资产的确认</w:t>
      </w:r>
    </w:p>
    <w:p>
      <w:pPr>
        <w:spacing w:line="240" w:lineRule="auto" w:before="0"/>
        <w:rPr>
          <w:rFonts w:ascii="宋体" w:hAnsi="宋体" w:cs="宋体" w:eastAsia="宋体" w:hint="default"/>
          <w:sz w:val="16"/>
          <w:szCs w:val="16"/>
        </w:rPr>
      </w:pPr>
    </w:p>
    <w:p>
      <w:pPr>
        <w:pStyle w:val="BodyText"/>
        <w:spacing w:line="424" w:lineRule="auto"/>
        <w:ind w:left="114" w:right="124" w:firstLine="420"/>
        <w:jc w:val="both"/>
      </w:pPr>
      <w:r>
        <w:rPr>
          <w:rFonts w:ascii="Times New Roman" w:hAnsi="Times New Roman" w:cs="Times New Roman" w:eastAsia="Times New Roman" w:hint="default"/>
        </w:rPr>
        <w:t>a</w:t>
      </w:r>
      <w:r>
        <w:rPr/>
        <w:t>、本公司以很可能取得用来抵扣可抵扣暂时性差异的应纳税所得额为限，确认由可抵扣暂时性差异</w:t>
      </w:r>
      <w:r>
        <w:rPr>
          <w:spacing w:val="2"/>
        </w:rPr>
        <w:t> </w:t>
      </w:r>
      <w:r>
        <w:rPr>
          <w:spacing w:val="-1"/>
        </w:rPr>
        <w:t>产生的递延所得税资产。但是同时具有下列特征的交易中因资产或负债的初始确认所产生的递延所得税资</w:t>
      </w:r>
      <w:r>
        <w:rPr>
          <w:spacing w:val="-81"/>
        </w:rPr>
        <w:t> </w:t>
      </w:r>
      <w:r>
        <w:rPr>
          <w:spacing w:val="-81"/>
        </w:rPr>
      </w:r>
      <w:r>
        <w:rPr/>
        <w:t>产不予确认：</w:t>
      </w:r>
    </w:p>
    <w:p>
      <w:pPr>
        <w:pStyle w:val="BodyText"/>
        <w:spacing w:line="240" w:lineRule="auto" w:before="64"/>
        <w:ind w:left="534" w:right="9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该项交易不是企业合并；</w:t>
      </w:r>
    </w:p>
    <w:p>
      <w:pPr>
        <w:spacing w:after="0" w:line="240" w:lineRule="auto"/>
        <w:jc w:val="left"/>
        <w:sectPr>
          <w:pgSz w:w="11900" w:h="16840"/>
          <w:pgMar w:header="0" w:footer="982" w:top="1340" w:bottom="1180" w:left="1020" w:right="1000"/>
        </w:sectPr>
      </w:pPr>
    </w:p>
    <w:p>
      <w:pPr>
        <w:pStyle w:val="BodyText"/>
        <w:spacing w:line="240" w:lineRule="auto" w:before="7"/>
        <w:ind w:left="534" w:right="87"/>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
        </w:rPr>
        <w:t> </w:t>
      </w:r>
      <w:r>
        <w:rPr/>
        <w:t>交易发</w:t>
      </w:r>
      <w:r>
        <w:rPr>
          <w:spacing w:val="-2"/>
        </w:rPr>
        <w:t>生</w:t>
      </w:r>
      <w:r>
        <w:rPr/>
        <w:t>时既不影响会计利润也不影响应纳税所得额（或可抵扣亏损</w:t>
      </w:r>
      <w:r>
        <w:rPr>
          <w:spacing w:val="-105"/>
        </w:rPr>
        <w:t>）</w:t>
      </w:r>
      <w:r>
        <w:rPr/>
        <w:t>。</w:t>
      </w:r>
    </w:p>
    <w:p>
      <w:pPr>
        <w:pStyle w:val="BodyText"/>
        <w:spacing w:line="396" w:lineRule="auto" w:before="189"/>
        <w:ind w:left="113" w:right="87" w:firstLine="420"/>
        <w:jc w:val="left"/>
      </w:pPr>
      <w:r>
        <w:rPr>
          <w:rFonts w:ascii="Times New Roman" w:hAnsi="Times New Roman" w:cs="Times New Roman" w:eastAsia="Times New Roman" w:hint="default"/>
        </w:rPr>
        <w:t>b</w:t>
      </w:r>
      <w:r>
        <w:rPr/>
        <w:t>、本公司对与子公司、联营公司及合营企业投资相关的可抵扣暂时性差异，同时满足下列条件的，</w:t>
      </w:r>
      <w:r>
        <w:rPr>
          <w:spacing w:val="2"/>
        </w:rPr>
        <w:t> </w:t>
      </w:r>
      <w:r>
        <w:rPr/>
        <w:t>确认相应的递延所得税资产：</w:t>
      </w:r>
    </w:p>
    <w:p>
      <w:pPr>
        <w:pStyle w:val="BodyText"/>
        <w:spacing w:line="240" w:lineRule="auto" w:before="68"/>
        <w:ind w:left="533" w:right="8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暂时性差异在可预见的未来很可能转回；</w:t>
      </w:r>
    </w:p>
    <w:p>
      <w:pPr>
        <w:pStyle w:val="BodyText"/>
        <w:spacing w:line="240" w:lineRule="auto" w:before="189"/>
        <w:ind w:left="533" w:right="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未来很可能获得用来抵扣暂时性差异的应纳税所得额。</w:t>
      </w:r>
    </w:p>
    <w:p>
      <w:pPr>
        <w:pStyle w:val="BodyText"/>
        <w:spacing w:line="396" w:lineRule="auto" w:before="189"/>
        <w:ind w:left="113" w:right="87" w:firstLine="420"/>
        <w:jc w:val="left"/>
      </w:pPr>
      <w:r>
        <w:rPr>
          <w:rFonts w:ascii="Times New Roman" w:hAnsi="Times New Roman" w:cs="Times New Roman" w:eastAsia="Times New Roman" w:hint="default"/>
        </w:rPr>
        <w:t>c</w:t>
      </w:r>
      <w:r>
        <w:rPr/>
        <w:t>、本公司对于能够结转以后年度的可抵扣亏损和税款抵减，以很可能获得用来抵扣可抵扣亏损和税</w:t>
      </w:r>
      <w:r>
        <w:rPr>
          <w:spacing w:val="2"/>
        </w:rPr>
        <w:t> </w:t>
      </w:r>
      <w:r>
        <w:rPr/>
        <w:t>款抵减的未来应纳税所得额为限，确认相应的递延所得税资产。</w:t>
      </w:r>
    </w:p>
    <w:p>
      <w:pPr>
        <w:pStyle w:val="BodyText"/>
        <w:spacing w:line="408" w:lineRule="auto" w:before="68"/>
        <w:ind w:left="534" w:right="166" w:hanging="1"/>
        <w:jc w:val="left"/>
      </w:pPr>
      <w:r>
        <w:rPr/>
        <w:t>（</w:t>
      </w:r>
      <w:r>
        <w:rPr>
          <w:rFonts w:ascii="Times New Roman" w:hAnsi="Times New Roman" w:cs="Times New Roman" w:eastAsia="Times New Roman" w:hint="default"/>
        </w:rPr>
        <w:t>2</w:t>
      </w:r>
      <w:r>
        <w:rPr/>
        <w:t>）递延所得税负债的确认 除下列情况产生的递延所得税负债以外，本公司确认所有应纳税暂时性差异产生的递延所得税负债： </w:t>
      </w:r>
      <w:r>
        <w:rPr>
          <w:rFonts w:ascii="Times New Roman" w:hAnsi="Times New Roman" w:cs="Times New Roman" w:eastAsia="Times New Roman" w:hint="default"/>
        </w:rPr>
        <w:t>a</w:t>
      </w:r>
      <w:r>
        <w:rPr/>
        <w:t>、商誉的初始确认；</w:t>
      </w:r>
    </w:p>
    <w:p>
      <w:pPr>
        <w:pStyle w:val="BodyText"/>
        <w:spacing w:line="396" w:lineRule="auto" w:before="26"/>
        <w:ind w:left="534" w:right="3212" w:hanging="1"/>
        <w:jc w:val="left"/>
      </w:pPr>
      <w:r>
        <w:rPr>
          <w:rFonts w:ascii="Times New Roman" w:hAnsi="Times New Roman" w:cs="Times New Roman" w:eastAsia="Times New Roman" w:hint="default"/>
        </w:rPr>
        <w:t>b</w:t>
      </w:r>
      <w:r>
        <w:rPr/>
        <w:t>、同时满足具有下列特征的交易中产生的资产或负债的初始确认： </w:t>
      </w: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该项交易不是企业合并；</w:t>
      </w:r>
    </w:p>
    <w:p>
      <w:pPr>
        <w:pStyle w:val="BodyText"/>
        <w:spacing w:line="240" w:lineRule="auto" w:before="38"/>
        <w:ind w:left="534" w:right="87"/>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
        </w:rPr>
        <w:t> </w:t>
      </w:r>
      <w:r>
        <w:rPr/>
        <w:t>交易发</w:t>
      </w:r>
      <w:r>
        <w:rPr>
          <w:spacing w:val="-2"/>
        </w:rPr>
        <w:t>生</w:t>
      </w:r>
      <w:r>
        <w:rPr/>
        <w:t>时既不影响会计利润也不影响应纳税所得额（或可抵扣亏损</w:t>
      </w:r>
      <w:r>
        <w:rPr>
          <w:spacing w:val="-105"/>
        </w:rPr>
        <w:t>）</w:t>
      </w:r>
      <w:r>
        <w:rPr/>
        <w:t>。</w:t>
      </w:r>
    </w:p>
    <w:p>
      <w:pPr>
        <w:pStyle w:val="BodyText"/>
        <w:spacing w:line="240" w:lineRule="auto" w:before="189"/>
        <w:ind w:left="534" w:right="87"/>
        <w:jc w:val="left"/>
      </w:pPr>
      <w:r>
        <w:rPr>
          <w:rFonts w:ascii="Times New Roman" w:hAnsi="Times New Roman" w:cs="Times New Roman" w:eastAsia="Times New Roman" w:hint="default"/>
        </w:rPr>
        <w:t>c</w:t>
      </w:r>
      <w:r>
        <w:rPr/>
        <w:t>、本公司对与子公司、联营公司及合营企业投资产生相关的应纳税暂时性差异，同时满足下列条件</w:t>
      </w:r>
    </w:p>
    <w:p>
      <w:pPr>
        <w:pStyle w:val="BodyText"/>
        <w:spacing w:line="240" w:lineRule="auto" w:before="189"/>
        <w:ind w:left="114" w:right="87"/>
        <w:jc w:val="left"/>
      </w:pPr>
      <w:r>
        <w:rPr/>
        <w:t>的：</w:t>
      </w:r>
    </w:p>
    <w:p>
      <w:pPr>
        <w:spacing w:line="240" w:lineRule="auto" w:before="9"/>
        <w:rPr>
          <w:rFonts w:ascii="宋体" w:hAnsi="宋体" w:cs="宋体" w:eastAsia="宋体" w:hint="default"/>
          <w:sz w:val="15"/>
          <w:szCs w:val="15"/>
        </w:rPr>
      </w:pPr>
    </w:p>
    <w:p>
      <w:pPr>
        <w:pStyle w:val="BodyText"/>
        <w:spacing w:line="240" w:lineRule="auto"/>
        <w:ind w:left="534" w:right="8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投资企业能够控制暂时性差异的转回的时间；</w:t>
      </w:r>
    </w:p>
    <w:p>
      <w:pPr>
        <w:spacing w:line="240" w:lineRule="auto" w:before="12"/>
        <w:rPr>
          <w:rFonts w:ascii="宋体" w:hAnsi="宋体" w:cs="宋体" w:eastAsia="宋体" w:hint="default"/>
          <w:sz w:val="15"/>
          <w:szCs w:val="15"/>
        </w:rPr>
      </w:pPr>
    </w:p>
    <w:p>
      <w:pPr>
        <w:pStyle w:val="BodyText"/>
        <w:spacing w:line="240" w:lineRule="auto"/>
        <w:ind w:left="534" w:right="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暂时性差异在可预见的未来很可能不会转回。</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9"/>
          <w:szCs w:val="29"/>
        </w:rPr>
      </w:pPr>
    </w:p>
    <w:p>
      <w:pPr>
        <w:spacing w:before="0"/>
        <w:ind w:left="114" w:right="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sz w:val="21"/>
          <w:szCs w:val="21"/>
        </w:rPr>
        <w:t>、经营租赁</w:t>
      </w:r>
    </w:p>
    <w:p>
      <w:pPr>
        <w:pStyle w:val="BodyText"/>
        <w:spacing w:line="420" w:lineRule="auto" w:before="189"/>
        <w:ind w:left="113" w:right="184" w:firstLine="420"/>
        <w:jc w:val="both"/>
      </w:pPr>
      <w:r>
        <w:rPr>
          <w:spacing w:val="-1"/>
        </w:rPr>
        <w:t>经营租赁租出资产所产生的租金收入在租赁期内按直线法确认为收入。经营租赁租出资产发生的初始</w:t>
      </w:r>
      <w:r>
        <w:rPr/>
        <w:t> 直接费用，金额较大时应当资本化，在整个租赁期内按照与确认租金收入相同的基础分期计入当期损益； 金额较小时，直接计入当期损益。或有租金在实际发生时计入当期损益。</w:t>
      </w:r>
    </w:p>
    <w:p>
      <w:pPr>
        <w:pStyle w:val="BodyText"/>
        <w:spacing w:line="240" w:lineRule="auto" w:before="47"/>
        <w:ind w:left="533" w:right="87"/>
        <w:jc w:val="left"/>
      </w:pPr>
      <w:r>
        <w:rPr/>
        <w:t>经营租赁租入资产的租金费用在租赁期内按直线法确认为相关资产成本或费用。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1"/>
        <w:ind w:left="113" w:right="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sz w:val="21"/>
          <w:szCs w:val="21"/>
        </w:rPr>
        <w:t>、职工薪酬</w:t>
      </w:r>
    </w:p>
    <w:p>
      <w:pPr>
        <w:pStyle w:val="BodyText"/>
        <w:spacing w:line="420" w:lineRule="auto" w:before="189"/>
        <w:ind w:left="113" w:right="203" w:firstLine="420"/>
        <w:jc w:val="both"/>
      </w:pPr>
      <w:r>
        <w:rPr>
          <w:spacing w:val="3"/>
        </w:rPr>
        <w:t>职工薪酬是指本公司为获得员工提供的服务而给予的各种形式报酬以及其他相关支出。包括职工工</w:t>
      </w:r>
      <w:r>
        <w:rPr/>
        <w:t> </w:t>
      </w:r>
      <w:r>
        <w:rPr>
          <w:spacing w:val="-1"/>
        </w:rPr>
        <w:t>资、奖金和补贴、各种福利以及各种社会保险费、工会经费和职工教育经费等。本公司目前没有股份支付</w:t>
      </w:r>
      <w:r>
        <w:rPr>
          <w:spacing w:val="-82"/>
        </w:rPr>
        <w:t> </w:t>
      </w:r>
      <w:r>
        <w:rPr>
          <w:spacing w:val="-82"/>
        </w:rPr>
      </w:r>
      <w:r>
        <w:rPr/>
        <w:t>计划。</w:t>
      </w:r>
    </w:p>
    <w:p>
      <w:pPr>
        <w:pStyle w:val="BodyText"/>
        <w:spacing w:line="240" w:lineRule="auto" w:before="47"/>
        <w:ind w:left="533" w:right="0"/>
        <w:jc w:val="left"/>
      </w:pPr>
      <w:r>
        <w:rPr>
          <w:spacing w:val="-3"/>
        </w:rPr>
        <w:t>本公司在职工提供服务的会计期间，将应付的职工薪酬确认为负债，除辞退福利外，根据其受益对象，</w:t>
      </w:r>
    </w:p>
    <w:p>
      <w:pPr>
        <w:spacing w:line="240" w:lineRule="auto" w:before="9"/>
        <w:rPr>
          <w:rFonts w:ascii="宋体" w:hAnsi="宋体" w:cs="宋体" w:eastAsia="宋体" w:hint="default"/>
          <w:sz w:val="15"/>
          <w:szCs w:val="15"/>
        </w:rPr>
      </w:pPr>
    </w:p>
    <w:p>
      <w:pPr>
        <w:pStyle w:val="BodyText"/>
        <w:spacing w:line="240" w:lineRule="auto"/>
        <w:ind w:left="113" w:right="87"/>
        <w:jc w:val="left"/>
      </w:pPr>
      <w:r>
        <w:rPr/>
        <w:t>增加相应资产成本或计入当期损益。</w:t>
      </w:r>
    </w:p>
    <w:p>
      <w:pPr>
        <w:spacing w:after="0" w:line="240" w:lineRule="auto"/>
        <w:jc w:val="left"/>
        <w:sectPr>
          <w:pgSz w:w="11900" w:h="16840"/>
          <w:pgMar w:header="0" w:footer="982" w:top="1300" w:bottom="1180" w:left="1020" w:right="920"/>
        </w:sectPr>
      </w:pPr>
    </w:p>
    <w:p>
      <w:pPr>
        <w:pStyle w:val="BodyText"/>
        <w:spacing w:line="465" w:lineRule="auto" w:before="7"/>
        <w:ind w:left="113" w:right="103" w:firstLine="420"/>
        <w:jc w:val="right"/>
      </w:pPr>
      <w:r>
        <w:rPr>
          <w:spacing w:val="-1"/>
        </w:rPr>
        <w:t>辞退福利是在职工劳动合同尚未到期前，本公司决定解除与职工的劳动关系而给予的补偿，或为鼓励</w:t>
      </w:r>
      <w:r>
        <w:rPr/>
        <w:t> 职工自愿接受裁减而给予的补偿。辞退福利同时满足下列条件时，确认为预计负债，同时计入当期损益： </w:t>
      </w:r>
      <w:r>
        <w:rPr>
          <w:rFonts w:ascii="Times New Roman" w:hAnsi="Times New Roman" w:cs="Times New Roman" w:eastAsia="Times New Roman" w:hint="default"/>
        </w:rPr>
        <w:t>a.</w:t>
      </w:r>
      <w:r>
        <w:rPr>
          <w:rFonts w:ascii="Times New Roman" w:hAnsi="Times New Roman" w:cs="Times New Roman" w:eastAsia="Times New Roman" w:hint="default"/>
          <w:spacing w:val="50"/>
        </w:rPr>
        <w:t> </w:t>
      </w:r>
      <w:r>
        <w:rPr/>
        <w:t>本公司已经制定正式的解除劳动关系计划或提出自愿裁减建议，并即将实施。该计划或建议包括： </w:t>
      </w:r>
      <w:r>
        <w:rPr>
          <w:spacing w:val="-1"/>
        </w:rPr>
        <w:t>拟解除劳动关系或裁减的职工所在部门、职位及数量；根据有关规定按工作类别或职位确定的解除劳动关</w:t>
      </w:r>
      <w:r>
        <w:rPr/>
        <w:t> </w:t>
      </w:r>
      <w:r>
        <w:rPr>
          <w:spacing w:val="-1"/>
        </w:rPr>
        <w:t>系或裁减补偿金额；拟解除劳动关系或裁减的时间等。辞退计划经过董事会或类似权力机构的批准，并一</w:t>
      </w:r>
    </w:p>
    <w:p>
      <w:pPr>
        <w:pStyle w:val="BodyText"/>
        <w:spacing w:line="240" w:lineRule="auto" w:before="67"/>
        <w:ind w:left="113" w:right="359"/>
        <w:jc w:val="left"/>
      </w:pPr>
      <w:r>
        <w:rPr/>
        <w:t>般在一年内实施完毕。</w:t>
      </w:r>
    </w:p>
    <w:p>
      <w:pPr>
        <w:spacing w:line="240" w:lineRule="auto" w:before="3"/>
        <w:rPr>
          <w:rFonts w:ascii="宋体" w:hAnsi="宋体" w:cs="宋体" w:eastAsia="宋体" w:hint="default"/>
          <w:sz w:val="20"/>
          <w:szCs w:val="20"/>
        </w:rPr>
      </w:pPr>
    </w:p>
    <w:p>
      <w:pPr>
        <w:pStyle w:val="BodyText"/>
        <w:spacing w:line="465" w:lineRule="auto"/>
        <w:ind w:left="113" w:right="155" w:firstLine="525"/>
        <w:jc w:val="left"/>
      </w:pPr>
      <w:r>
        <w:rPr>
          <w:rFonts w:ascii="Times New Roman" w:hAnsi="Times New Roman" w:cs="Times New Roman" w:eastAsia="Times New Roman" w:hint="default"/>
        </w:rPr>
        <w:t>b. </w:t>
      </w:r>
      <w:r>
        <w:rPr/>
        <w:t>本公司不能单方面撤回解除劳动关系计划或裁减建议。 </w:t>
      </w:r>
      <w:r>
        <w:rPr>
          <w:spacing w:val="-1"/>
        </w:rPr>
        <w:t>本公司实施职工内部退休计划，虽然职工未与企业解除劳动关系，但由于这部分职工未来不能给企业带来</w:t>
      </w:r>
      <w:r>
        <w:rPr>
          <w:spacing w:val="-81"/>
        </w:rPr>
        <w:t> </w:t>
      </w:r>
      <w:r>
        <w:rPr>
          <w:spacing w:val="-81"/>
        </w:rPr>
      </w:r>
      <w:r>
        <w:rPr>
          <w:spacing w:val="-1"/>
        </w:rPr>
        <w:t>经济利益，符合上述辞退福利计划确认预计负债条件的，比照辞退福利处理。本公司将自职工停止提供服</w:t>
      </w:r>
      <w:r>
        <w:rPr>
          <w:spacing w:val="-83"/>
        </w:rPr>
        <w:t> </w:t>
      </w:r>
      <w:r>
        <w:rPr>
          <w:spacing w:val="-83"/>
        </w:rPr>
      </w:r>
      <w:r>
        <w:rPr>
          <w:spacing w:val="3"/>
        </w:rPr>
        <w:t>务日至法定退休日的期间拟支付的内退人员工资和缴纳的社会保险费等，确认为应付职工薪酬（辞退福</w:t>
      </w:r>
      <w:r>
        <w:rPr>
          <w:spacing w:val="-78"/>
        </w:rPr>
        <w:t> </w:t>
      </w:r>
      <w:r>
        <w:rPr>
          <w:spacing w:val="-78"/>
        </w:rPr>
      </w:r>
      <w:r>
        <w:rPr>
          <w:spacing w:val="-35"/>
        </w:rPr>
        <w:t>利）。</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429" w:lineRule="auto"/>
        <w:ind w:left="533" w:right="5167" w:hanging="420"/>
        <w:jc w:val="left"/>
      </w:pPr>
      <w:r>
        <w:rPr>
          <w:rFonts w:ascii="Times New Roman" w:hAnsi="Times New Roman" w:cs="Times New Roman" w:eastAsia="Times New Roman" w:hint="default"/>
          <w:b/>
          <w:bCs/>
        </w:rPr>
        <w:t>25</w:t>
      </w:r>
      <w:r>
        <w:rPr/>
        <w:t>、主要会计政策、会计估计的变更</w:t>
      </w:r>
      <w:r>
        <w:rPr>
          <w:spacing w:val="-98"/>
        </w:rPr>
        <w:t> </w:t>
      </w:r>
      <w:r>
        <w:rPr>
          <w:spacing w:val="-98"/>
        </w:rPr>
      </w:r>
      <w:r>
        <w:rPr/>
        <w:t>本公司本期无会计政策、会计估计变更事项。</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spacing w:line="429" w:lineRule="auto"/>
        <w:ind w:left="533" w:right="5167" w:hanging="420"/>
        <w:jc w:val="left"/>
      </w:pPr>
      <w:r>
        <w:rPr>
          <w:rFonts w:ascii="Times New Roman" w:hAnsi="Times New Roman" w:cs="Times New Roman" w:eastAsia="Times New Roman" w:hint="default"/>
          <w:b/>
          <w:bCs/>
        </w:rPr>
        <w:t>26</w:t>
      </w:r>
      <w:r>
        <w:rPr/>
        <w:t>、前期会计差错更正</w:t>
      </w:r>
      <w:r>
        <w:rPr>
          <w:spacing w:val="-100"/>
        </w:rPr>
        <w:t> </w:t>
      </w:r>
      <w:r>
        <w:rPr>
          <w:spacing w:val="-100"/>
        </w:rPr>
      </w:r>
      <w:r>
        <w:rPr/>
        <w:t>本公司本期无会计政策、会计估计变更事项。</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spacing w:line="429" w:lineRule="auto"/>
        <w:ind w:left="535" w:right="155" w:hanging="422"/>
        <w:jc w:val="left"/>
      </w:pPr>
      <w:r>
        <w:rPr>
          <w:rFonts w:ascii="Times New Roman" w:hAnsi="Times New Roman" w:cs="Times New Roman" w:eastAsia="Times New Roman" w:hint="default"/>
          <w:b/>
          <w:bCs/>
        </w:rPr>
        <w:t>27</w:t>
      </w:r>
      <w:r>
        <w:rPr/>
        <w:t>、其他主要会计政策、会计估计和财务报表编制方法</w:t>
      </w:r>
      <w:r>
        <w:rPr>
          <w:spacing w:val="-91"/>
        </w:rPr>
        <w:t> </w:t>
      </w:r>
      <w:r>
        <w:rPr>
          <w:spacing w:val="-91"/>
        </w:rPr>
      </w:r>
      <w:r>
        <w:rPr>
          <w:spacing w:val="-1"/>
        </w:rPr>
        <w:t>根据《中华人民共和国公司法》，本公司税后净利润在弥补以前年度未弥补亏损后，提取法定盈余公</w:t>
      </w:r>
      <w:r>
        <w:rPr/>
      </w:r>
    </w:p>
    <w:p>
      <w:pPr>
        <w:pStyle w:val="BodyText"/>
        <w:spacing w:line="429" w:lineRule="auto" w:before="79"/>
        <w:ind w:left="113" w:right="155"/>
        <w:jc w:val="left"/>
      </w:pPr>
      <w:r>
        <w:rPr/>
        <w:t>积</w:t>
      </w:r>
      <w:r>
        <w:rPr>
          <w:spacing w:val="-52"/>
        </w:rPr>
        <w:t> </w:t>
      </w:r>
      <w:r>
        <w:rPr>
          <w:rFonts w:ascii="Times New Roman" w:hAnsi="Times New Roman" w:cs="Times New Roman" w:eastAsia="Times New Roman" w:hint="default"/>
          <w:spacing w:val="-1"/>
        </w:rPr>
        <w:t>10%</w:t>
      </w:r>
      <w:r>
        <w:rPr>
          <w:spacing w:val="-1"/>
        </w:rPr>
        <w:t>，计入当期利润分配；剩余未分配的利润由董事会提出利润分配预案报股东大会批准后实施，计入</w:t>
      </w:r>
      <w:r>
        <w:rPr/>
        <w:t> 实施当期的利润分配。</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ind w:left="113" w:right="359"/>
        <w:jc w:val="left"/>
        <w:rPr>
          <w:rFonts w:ascii="黑体" w:hAnsi="黑体" w:cs="黑体" w:eastAsia="黑体" w:hint="default"/>
        </w:rPr>
      </w:pPr>
      <w:r>
        <w:rPr>
          <w:rFonts w:ascii="黑体" w:hAnsi="黑体" w:cs="黑体" w:eastAsia="黑体" w:hint="default"/>
        </w:rPr>
        <w:t>三、税项</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18"/>
          <w:szCs w:val="18"/>
        </w:rPr>
      </w:pPr>
    </w:p>
    <w:p>
      <w:pPr>
        <w:pStyle w:val="BodyText"/>
        <w:spacing w:line="240" w:lineRule="auto"/>
        <w:ind w:left="114" w:right="359"/>
        <w:jc w:val="left"/>
      </w:pPr>
      <w:r>
        <w:rPr>
          <w:rFonts w:ascii="Times New Roman" w:hAnsi="Times New Roman" w:cs="Times New Roman" w:eastAsia="Times New Roman" w:hint="default"/>
          <w:b/>
          <w:bCs/>
        </w:rPr>
        <w:t>1</w:t>
      </w:r>
      <w:r>
        <w:rPr/>
        <w:t>、主要税种及税率</w:t>
      </w:r>
    </w:p>
    <w:p>
      <w:pPr>
        <w:spacing w:after="0" w:line="240" w:lineRule="auto"/>
        <w:jc w:val="left"/>
        <w:sectPr>
          <w:pgSz w:w="11900" w:h="16840"/>
          <w:pgMar w:header="0" w:footer="982" w:top="1360" w:bottom="1180" w:left="1020" w:right="960"/>
        </w:sectPr>
      </w:pPr>
    </w:p>
    <w:p>
      <w:pPr>
        <w:spacing w:line="240" w:lineRule="auto" w:before="11"/>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1475"/>
        <w:gridCol w:w="6502"/>
        <w:gridCol w:w="1892"/>
      </w:tblGrid>
      <w:tr>
        <w:trPr>
          <w:trHeight w:val="510" w:hRule="exact"/>
        </w:trPr>
        <w:tc>
          <w:tcPr>
            <w:tcW w:w="1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6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510" w:hRule="exact"/>
        </w:trPr>
        <w:tc>
          <w:tcPr>
            <w:tcW w:w="1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6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510" w:hRule="exact"/>
        </w:trPr>
        <w:tc>
          <w:tcPr>
            <w:tcW w:w="1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6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销售收入、修理修配劳务收入</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510" w:hRule="exact"/>
        </w:trPr>
        <w:tc>
          <w:tcPr>
            <w:tcW w:w="1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6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房地产销售收入、出租收入、劳务收入的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，运输及装卸收入的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510" w:hRule="exact"/>
        </w:trPr>
        <w:tc>
          <w:tcPr>
            <w:tcW w:w="1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6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房屋原值的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1.2%</w:t>
            </w:r>
          </w:p>
        </w:tc>
      </w:tr>
      <w:tr>
        <w:trPr>
          <w:trHeight w:val="510" w:hRule="exact"/>
        </w:trPr>
        <w:tc>
          <w:tcPr>
            <w:tcW w:w="1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6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房地产销售增值额</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超率累进税率</w:t>
            </w:r>
          </w:p>
        </w:tc>
      </w:tr>
    </w:tbl>
    <w:p>
      <w:pPr>
        <w:spacing w:line="240" w:lineRule="auto" w:before="2"/>
        <w:rPr>
          <w:rFonts w:ascii="宋体" w:hAnsi="宋体" w:cs="宋体" w:eastAsia="宋体" w:hint="default"/>
          <w:sz w:val="15"/>
          <w:szCs w:val="15"/>
        </w:rPr>
      </w:pPr>
    </w:p>
    <w:p>
      <w:pPr>
        <w:pStyle w:val="BodyText"/>
        <w:spacing w:line="240" w:lineRule="auto" w:before="35"/>
        <w:ind w:left="655" w:right="112"/>
        <w:jc w:val="left"/>
      </w:pPr>
      <w:r>
        <w:rPr/>
        <w:t>根据新企业所得税法，自</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日起，企业所得税率统一为</w:t>
      </w:r>
      <w:r>
        <w:rPr>
          <w:spacing w:val="-54"/>
        </w:rPr>
        <w:t> </w:t>
      </w:r>
      <w:r>
        <w:rPr>
          <w:rFonts w:ascii="Times New Roman" w:hAnsi="Times New Roman" w:cs="Times New Roman" w:eastAsia="Times New Roman" w:hint="default"/>
        </w:rPr>
        <w:t>25</w:t>
      </w:r>
      <w:r>
        <w:rPr/>
        <w:t>％。</w:t>
      </w:r>
    </w:p>
    <w:p>
      <w:pPr>
        <w:spacing w:line="240" w:lineRule="auto" w:before="1"/>
        <w:rPr>
          <w:rFonts w:ascii="宋体" w:hAnsi="宋体" w:cs="宋体" w:eastAsia="宋体" w:hint="default"/>
          <w:sz w:val="19"/>
          <w:szCs w:val="19"/>
        </w:rPr>
      </w:pPr>
    </w:p>
    <w:p>
      <w:pPr>
        <w:pStyle w:val="BodyText"/>
        <w:spacing w:line="240" w:lineRule="auto"/>
        <w:ind w:left="233" w:right="0"/>
        <w:jc w:val="both"/>
      </w:pPr>
      <w:r>
        <w:rPr/>
        <w:t>根据</w:t>
      </w:r>
      <w:r>
        <w:rPr>
          <w:rFonts w:ascii="Times New Roman" w:hAnsi="Times New Roman" w:cs="Times New Roman" w:eastAsia="Times New Roman" w:hint="default"/>
          <w:spacing w:val="-1"/>
        </w:rPr>
        <w:t>“</w:t>
      </w:r>
      <w:r>
        <w:rPr/>
        <w:t>国务</w:t>
      </w:r>
      <w:r>
        <w:rPr>
          <w:spacing w:val="1"/>
        </w:rPr>
        <w:t>院</w:t>
      </w:r>
      <w:r>
        <w:rPr/>
        <w:t>关于实施企业所得税过渡优惠政策的通知</w:t>
      </w:r>
      <w:r>
        <w:rPr>
          <w:rFonts w:ascii="Times New Roman" w:hAnsi="Times New Roman" w:cs="Times New Roman" w:eastAsia="Times New Roman" w:hint="default"/>
        </w:rPr>
        <w:t>”</w:t>
      </w:r>
      <w:r>
        <w:rPr/>
        <w:t>自</w:t>
      </w:r>
      <w:r>
        <w:rPr>
          <w:spacing w:val="-53"/>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rPr>
        <w:t>08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w:t>
      </w:r>
      <w:r>
        <w:rPr>
          <w:spacing w:val="-104"/>
        </w:rPr>
        <w:t>，</w:t>
      </w:r>
      <w:r>
        <w:rPr/>
        <w:t>原享受低税率优惠政策的企</w:t>
      </w:r>
    </w:p>
    <w:p>
      <w:pPr>
        <w:spacing w:line="240" w:lineRule="auto" w:before="1"/>
        <w:rPr>
          <w:rFonts w:ascii="宋体" w:hAnsi="宋体" w:cs="宋体" w:eastAsia="宋体" w:hint="default"/>
          <w:sz w:val="19"/>
          <w:szCs w:val="19"/>
        </w:rPr>
      </w:pPr>
    </w:p>
    <w:p>
      <w:pPr>
        <w:pStyle w:val="BodyText"/>
        <w:spacing w:line="446" w:lineRule="auto"/>
        <w:ind w:left="233" w:right="225" w:hanging="1"/>
        <w:jc w:val="both"/>
      </w:pPr>
      <w:r>
        <w:rPr>
          <w:spacing w:val="-4"/>
        </w:rPr>
        <w:t>业，在新税法施行后</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spacing w:val="-3"/>
        </w:rPr>
        <w:t>年内逐步过渡到法定税率。其中：享受企业所得税</w:t>
      </w:r>
      <w:r>
        <w:rPr>
          <w:spacing w:val="-49"/>
        </w:rPr>
        <w:t> </w:t>
      </w:r>
      <w:r>
        <w:rPr>
          <w:rFonts w:ascii="Times New Roman" w:hAnsi="Times New Roman" w:cs="Times New Roman" w:eastAsia="Times New Roman" w:hint="default"/>
          <w:spacing w:val="-3"/>
        </w:rPr>
        <w:t>15%</w:t>
      </w:r>
      <w:r>
        <w:rPr>
          <w:spacing w:val="-3"/>
        </w:rPr>
        <w:t>税率的企业，</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4"/>
        </w:rPr>
        <w:t> </w:t>
      </w:r>
      <w:r>
        <w:rPr/>
        <w:t>年按</w:t>
      </w:r>
      <w:r>
        <w:rPr>
          <w:spacing w:val="-50"/>
        </w:rPr>
        <w:t> </w:t>
      </w:r>
      <w:r>
        <w:rPr>
          <w:rFonts w:ascii="Times New Roman" w:hAnsi="Times New Roman" w:cs="Times New Roman" w:eastAsia="Times New Roman" w:hint="default"/>
        </w:rPr>
        <w:t>18% </w:t>
      </w:r>
      <w:r>
        <w:rPr>
          <w:spacing w:val="-3"/>
        </w:rPr>
        <w:t>税率执行，</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2"/>
        </w:rPr>
        <w:t> </w:t>
      </w:r>
      <w:r>
        <w:rPr/>
        <w:t>年按</w:t>
      </w:r>
      <w:r>
        <w:rPr>
          <w:spacing w:val="-52"/>
        </w:rPr>
        <w:t> </w:t>
      </w:r>
      <w:r>
        <w:rPr>
          <w:rFonts w:ascii="Times New Roman" w:hAnsi="Times New Roman" w:cs="Times New Roman" w:eastAsia="Times New Roman" w:hint="default"/>
          <w:spacing w:val="-2"/>
        </w:rPr>
        <w:t>20%</w:t>
      </w:r>
      <w:r>
        <w:rPr>
          <w:spacing w:val="-2"/>
        </w:rPr>
        <w:t>税率执行，</w:t>
      </w:r>
      <w:r>
        <w:rPr>
          <w:rFonts w:ascii="Times New Roman" w:hAnsi="Times New Roman" w:cs="Times New Roman" w:eastAsia="Times New Roman" w:hint="default"/>
          <w:spacing w:val="-2"/>
        </w:rPr>
        <w:t>2010</w:t>
      </w:r>
      <w:r>
        <w:rPr>
          <w:rFonts w:ascii="Times New Roman" w:hAnsi="Times New Roman" w:cs="Times New Roman" w:eastAsia="Times New Roman" w:hint="default"/>
          <w:spacing w:val="2"/>
        </w:rPr>
        <w:t> </w:t>
      </w:r>
      <w:r>
        <w:rPr/>
        <w:t>年按</w:t>
      </w:r>
      <w:r>
        <w:rPr>
          <w:spacing w:val="-52"/>
        </w:rPr>
        <w:t> </w:t>
      </w:r>
      <w:r>
        <w:rPr>
          <w:rFonts w:ascii="Times New Roman" w:hAnsi="Times New Roman" w:cs="Times New Roman" w:eastAsia="Times New Roman" w:hint="default"/>
          <w:spacing w:val="-3"/>
        </w:rPr>
        <w:t>22%</w:t>
      </w:r>
      <w:r>
        <w:rPr>
          <w:spacing w:val="-3"/>
        </w:rPr>
        <w:t>税率执行，</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年按</w:t>
      </w:r>
      <w:r>
        <w:rPr>
          <w:spacing w:val="-51"/>
        </w:rPr>
        <w:t> </w:t>
      </w:r>
      <w:r>
        <w:rPr>
          <w:rFonts w:ascii="Times New Roman" w:hAnsi="Times New Roman" w:cs="Times New Roman" w:eastAsia="Times New Roman" w:hint="default"/>
          <w:spacing w:val="-3"/>
        </w:rPr>
        <w:t>24%</w:t>
      </w:r>
      <w:r>
        <w:rPr>
          <w:spacing w:val="-3"/>
        </w:rPr>
        <w:t>税率执行，</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2"/>
        </w:rPr>
        <w:t> </w:t>
      </w:r>
      <w:r>
        <w:rPr/>
        <w:t>年按</w:t>
      </w:r>
      <w:r>
        <w:rPr>
          <w:spacing w:val="-52"/>
        </w:rPr>
        <w:t> </w:t>
      </w:r>
      <w:r>
        <w:rPr>
          <w:rFonts w:ascii="Times New Roman" w:hAnsi="Times New Roman" w:cs="Times New Roman" w:eastAsia="Times New Roman" w:hint="default"/>
        </w:rPr>
        <w:t>25%</w:t>
      </w:r>
      <w:r>
        <w:rPr/>
        <w:t>税 率执行；原执行</w:t>
      </w:r>
      <w:r>
        <w:rPr>
          <w:spacing w:val="-56"/>
        </w:rPr>
        <w:t> </w:t>
      </w:r>
      <w:r>
        <w:rPr>
          <w:rFonts w:ascii="Times New Roman" w:hAnsi="Times New Roman" w:cs="Times New Roman" w:eastAsia="Times New Roman" w:hint="default"/>
        </w:rPr>
        <w:t>24%</w:t>
      </w:r>
      <w:r>
        <w:rPr/>
        <w:t>税率的企业，</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年起按</w:t>
      </w:r>
      <w:r>
        <w:rPr>
          <w:spacing w:val="-57"/>
        </w:rPr>
        <w:t> </w:t>
      </w:r>
      <w:r>
        <w:rPr>
          <w:rFonts w:ascii="Times New Roman" w:hAnsi="Times New Roman" w:cs="Times New Roman" w:eastAsia="Times New Roman" w:hint="default"/>
        </w:rPr>
        <w:t>25%</w:t>
      </w:r>
      <w:r>
        <w:rPr/>
        <w:t>税率执行。</w:t>
      </w:r>
    </w:p>
    <w:p>
      <w:pPr>
        <w:pStyle w:val="BodyText"/>
        <w:spacing w:line="458" w:lineRule="auto" w:before="49"/>
        <w:ind w:left="234" w:right="225" w:firstLine="525"/>
        <w:jc w:val="both"/>
      </w:pPr>
      <w:r>
        <w:rPr/>
        <w:t>自</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日起，原享受企业所得税</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五免五减半</w:t>
      </w:r>
      <w:r>
        <w:rPr>
          <w:rFonts w:ascii="Times New Roman" w:hAnsi="Times New Roman" w:cs="Times New Roman" w:eastAsia="Times New Roman" w:hint="default"/>
        </w:rPr>
        <w:t>”</w:t>
      </w:r>
      <w:r>
        <w:rPr/>
        <w:t>等定期减免税优惠的企业， </w:t>
      </w:r>
      <w:r>
        <w:rPr>
          <w:spacing w:val="-1"/>
        </w:rPr>
        <w:t>新税法施行后继续按原税收法律、行政法规及相关文件规定的优惠办法及年限享受至期满为止，但因未获</w:t>
      </w:r>
      <w:r>
        <w:rPr>
          <w:spacing w:val="-81"/>
        </w:rPr>
        <w:t> </w:t>
      </w:r>
      <w:r>
        <w:rPr>
          <w:spacing w:val="-81"/>
        </w:rPr>
      </w:r>
      <w:r>
        <w:rPr/>
        <w:t>利而尚未享受税收优惠的，其优惠期限从</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年度起计算。</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2"/>
          <w:szCs w:val="22"/>
        </w:rPr>
      </w:pPr>
    </w:p>
    <w:p>
      <w:pPr>
        <w:pStyle w:val="BodyText"/>
        <w:spacing w:line="240" w:lineRule="auto"/>
        <w:ind w:left="234" w:right="0"/>
        <w:jc w:val="both"/>
      </w:pPr>
      <w:r>
        <w:rPr>
          <w:rFonts w:ascii="Times New Roman" w:hAnsi="Times New Roman" w:cs="Times New Roman" w:eastAsia="Times New Roman" w:hint="default"/>
          <w:b/>
          <w:bCs/>
        </w:rPr>
        <w:t>2</w:t>
      </w:r>
      <w:r>
        <w:rPr/>
        <w:t>、其他说明</w:t>
      </w:r>
    </w:p>
    <w:p>
      <w:pPr>
        <w:spacing w:line="240" w:lineRule="auto" w:before="1"/>
        <w:rPr>
          <w:rFonts w:ascii="宋体" w:hAnsi="宋体" w:cs="宋体" w:eastAsia="宋体" w:hint="default"/>
          <w:sz w:val="19"/>
          <w:szCs w:val="19"/>
        </w:rPr>
      </w:pPr>
    </w:p>
    <w:p>
      <w:pPr>
        <w:pStyle w:val="BodyText"/>
        <w:spacing w:line="446" w:lineRule="auto"/>
        <w:ind w:left="233" w:right="121" w:firstLine="421"/>
        <w:jc w:val="left"/>
      </w:pPr>
      <w:r>
        <w:rPr>
          <w:spacing w:val="-3"/>
        </w:rPr>
        <w:t>根据深圳市地方税务局《深圳市房地产开发企业土地增值税征收管理暂行办法》（深地税发</w:t>
      </w:r>
      <w:r>
        <w:rPr>
          <w:rFonts w:ascii="Times New Roman" w:hAnsi="Times New Roman" w:cs="Times New Roman" w:eastAsia="Times New Roman" w:hint="default"/>
          <w:spacing w:val="-3"/>
        </w:rPr>
        <w:t>[2005]521</w:t>
      </w:r>
      <w:r>
        <w:rPr>
          <w:rFonts w:ascii="Times New Roman" w:hAnsi="Times New Roman" w:cs="Times New Roman" w:eastAsia="Times New Roman" w:hint="default"/>
        </w:rPr>
        <w:t> </w:t>
      </w:r>
      <w:r>
        <w:rPr>
          <w:spacing w:val="-4"/>
        </w:rPr>
        <w:t>号）和《深圳市地方税务局关于土地增值税征收的管理有关的通知》（深地税发</w:t>
      </w:r>
      <w:r>
        <w:rPr>
          <w:rFonts w:ascii="Times New Roman" w:hAnsi="Times New Roman" w:cs="Times New Roman" w:eastAsia="Times New Roman" w:hint="default"/>
          <w:spacing w:val="-4"/>
        </w:rPr>
        <w:t>[2005]522</w:t>
      </w:r>
      <w:r>
        <w:rPr>
          <w:rFonts w:ascii="Times New Roman" w:hAnsi="Times New Roman" w:cs="Times New Roman" w:eastAsia="Times New Roman" w:hint="default"/>
        </w:rPr>
        <w:t> </w:t>
      </w:r>
      <w:r>
        <w:rPr>
          <w:spacing w:val="-29"/>
        </w:rPr>
        <w:t>号）、《深圳市地</w:t>
      </w:r>
      <w:r>
        <w:rPr>
          <w:spacing w:val="-77"/>
        </w:rPr>
        <w:t> </w:t>
      </w:r>
      <w:r>
        <w:rPr>
          <w:spacing w:val="-77"/>
        </w:rPr>
      </w:r>
      <w:r>
        <w:rPr>
          <w:spacing w:val="-4"/>
        </w:rPr>
        <w:t>方税务局关于调整我市土地增值税预征率的通告》（深地税告</w:t>
      </w:r>
      <w:r>
        <w:rPr/>
        <w:t> </w:t>
      </w:r>
      <w:r>
        <w:rPr>
          <w:spacing w:val="-1"/>
        </w:rPr>
        <w:t>【</w:t>
      </w:r>
      <w:r>
        <w:rPr>
          <w:rFonts w:ascii="Times New Roman" w:hAnsi="Times New Roman" w:cs="Times New Roman" w:eastAsia="Times New Roman" w:hint="default"/>
          <w:spacing w:val="-1"/>
        </w:rPr>
        <w:t>2008</w:t>
      </w:r>
      <w:r>
        <w:rPr>
          <w:spacing w:val="-1"/>
        </w:rPr>
        <w:t>】</w:t>
      </w:r>
      <w:r>
        <w:rPr>
          <w:rFonts w:ascii="Times New Roman" w:hAnsi="Times New Roman" w:cs="Times New Roman" w:eastAsia="Times New Roman" w:hint="default"/>
          <w:spacing w:val="-1"/>
        </w:rPr>
        <w:t>5</w:t>
      </w:r>
      <w:r>
        <w:rPr>
          <w:rFonts w:ascii="Times New Roman" w:hAnsi="Times New Roman" w:cs="Times New Roman" w:eastAsia="Times New Roman" w:hint="default"/>
        </w:rPr>
        <w:t> </w:t>
      </w:r>
      <w:r>
        <w:rPr>
          <w:spacing w:val="-1"/>
        </w:rPr>
        <w:t>号）文件的规定，自</w:t>
      </w:r>
      <w:r>
        <w:rPr/>
        <w:t> </w:t>
      </w:r>
      <w:r>
        <w:rPr>
          <w:rFonts w:ascii="Times New Roman" w:hAnsi="Times New Roman" w:cs="Times New Roman" w:eastAsia="Times New Roman" w:hint="default"/>
          <w:spacing w:val="-1"/>
        </w:rPr>
        <w:t>2005</w:t>
      </w:r>
      <w:r>
        <w:rPr>
          <w:rFonts w:ascii="Times New Roman" w:hAnsi="Times New Roman" w:cs="Times New Roman" w:eastAsia="Times New Roman" w:hint="default"/>
        </w:rPr>
        <w:t> </w:t>
      </w:r>
      <w:r>
        <w:rPr/>
        <w:t>年</w:t>
      </w:r>
      <w:r>
        <w:rPr>
          <w:spacing w:val="-85"/>
        </w:rPr>
        <w:t> </w:t>
      </w:r>
      <w:r>
        <w:rPr>
          <w:rFonts w:ascii="Times New Roman" w:hAnsi="Times New Roman" w:cs="Times New Roman" w:eastAsia="Times New Roman" w:hint="default"/>
          <w:spacing w:val="-8"/>
        </w:rPr>
        <w:t>11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spacing w:val="-3"/>
        </w:rPr>
        <w:t>日起，凡在深圳市注册的房地产开发企业，土地增值税征收采取</w:t>
      </w:r>
      <w:r>
        <w:rPr>
          <w:rFonts w:ascii="Times New Roman" w:hAnsi="Times New Roman" w:cs="Times New Roman" w:eastAsia="Times New Roman" w:hint="default"/>
          <w:spacing w:val="-3"/>
        </w:rPr>
        <w:t>“</w:t>
      </w:r>
      <w:r>
        <w:rPr>
          <w:spacing w:val="-3"/>
        </w:rPr>
        <w:t>先预征、后清算、多退少补</w:t>
      </w:r>
      <w:r>
        <w:rPr>
          <w:rFonts w:ascii="Times New Roman" w:hAnsi="Times New Roman" w:cs="Times New Roman" w:eastAsia="Times New Roman" w:hint="default"/>
          <w:spacing w:val="-3"/>
        </w:rPr>
        <w:t>”</w:t>
      </w:r>
      <w:r>
        <w:rPr>
          <w:spacing w:val="-3"/>
        </w:rPr>
        <w:t>的方式。</w:t>
      </w:r>
    </w:p>
    <w:p>
      <w:pPr>
        <w:pStyle w:val="BodyText"/>
        <w:spacing w:line="446" w:lineRule="auto" w:before="49"/>
        <w:ind w:left="233" w:right="174"/>
        <w:jc w:val="both"/>
      </w:pPr>
      <w:r>
        <w:rPr/>
        <w:t>从</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日土地增值税预征率如下：普通标准住宅按销售收入</w:t>
      </w:r>
      <w:r>
        <w:rPr>
          <w:spacing w:val="-54"/>
        </w:rPr>
        <w:t> </w:t>
      </w:r>
      <w:r>
        <w:rPr>
          <w:rFonts w:ascii="Times New Roman" w:hAnsi="Times New Roman" w:cs="Times New Roman" w:eastAsia="Times New Roman" w:hint="default"/>
        </w:rPr>
        <w:t>1%</w:t>
      </w:r>
      <w:r>
        <w:rPr/>
        <w:t>预征，别墅为</w:t>
      </w:r>
      <w:r>
        <w:rPr>
          <w:spacing w:val="-54"/>
        </w:rPr>
        <w:t> </w:t>
      </w:r>
      <w:r>
        <w:rPr>
          <w:rFonts w:ascii="Times New Roman" w:hAnsi="Times New Roman" w:cs="Times New Roman" w:eastAsia="Times New Roman" w:hint="default"/>
        </w:rPr>
        <w:t>3%</w:t>
      </w:r>
      <w:r>
        <w:rPr/>
        <w:t>，其他类型房 产为</w:t>
      </w:r>
      <w:r>
        <w:rPr>
          <w:spacing w:val="-59"/>
        </w:rPr>
        <w:t> </w:t>
      </w:r>
      <w:r>
        <w:rPr>
          <w:rFonts w:ascii="Times New Roman" w:hAnsi="Times New Roman" w:cs="Times New Roman" w:eastAsia="Times New Roman" w:hint="default"/>
        </w:rPr>
        <w:t>2%</w:t>
      </w:r>
      <w:r>
        <w:rPr/>
        <w:t>。据《深圳市人民政府关于对我市土地增值税“普通标准住宅”执行标准进行调整的批复》</w:t>
      </w:r>
      <w:r>
        <w:rPr>
          <w:rFonts w:ascii="Times New Roman" w:hAnsi="Times New Roman" w:cs="Times New Roman" w:eastAsia="Times New Roman" w:hint="default"/>
        </w:rPr>
        <w:t>(</w:t>
      </w:r>
      <w:r>
        <w:rPr/>
        <w:t>深府 办函</w:t>
      </w:r>
      <w:r>
        <w:rPr>
          <w:rFonts w:ascii="Times New Roman" w:hAnsi="Times New Roman" w:cs="Times New Roman" w:eastAsia="Times New Roman" w:hint="default"/>
        </w:rPr>
        <w:t>[2006]86 </w:t>
      </w:r>
      <w:r>
        <w:rPr/>
        <w:t>号</w:t>
      </w:r>
      <w:r>
        <w:rPr>
          <w:rFonts w:ascii="Times New Roman" w:hAnsi="Times New Roman" w:cs="Times New Roman" w:eastAsia="Times New Roman" w:hint="default"/>
        </w:rPr>
        <w:t>)</w:t>
      </w:r>
      <w:r>
        <w:rPr/>
        <w:t>规定，深圳市土地增值税</w:t>
      </w:r>
      <w:r>
        <w:rPr>
          <w:rFonts w:ascii="Times New Roman" w:hAnsi="Times New Roman" w:cs="Times New Roman" w:eastAsia="Times New Roman" w:hint="default"/>
        </w:rPr>
        <w:t>“</w:t>
      </w:r>
      <w:r>
        <w:rPr/>
        <w:t>普通标准住宅</w:t>
      </w:r>
      <w:r>
        <w:rPr>
          <w:rFonts w:ascii="Times New Roman" w:hAnsi="Times New Roman" w:cs="Times New Roman" w:eastAsia="Times New Roman" w:hint="default"/>
        </w:rPr>
        <w:t>”</w:t>
      </w:r>
      <w:r>
        <w:rPr/>
        <w:t>执行标准为：住宅小区建筑容积率在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以上、 单套住房套内建设面积</w:t>
      </w:r>
      <w:r>
        <w:rPr>
          <w:spacing w:val="-60"/>
        </w:rPr>
        <w:t> </w:t>
      </w:r>
      <w:r>
        <w:rPr>
          <w:rFonts w:ascii="Times New Roman" w:hAnsi="Times New Roman" w:cs="Times New Roman" w:eastAsia="Times New Roman" w:hint="default"/>
        </w:rPr>
        <w:t>120</w:t>
      </w:r>
      <w:r>
        <w:rPr>
          <w:rFonts w:ascii="Times New Roman" w:hAnsi="Times New Roman" w:cs="Times New Roman" w:eastAsia="Times New Roman" w:hint="default"/>
          <w:spacing w:val="-7"/>
        </w:rPr>
        <w:t> </w:t>
      </w:r>
      <w:r>
        <w:rPr/>
        <w:t>平方米以下或单套建筑面积</w:t>
      </w:r>
      <w:r>
        <w:rPr>
          <w:spacing w:val="-60"/>
        </w:rPr>
        <w:t> </w:t>
      </w:r>
      <w:r>
        <w:rPr>
          <w:rFonts w:ascii="Times New Roman" w:hAnsi="Times New Roman" w:cs="Times New Roman" w:eastAsia="Times New Roman" w:hint="default"/>
        </w:rPr>
        <w:t>144</w:t>
      </w:r>
      <w:r>
        <w:rPr>
          <w:rFonts w:ascii="Times New Roman" w:hAnsi="Times New Roman" w:cs="Times New Roman" w:eastAsia="Times New Roman" w:hint="default"/>
          <w:spacing w:val="-8"/>
        </w:rPr>
        <w:t> </w:t>
      </w:r>
      <w:r>
        <w:rPr/>
        <w:t>平方米以下、实际成交价格低于同级别土地上</w:t>
      </w:r>
    </w:p>
    <w:p>
      <w:pPr>
        <w:pStyle w:val="BodyText"/>
        <w:spacing w:line="240" w:lineRule="auto" w:before="49"/>
        <w:ind w:left="233" w:right="0"/>
        <w:jc w:val="both"/>
      </w:pPr>
      <w:r>
        <w:rPr/>
        <w:t>住房平均交易价格的</w:t>
      </w:r>
      <w:r>
        <w:rPr>
          <w:spacing w:val="-54"/>
        </w:rPr>
        <w:t> </w:t>
      </w:r>
      <w:r>
        <w:rPr>
          <w:rFonts w:ascii="Times New Roman" w:hAnsi="Times New Roman" w:cs="Times New Roman" w:eastAsia="Times New Roman" w:hint="default"/>
        </w:rPr>
        <w:t>1.44</w:t>
      </w:r>
      <w:r>
        <w:rPr>
          <w:rFonts w:ascii="Times New Roman" w:hAnsi="Times New Roman" w:cs="Times New Roman" w:eastAsia="Times New Roman" w:hint="default"/>
          <w:spacing w:val="-1"/>
        </w:rPr>
        <w:t> </w:t>
      </w:r>
      <w:r>
        <w:rPr/>
        <w:t>倍以下。</w:t>
      </w:r>
    </w:p>
    <w:p>
      <w:pPr>
        <w:spacing w:after="0" w:line="240" w:lineRule="auto"/>
        <w:jc w:val="both"/>
        <w:sectPr>
          <w:pgSz w:w="11900" w:h="16840"/>
          <w:pgMar w:header="0" w:footer="982" w:top="1320" w:bottom="1180" w:left="90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8"/>
        <w:ind w:left="233" w:right="0"/>
        <w:jc w:val="left"/>
        <w:rPr>
          <w:rFonts w:ascii="黑体" w:hAnsi="黑体" w:cs="黑体" w:eastAsia="黑体" w:hint="default"/>
        </w:rPr>
      </w:pPr>
      <w:r>
        <w:rPr>
          <w:rFonts w:ascii="黑体" w:hAnsi="黑体" w:cs="黑体" w:eastAsia="黑体" w:hint="default"/>
        </w:rPr>
        <w:t>四、企业合并及合并财务报表</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15"/>
          <w:szCs w:val="15"/>
        </w:rPr>
      </w:pPr>
    </w:p>
    <w:p>
      <w:pPr>
        <w:pStyle w:val="BodyText"/>
        <w:spacing w:line="240" w:lineRule="auto"/>
        <w:ind w:left="233" w:right="0"/>
        <w:jc w:val="left"/>
      </w:pPr>
      <w:r>
        <w:rPr>
          <w:rFonts w:ascii="Times New Roman" w:hAnsi="Times New Roman" w:cs="Times New Roman" w:eastAsia="Times New Roman" w:hint="default"/>
        </w:rPr>
        <w:t>1</w:t>
      </w:r>
      <w:r>
        <w:rPr/>
        <w:t>、子公司情况</w:t>
      </w:r>
    </w:p>
    <w:p>
      <w:pPr>
        <w:spacing w:line="240" w:lineRule="auto" w:before="3"/>
        <w:rPr>
          <w:rFonts w:ascii="宋体" w:hAnsi="宋体" w:cs="宋体" w:eastAsia="宋体" w:hint="default"/>
          <w:sz w:val="13"/>
          <w:szCs w:val="13"/>
        </w:rPr>
      </w:pPr>
    </w:p>
    <w:p>
      <w:pPr>
        <w:pStyle w:val="BodyText"/>
        <w:tabs>
          <w:tab w:pos="1049" w:val="left" w:leader="none"/>
        </w:tabs>
        <w:spacing w:line="240" w:lineRule="auto" w:before="35"/>
        <w:ind w:left="0" w:right="23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348"/>
        <w:gridCol w:w="1012"/>
        <w:gridCol w:w="694"/>
        <w:gridCol w:w="1270"/>
        <w:gridCol w:w="1019"/>
        <w:gridCol w:w="1022"/>
        <w:gridCol w:w="1428"/>
        <w:gridCol w:w="902"/>
        <w:gridCol w:w="751"/>
        <w:gridCol w:w="946"/>
        <w:gridCol w:w="1150"/>
        <w:gridCol w:w="1097"/>
        <w:gridCol w:w="1163"/>
      </w:tblGrid>
      <w:tr>
        <w:trPr>
          <w:trHeight w:val="833"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子公司全称</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子公司类型</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注册地</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479" w:right="103" w:hanging="376"/>
              <w:jc w:val="left"/>
              <w:rPr>
                <w:rFonts w:ascii="宋体" w:hAnsi="宋体" w:cs="宋体" w:eastAsia="宋体" w:hint="default"/>
                <w:sz w:val="15"/>
                <w:szCs w:val="15"/>
              </w:rPr>
            </w:pPr>
            <w:r>
              <w:rPr>
                <w:rFonts w:ascii="宋体" w:hAnsi="宋体" w:cs="宋体" w:eastAsia="宋体" w:hint="default"/>
                <w:sz w:val="15"/>
                <w:szCs w:val="15"/>
              </w:rPr>
              <w:t>业务性质及经营 范围</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195" w:lineRule="exact"/>
              <w:ind w:left="203" w:right="0"/>
              <w:jc w:val="left"/>
              <w:rPr>
                <w:rFonts w:ascii="宋体" w:hAnsi="宋体" w:cs="宋体" w:eastAsia="宋体" w:hint="default"/>
                <w:sz w:val="15"/>
                <w:szCs w:val="15"/>
              </w:rPr>
            </w:pPr>
            <w:r>
              <w:rPr>
                <w:rFonts w:ascii="宋体" w:hAnsi="宋体" w:cs="宋体" w:eastAsia="宋体" w:hint="default"/>
                <w:sz w:val="15"/>
                <w:szCs w:val="15"/>
              </w:rPr>
              <w:t>注册资本</w:t>
            </w:r>
          </w:p>
          <w:p>
            <w:pPr>
              <w:pStyle w:val="TableParagraph"/>
              <w:spacing w:line="195" w:lineRule="exact"/>
              <w:ind w:left="203"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103" w:right="25" w:firstLine="28"/>
              <w:jc w:val="left"/>
              <w:rPr>
                <w:rFonts w:ascii="宋体" w:hAnsi="宋体" w:cs="宋体" w:eastAsia="宋体" w:hint="default"/>
                <w:sz w:val="15"/>
                <w:szCs w:val="15"/>
              </w:rPr>
            </w:pPr>
            <w:r>
              <w:rPr>
                <w:rFonts w:ascii="宋体" w:hAnsi="宋体" w:cs="宋体" w:eastAsia="宋体" w:hint="default"/>
                <w:sz w:val="15"/>
                <w:szCs w:val="15"/>
              </w:rPr>
              <w:t>期末实际出 </w:t>
            </w:r>
            <w:r>
              <w:rPr>
                <w:rFonts w:ascii="宋体" w:hAnsi="宋体" w:cs="宋体" w:eastAsia="宋体" w:hint="default"/>
                <w:spacing w:val="-3"/>
                <w:sz w:val="15"/>
                <w:szCs w:val="15"/>
              </w:rPr>
              <w:t>资额（万元）</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9" w:right="107"/>
              <w:jc w:val="center"/>
              <w:rPr>
                <w:rFonts w:ascii="宋体" w:hAnsi="宋体" w:cs="宋体" w:eastAsia="宋体" w:hint="default"/>
                <w:sz w:val="15"/>
                <w:szCs w:val="15"/>
              </w:rPr>
            </w:pPr>
            <w:r>
              <w:rPr>
                <w:rFonts w:ascii="宋体" w:hAnsi="宋体" w:cs="宋体" w:eastAsia="宋体" w:hint="default"/>
                <w:sz w:val="15"/>
                <w:szCs w:val="15"/>
              </w:rPr>
              <w:t>实质上构成对子公 司净投资的其他项 目余额</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持股比例</w:t>
            </w:r>
          </w:p>
          <w:p>
            <w:pPr>
              <w:pStyle w:val="TableParagraph"/>
              <w:spacing w:line="240" w:lineRule="auto" w:before="19"/>
              <w:ind w:right="0"/>
              <w:jc w:val="center"/>
              <w:rPr>
                <w:rFonts w:ascii="Times New Roman" w:hAnsi="Times New Roman" w:cs="Times New Roman" w:eastAsia="Times New Roman" w:hint="default"/>
                <w:sz w:val="15"/>
                <w:szCs w:val="15"/>
              </w:rPr>
            </w:pPr>
            <w:r>
              <w:rPr>
                <w:rFonts w:ascii="Times New Roman"/>
                <w:sz w:val="15"/>
              </w:rPr>
              <w:t>(%)</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08" w:right="106" w:firstLine="37"/>
              <w:jc w:val="left"/>
              <w:rPr>
                <w:rFonts w:ascii="Times New Roman" w:hAnsi="Times New Roman" w:cs="Times New Roman" w:eastAsia="Times New Roman" w:hint="default"/>
                <w:sz w:val="15"/>
                <w:szCs w:val="15"/>
              </w:rPr>
            </w:pPr>
            <w:r>
              <w:rPr>
                <w:rFonts w:ascii="宋体" w:hAnsi="宋体" w:cs="宋体" w:eastAsia="宋体" w:hint="default"/>
                <w:sz w:val="15"/>
                <w:szCs w:val="15"/>
              </w:rPr>
              <w:t>表决权 比例</w:t>
            </w:r>
            <w:r>
              <w:rPr>
                <w:rFonts w:ascii="Times New Roman" w:hAnsi="Times New Roman" w:cs="Times New Roman" w:eastAsia="Times New Roman" w:hint="default"/>
                <w:sz w:val="15"/>
                <w:szCs w:val="15"/>
              </w:rPr>
              <w:t>(%)</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18" w:right="166" w:hanging="150"/>
              <w:jc w:val="left"/>
              <w:rPr>
                <w:rFonts w:ascii="宋体" w:hAnsi="宋体" w:cs="宋体" w:eastAsia="宋体" w:hint="default"/>
                <w:sz w:val="15"/>
                <w:szCs w:val="15"/>
              </w:rPr>
            </w:pPr>
            <w:r>
              <w:rPr>
                <w:rFonts w:ascii="宋体" w:hAnsi="宋体" w:cs="宋体" w:eastAsia="宋体" w:hint="default"/>
                <w:sz w:val="15"/>
                <w:szCs w:val="15"/>
              </w:rPr>
              <w:t>是否合并 报表</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19"/>
              <w:jc w:val="right"/>
              <w:rPr>
                <w:rFonts w:ascii="宋体" w:hAnsi="宋体" w:cs="宋体" w:eastAsia="宋体" w:hint="default"/>
                <w:sz w:val="15"/>
                <w:szCs w:val="15"/>
              </w:rPr>
            </w:pPr>
            <w:r>
              <w:rPr>
                <w:rFonts w:ascii="宋体" w:hAnsi="宋体" w:cs="宋体" w:eastAsia="宋体" w:hint="default"/>
                <w:sz w:val="15"/>
                <w:szCs w:val="15"/>
              </w:rPr>
              <w:t>少数股东权益</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18" w:right="167" w:hanging="150"/>
              <w:jc w:val="left"/>
              <w:rPr>
                <w:rFonts w:ascii="宋体" w:hAnsi="宋体" w:cs="宋体" w:eastAsia="宋体" w:hint="default"/>
                <w:sz w:val="15"/>
                <w:szCs w:val="15"/>
              </w:rPr>
            </w:pPr>
            <w:r>
              <w:rPr>
                <w:rFonts w:ascii="宋体" w:hAnsi="宋体" w:cs="宋体" w:eastAsia="宋体" w:hint="default"/>
                <w:sz w:val="15"/>
                <w:szCs w:val="15"/>
              </w:rPr>
              <w:t>少数股东累 计亏损</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275" w:right="131" w:hanging="150"/>
              <w:jc w:val="left"/>
              <w:rPr>
                <w:rFonts w:ascii="宋体" w:hAnsi="宋体" w:cs="宋体" w:eastAsia="宋体" w:hint="default"/>
                <w:sz w:val="15"/>
                <w:szCs w:val="15"/>
              </w:rPr>
            </w:pPr>
            <w:r>
              <w:rPr>
                <w:rFonts w:ascii="宋体" w:hAnsi="宋体" w:cs="宋体" w:eastAsia="宋体" w:hint="default"/>
                <w:sz w:val="15"/>
                <w:szCs w:val="15"/>
              </w:rPr>
              <w:t>母公司承担的 超额亏损</w:t>
            </w:r>
          </w:p>
        </w:tc>
      </w:tr>
      <w:tr>
        <w:trPr>
          <w:trHeight w:val="510"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出租车行业：</w:t>
            </w:r>
          </w:p>
        </w:tc>
        <w:tc>
          <w:tcPr>
            <w:tcW w:w="101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深圳市迅达汽车运输企业公司</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公路运输</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1280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1280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24"/>
              <w:jc w:val="right"/>
              <w:rPr>
                <w:rFonts w:ascii="Times New Roman" w:hAnsi="Times New Roman" w:cs="Times New Roman" w:eastAsia="Times New Roman" w:hint="default"/>
                <w:sz w:val="15"/>
                <w:szCs w:val="15"/>
              </w:rPr>
            </w:pPr>
            <w:r>
              <w:rPr>
                <w:rFonts w:ascii="Times New Roman"/>
                <w:sz w:val="15"/>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1"/>
              <w:jc w:val="center"/>
              <w:rPr>
                <w:rFonts w:ascii="宋体" w:hAnsi="宋体" w:cs="宋体" w:eastAsia="宋体" w:hint="default"/>
                <w:sz w:val="15"/>
                <w:szCs w:val="15"/>
              </w:rPr>
            </w:pPr>
            <w:r>
              <w:rPr>
                <w:rFonts w:ascii="宋体" w:hAnsi="宋体" w:cs="宋体" w:eastAsia="宋体" w:hint="default"/>
                <w:sz w:val="15"/>
                <w:szCs w:val="15"/>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62"/>
              <w:jc w:val="right"/>
              <w:rPr>
                <w:rFonts w:ascii="Times New Roman" w:hAnsi="Times New Roman" w:cs="Times New Roman" w:eastAsia="Times New Roman" w:hint="default"/>
                <w:sz w:val="15"/>
                <w:szCs w:val="15"/>
              </w:rPr>
            </w:pPr>
            <w:r>
              <w:rPr>
                <w:rFonts w:ascii="Times New Roman"/>
                <w:sz w:val="15"/>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9"/>
              <w:jc w:val="right"/>
              <w:rPr>
                <w:rFonts w:ascii="Times New Roman" w:hAnsi="Times New Roman" w:cs="Times New Roman" w:eastAsia="Times New Roman" w:hint="default"/>
                <w:sz w:val="15"/>
                <w:szCs w:val="15"/>
              </w:rPr>
            </w:pPr>
            <w:r>
              <w:rPr>
                <w:rFonts w:ascii="Times New Roman"/>
                <w:sz w:val="15"/>
              </w:rPr>
              <w:t>-</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80"/>
              <w:jc w:val="right"/>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西安鸿基运输有限公司</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西安</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1"/>
              <w:jc w:val="center"/>
              <w:rPr>
                <w:rFonts w:ascii="宋体" w:hAnsi="宋体" w:cs="宋体" w:eastAsia="宋体" w:hint="default"/>
                <w:sz w:val="15"/>
                <w:szCs w:val="15"/>
              </w:rPr>
            </w:pPr>
            <w:r>
              <w:rPr>
                <w:rFonts w:ascii="宋体" w:hAnsi="宋体" w:cs="宋体" w:eastAsia="宋体" w:hint="default"/>
                <w:sz w:val="15"/>
                <w:szCs w:val="15"/>
              </w:rPr>
              <w:t>小汽车出租</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2000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24"/>
              <w:jc w:val="right"/>
              <w:rPr>
                <w:rFonts w:ascii="Times New Roman" w:hAnsi="Times New Roman" w:cs="Times New Roman" w:eastAsia="Times New Roman" w:hint="default"/>
                <w:sz w:val="15"/>
                <w:szCs w:val="15"/>
              </w:rPr>
            </w:pPr>
            <w:r>
              <w:rPr>
                <w:rFonts w:ascii="Times New Roman"/>
                <w:sz w:val="15"/>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80%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80%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1"/>
              <w:jc w:val="center"/>
              <w:rPr>
                <w:rFonts w:ascii="宋体" w:hAnsi="宋体" w:cs="宋体" w:eastAsia="宋体" w:hint="default"/>
                <w:sz w:val="15"/>
                <w:szCs w:val="15"/>
              </w:rPr>
            </w:pPr>
            <w:r>
              <w:rPr>
                <w:rFonts w:ascii="宋体" w:hAnsi="宋体" w:cs="宋体" w:eastAsia="宋体" w:hint="default"/>
                <w:sz w:val="15"/>
                <w:szCs w:val="15"/>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4,343,771.45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9"/>
              <w:jc w:val="right"/>
              <w:rPr>
                <w:rFonts w:ascii="Times New Roman" w:hAnsi="Times New Roman" w:cs="Times New Roman" w:eastAsia="Times New Roman" w:hint="default"/>
                <w:sz w:val="15"/>
                <w:szCs w:val="15"/>
              </w:rPr>
            </w:pPr>
            <w:r>
              <w:rPr>
                <w:rFonts w:ascii="Times New Roman"/>
                <w:sz w:val="15"/>
              </w:rPr>
              <w:t>-</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80"/>
              <w:jc w:val="right"/>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酒店管理、餐饮行业：</w:t>
            </w:r>
          </w:p>
        </w:tc>
        <w:tc>
          <w:tcPr>
            <w:tcW w:w="101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深圳市鸿基酒店管理有限公司</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酒店管理</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23"/>
              <w:jc w:val="right"/>
              <w:rPr>
                <w:rFonts w:ascii="Times New Roman" w:hAnsi="Times New Roman" w:cs="Times New Roman" w:eastAsia="Times New Roman" w:hint="default"/>
                <w:sz w:val="15"/>
                <w:szCs w:val="15"/>
              </w:rPr>
            </w:pPr>
            <w:r>
              <w:rPr>
                <w:rFonts w:ascii="Times New Roman"/>
                <w:sz w:val="15"/>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95.50%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95.50%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1"/>
              <w:jc w:val="center"/>
              <w:rPr>
                <w:rFonts w:ascii="宋体" w:hAnsi="宋体" w:cs="宋体" w:eastAsia="宋体" w:hint="default"/>
                <w:sz w:val="15"/>
                <w:szCs w:val="15"/>
              </w:rPr>
            </w:pPr>
            <w:r>
              <w:rPr>
                <w:rFonts w:ascii="宋体" w:hAnsi="宋体" w:cs="宋体" w:eastAsia="宋体" w:hint="default"/>
                <w:sz w:val="15"/>
                <w:szCs w:val="15"/>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785,243.33</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9"/>
              <w:jc w:val="right"/>
              <w:rPr>
                <w:rFonts w:ascii="Times New Roman" w:hAnsi="Times New Roman" w:cs="Times New Roman" w:eastAsia="Times New Roman" w:hint="default"/>
                <w:sz w:val="15"/>
                <w:szCs w:val="15"/>
              </w:rPr>
            </w:pPr>
            <w:r>
              <w:rPr>
                <w:rFonts w:ascii="Times New Roman"/>
                <w:sz w:val="15"/>
              </w:rPr>
              <w:t>-</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80"/>
              <w:jc w:val="right"/>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深圳市深运工贸企业有限公司</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1"/>
              <w:jc w:val="center"/>
              <w:rPr>
                <w:rFonts w:ascii="宋体" w:hAnsi="宋体" w:cs="宋体" w:eastAsia="宋体" w:hint="default"/>
                <w:sz w:val="15"/>
                <w:szCs w:val="15"/>
              </w:rPr>
            </w:pPr>
            <w:r>
              <w:rPr>
                <w:rFonts w:ascii="宋体" w:hAnsi="宋体" w:cs="宋体" w:eastAsia="宋体" w:hint="default"/>
                <w:sz w:val="15"/>
                <w:szCs w:val="15"/>
              </w:rPr>
              <w:t>贸易、旅店</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1,900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23"/>
              <w:jc w:val="right"/>
              <w:rPr>
                <w:rFonts w:ascii="Times New Roman" w:hAnsi="Times New Roman" w:cs="Times New Roman" w:eastAsia="Times New Roman" w:hint="default"/>
                <w:sz w:val="15"/>
                <w:szCs w:val="15"/>
              </w:rPr>
            </w:pPr>
            <w:r>
              <w:rPr>
                <w:rFonts w:ascii="Times New Roman"/>
                <w:sz w:val="15"/>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95%</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1"/>
              <w:jc w:val="center"/>
              <w:rPr>
                <w:rFonts w:ascii="宋体" w:hAnsi="宋体" w:cs="宋体" w:eastAsia="宋体" w:hint="default"/>
                <w:sz w:val="15"/>
                <w:szCs w:val="15"/>
              </w:rPr>
            </w:pPr>
            <w:r>
              <w:rPr>
                <w:rFonts w:ascii="宋体" w:hAnsi="宋体" w:cs="宋体" w:eastAsia="宋体" w:hint="default"/>
                <w:sz w:val="15"/>
                <w:szCs w:val="15"/>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1,896,404.67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9"/>
              <w:jc w:val="right"/>
              <w:rPr>
                <w:rFonts w:ascii="Times New Roman" w:hAnsi="Times New Roman" w:cs="Times New Roman" w:eastAsia="Times New Roman" w:hint="default"/>
                <w:sz w:val="15"/>
                <w:szCs w:val="15"/>
              </w:rPr>
            </w:pPr>
            <w:r>
              <w:rPr>
                <w:rFonts w:ascii="Times New Roman"/>
                <w:sz w:val="15"/>
              </w:rPr>
              <w:t>-</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80"/>
              <w:jc w:val="right"/>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西安海都饭店有限公司</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西安</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饮食、酒水等</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23"/>
              <w:jc w:val="right"/>
              <w:rPr>
                <w:rFonts w:ascii="Times New Roman" w:hAnsi="Times New Roman" w:cs="Times New Roman" w:eastAsia="Times New Roman" w:hint="default"/>
                <w:sz w:val="15"/>
                <w:szCs w:val="15"/>
              </w:rPr>
            </w:pPr>
            <w:r>
              <w:rPr>
                <w:rFonts w:ascii="Times New Roman"/>
                <w:sz w:val="15"/>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99%</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99%</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1"/>
              <w:jc w:val="center"/>
              <w:rPr>
                <w:rFonts w:ascii="宋体" w:hAnsi="宋体" w:cs="宋体" w:eastAsia="宋体" w:hint="default"/>
                <w:sz w:val="15"/>
                <w:szCs w:val="15"/>
              </w:rPr>
            </w:pPr>
            <w:r>
              <w:rPr>
                <w:rFonts w:ascii="宋体" w:hAnsi="宋体" w:cs="宋体" w:eastAsia="宋体" w:hint="default"/>
                <w:sz w:val="15"/>
                <w:szCs w:val="15"/>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62"/>
              <w:jc w:val="right"/>
              <w:rPr>
                <w:rFonts w:ascii="Times New Roman" w:hAnsi="Times New Roman" w:cs="Times New Roman" w:eastAsia="Times New Roman" w:hint="default"/>
                <w:sz w:val="15"/>
                <w:szCs w:val="15"/>
              </w:rPr>
            </w:pPr>
            <w:r>
              <w:rPr>
                <w:rFonts w:ascii="Times New Roman"/>
                <w:sz w:val="15"/>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10,000.00</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224,029.45</w:t>
            </w:r>
          </w:p>
        </w:tc>
      </w:tr>
      <w:tr>
        <w:trPr>
          <w:trHeight w:val="510"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房地产开发、物业管理行业</w:t>
            </w:r>
            <w:r>
              <w:rPr>
                <w:rFonts w:ascii="Times New Roman" w:hAnsi="Times New Roman" w:cs="Times New Roman" w:eastAsia="Times New Roman" w:hint="default"/>
                <w:b/>
                <w:bCs/>
                <w:sz w:val="15"/>
                <w:szCs w:val="15"/>
              </w:rPr>
              <w:t>:</w:t>
            </w:r>
            <w:r>
              <w:rPr>
                <w:rFonts w:ascii="Times New Roman" w:hAnsi="Times New Roman" w:cs="Times New Roman" w:eastAsia="Times New Roman" w:hint="default"/>
                <w:sz w:val="15"/>
                <w:szCs w:val="15"/>
              </w:rPr>
            </w:r>
          </w:p>
        </w:tc>
        <w:tc>
          <w:tcPr>
            <w:tcW w:w="101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深圳市鸿基房地产有限公司</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1"/>
              <w:jc w:val="center"/>
              <w:rPr>
                <w:rFonts w:ascii="宋体" w:hAnsi="宋体" w:cs="宋体" w:eastAsia="宋体" w:hint="default"/>
                <w:sz w:val="15"/>
                <w:szCs w:val="15"/>
              </w:rPr>
            </w:pPr>
            <w:r>
              <w:rPr>
                <w:rFonts w:ascii="宋体" w:hAnsi="宋体" w:cs="宋体" w:eastAsia="宋体" w:hint="default"/>
                <w:sz w:val="15"/>
                <w:szCs w:val="15"/>
              </w:rPr>
              <w:t>房地产开发</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5,000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4,500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23"/>
              <w:jc w:val="right"/>
              <w:rPr>
                <w:rFonts w:ascii="Times New Roman" w:hAnsi="Times New Roman" w:cs="Times New Roman" w:eastAsia="Times New Roman" w:hint="default"/>
                <w:sz w:val="15"/>
                <w:szCs w:val="15"/>
              </w:rPr>
            </w:pPr>
            <w:r>
              <w:rPr>
                <w:rFonts w:ascii="Times New Roman"/>
                <w:sz w:val="15"/>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1"/>
              <w:jc w:val="center"/>
              <w:rPr>
                <w:rFonts w:ascii="宋体" w:hAnsi="宋体" w:cs="宋体" w:eastAsia="宋体" w:hint="default"/>
                <w:sz w:val="15"/>
                <w:szCs w:val="15"/>
              </w:rPr>
            </w:pPr>
            <w:r>
              <w:rPr>
                <w:rFonts w:ascii="宋体" w:hAnsi="宋体" w:cs="宋体" w:eastAsia="宋体" w:hint="default"/>
                <w:sz w:val="15"/>
                <w:szCs w:val="15"/>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7,733,782.21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9"/>
              <w:jc w:val="right"/>
              <w:rPr>
                <w:rFonts w:ascii="Times New Roman" w:hAnsi="Times New Roman" w:cs="Times New Roman" w:eastAsia="Times New Roman" w:hint="default"/>
                <w:sz w:val="15"/>
                <w:szCs w:val="15"/>
              </w:rPr>
            </w:pPr>
            <w:r>
              <w:rPr>
                <w:rFonts w:ascii="Times New Roman"/>
                <w:sz w:val="15"/>
              </w:rPr>
              <w:t>-</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80"/>
              <w:jc w:val="right"/>
              <w:rPr>
                <w:rFonts w:ascii="Times New Roman" w:hAnsi="Times New Roman" w:cs="Times New Roman" w:eastAsia="Times New Roman" w:hint="default"/>
                <w:sz w:val="15"/>
                <w:szCs w:val="15"/>
              </w:rPr>
            </w:pPr>
            <w:r>
              <w:rPr>
                <w:rFonts w:ascii="Times New Roman"/>
                <w:sz w:val="15"/>
              </w:rPr>
              <w:t>-</w:t>
            </w:r>
          </w:p>
        </w:tc>
      </w:tr>
      <w:tr>
        <w:trPr>
          <w:trHeight w:val="520"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深圳市凯方实业发展有限公司</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79" w:right="103" w:hanging="376"/>
              <w:jc w:val="left"/>
              <w:rPr>
                <w:rFonts w:ascii="宋体" w:hAnsi="宋体" w:cs="宋体" w:eastAsia="宋体" w:hint="default"/>
                <w:sz w:val="15"/>
                <w:szCs w:val="15"/>
              </w:rPr>
            </w:pPr>
            <w:r>
              <w:rPr>
                <w:rFonts w:ascii="宋体" w:hAnsi="宋体" w:cs="宋体" w:eastAsia="宋体" w:hint="default"/>
                <w:sz w:val="15"/>
                <w:szCs w:val="15"/>
              </w:rPr>
              <w:t>物资供销、兴办 实业</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1,500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1,050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23"/>
              <w:jc w:val="right"/>
              <w:rPr>
                <w:rFonts w:ascii="Times New Roman" w:hAnsi="Times New Roman" w:cs="Times New Roman" w:eastAsia="Times New Roman" w:hint="default"/>
                <w:sz w:val="15"/>
                <w:szCs w:val="15"/>
              </w:rPr>
            </w:pPr>
            <w:r>
              <w:rPr>
                <w:rFonts w:ascii="Times New Roman"/>
                <w:sz w:val="15"/>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70%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70%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62"/>
              <w:jc w:val="right"/>
              <w:rPr>
                <w:rFonts w:ascii="Times New Roman" w:hAnsi="Times New Roman" w:cs="Times New Roman" w:eastAsia="Times New Roman" w:hint="default"/>
                <w:sz w:val="15"/>
                <w:szCs w:val="15"/>
              </w:rPr>
            </w:pPr>
            <w:r>
              <w:rPr>
                <w:rFonts w:ascii="Times New Roman"/>
                <w:sz w:val="15"/>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4,500,000.00</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7,259,704.47</w:t>
            </w:r>
          </w:p>
        </w:tc>
      </w:tr>
      <w:tr>
        <w:trPr>
          <w:trHeight w:val="520"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深圳市凯方房地产开发有限公司</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04" w:right="103" w:hanging="300"/>
              <w:jc w:val="left"/>
              <w:rPr>
                <w:rFonts w:ascii="宋体" w:hAnsi="宋体" w:cs="宋体" w:eastAsia="宋体" w:hint="default"/>
                <w:sz w:val="15"/>
                <w:szCs w:val="15"/>
              </w:rPr>
            </w:pPr>
            <w:r>
              <w:rPr>
                <w:rFonts w:ascii="宋体" w:hAnsi="宋体" w:cs="宋体" w:eastAsia="宋体" w:hint="default"/>
                <w:sz w:val="15"/>
                <w:szCs w:val="15"/>
              </w:rPr>
              <w:t>房地产开发、物 业管理</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3,000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23"/>
              <w:jc w:val="right"/>
              <w:rPr>
                <w:rFonts w:ascii="Times New Roman" w:hAnsi="Times New Roman" w:cs="Times New Roman" w:eastAsia="Times New Roman" w:hint="default"/>
                <w:sz w:val="15"/>
                <w:szCs w:val="15"/>
              </w:rPr>
            </w:pPr>
            <w:r>
              <w:rPr>
                <w:rFonts w:ascii="Times New Roman"/>
                <w:sz w:val="15"/>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95%</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882,127.55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617,872.45</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80"/>
              <w:jc w:val="right"/>
              <w:rPr>
                <w:rFonts w:ascii="Times New Roman" w:hAnsi="Times New Roman" w:cs="Times New Roman" w:eastAsia="Times New Roman" w:hint="default"/>
                <w:sz w:val="15"/>
                <w:szCs w:val="15"/>
              </w:rPr>
            </w:pPr>
            <w:r>
              <w:rPr>
                <w:rFonts w:ascii="Times New Roman"/>
                <w:sz w:val="15"/>
              </w:rPr>
              <w:t>-</w:t>
            </w:r>
          </w:p>
        </w:tc>
      </w:tr>
    </w:tbl>
    <w:p>
      <w:pPr>
        <w:spacing w:after="0" w:line="240" w:lineRule="auto"/>
        <w:jc w:val="right"/>
        <w:rPr>
          <w:rFonts w:ascii="Times New Roman" w:hAnsi="Times New Roman" w:cs="Times New Roman" w:eastAsia="Times New Roman" w:hint="default"/>
          <w:sz w:val="15"/>
          <w:szCs w:val="15"/>
        </w:rPr>
        <w:sectPr>
          <w:footerReference w:type="default" r:id="rId15"/>
          <w:pgSz w:w="16840" w:h="11900" w:orient="landscape"/>
          <w:pgMar w:footer="954" w:header="0" w:top="1100" w:bottom="1140" w:left="900" w:right="900"/>
          <w:pgNumType w:start="3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2348"/>
        <w:gridCol w:w="1012"/>
        <w:gridCol w:w="694"/>
        <w:gridCol w:w="1270"/>
        <w:gridCol w:w="1019"/>
        <w:gridCol w:w="1022"/>
        <w:gridCol w:w="1428"/>
        <w:gridCol w:w="902"/>
        <w:gridCol w:w="751"/>
        <w:gridCol w:w="946"/>
        <w:gridCol w:w="1150"/>
        <w:gridCol w:w="1097"/>
        <w:gridCol w:w="1163"/>
      </w:tblGrid>
      <w:tr>
        <w:trPr>
          <w:trHeight w:val="834"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7"/>
              <w:ind w:left="19" w:right="0"/>
              <w:jc w:val="center"/>
              <w:rPr>
                <w:rFonts w:ascii="宋体" w:hAnsi="宋体" w:cs="宋体" w:eastAsia="宋体" w:hint="default"/>
                <w:sz w:val="15"/>
                <w:szCs w:val="15"/>
              </w:rPr>
            </w:pPr>
            <w:r>
              <w:rPr>
                <w:rFonts w:ascii="宋体" w:hAnsi="宋体" w:cs="宋体" w:eastAsia="宋体" w:hint="default"/>
                <w:sz w:val="15"/>
                <w:szCs w:val="15"/>
              </w:rPr>
              <w:t>子公司全称</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7"/>
              <w:ind w:right="0"/>
              <w:jc w:val="center"/>
              <w:rPr>
                <w:rFonts w:ascii="宋体" w:hAnsi="宋体" w:cs="宋体" w:eastAsia="宋体" w:hint="default"/>
                <w:sz w:val="15"/>
                <w:szCs w:val="15"/>
              </w:rPr>
            </w:pPr>
            <w:r>
              <w:rPr>
                <w:rFonts w:ascii="宋体" w:hAnsi="宋体" w:cs="宋体" w:eastAsia="宋体" w:hint="default"/>
                <w:sz w:val="15"/>
                <w:szCs w:val="15"/>
              </w:rPr>
              <w:t>子公司类型</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7"/>
              <w:ind w:right="1"/>
              <w:jc w:val="center"/>
              <w:rPr>
                <w:rFonts w:ascii="宋体" w:hAnsi="宋体" w:cs="宋体" w:eastAsia="宋体" w:hint="default"/>
                <w:sz w:val="15"/>
                <w:szCs w:val="15"/>
              </w:rPr>
            </w:pPr>
            <w:r>
              <w:rPr>
                <w:rFonts w:ascii="宋体" w:hAnsi="宋体" w:cs="宋体" w:eastAsia="宋体" w:hint="default"/>
                <w:sz w:val="15"/>
                <w:szCs w:val="15"/>
              </w:rPr>
              <w:t>注册地</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479" w:right="103" w:hanging="376"/>
              <w:jc w:val="left"/>
              <w:rPr>
                <w:rFonts w:ascii="宋体" w:hAnsi="宋体" w:cs="宋体" w:eastAsia="宋体" w:hint="default"/>
                <w:sz w:val="15"/>
                <w:szCs w:val="15"/>
              </w:rPr>
            </w:pPr>
            <w:r>
              <w:rPr>
                <w:rFonts w:ascii="宋体" w:hAnsi="宋体" w:cs="宋体" w:eastAsia="宋体" w:hint="default"/>
                <w:sz w:val="15"/>
                <w:szCs w:val="15"/>
              </w:rPr>
              <w:t>业务性质及经营 范围</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195" w:lineRule="exact"/>
              <w:ind w:left="203" w:right="0"/>
              <w:jc w:val="left"/>
              <w:rPr>
                <w:rFonts w:ascii="宋体" w:hAnsi="宋体" w:cs="宋体" w:eastAsia="宋体" w:hint="default"/>
                <w:sz w:val="15"/>
                <w:szCs w:val="15"/>
              </w:rPr>
            </w:pPr>
            <w:r>
              <w:rPr>
                <w:rFonts w:ascii="宋体" w:hAnsi="宋体" w:cs="宋体" w:eastAsia="宋体" w:hint="default"/>
                <w:sz w:val="15"/>
                <w:szCs w:val="15"/>
              </w:rPr>
              <w:t>注册资本</w:t>
            </w:r>
          </w:p>
          <w:p>
            <w:pPr>
              <w:pStyle w:val="TableParagraph"/>
              <w:spacing w:line="195" w:lineRule="exact"/>
              <w:ind w:left="203"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103" w:right="25" w:firstLine="28"/>
              <w:jc w:val="left"/>
              <w:rPr>
                <w:rFonts w:ascii="宋体" w:hAnsi="宋体" w:cs="宋体" w:eastAsia="宋体" w:hint="default"/>
                <w:sz w:val="15"/>
                <w:szCs w:val="15"/>
              </w:rPr>
            </w:pPr>
            <w:r>
              <w:rPr>
                <w:rFonts w:ascii="宋体" w:hAnsi="宋体" w:cs="宋体" w:eastAsia="宋体" w:hint="default"/>
                <w:sz w:val="15"/>
                <w:szCs w:val="15"/>
              </w:rPr>
              <w:t>期末实际出 </w:t>
            </w:r>
            <w:r>
              <w:rPr>
                <w:rFonts w:ascii="宋体" w:hAnsi="宋体" w:cs="宋体" w:eastAsia="宋体" w:hint="default"/>
                <w:spacing w:val="-3"/>
                <w:sz w:val="15"/>
                <w:szCs w:val="15"/>
              </w:rPr>
              <w:t>资额（万元）</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9" w:right="107"/>
              <w:jc w:val="center"/>
              <w:rPr>
                <w:rFonts w:ascii="宋体" w:hAnsi="宋体" w:cs="宋体" w:eastAsia="宋体" w:hint="default"/>
                <w:sz w:val="15"/>
                <w:szCs w:val="15"/>
              </w:rPr>
            </w:pPr>
            <w:r>
              <w:rPr>
                <w:rFonts w:ascii="宋体" w:hAnsi="宋体" w:cs="宋体" w:eastAsia="宋体" w:hint="default"/>
                <w:sz w:val="15"/>
                <w:szCs w:val="15"/>
              </w:rPr>
              <w:t>实质上构成对子公 司净投资的其他项 目余额</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持股比例</w:t>
            </w:r>
          </w:p>
          <w:p>
            <w:pPr>
              <w:pStyle w:val="TableParagraph"/>
              <w:spacing w:line="240" w:lineRule="auto" w:before="19"/>
              <w:ind w:right="0"/>
              <w:jc w:val="center"/>
              <w:rPr>
                <w:rFonts w:ascii="Times New Roman" w:hAnsi="Times New Roman" w:cs="Times New Roman" w:eastAsia="Times New Roman" w:hint="default"/>
                <w:sz w:val="15"/>
                <w:szCs w:val="15"/>
              </w:rPr>
            </w:pPr>
            <w:r>
              <w:rPr>
                <w:rFonts w:ascii="Times New Roman"/>
                <w:sz w:val="15"/>
              </w:rPr>
              <w:t>(%)</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8"/>
              <w:ind w:left="108" w:right="106" w:firstLine="37"/>
              <w:jc w:val="left"/>
              <w:rPr>
                <w:rFonts w:ascii="Times New Roman" w:hAnsi="Times New Roman" w:cs="Times New Roman" w:eastAsia="Times New Roman" w:hint="default"/>
                <w:sz w:val="15"/>
                <w:szCs w:val="15"/>
              </w:rPr>
            </w:pPr>
            <w:r>
              <w:rPr>
                <w:rFonts w:ascii="宋体" w:hAnsi="宋体" w:cs="宋体" w:eastAsia="宋体" w:hint="default"/>
                <w:sz w:val="15"/>
                <w:szCs w:val="15"/>
              </w:rPr>
              <w:t>表决权 比例</w:t>
            </w:r>
            <w:r>
              <w:rPr>
                <w:rFonts w:ascii="Times New Roman" w:hAnsi="Times New Roman" w:cs="Times New Roman" w:eastAsia="Times New Roman" w:hint="default"/>
                <w:sz w:val="15"/>
                <w:szCs w:val="15"/>
              </w:rPr>
              <w:t>(%)</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318" w:right="166" w:hanging="150"/>
              <w:jc w:val="left"/>
              <w:rPr>
                <w:rFonts w:ascii="宋体" w:hAnsi="宋体" w:cs="宋体" w:eastAsia="宋体" w:hint="default"/>
                <w:sz w:val="15"/>
                <w:szCs w:val="15"/>
              </w:rPr>
            </w:pPr>
            <w:r>
              <w:rPr>
                <w:rFonts w:ascii="宋体" w:hAnsi="宋体" w:cs="宋体" w:eastAsia="宋体" w:hint="default"/>
                <w:sz w:val="15"/>
                <w:szCs w:val="15"/>
              </w:rPr>
              <w:t>是否合并 报表</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7"/>
              <w:ind w:right="119"/>
              <w:jc w:val="right"/>
              <w:rPr>
                <w:rFonts w:ascii="宋体" w:hAnsi="宋体" w:cs="宋体" w:eastAsia="宋体" w:hint="default"/>
                <w:sz w:val="15"/>
                <w:szCs w:val="15"/>
              </w:rPr>
            </w:pPr>
            <w:r>
              <w:rPr>
                <w:rFonts w:ascii="宋体" w:hAnsi="宋体" w:cs="宋体" w:eastAsia="宋体" w:hint="default"/>
                <w:sz w:val="15"/>
                <w:szCs w:val="15"/>
              </w:rPr>
              <w:t>少数股东权益</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318" w:right="167" w:hanging="150"/>
              <w:jc w:val="left"/>
              <w:rPr>
                <w:rFonts w:ascii="宋体" w:hAnsi="宋体" w:cs="宋体" w:eastAsia="宋体" w:hint="default"/>
                <w:sz w:val="15"/>
                <w:szCs w:val="15"/>
              </w:rPr>
            </w:pPr>
            <w:r>
              <w:rPr>
                <w:rFonts w:ascii="宋体" w:hAnsi="宋体" w:cs="宋体" w:eastAsia="宋体" w:hint="default"/>
                <w:sz w:val="15"/>
                <w:szCs w:val="15"/>
              </w:rPr>
              <w:t>少数股东累 计亏损</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275" w:right="131" w:hanging="150"/>
              <w:jc w:val="left"/>
              <w:rPr>
                <w:rFonts w:ascii="宋体" w:hAnsi="宋体" w:cs="宋体" w:eastAsia="宋体" w:hint="default"/>
                <w:sz w:val="15"/>
                <w:szCs w:val="15"/>
              </w:rPr>
            </w:pPr>
            <w:r>
              <w:rPr>
                <w:rFonts w:ascii="宋体" w:hAnsi="宋体" w:cs="宋体" w:eastAsia="宋体" w:hint="default"/>
                <w:sz w:val="15"/>
                <w:szCs w:val="15"/>
              </w:rPr>
              <w:t>母公司承担的 超额亏损</w:t>
            </w:r>
          </w:p>
        </w:tc>
      </w:tr>
      <w:tr>
        <w:trPr>
          <w:trHeight w:val="510"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122" w:right="0"/>
              <w:jc w:val="left"/>
              <w:rPr>
                <w:rFonts w:ascii="宋体" w:hAnsi="宋体" w:cs="宋体" w:eastAsia="宋体" w:hint="default"/>
                <w:sz w:val="15"/>
                <w:szCs w:val="15"/>
              </w:rPr>
            </w:pPr>
            <w:r>
              <w:rPr>
                <w:rFonts w:ascii="宋体" w:hAnsi="宋体" w:cs="宋体" w:eastAsia="宋体" w:hint="default"/>
                <w:sz w:val="15"/>
                <w:szCs w:val="15"/>
              </w:rPr>
              <w:t>深圳市鸿基物业管理有限公司</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物业管理</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323"/>
              <w:jc w:val="right"/>
              <w:rPr>
                <w:rFonts w:ascii="Times New Roman" w:hAnsi="Times New Roman" w:cs="Times New Roman" w:eastAsia="Times New Roman" w:hint="default"/>
                <w:sz w:val="15"/>
                <w:szCs w:val="15"/>
              </w:rPr>
            </w:pPr>
            <w:r>
              <w:rPr>
                <w:rFonts w:ascii="Times New Roman"/>
                <w:sz w:val="15"/>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80%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80%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1"/>
              <w:jc w:val="center"/>
              <w:rPr>
                <w:rFonts w:ascii="宋体" w:hAnsi="宋体" w:cs="宋体" w:eastAsia="宋体" w:hint="default"/>
                <w:sz w:val="15"/>
                <w:szCs w:val="15"/>
              </w:rPr>
            </w:pPr>
            <w:r>
              <w:rPr>
                <w:rFonts w:ascii="宋体" w:hAnsi="宋体" w:cs="宋体" w:eastAsia="宋体" w:hint="default"/>
                <w:sz w:val="15"/>
                <w:szCs w:val="15"/>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2,161,999.24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09"/>
              <w:jc w:val="right"/>
              <w:rPr>
                <w:rFonts w:ascii="Times New Roman" w:hAnsi="Times New Roman" w:cs="Times New Roman" w:eastAsia="Times New Roman" w:hint="default"/>
                <w:sz w:val="15"/>
                <w:szCs w:val="15"/>
              </w:rPr>
            </w:pPr>
            <w:r>
              <w:rPr>
                <w:rFonts w:ascii="Times New Roman"/>
                <w:sz w:val="15"/>
              </w:rPr>
              <w:t>-</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80"/>
              <w:jc w:val="right"/>
              <w:rPr>
                <w:rFonts w:ascii="Times New Roman" w:hAnsi="Times New Roman" w:cs="Times New Roman" w:eastAsia="Times New Roman" w:hint="default"/>
                <w:sz w:val="15"/>
                <w:szCs w:val="15"/>
              </w:rPr>
            </w:pPr>
            <w:r>
              <w:rPr>
                <w:rFonts w:ascii="Times New Roman"/>
                <w:sz w:val="15"/>
              </w:rPr>
              <w:t>-</w:t>
            </w:r>
          </w:p>
        </w:tc>
      </w:tr>
      <w:tr>
        <w:trPr>
          <w:trHeight w:val="638"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22" w:right="101"/>
              <w:jc w:val="left"/>
              <w:rPr>
                <w:rFonts w:ascii="宋体" w:hAnsi="宋体" w:cs="宋体" w:eastAsia="宋体" w:hint="default"/>
                <w:sz w:val="15"/>
                <w:szCs w:val="15"/>
              </w:rPr>
            </w:pPr>
            <w:r>
              <w:rPr>
                <w:rFonts w:ascii="宋体" w:hAnsi="宋体" w:cs="宋体" w:eastAsia="宋体" w:hint="default"/>
                <w:sz w:val="15"/>
                <w:szCs w:val="15"/>
              </w:rPr>
              <w:t>深圳市龙岗鸿基房地产开发有限</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公司</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房地产开发</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3,168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3,009.30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23"/>
              <w:jc w:val="right"/>
              <w:rPr>
                <w:rFonts w:ascii="Times New Roman" w:hAnsi="Times New Roman" w:cs="Times New Roman" w:eastAsia="Times New Roman" w:hint="default"/>
                <w:sz w:val="15"/>
                <w:szCs w:val="15"/>
              </w:rPr>
            </w:pPr>
            <w:r>
              <w:rPr>
                <w:rFonts w:ascii="Times New Roman"/>
                <w:sz w:val="15"/>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94.99%</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94.99%</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62"/>
              <w:jc w:val="right"/>
              <w:rPr>
                <w:rFonts w:ascii="Times New Roman" w:hAnsi="Times New Roman" w:cs="Times New Roman" w:eastAsia="Times New Roman" w:hint="default"/>
                <w:sz w:val="15"/>
                <w:szCs w:val="15"/>
              </w:rPr>
            </w:pPr>
            <w:r>
              <w:rPr>
                <w:rFonts w:ascii="Times New Roman"/>
                <w:sz w:val="15"/>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1,587,000.00</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932,352.12</w:t>
            </w:r>
          </w:p>
        </w:tc>
      </w:tr>
      <w:tr>
        <w:trPr>
          <w:trHeight w:val="510"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122" w:right="0"/>
              <w:jc w:val="left"/>
              <w:rPr>
                <w:rFonts w:ascii="宋体" w:hAnsi="宋体" w:cs="宋体" w:eastAsia="宋体" w:hint="default"/>
                <w:sz w:val="15"/>
                <w:szCs w:val="15"/>
              </w:rPr>
            </w:pPr>
            <w:r>
              <w:rPr>
                <w:rFonts w:ascii="宋体" w:hAnsi="宋体" w:cs="宋体" w:eastAsia="宋体" w:hint="default"/>
                <w:sz w:val="15"/>
                <w:szCs w:val="15"/>
              </w:rPr>
              <w:t>深圳市龙岗鸿基发展有限公司</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1"/>
              <w:jc w:val="center"/>
              <w:rPr>
                <w:rFonts w:ascii="宋体" w:hAnsi="宋体" w:cs="宋体" w:eastAsia="宋体" w:hint="default"/>
                <w:sz w:val="15"/>
                <w:szCs w:val="15"/>
              </w:rPr>
            </w:pPr>
            <w:r>
              <w:rPr>
                <w:rFonts w:ascii="宋体" w:hAnsi="宋体" w:cs="宋体" w:eastAsia="宋体" w:hint="default"/>
                <w:sz w:val="15"/>
                <w:szCs w:val="15"/>
              </w:rPr>
              <w:t>物业出租及管理</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870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826.2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323"/>
              <w:jc w:val="right"/>
              <w:rPr>
                <w:rFonts w:ascii="Times New Roman" w:hAnsi="Times New Roman" w:cs="Times New Roman" w:eastAsia="Times New Roman" w:hint="default"/>
                <w:sz w:val="15"/>
                <w:szCs w:val="15"/>
              </w:rPr>
            </w:pPr>
            <w:r>
              <w:rPr>
                <w:rFonts w:ascii="Times New Roman"/>
                <w:sz w:val="15"/>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94.97%</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94.97%</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1"/>
              <w:jc w:val="center"/>
              <w:rPr>
                <w:rFonts w:ascii="宋体" w:hAnsi="宋体" w:cs="宋体" w:eastAsia="宋体" w:hint="default"/>
                <w:sz w:val="15"/>
                <w:szCs w:val="15"/>
              </w:rPr>
            </w:pPr>
            <w:r>
              <w:rPr>
                <w:rFonts w:ascii="宋体" w:hAnsi="宋体" w:cs="宋体" w:eastAsia="宋体" w:hint="default"/>
                <w:sz w:val="15"/>
                <w:szCs w:val="15"/>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415,033.22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22,966.78</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80"/>
              <w:jc w:val="right"/>
              <w:rPr>
                <w:rFonts w:ascii="Times New Roman" w:hAnsi="Times New Roman" w:cs="Times New Roman" w:eastAsia="Times New Roman" w:hint="default"/>
                <w:sz w:val="15"/>
                <w:szCs w:val="15"/>
              </w:rPr>
            </w:pPr>
            <w:r>
              <w:rPr>
                <w:rFonts w:ascii="Times New Roman"/>
                <w:sz w:val="15"/>
              </w:rPr>
              <w:t>-</w:t>
            </w:r>
          </w:p>
        </w:tc>
      </w:tr>
      <w:tr>
        <w:trPr>
          <w:trHeight w:val="640"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22" w:right="101"/>
              <w:jc w:val="left"/>
              <w:rPr>
                <w:rFonts w:ascii="宋体" w:hAnsi="宋体" w:cs="宋体" w:eastAsia="宋体" w:hint="default"/>
                <w:sz w:val="15"/>
                <w:szCs w:val="15"/>
              </w:rPr>
            </w:pPr>
            <w:r>
              <w:rPr>
                <w:rFonts w:ascii="宋体" w:hAnsi="宋体" w:cs="宋体" w:eastAsia="宋体" w:hint="default"/>
                <w:sz w:val="15"/>
                <w:szCs w:val="15"/>
              </w:rPr>
              <w:t>深圳市鸿基装饰设计工程有限公</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司</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装饰设计</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600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420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23"/>
              <w:jc w:val="right"/>
              <w:rPr>
                <w:rFonts w:ascii="Times New Roman" w:hAnsi="Times New Roman" w:cs="Times New Roman" w:eastAsia="Times New Roman" w:hint="default"/>
                <w:sz w:val="15"/>
                <w:szCs w:val="15"/>
              </w:rPr>
            </w:pPr>
            <w:r>
              <w:rPr>
                <w:rFonts w:ascii="Times New Roman"/>
                <w:sz w:val="15"/>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70%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70%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1,842,960.17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9"/>
              <w:jc w:val="right"/>
              <w:rPr>
                <w:rFonts w:ascii="Times New Roman" w:hAnsi="Times New Roman" w:cs="Times New Roman" w:eastAsia="Times New Roman" w:hint="default"/>
                <w:sz w:val="15"/>
                <w:szCs w:val="15"/>
              </w:rPr>
            </w:pPr>
            <w:r>
              <w:rPr>
                <w:rFonts w:ascii="Times New Roman"/>
                <w:sz w:val="15"/>
              </w:rPr>
              <w:t>-</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80"/>
              <w:jc w:val="right"/>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122" w:right="0"/>
              <w:jc w:val="left"/>
              <w:rPr>
                <w:rFonts w:ascii="宋体" w:hAnsi="宋体" w:cs="宋体" w:eastAsia="宋体" w:hint="default"/>
                <w:sz w:val="15"/>
                <w:szCs w:val="15"/>
              </w:rPr>
            </w:pPr>
            <w:r>
              <w:rPr>
                <w:rFonts w:ascii="宋体" w:hAnsi="宋体" w:cs="宋体" w:eastAsia="宋体" w:hint="default"/>
                <w:sz w:val="15"/>
                <w:szCs w:val="15"/>
              </w:rPr>
              <w:t>西安新鸿业投资发展有限公司</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西安</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1"/>
              <w:jc w:val="center"/>
              <w:rPr>
                <w:rFonts w:ascii="宋体" w:hAnsi="宋体" w:cs="宋体" w:eastAsia="宋体" w:hint="default"/>
                <w:sz w:val="15"/>
                <w:szCs w:val="15"/>
              </w:rPr>
            </w:pPr>
            <w:r>
              <w:rPr>
                <w:rFonts w:ascii="宋体" w:hAnsi="宋体" w:cs="宋体" w:eastAsia="宋体" w:hint="default"/>
                <w:sz w:val="15"/>
                <w:szCs w:val="15"/>
              </w:rPr>
              <w:t>房地产投资</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11,741.24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324"/>
              <w:jc w:val="right"/>
              <w:rPr>
                <w:rFonts w:ascii="Times New Roman" w:hAnsi="Times New Roman" w:cs="Times New Roman" w:eastAsia="Times New Roman" w:hint="default"/>
                <w:sz w:val="15"/>
                <w:szCs w:val="15"/>
              </w:rPr>
            </w:pPr>
            <w:r>
              <w:rPr>
                <w:rFonts w:ascii="Times New Roman"/>
                <w:sz w:val="15"/>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66.50%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66.50%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1"/>
              <w:jc w:val="center"/>
              <w:rPr>
                <w:rFonts w:ascii="宋体" w:hAnsi="宋体" w:cs="宋体" w:eastAsia="宋体" w:hint="default"/>
                <w:sz w:val="15"/>
                <w:szCs w:val="15"/>
              </w:rPr>
            </w:pPr>
            <w:r>
              <w:rPr>
                <w:rFonts w:ascii="宋体" w:hAnsi="宋体" w:cs="宋体" w:eastAsia="宋体" w:hint="default"/>
                <w:sz w:val="15"/>
                <w:szCs w:val="15"/>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44,625,254.80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22,374,745.20</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80"/>
              <w:jc w:val="right"/>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122" w:right="0"/>
              <w:jc w:val="left"/>
              <w:rPr>
                <w:rFonts w:ascii="宋体" w:hAnsi="宋体" w:cs="宋体" w:eastAsia="宋体" w:hint="default"/>
                <w:sz w:val="15"/>
                <w:szCs w:val="15"/>
              </w:rPr>
            </w:pPr>
            <w:r>
              <w:rPr>
                <w:rFonts w:ascii="宋体" w:hAnsi="宋体" w:cs="宋体" w:eastAsia="宋体" w:hint="default"/>
                <w:sz w:val="15"/>
                <w:szCs w:val="15"/>
              </w:rPr>
              <w:t>西安深鸿基房地产开发有限公司</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西安</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1"/>
              <w:jc w:val="center"/>
              <w:rPr>
                <w:rFonts w:ascii="宋体" w:hAnsi="宋体" w:cs="宋体" w:eastAsia="宋体" w:hint="default"/>
                <w:sz w:val="15"/>
                <w:szCs w:val="15"/>
              </w:rPr>
            </w:pPr>
            <w:r>
              <w:rPr>
                <w:rFonts w:ascii="宋体" w:hAnsi="宋体" w:cs="宋体" w:eastAsia="宋体" w:hint="default"/>
                <w:sz w:val="15"/>
                <w:szCs w:val="15"/>
              </w:rPr>
              <w:t>房地产开发销售</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15,000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325"/>
              <w:jc w:val="right"/>
              <w:rPr>
                <w:rFonts w:ascii="Times New Roman" w:hAnsi="Times New Roman" w:cs="Times New Roman" w:eastAsia="Times New Roman" w:hint="default"/>
                <w:sz w:val="15"/>
                <w:szCs w:val="15"/>
              </w:rPr>
            </w:pPr>
            <w:r>
              <w:rPr>
                <w:rFonts w:ascii="Times New Roman"/>
                <w:sz w:val="15"/>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60%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60%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1"/>
              <w:jc w:val="center"/>
              <w:rPr>
                <w:rFonts w:ascii="宋体" w:hAnsi="宋体" w:cs="宋体" w:eastAsia="宋体" w:hint="default"/>
                <w:sz w:val="15"/>
                <w:szCs w:val="15"/>
              </w:rPr>
            </w:pPr>
            <w:r>
              <w:rPr>
                <w:rFonts w:ascii="宋体" w:hAnsi="宋体" w:cs="宋体" w:eastAsia="宋体" w:hint="default"/>
                <w:sz w:val="15"/>
                <w:szCs w:val="15"/>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45,353,144.40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14,646,855.60</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80"/>
              <w:jc w:val="right"/>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122" w:right="0"/>
              <w:jc w:val="left"/>
              <w:rPr>
                <w:rFonts w:ascii="宋体" w:hAnsi="宋体" w:cs="宋体" w:eastAsia="宋体" w:hint="default"/>
                <w:sz w:val="15"/>
                <w:szCs w:val="15"/>
              </w:rPr>
            </w:pPr>
            <w:r>
              <w:rPr>
                <w:rFonts w:ascii="宋体" w:hAnsi="宋体" w:cs="宋体" w:eastAsia="宋体" w:hint="default"/>
                <w:sz w:val="15"/>
                <w:szCs w:val="15"/>
              </w:rPr>
              <w:t>物流及运输行业：</w:t>
            </w:r>
          </w:p>
        </w:tc>
        <w:tc>
          <w:tcPr>
            <w:tcW w:w="101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122" w:right="0"/>
              <w:jc w:val="left"/>
              <w:rPr>
                <w:rFonts w:ascii="宋体" w:hAnsi="宋体" w:cs="宋体" w:eastAsia="宋体" w:hint="default"/>
                <w:sz w:val="15"/>
                <w:szCs w:val="15"/>
              </w:rPr>
            </w:pPr>
            <w:r>
              <w:rPr>
                <w:rFonts w:ascii="宋体" w:hAnsi="宋体" w:cs="宋体" w:eastAsia="宋体" w:hint="default"/>
                <w:sz w:val="15"/>
                <w:szCs w:val="15"/>
              </w:rPr>
              <w:t>深圳市鸿基物流有限公司</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物流</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11,250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11,822.63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324"/>
              <w:jc w:val="right"/>
              <w:rPr>
                <w:rFonts w:ascii="Times New Roman" w:hAnsi="Times New Roman" w:cs="Times New Roman" w:eastAsia="Times New Roman" w:hint="default"/>
                <w:sz w:val="15"/>
                <w:szCs w:val="15"/>
              </w:rPr>
            </w:pPr>
            <w:r>
              <w:rPr>
                <w:rFonts w:ascii="Times New Roman"/>
                <w:sz w:val="15"/>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1"/>
              <w:jc w:val="center"/>
              <w:rPr>
                <w:rFonts w:ascii="宋体" w:hAnsi="宋体" w:cs="宋体" w:eastAsia="宋体" w:hint="default"/>
                <w:sz w:val="15"/>
                <w:szCs w:val="15"/>
              </w:rPr>
            </w:pPr>
            <w:r>
              <w:rPr>
                <w:rFonts w:ascii="宋体" w:hAnsi="宋体" w:cs="宋体" w:eastAsia="宋体" w:hint="default"/>
                <w:sz w:val="15"/>
                <w:szCs w:val="15"/>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62"/>
              <w:jc w:val="right"/>
              <w:rPr>
                <w:rFonts w:ascii="Times New Roman" w:hAnsi="Times New Roman" w:cs="Times New Roman" w:eastAsia="Times New Roman" w:hint="default"/>
                <w:sz w:val="15"/>
                <w:szCs w:val="15"/>
              </w:rPr>
            </w:pPr>
            <w:r>
              <w:rPr>
                <w:rFonts w:ascii="Times New Roman"/>
                <w:sz w:val="15"/>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09"/>
              <w:jc w:val="right"/>
              <w:rPr>
                <w:rFonts w:ascii="Times New Roman" w:hAnsi="Times New Roman" w:cs="Times New Roman" w:eastAsia="Times New Roman" w:hint="default"/>
                <w:sz w:val="15"/>
                <w:szCs w:val="15"/>
              </w:rPr>
            </w:pPr>
            <w:r>
              <w:rPr>
                <w:rFonts w:ascii="Times New Roman"/>
                <w:sz w:val="15"/>
              </w:rPr>
              <w:t>-</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80"/>
              <w:jc w:val="right"/>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122" w:right="0"/>
              <w:jc w:val="left"/>
              <w:rPr>
                <w:rFonts w:ascii="宋体" w:hAnsi="宋体" w:cs="宋体" w:eastAsia="宋体" w:hint="default"/>
                <w:sz w:val="15"/>
                <w:szCs w:val="15"/>
              </w:rPr>
            </w:pPr>
            <w:r>
              <w:rPr>
                <w:rFonts w:ascii="宋体" w:hAnsi="宋体" w:cs="宋体" w:eastAsia="宋体" w:hint="default"/>
                <w:sz w:val="15"/>
                <w:szCs w:val="15"/>
              </w:rPr>
              <w:t>物流下属公司：</w:t>
            </w:r>
          </w:p>
        </w:tc>
        <w:tc>
          <w:tcPr>
            <w:tcW w:w="101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323"/>
              <w:jc w:val="right"/>
              <w:rPr>
                <w:rFonts w:ascii="Times New Roman" w:hAnsi="Times New Roman" w:cs="Times New Roman" w:eastAsia="Times New Roman" w:hint="default"/>
                <w:sz w:val="15"/>
                <w:szCs w:val="15"/>
              </w:rPr>
            </w:pPr>
            <w:r>
              <w:rPr>
                <w:rFonts w:ascii="Times New Roman"/>
                <w:sz w:val="15"/>
              </w:rPr>
              <w:t>-</w:t>
            </w:r>
          </w:p>
        </w:tc>
        <w:tc>
          <w:tcPr>
            <w:tcW w:w="902"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1"/>
              <w:jc w:val="center"/>
              <w:rPr>
                <w:rFonts w:ascii="宋体" w:hAnsi="宋体" w:cs="宋体" w:eastAsia="宋体" w:hint="default"/>
                <w:sz w:val="15"/>
                <w:szCs w:val="15"/>
              </w:rPr>
            </w:pPr>
            <w:r>
              <w:rPr>
                <w:rFonts w:ascii="宋体" w:hAnsi="宋体" w:cs="宋体" w:eastAsia="宋体" w:hint="default"/>
                <w:sz w:val="15"/>
                <w:szCs w:val="15"/>
              </w:rPr>
              <w:t>是</w:t>
            </w:r>
          </w:p>
        </w:tc>
        <w:tc>
          <w:tcPr>
            <w:tcW w:w="115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122" w:right="0"/>
              <w:jc w:val="left"/>
              <w:rPr>
                <w:rFonts w:ascii="宋体" w:hAnsi="宋体" w:cs="宋体" w:eastAsia="宋体" w:hint="default"/>
                <w:sz w:val="15"/>
                <w:szCs w:val="15"/>
              </w:rPr>
            </w:pPr>
            <w:r>
              <w:rPr>
                <w:rFonts w:ascii="宋体" w:hAnsi="宋体" w:cs="宋体" w:eastAsia="宋体" w:hint="default"/>
                <w:sz w:val="15"/>
                <w:szCs w:val="15"/>
              </w:rPr>
              <w:t>深圳市鸿基集装箱运输有限公司</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1"/>
              <w:jc w:val="center"/>
              <w:rPr>
                <w:rFonts w:ascii="宋体" w:hAnsi="宋体" w:cs="宋体" w:eastAsia="宋体" w:hint="default"/>
                <w:sz w:val="15"/>
                <w:szCs w:val="15"/>
              </w:rPr>
            </w:pPr>
            <w:r>
              <w:rPr>
                <w:rFonts w:ascii="宋体" w:hAnsi="宋体" w:cs="宋体" w:eastAsia="宋体" w:hint="default"/>
                <w:sz w:val="15"/>
                <w:szCs w:val="15"/>
              </w:rPr>
              <w:t>集装箱运输</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500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323"/>
              <w:jc w:val="right"/>
              <w:rPr>
                <w:rFonts w:ascii="Times New Roman" w:hAnsi="Times New Roman" w:cs="Times New Roman" w:eastAsia="Times New Roman" w:hint="default"/>
                <w:sz w:val="15"/>
                <w:szCs w:val="15"/>
              </w:rPr>
            </w:pPr>
            <w:r>
              <w:rPr>
                <w:rFonts w:ascii="Times New Roman"/>
                <w:sz w:val="15"/>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1"/>
              <w:jc w:val="center"/>
              <w:rPr>
                <w:rFonts w:ascii="宋体" w:hAnsi="宋体" w:cs="宋体" w:eastAsia="宋体" w:hint="default"/>
                <w:sz w:val="15"/>
                <w:szCs w:val="15"/>
              </w:rPr>
            </w:pPr>
            <w:r>
              <w:rPr>
                <w:rFonts w:ascii="宋体" w:hAnsi="宋体" w:cs="宋体" w:eastAsia="宋体" w:hint="default"/>
                <w:sz w:val="15"/>
                <w:szCs w:val="15"/>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62"/>
              <w:jc w:val="right"/>
              <w:rPr>
                <w:rFonts w:ascii="Times New Roman" w:hAnsi="Times New Roman" w:cs="Times New Roman" w:eastAsia="Times New Roman" w:hint="default"/>
                <w:sz w:val="15"/>
                <w:szCs w:val="15"/>
              </w:rPr>
            </w:pPr>
            <w:r>
              <w:rPr>
                <w:rFonts w:ascii="Times New Roman"/>
                <w:sz w:val="15"/>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500,000.00</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1,254,479.17</w:t>
            </w:r>
          </w:p>
        </w:tc>
      </w:tr>
      <w:tr>
        <w:trPr>
          <w:trHeight w:val="510"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122" w:right="0"/>
              <w:jc w:val="left"/>
              <w:rPr>
                <w:rFonts w:ascii="宋体" w:hAnsi="宋体" w:cs="宋体" w:eastAsia="宋体" w:hint="default"/>
                <w:sz w:val="15"/>
                <w:szCs w:val="15"/>
              </w:rPr>
            </w:pPr>
            <w:r>
              <w:rPr>
                <w:rFonts w:ascii="宋体" w:hAnsi="宋体" w:cs="宋体" w:eastAsia="宋体" w:hint="default"/>
                <w:sz w:val="15"/>
                <w:szCs w:val="15"/>
              </w:rPr>
              <w:t>深圳市鸿基外贸报关有限公司</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外贸报关</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323"/>
              <w:jc w:val="right"/>
              <w:rPr>
                <w:rFonts w:ascii="Times New Roman" w:hAnsi="Times New Roman" w:cs="Times New Roman" w:eastAsia="Times New Roman" w:hint="default"/>
                <w:sz w:val="15"/>
                <w:szCs w:val="15"/>
              </w:rPr>
            </w:pPr>
            <w:r>
              <w:rPr>
                <w:rFonts w:ascii="Times New Roman"/>
                <w:sz w:val="15"/>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80%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80%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1"/>
              <w:jc w:val="center"/>
              <w:rPr>
                <w:rFonts w:ascii="宋体" w:hAnsi="宋体" w:cs="宋体" w:eastAsia="宋体" w:hint="default"/>
                <w:sz w:val="15"/>
                <w:szCs w:val="15"/>
              </w:rPr>
            </w:pPr>
            <w:r>
              <w:rPr>
                <w:rFonts w:ascii="宋体" w:hAnsi="宋体" w:cs="宋体" w:eastAsia="宋体" w:hint="default"/>
                <w:sz w:val="15"/>
                <w:szCs w:val="15"/>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264,578.15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135,421.85</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80"/>
              <w:jc w:val="right"/>
              <w:rPr>
                <w:rFonts w:ascii="Times New Roman" w:hAnsi="Times New Roman" w:cs="Times New Roman" w:eastAsia="Times New Roman" w:hint="default"/>
                <w:sz w:val="15"/>
                <w:szCs w:val="15"/>
              </w:rPr>
            </w:pPr>
            <w:r>
              <w:rPr>
                <w:rFonts w:ascii="Times New Roman"/>
                <w:sz w:val="15"/>
              </w:rPr>
              <w:t>-</w:t>
            </w:r>
          </w:p>
        </w:tc>
      </w:tr>
      <w:tr>
        <w:trPr>
          <w:trHeight w:val="638"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22" w:right="119"/>
              <w:jc w:val="left"/>
              <w:rPr>
                <w:rFonts w:ascii="宋体" w:hAnsi="宋体" w:cs="宋体" w:eastAsia="宋体" w:hint="default"/>
                <w:sz w:val="15"/>
                <w:szCs w:val="15"/>
              </w:rPr>
            </w:pPr>
            <w:r>
              <w:rPr>
                <w:rFonts w:ascii="宋体" w:hAnsi="宋体" w:cs="宋体" w:eastAsia="宋体" w:hint="default"/>
                <w:sz w:val="15"/>
                <w:szCs w:val="15"/>
              </w:rPr>
              <w:t>深圳市鸿永通国际货运代理有限 公司</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货运代理</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500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23"/>
              <w:jc w:val="right"/>
              <w:rPr>
                <w:rFonts w:ascii="Times New Roman" w:hAnsi="Times New Roman" w:cs="Times New Roman" w:eastAsia="Times New Roman" w:hint="default"/>
                <w:sz w:val="15"/>
                <w:szCs w:val="15"/>
              </w:rPr>
            </w:pPr>
            <w:r>
              <w:rPr>
                <w:rFonts w:ascii="Times New Roman"/>
                <w:sz w:val="15"/>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360,382.54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139,617.46</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80"/>
              <w:jc w:val="right"/>
              <w:rPr>
                <w:rFonts w:ascii="Times New Roman" w:hAnsi="Times New Roman" w:cs="Times New Roman" w:eastAsia="Times New Roman" w:hint="default"/>
                <w:sz w:val="15"/>
                <w:szCs w:val="15"/>
              </w:rPr>
            </w:pPr>
            <w:r>
              <w:rPr>
                <w:rFonts w:ascii="Times New Roman"/>
                <w:sz w:val="15"/>
              </w:rPr>
              <w:t>-</w:t>
            </w:r>
          </w:p>
        </w:tc>
      </w:tr>
      <w:tr>
        <w:trPr>
          <w:trHeight w:val="640"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22" w:right="119"/>
              <w:jc w:val="left"/>
              <w:rPr>
                <w:rFonts w:ascii="宋体" w:hAnsi="宋体" w:cs="宋体" w:eastAsia="宋体" w:hint="default"/>
                <w:sz w:val="15"/>
                <w:szCs w:val="15"/>
              </w:rPr>
            </w:pPr>
            <w:r>
              <w:rPr>
                <w:rFonts w:ascii="宋体" w:hAnsi="宋体" w:cs="宋体" w:eastAsia="宋体" w:hint="default"/>
                <w:sz w:val="15"/>
                <w:szCs w:val="15"/>
              </w:rPr>
              <w:t>深圳市金鸿基集装箱堆场有限公 司</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堆场装卸</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400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23"/>
              <w:jc w:val="right"/>
              <w:rPr>
                <w:rFonts w:ascii="Times New Roman" w:hAnsi="Times New Roman" w:cs="Times New Roman" w:eastAsia="Times New Roman" w:hint="default"/>
                <w:sz w:val="15"/>
                <w:szCs w:val="15"/>
              </w:rPr>
            </w:pPr>
            <w:r>
              <w:rPr>
                <w:rFonts w:ascii="Times New Roman"/>
                <w:sz w:val="15"/>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72%</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72%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62"/>
              <w:jc w:val="right"/>
              <w:rPr>
                <w:rFonts w:ascii="Times New Roman" w:hAnsi="Times New Roman" w:cs="Times New Roman" w:eastAsia="Times New Roman" w:hint="default"/>
                <w:sz w:val="15"/>
                <w:szCs w:val="15"/>
              </w:rPr>
            </w:pPr>
            <w:r>
              <w:rPr>
                <w:rFonts w:ascii="Times New Roman"/>
                <w:sz w:val="15"/>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1,120,000.00</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2,676,101.37</w:t>
            </w:r>
          </w:p>
        </w:tc>
      </w:tr>
      <w:tr>
        <w:trPr>
          <w:trHeight w:val="510"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122" w:right="0"/>
              <w:jc w:val="left"/>
              <w:rPr>
                <w:rFonts w:ascii="宋体" w:hAnsi="宋体" w:cs="宋体" w:eastAsia="宋体" w:hint="default"/>
                <w:sz w:val="15"/>
                <w:szCs w:val="15"/>
              </w:rPr>
            </w:pPr>
            <w:r>
              <w:rPr>
                <w:rFonts w:ascii="宋体" w:hAnsi="宋体" w:cs="宋体" w:eastAsia="宋体" w:hint="default"/>
                <w:sz w:val="15"/>
                <w:szCs w:val="15"/>
              </w:rPr>
              <w:t>深圳市裕泰监管仓有限公司</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1"/>
              <w:jc w:val="center"/>
              <w:rPr>
                <w:rFonts w:ascii="宋体" w:hAnsi="宋体" w:cs="宋体" w:eastAsia="宋体" w:hint="default"/>
                <w:sz w:val="15"/>
                <w:szCs w:val="15"/>
              </w:rPr>
            </w:pPr>
            <w:r>
              <w:rPr>
                <w:rFonts w:ascii="宋体" w:hAnsi="宋体" w:cs="宋体" w:eastAsia="宋体" w:hint="default"/>
                <w:sz w:val="15"/>
                <w:szCs w:val="15"/>
              </w:rPr>
              <w:t>出口监管仓业务</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600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323"/>
              <w:jc w:val="right"/>
              <w:rPr>
                <w:rFonts w:ascii="Times New Roman" w:hAnsi="Times New Roman" w:cs="Times New Roman" w:eastAsia="Times New Roman" w:hint="default"/>
                <w:sz w:val="15"/>
                <w:szCs w:val="15"/>
              </w:rPr>
            </w:pPr>
            <w:r>
              <w:rPr>
                <w:rFonts w:ascii="Times New Roman"/>
                <w:sz w:val="15"/>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70%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70%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1"/>
              <w:jc w:val="center"/>
              <w:rPr>
                <w:rFonts w:ascii="宋体" w:hAnsi="宋体" w:cs="宋体" w:eastAsia="宋体" w:hint="default"/>
                <w:sz w:val="15"/>
                <w:szCs w:val="15"/>
              </w:rPr>
            </w:pPr>
            <w:r>
              <w:rPr>
                <w:rFonts w:ascii="宋体" w:hAnsi="宋体" w:cs="宋体" w:eastAsia="宋体" w:hint="default"/>
                <w:sz w:val="15"/>
                <w:szCs w:val="15"/>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1,800,000.00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09"/>
              <w:jc w:val="right"/>
              <w:rPr>
                <w:rFonts w:ascii="Times New Roman" w:hAnsi="Times New Roman" w:cs="Times New Roman" w:eastAsia="Times New Roman" w:hint="default"/>
                <w:sz w:val="15"/>
                <w:szCs w:val="15"/>
              </w:rPr>
            </w:pPr>
            <w:r>
              <w:rPr>
                <w:rFonts w:ascii="Times New Roman"/>
                <w:sz w:val="15"/>
              </w:rPr>
              <w:t>-</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80"/>
              <w:jc w:val="right"/>
              <w:rPr>
                <w:rFonts w:ascii="Times New Roman" w:hAnsi="Times New Roman" w:cs="Times New Roman" w:eastAsia="Times New Roman" w:hint="default"/>
                <w:sz w:val="15"/>
                <w:szCs w:val="15"/>
              </w:rPr>
            </w:pPr>
            <w:r>
              <w:rPr>
                <w:rFonts w:ascii="Times New Roman"/>
                <w:sz w:val="15"/>
              </w:rPr>
              <w:t>-</w:t>
            </w:r>
          </w:p>
        </w:tc>
      </w:tr>
    </w:tbl>
    <w:p>
      <w:pPr>
        <w:spacing w:after="0" w:line="240" w:lineRule="auto"/>
        <w:jc w:val="right"/>
        <w:rPr>
          <w:rFonts w:ascii="Times New Roman" w:hAnsi="Times New Roman" w:cs="Times New Roman" w:eastAsia="Times New Roman" w:hint="default"/>
          <w:sz w:val="15"/>
          <w:szCs w:val="15"/>
        </w:rPr>
        <w:sectPr>
          <w:pgSz w:w="16840" w:h="11900" w:orient="landscape"/>
          <w:pgMar w:header="0" w:footer="954" w:top="1100" w:bottom="1140" w:left="900" w:right="9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2348"/>
        <w:gridCol w:w="1012"/>
        <w:gridCol w:w="694"/>
        <w:gridCol w:w="1270"/>
        <w:gridCol w:w="1019"/>
        <w:gridCol w:w="1022"/>
        <w:gridCol w:w="1428"/>
        <w:gridCol w:w="902"/>
        <w:gridCol w:w="751"/>
        <w:gridCol w:w="946"/>
        <w:gridCol w:w="1150"/>
        <w:gridCol w:w="1097"/>
        <w:gridCol w:w="1163"/>
      </w:tblGrid>
      <w:tr>
        <w:trPr>
          <w:trHeight w:val="834"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7"/>
              <w:ind w:left="19" w:right="0"/>
              <w:jc w:val="center"/>
              <w:rPr>
                <w:rFonts w:ascii="宋体" w:hAnsi="宋体" w:cs="宋体" w:eastAsia="宋体" w:hint="default"/>
                <w:sz w:val="15"/>
                <w:szCs w:val="15"/>
              </w:rPr>
            </w:pPr>
            <w:r>
              <w:rPr>
                <w:rFonts w:ascii="宋体" w:hAnsi="宋体" w:cs="宋体" w:eastAsia="宋体" w:hint="default"/>
                <w:sz w:val="15"/>
                <w:szCs w:val="15"/>
              </w:rPr>
              <w:t>子公司全称</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7"/>
              <w:ind w:left="125" w:right="0"/>
              <w:jc w:val="left"/>
              <w:rPr>
                <w:rFonts w:ascii="宋体" w:hAnsi="宋体" w:cs="宋体" w:eastAsia="宋体" w:hint="default"/>
                <w:sz w:val="15"/>
                <w:szCs w:val="15"/>
              </w:rPr>
            </w:pPr>
            <w:r>
              <w:rPr>
                <w:rFonts w:ascii="宋体" w:hAnsi="宋体" w:cs="宋体" w:eastAsia="宋体" w:hint="default"/>
                <w:sz w:val="15"/>
                <w:szCs w:val="15"/>
              </w:rPr>
              <w:t>子公司类型</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7"/>
              <w:ind w:right="1"/>
              <w:jc w:val="center"/>
              <w:rPr>
                <w:rFonts w:ascii="宋体" w:hAnsi="宋体" w:cs="宋体" w:eastAsia="宋体" w:hint="default"/>
                <w:sz w:val="15"/>
                <w:szCs w:val="15"/>
              </w:rPr>
            </w:pPr>
            <w:r>
              <w:rPr>
                <w:rFonts w:ascii="宋体" w:hAnsi="宋体" w:cs="宋体" w:eastAsia="宋体" w:hint="default"/>
                <w:sz w:val="15"/>
                <w:szCs w:val="15"/>
              </w:rPr>
              <w:t>注册地</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479" w:right="103" w:hanging="376"/>
              <w:jc w:val="left"/>
              <w:rPr>
                <w:rFonts w:ascii="宋体" w:hAnsi="宋体" w:cs="宋体" w:eastAsia="宋体" w:hint="default"/>
                <w:sz w:val="15"/>
                <w:szCs w:val="15"/>
              </w:rPr>
            </w:pPr>
            <w:r>
              <w:rPr>
                <w:rFonts w:ascii="宋体" w:hAnsi="宋体" w:cs="宋体" w:eastAsia="宋体" w:hint="default"/>
                <w:sz w:val="15"/>
                <w:szCs w:val="15"/>
              </w:rPr>
              <w:t>业务性质及经营 范围</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195" w:lineRule="exact"/>
              <w:ind w:left="203" w:right="0"/>
              <w:jc w:val="left"/>
              <w:rPr>
                <w:rFonts w:ascii="宋体" w:hAnsi="宋体" w:cs="宋体" w:eastAsia="宋体" w:hint="default"/>
                <w:sz w:val="15"/>
                <w:szCs w:val="15"/>
              </w:rPr>
            </w:pPr>
            <w:r>
              <w:rPr>
                <w:rFonts w:ascii="宋体" w:hAnsi="宋体" w:cs="宋体" w:eastAsia="宋体" w:hint="default"/>
                <w:sz w:val="15"/>
                <w:szCs w:val="15"/>
              </w:rPr>
              <w:t>注册资本</w:t>
            </w:r>
          </w:p>
          <w:p>
            <w:pPr>
              <w:pStyle w:val="TableParagraph"/>
              <w:spacing w:line="195" w:lineRule="exact"/>
              <w:ind w:left="203"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103" w:right="25" w:firstLine="28"/>
              <w:jc w:val="left"/>
              <w:rPr>
                <w:rFonts w:ascii="宋体" w:hAnsi="宋体" w:cs="宋体" w:eastAsia="宋体" w:hint="default"/>
                <w:sz w:val="15"/>
                <w:szCs w:val="15"/>
              </w:rPr>
            </w:pPr>
            <w:r>
              <w:rPr>
                <w:rFonts w:ascii="宋体" w:hAnsi="宋体" w:cs="宋体" w:eastAsia="宋体" w:hint="default"/>
                <w:sz w:val="15"/>
                <w:szCs w:val="15"/>
              </w:rPr>
              <w:t>期末实际出 </w:t>
            </w:r>
            <w:r>
              <w:rPr>
                <w:rFonts w:ascii="宋体" w:hAnsi="宋体" w:cs="宋体" w:eastAsia="宋体" w:hint="default"/>
                <w:spacing w:val="-3"/>
                <w:sz w:val="15"/>
                <w:szCs w:val="15"/>
              </w:rPr>
              <w:t>资额（万元）</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9" w:right="107"/>
              <w:jc w:val="center"/>
              <w:rPr>
                <w:rFonts w:ascii="宋体" w:hAnsi="宋体" w:cs="宋体" w:eastAsia="宋体" w:hint="default"/>
                <w:sz w:val="15"/>
                <w:szCs w:val="15"/>
              </w:rPr>
            </w:pPr>
            <w:r>
              <w:rPr>
                <w:rFonts w:ascii="宋体" w:hAnsi="宋体" w:cs="宋体" w:eastAsia="宋体" w:hint="default"/>
                <w:sz w:val="15"/>
                <w:szCs w:val="15"/>
              </w:rPr>
              <w:t>实质上构成对子公 司净投资的其他项 目余额</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持股比例</w:t>
            </w:r>
          </w:p>
          <w:p>
            <w:pPr>
              <w:pStyle w:val="TableParagraph"/>
              <w:spacing w:line="240" w:lineRule="auto" w:before="19"/>
              <w:ind w:right="0"/>
              <w:jc w:val="center"/>
              <w:rPr>
                <w:rFonts w:ascii="Times New Roman" w:hAnsi="Times New Roman" w:cs="Times New Roman" w:eastAsia="Times New Roman" w:hint="default"/>
                <w:sz w:val="15"/>
                <w:szCs w:val="15"/>
              </w:rPr>
            </w:pPr>
            <w:r>
              <w:rPr>
                <w:rFonts w:ascii="Times New Roman"/>
                <w:sz w:val="15"/>
              </w:rPr>
              <w:t>(%)</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8"/>
              <w:ind w:left="108" w:right="106" w:firstLine="37"/>
              <w:jc w:val="left"/>
              <w:rPr>
                <w:rFonts w:ascii="Times New Roman" w:hAnsi="Times New Roman" w:cs="Times New Roman" w:eastAsia="Times New Roman" w:hint="default"/>
                <w:sz w:val="15"/>
                <w:szCs w:val="15"/>
              </w:rPr>
            </w:pPr>
            <w:r>
              <w:rPr>
                <w:rFonts w:ascii="宋体" w:hAnsi="宋体" w:cs="宋体" w:eastAsia="宋体" w:hint="default"/>
                <w:sz w:val="15"/>
                <w:szCs w:val="15"/>
              </w:rPr>
              <w:t>表决权 比例</w:t>
            </w:r>
            <w:r>
              <w:rPr>
                <w:rFonts w:ascii="Times New Roman" w:hAnsi="Times New Roman" w:cs="Times New Roman" w:eastAsia="Times New Roman" w:hint="default"/>
                <w:sz w:val="15"/>
                <w:szCs w:val="15"/>
              </w:rPr>
              <w:t>(%)</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318" w:right="166" w:hanging="150"/>
              <w:jc w:val="left"/>
              <w:rPr>
                <w:rFonts w:ascii="宋体" w:hAnsi="宋体" w:cs="宋体" w:eastAsia="宋体" w:hint="default"/>
                <w:sz w:val="15"/>
                <w:szCs w:val="15"/>
              </w:rPr>
            </w:pPr>
            <w:r>
              <w:rPr>
                <w:rFonts w:ascii="宋体" w:hAnsi="宋体" w:cs="宋体" w:eastAsia="宋体" w:hint="default"/>
                <w:sz w:val="15"/>
                <w:szCs w:val="15"/>
              </w:rPr>
              <w:t>是否合并 报表</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7"/>
              <w:ind w:right="119"/>
              <w:jc w:val="right"/>
              <w:rPr>
                <w:rFonts w:ascii="宋体" w:hAnsi="宋体" w:cs="宋体" w:eastAsia="宋体" w:hint="default"/>
                <w:sz w:val="15"/>
                <w:szCs w:val="15"/>
              </w:rPr>
            </w:pPr>
            <w:r>
              <w:rPr>
                <w:rFonts w:ascii="宋体" w:hAnsi="宋体" w:cs="宋体" w:eastAsia="宋体" w:hint="default"/>
                <w:sz w:val="15"/>
                <w:szCs w:val="15"/>
              </w:rPr>
              <w:t>少数股东权益</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318" w:right="167" w:hanging="150"/>
              <w:jc w:val="left"/>
              <w:rPr>
                <w:rFonts w:ascii="宋体" w:hAnsi="宋体" w:cs="宋体" w:eastAsia="宋体" w:hint="default"/>
                <w:sz w:val="15"/>
                <w:szCs w:val="15"/>
              </w:rPr>
            </w:pPr>
            <w:r>
              <w:rPr>
                <w:rFonts w:ascii="宋体" w:hAnsi="宋体" w:cs="宋体" w:eastAsia="宋体" w:hint="default"/>
                <w:sz w:val="15"/>
                <w:szCs w:val="15"/>
              </w:rPr>
              <w:t>少数股东累 计亏损</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275" w:right="131" w:hanging="150"/>
              <w:jc w:val="left"/>
              <w:rPr>
                <w:rFonts w:ascii="宋体" w:hAnsi="宋体" w:cs="宋体" w:eastAsia="宋体" w:hint="default"/>
                <w:sz w:val="15"/>
                <w:szCs w:val="15"/>
              </w:rPr>
            </w:pPr>
            <w:r>
              <w:rPr>
                <w:rFonts w:ascii="宋体" w:hAnsi="宋体" w:cs="宋体" w:eastAsia="宋体" w:hint="default"/>
                <w:sz w:val="15"/>
                <w:szCs w:val="15"/>
              </w:rPr>
              <w:t>母公司承担的 超额亏损</w:t>
            </w:r>
          </w:p>
        </w:tc>
      </w:tr>
      <w:tr>
        <w:trPr>
          <w:trHeight w:val="510"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122" w:right="0"/>
              <w:jc w:val="left"/>
              <w:rPr>
                <w:rFonts w:ascii="宋体" w:hAnsi="宋体" w:cs="宋体" w:eastAsia="宋体" w:hint="default"/>
                <w:sz w:val="15"/>
                <w:szCs w:val="15"/>
              </w:rPr>
            </w:pPr>
            <w:r>
              <w:rPr>
                <w:rFonts w:ascii="宋体" w:hAnsi="宋体" w:cs="宋体" w:eastAsia="宋体" w:hint="default"/>
                <w:sz w:val="15"/>
                <w:szCs w:val="15"/>
              </w:rPr>
              <w:t>运输行业：</w:t>
            </w:r>
          </w:p>
        </w:tc>
        <w:tc>
          <w:tcPr>
            <w:tcW w:w="101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122" w:right="0"/>
              <w:jc w:val="left"/>
              <w:rPr>
                <w:rFonts w:ascii="宋体" w:hAnsi="宋体" w:cs="宋体" w:eastAsia="宋体" w:hint="default"/>
                <w:sz w:val="15"/>
                <w:szCs w:val="15"/>
              </w:rPr>
            </w:pPr>
            <w:r>
              <w:rPr>
                <w:rFonts w:ascii="宋体" w:hAnsi="宋体" w:cs="宋体" w:eastAsia="宋体" w:hint="default"/>
                <w:sz w:val="15"/>
                <w:szCs w:val="15"/>
              </w:rPr>
              <w:t>深圳市鸿基锦源运输有限公司</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103" w:right="0"/>
              <w:jc w:val="left"/>
              <w:rPr>
                <w:rFonts w:ascii="宋体" w:hAnsi="宋体" w:cs="宋体" w:eastAsia="宋体" w:hint="default"/>
                <w:sz w:val="15"/>
                <w:szCs w:val="15"/>
              </w:rPr>
            </w:pPr>
            <w:r>
              <w:rPr>
                <w:rFonts w:ascii="宋体" w:hAnsi="宋体" w:cs="宋体" w:eastAsia="宋体" w:hint="default"/>
                <w:sz w:val="15"/>
                <w:szCs w:val="15"/>
              </w:rPr>
              <w:t>控股子公司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装卸运输</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160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323"/>
              <w:jc w:val="right"/>
              <w:rPr>
                <w:rFonts w:ascii="Times New Roman" w:hAnsi="Times New Roman" w:cs="Times New Roman" w:eastAsia="Times New Roman" w:hint="default"/>
                <w:sz w:val="15"/>
                <w:szCs w:val="15"/>
              </w:rPr>
            </w:pPr>
            <w:r>
              <w:rPr>
                <w:rFonts w:ascii="Times New Roman"/>
                <w:sz w:val="15"/>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308" w:right="0"/>
              <w:jc w:val="left"/>
              <w:rPr>
                <w:rFonts w:ascii="Times New Roman" w:hAnsi="Times New Roman" w:cs="Times New Roman" w:eastAsia="Times New Roman" w:hint="default"/>
                <w:sz w:val="15"/>
                <w:szCs w:val="15"/>
              </w:rPr>
            </w:pPr>
            <w:r>
              <w:rPr>
                <w:rFonts w:ascii="Times New Roman"/>
                <w:sz w:val="15"/>
              </w:rPr>
              <w:t>80%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2" w:right="0"/>
              <w:jc w:val="left"/>
              <w:rPr>
                <w:rFonts w:ascii="Times New Roman" w:hAnsi="Times New Roman" w:cs="Times New Roman" w:eastAsia="Times New Roman" w:hint="default"/>
                <w:sz w:val="15"/>
                <w:szCs w:val="15"/>
              </w:rPr>
            </w:pPr>
            <w:r>
              <w:rPr>
                <w:rFonts w:ascii="Times New Roman"/>
                <w:sz w:val="15"/>
              </w:rPr>
              <w:t>80%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1"/>
              <w:jc w:val="center"/>
              <w:rPr>
                <w:rFonts w:ascii="宋体" w:hAnsi="宋体" w:cs="宋体" w:eastAsia="宋体" w:hint="default"/>
                <w:sz w:val="15"/>
                <w:szCs w:val="15"/>
              </w:rPr>
            </w:pPr>
            <w:r>
              <w:rPr>
                <w:rFonts w:ascii="宋体" w:hAnsi="宋体" w:cs="宋体" w:eastAsia="宋体" w:hint="default"/>
                <w:sz w:val="15"/>
                <w:szCs w:val="15"/>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62"/>
              <w:jc w:val="right"/>
              <w:rPr>
                <w:rFonts w:ascii="Times New Roman" w:hAnsi="Times New Roman" w:cs="Times New Roman" w:eastAsia="Times New Roman" w:hint="default"/>
                <w:sz w:val="15"/>
                <w:szCs w:val="15"/>
              </w:rPr>
            </w:pPr>
            <w:r>
              <w:rPr>
                <w:rFonts w:ascii="Times New Roman"/>
                <w:sz w:val="15"/>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308" w:right="0"/>
              <w:jc w:val="left"/>
              <w:rPr>
                <w:rFonts w:ascii="Times New Roman" w:hAnsi="Times New Roman" w:cs="Times New Roman" w:eastAsia="Times New Roman" w:hint="default"/>
                <w:sz w:val="15"/>
                <w:szCs w:val="15"/>
              </w:rPr>
            </w:pPr>
            <w:r>
              <w:rPr>
                <w:rFonts w:ascii="Times New Roman"/>
                <w:sz w:val="15"/>
              </w:rPr>
              <w:t>400,000.00</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373" w:right="0"/>
              <w:jc w:val="left"/>
              <w:rPr>
                <w:rFonts w:ascii="Times New Roman" w:hAnsi="Times New Roman" w:cs="Times New Roman" w:eastAsia="Times New Roman" w:hint="default"/>
                <w:sz w:val="15"/>
                <w:szCs w:val="15"/>
              </w:rPr>
            </w:pPr>
            <w:r>
              <w:rPr>
                <w:rFonts w:ascii="Times New Roman"/>
                <w:sz w:val="15"/>
              </w:rPr>
              <w:t>637,455.47</w:t>
            </w:r>
          </w:p>
        </w:tc>
      </w:tr>
      <w:tr>
        <w:trPr>
          <w:trHeight w:val="510"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122" w:right="0"/>
              <w:jc w:val="left"/>
              <w:rPr>
                <w:rFonts w:ascii="宋体" w:hAnsi="宋体" w:cs="宋体" w:eastAsia="宋体" w:hint="default"/>
                <w:sz w:val="15"/>
                <w:szCs w:val="15"/>
              </w:rPr>
            </w:pPr>
            <w:r>
              <w:rPr>
                <w:rFonts w:ascii="宋体" w:hAnsi="宋体" w:cs="宋体" w:eastAsia="宋体" w:hint="default"/>
                <w:sz w:val="15"/>
                <w:szCs w:val="15"/>
              </w:rPr>
              <w:t>深圳市鸿基华辉运输有限公司</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103" w:right="0"/>
              <w:jc w:val="left"/>
              <w:rPr>
                <w:rFonts w:ascii="宋体" w:hAnsi="宋体" w:cs="宋体" w:eastAsia="宋体" w:hint="default"/>
                <w:sz w:val="15"/>
                <w:szCs w:val="15"/>
              </w:rPr>
            </w:pPr>
            <w:r>
              <w:rPr>
                <w:rFonts w:ascii="宋体" w:hAnsi="宋体" w:cs="宋体" w:eastAsia="宋体" w:hint="default"/>
                <w:sz w:val="15"/>
                <w:szCs w:val="15"/>
              </w:rPr>
              <w:t>控股子公司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装卸运输</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160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323"/>
              <w:jc w:val="right"/>
              <w:rPr>
                <w:rFonts w:ascii="Times New Roman" w:hAnsi="Times New Roman" w:cs="Times New Roman" w:eastAsia="Times New Roman" w:hint="default"/>
                <w:sz w:val="15"/>
                <w:szCs w:val="15"/>
              </w:rPr>
            </w:pPr>
            <w:r>
              <w:rPr>
                <w:rFonts w:ascii="Times New Roman"/>
                <w:sz w:val="15"/>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308" w:right="0"/>
              <w:jc w:val="left"/>
              <w:rPr>
                <w:rFonts w:ascii="Times New Roman" w:hAnsi="Times New Roman" w:cs="Times New Roman" w:eastAsia="Times New Roman" w:hint="default"/>
                <w:sz w:val="15"/>
                <w:szCs w:val="15"/>
              </w:rPr>
            </w:pPr>
            <w:r>
              <w:rPr>
                <w:rFonts w:ascii="Times New Roman"/>
                <w:sz w:val="15"/>
              </w:rPr>
              <w:t>80%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2" w:right="0"/>
              <w:jc w:val="left"/>
              <w:rPr>
                <w:rFonts w:ascii="Times New Roman" w:hAnsi="Times New Roman" w:cs="Times New Roman" w:eastAsia="Times New Roman" w:hint="default"/>
                <w:sz w:val="15"/>
                <w:szCs w:val="15"/>
              </w:rPr>
            </w:pPr>
            <w:r>
              <w:rPr>
                <w:rFonts w:ascii="Times New Roman"/>
                <w:sz w:val="15"/>
              </w:rPr>
              <w:t>80%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1"/>
              <w:jc w:val="center"/>
              <w:rPr>
                <w:rFonts w:ascii="宋体" w:hAnsi="宋体" w:cs="宋体" w:eastAsia="宋体" w:hint="default"/>
                <w:sz w:val="15"/>
                <w:szCs w:val="15"/>
              </w:rPr>
            </w:pPr>
            <w:r>
              <w:rPr>
                <w:rFonts w:ascii="宋体" w:hAnsi="宋体" w:cs="宋体" w:eastAsia="宋体" w:hint="default"/>
                <w:sz w:val="15"/>
                <w:szCs w:val="15"/>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734,635.53</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09"/>
              <w:jc w:val="right"/>
              <w:rPr>
                <w:rFonts w:ascii="Times New Roman" w:hAnsi="Times New Roman" w:cs="Times New Roman" w:eastAsia="Times New Roman" w:hint="default"/>
                <w:sz w:val="15"/>
                <w:szCs w:val="15"/>
              </w:rPr>
            </w:pPr>
            <w:r>
              <w:rPr>
                <w:rFonts w:ascii="Times New Roman"/>
                <w:sz w:val="15"/>
              </w:rPr>
              <w:t>-</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80"/>
              <w:jc w:val="right"/>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122" w:right="0"/>
              <w:jc w:val="left"/>
              <w:rPr>
                <w:rFonts w:ascii="宋体" w:hAnsi="宋体" w:cs="宋体" w:eastAsia="宋体" w:hint="default"/>
                <w:sz w:val="15"/>
                <w:szCs w:val="15"/>
              </w:rPr>
            </w:pPr>
            <w:r>
              <w:rPr>
                <w:rFonts w:ascii="宋体" w:hAnsi="宋体" w:cs="宋体" w:eastAsia="宋体" w:hint="default"/>
                <w:sz w:val="15"/>
                <w:szCs w:val="15"/>
              </w:rPr>
              <w:t>深圳市鸿基皇辉运输有限公司</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103" w:right="0"/>
              <w:jc w:val="left"/>
              <w:rPr>
                <w:rFonts w:ascii="宋体" w:hAnsi="宋体" w:cs="宋体" w:eastAsia="宋体" w:hint="default"/>
                <w:sz w:val="15"/>
                <w:szCs w:val="15"/>
              </w:rPr>
            </w:pPr>
            <w:r>
              <w:rPr>
                <w:rFonts w:ascii="宋体" w:hAnsi="宋体" w:cs="宋体" w:eastAsia="宋体" w:hint="default"/>
                <w:sz w:val="15"/>
                <w:szCs w:val="15"/>
              </w:rPr>
              <w:t>控股子公司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装卸运输</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160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323"/>
              <w:jc w:val="right"/>
              <w:rPr>
                <w:rFonts w:ascii="Times New Roman" w:hAnsi="Times New Roman" w:cs="Times New Roman" w:eastAsia="Times New Roman" w:hint="default"/>
                <w:sz w:val="15"/>
                <w:szCs w:val="15"/>
              </w:rPr>
            </w:pPr>
            <w:r>
              <w:rPr>
                <w:rFonts w:ascii="Times New Roman"/>
                <w:sz w:val="15"/>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308" w:right="0"/>
              <w:jc w:val="left"/>
              <w:rPr>
                <w:rFonts w:ascii="Times New Roman" w:hAnsi="Times New Roman" w:cs="Times New Roman" w:eastAsia="Times New Roman" w:hint="default"/>
                <w:sz w:val="15"/>
                <w:szCs w:val="15"/>
              </w:rPr>
            </w:pPr>
            <w:r>
              <w:rPr>
                <w:rFonts w:ascii="Times New Roman"/>
                <w:sz w:val="15"/>
              </w:rPr>
              <w:t>80%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2" w:right="0"/>
              <w:jc w:val="left"/>
              <w:rPr>
                <w:rFonts w:ascii="Times New Roman" w:hAnsi="Times New Roman" w:cs="Times New Roman" w:eastAsia="Times New Roman" w:hint="default"/>
                <w:sz w:val="15"/>
                <w:szCs w:val="15"/>
              </w:rPr>
            </w:pPr>
            <w:r>
              <w:rPr>
                <w:rFonts w:ascii="Times New Roman"/>
                <w:sz w:val="15"/>
              </w:rPr>
              <w:t>80%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1"/>
              <w:jc w:val="center"/>
              <w:rPr>
                <w:rFonts w:ascii="宋体" w:hAnsi="宋体" w:cs="宋体" w:eastAsia="宋体" w:hint="default"/>
                <w:sz w:val="15"/>
                <w:szCs w:val="15"/>
              </w:rPr>
            </w:pPr>
            <w:r>
              <w:rPr>
                <w:rFonts w:ascii="宋体" w:hAnsi="宋体" w:cs="宋体" w:eastAsia="宋体" w:hint="default"/>
                <w:sz w:val="15"/>
                <w:szCs w:val="15"/>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952,590.55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09"/>
              <w:jc w:val="right"/>
              <w:rPr>
                <w:rFonts w:ascii="Times New Roman" w:hAnsi="Times New Roman" w:cs="Times New Roman" w:eastAsia="Times New Roman" w:hint="default"/>
                <w:sz w:val="15"/>
                <w:szCs w:val="15"/>
              </w:rPr>
            </w:pPr>
            <w:r>
              <w:rPr>
                <w:rFonts w:ascii="Times New Roman"/>
                <w:sz w:val="15"/>
              </w:rPr>
              <w:t>-</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80"/>
              <w:jc w:val="right"/>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5"/>
              <w:ind w:left="1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其它</w:t>
            </w:r>
            <w:r>
              <w:rPr>
                <w:rFonts w:ascii="Times New Roman" w:hAnsi="Times New Roman" w:cs="Times New Roman" w:eastAsia="Times New Roman" w:hint="default"/>
                <w:b/>
                <w:bCs/>
                <w:sz w:val="15"/>
                <w:szCs w:val="15"/>
              </w:rPr>
              <w:t>:</w:t>
            </w:r>
            <w:r>
              <w:rPr>
                <w:rFonts w:ascii="Times New Roman" w:hAnsi="Times New Roman" w:cs="Times New Roman" w:eastAsia="Times New Roman" w:hint="default"/>
                <w:sz w:val="15"/>
                <w:szCs w:val="15"/>
              </w:rPr>
            </w:r>
          </w:p>
        </w:tc>
        <w:tc>
          <w:tcPr>
            <w:tcW w:w="101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122" w:right="0"/>
              <w:jc w:val="left"/>
              <w:rPr>
                <w:rFonts w:ascii="宋体" w:hAnsi="宋体" w:cs="宋体" w:eastAsia="宋体" w:hint="default"/>
                <w:sz w:val="15"/>
                <w:szCs w:val="15"/>
              </w:rPr>
            </w:pPr>
            <w:r>
              <w:rPr>
                <w:rFonts w:ascii="宋体" w:hAnsi="宋体" w:cs="宋体" w:eastAsia="宋体" w:hint="default"/>
                <w:sz w:val="15"/>
                <w:szCs w:val="15"/>
              </w:rPr>
              <w:t>香港鸿业发展有限公司</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103" w:right="0"/>
              <w:jc w:val="left"/>
              <w:rPr>
                <w:rFonts w:ascii="宋体" w:hAnsi="宋体" w:cs="宋体" w:eastAsia="宋体" w:hint="default"/>
                <w:sz w:val="15"/>
                <w:szCs w:val="15"/>
              </w:rPr>
            </w:pPr>
            <w:r>
              <w:rPr>
                <w:rFonts w:ascii="宋体" w:hAnsi="宋体" w:cs="宋体" w:eastAsia="宋体" w:hint="default"/>
                <w:sz w:val="15"/>
                <w:szCs w:val="15"/>
              </w:rPr>
              <w:t>控股子公司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香港</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1"/>
              <w:jc w:val="center"/>
              <w:rPr>
                <w:rFonts w:ascii="宋体" w:hAnsi="宋体" w:cs="宋体" w:eastAsia="宋体" w:hint="default"/>
                <w:sz w:val="15"/>
                <w:szCs w:val="15"/>
              </w:rPr>
            </w:pPr>
            <w:r>
              <w:rPr>
                <w:rFonts w:ascii="宋体" w:hAnsi="宋体" w:cs="宋体" w:eastAsia="宋体" w:hint="default"/>
                <w:sz w:val="15"/>
                <w:szCs w:val="15"/>
              </w:rPr>
              <w:t>运输、贸易</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5"/>
              <w:ind w:right="103"/>
              <w:jc w:val="right"/>
              <w:rPr>
                <w:rFonts w:ascii="Times New Roman" w:hAnsi="Times New Roman" w:cs="Times New Roman" w:eastAsia="Times New Roman" w:hint="default"/>
                <w:sz w:val="15"/>
                <w:szCs w:val="15"/>
              </w:rPr>
            </w:pPr>
            <w:r>
              <w:rPr>
                <w:rFonts w:ascii="宋体" w:hAnsi="宋体" w:cs="宋体" w:eastAsia="宋体" w:hint="default"/>
                <w:sz w:val="15"/>
                <w:szCs w:val="15"/>
              </w:rPr>
              <w:t>港币</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5"/>
              <w:ind w:right="100"/>
              <w:jc w:val="right"/>
              <w:rPr>
                <w:rFonts w:ascii="Times New Roman" w:hAnsi="Times New Roman" w:cs="Times New Roman" w:eastAsia="Times New Roman" w:hint="default"/>
                <w:sz w:val="15"/>
                <w:szCs w:val="15"/>
              </w:rPr>
            </w:pPr>
            <w:r>
              <w:rPr>
                <w:rFonts w:ascii="宋体" w:hAnsi="宋体" w:cs="宋体" w:eastAsia="宋体" w:hint="default"/>
                <w:sz w:val="15"/>
                <w:szCs w:val="15"/>
              </w:rPr>
              <w:t>港币</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950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323"/>
              <w:jc w:val="right"/>
              <w:rPr>
                <w:rFonts w:ascii="Times New Roman" w:hAnsi="Times New Roman" w:cs="Times New Roman" w:eastAsia="Times New Roman" w:hint="default"/>
                <w:sz w:val="15"/>
                <w:szCs w:val="15"/>
              </w:rPr>
            </w:pPr>
            <w:r>
              <w:rPr>
                <w:rFonts w:ascii="Times New Roman"/>
                <w:sz w:val="15"/>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308" w:right="0"/>
              <w:jc w:val="left"/>
              <w:rPr>
                <w:rFonts w:ascii="Times New Roman" w:hAnsi="Times New Roman" w:cs="Times New Roman" w:eastAsia="Times New Roman" w:hint="default"/>
                <w:sz w:val="15"/>
                <w:szCs w:val="15"/>
              </w:rPr>
            </w:pPr>
            <w:r>
              <w:rPr>
                <w:rFonts w:ascii="Times New Roman"/>
                <w:sz w:val="15"/>
              </w:rPr>
              <w:t>95%</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2" w:right="0"/>
              <w:jc w:val="left"/>
              <w:rPr>
                <w:rFonts w:ascii="Times New Roman" w:hAnsi="Times New Roman" w:cs="Times New Roman" w:eastAsia="Times New Roman" w:hint="default"/>
                <w:sz w:val="15"/>
                <w:szCs w:val="15"/>
              </w:rPr>
            </w:pPr>
            <w:r>
              <w:rPr>
                <w:rFonts w:ascii="Times New Roman"/>
                <w:sz w:val="15"/>
              </w:rPr>
              <w:t>95%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1"/>
              <w:jc w:val="center"/>
              <w:rPr>
                <w:rFonts w:ascii="宋体" w:hAnsi="宋体" w:cs="宋体" w:eastAsia="宋体" w:hint="default"/>
                <w:sz w:val="15"/>
                <w:szCs w:val="15"/>
              </w:rPr>
            </w:pPr>
            <w:r>
              <w:rPr>
                <w:rFonts w:ascii="宋体" w:hAnsi="宋体" w:cs="宋体" w:eastAsia="宋体" w:hint="default"/>
                <w:sz w:val="15"/>
                <w:szCs w:val="15"/>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234,045.38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09"/>
              <w:jc w:val="right"/>
              <w:rPr>
                <w:rFonts w:ascii="Times New Roman" w:hAnsi="Times New Roman" w:cs="Times New Roman" w:eastAsia="Times New Roman" w:hint="default"/>
                <w:sz w:val="15"/>
                <w:szCs w:val="15"/>
              </w:rPr>
            </w:pPr>
            <w:r>
              <w:rPr>
                <w:rFonts w:ascii="Times New Roman"/>
                <w:sz w:val="15"/>
              </w:rPr>
              <w:t>-</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80"/>
              <w:jc w:val="right"/>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122" w:right="0"/>
              <w:jc w:val="left"/>
              <w:rPr>
                <w:rFonts w:ascii="宋体" w:hAnsi="宋体" w:cs="宋体" w:eastAsia="宋体" w:hint="default"/>
                <w:sz w:val="15"/>
                <w:szCs w:val="15"/>
              </w:rPr>
            </w:pPr>
            <w:r>
              <w:rPr>
                <w:rFonts w:ascii="宋体" w:hAnsi="宋体" w:cs="宋体" w:eastAsia="宋体" w:hint="default"/>
                <w:sz w:val="15"/>
                <w:szCs w:val="15"/>
              </w:rPr>
              <w:t>福建升通网络传媒有限公司</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103" w:right="0"/>
              <w:jc w:val="left"/>
              <w:rPr>
                <w:rFonts w:ascii="宋体" w:hAnsi="宋体" w:cs="宋体" w:eastAsia="宋体" w:hint="default"/>
                <w:sz w:val="15"/>
                <w:szCs w:val="15"/>
              </w:rPr>
            </w:pPr>
            <w:r>
              <w:rPr>
                <w:rFonts w:ascii="宋体" w:hAnsi="宋体" w:cs="宋体" w:eastAsia="宋体" w:hint="default"/>
                <w:sz w:val="15"/>
                <w:szCs w:val="15"/>
              </w:rPr>
              <w:t>控股子公司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福州</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增值电信服务</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1,600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1,600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323"/>
              <w:jc w:val="right"/>
              <w:rPr>
                <w:rFonts w:ascii="Times New Roman" w:hAnsi="Times New Roman" w:cs="Times New Roman" w:eastAsia="Times New Roman" w:hint="default"/>
                <w:sz w:val="15"/>
                <w:szCs w:val="15"/>
              </w:rPr>
            </w:pPr>
            <w:r>
              <w:rPr>
                <w:rFonts w:ascii="Times New Roman"/>
                <w:sz w:val="15"/>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70" w:right="0"/>
              <w:jc w:val="left"/>
              <w:rPr>
                <w:rFonts w:ascii="Times New Roman" w:hAnsi="Times New Roman" w:cs="Times New Roman" w:eastAsia="Times New Roman" w:hint="default"/>
                <w:sz w:val="15"/>
                <w:szCs w:val="15"/>
              </w:rPr>
            </w:pPr>
            <w:r>
              <w:rPr>
                <w:rFonts w:ascii="Times New Roman"/>
                <w:sz w:val="15"/>
              </w:rPr>
              <w:t>100%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95" w:right="0"/>
              <w:jc w:val="left"/>
              <w:rPr>
                <w:rFonts w:ascii="Times New Roman" w:hAnsi="Times New Roman" w:cs="Times New Roman" w:eastAsia="Times New Roman" w:hint="default"/>
                <w:sz w:val="15"/>
                <w:szCs w:val="15"/>
              </w:rPr>
            </w:pPr>
            <w:r>
              <w:rPr>
                <w:rFonts w:ascii="Times New Roman"/>
                <w:sz w:val="15"/>
              </w:rPr>
              <w:t>100%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1"/>
              <w:jc w:val="center"/>
              <w:rPr>
                <w:rFonts w:ascii="宋体" w:hAnsi="宋体" w:cs="宋体" w:eastAsia="宋体" w:hint="default"/>
                <w:sz w:val="15"/>
                <w:szCs w:val="15"/>
              </w:rPr>
            </w:pPr>
            <w:r>
              <w:rPr>
                <w:rFonts w:ascii="宋体" w:hAnsi="宋体" w:cs="宋体" w:eastAsia="宋体" w:hint="default"/>
                <w:sz w:val="15"/>
                <w:szCs w:val="15"/>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62"/>
              <w:jc w:val="right"/>
              <w:rPr>
                <w:rFonts w:ascii="Times New Roman" w:hAnsi="Times New Roman" w:cs="Times New Roman" w:eastAsia="Times New Roman" w:hint="default"/>
                <w:sz w:val="15"/>
                <w:szCs w:val="15"/>
              </w:rPr>
            </w:pPr>
            <w:r>
              <w:rPr>
                <w:rFonts w:ascii="Times New Roman"/>
                <w:sz w:val="15"/>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09"/>
              <w:jc w:val="right"/>
              <w:rPr>
                <w:rFonts w:ascii="Times New Roman" w:hAnsi="Times New Roman" w:cs="Times New Roman" w:eastAsia="Times New Roman" w:hint="default"/>
                <w:sz w:val="15"/>
                <w:szCs w:val="15"/>
              </w:rPr>
            </w:pPr>
            <w:r>
              <w:rPr>
                <w:rFonts w:ascii="Times New Roman"/>
                <w:sz w:val="15"/>
              </w:rPr>
              <w:t>-</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80"/>
              <w:jc w:val="right"/>
              <w:rPr>
                <w:rFonts w:ascii="Times New Roman" w:hAnsi="Times New Roman" w:cs="Times New Roman" w:eastAsia="Times New Roman" w:hint="default"/>
                <w:sz w:val="15"/>
                <w:szCs w:val="15"/>
              </w:rPr>
            </w:pPr>
            <w:r>
              <w:rPr>
                <w:rFonts w:ascii="Times New Roman"/>
                <w:sz w:val="15"/>
              </w:rPr>
              <w:t>-</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p>
      <w:pPr>
        <w:pStyle w:val="BodyText"/>
        <w:spacing w:line="240" w:lineRule="auto" w:before="35"/>
        <w:ind w:left="653" w:right="0"/>
        <w:jc w:val="left"/>
      </w:pPr>
      <w:r>
        <w:rPr>
          <w:rFonts w:ascii="Times New Roman" w:hAnsi="Times New Roman" w:cs="Times New Roman" w:eastAsia="Times New Roman" w:hint="default"/>
        </w:rPr>
        <w:t>2</w:t>
      </w:r>
      <w:r>
        <w:rPr/>
        <w:t>、本公司间接持有福建升通网络传媒有限公司</w:t>
      </w:r>
      <w:r>
        <w:rPr>
          <w:spacing w:val="-58"/>
        </w:rPr>
        <w:t> </w:t>
      </w:r>
      <w:r>
        <w:rPr>
          <w:rFonts w:ascii="Times New Roman" w:hAnsi="Times New Roman" w:cs="Times New Roman" w:eastAsia="Times New Roman" w:hint="default"/>
        </w:rPr>
        <w:t>10%</w:t>
      </w:r>
      <w:r>
        <w:rPr/>
        <w:t>股权目前为其他单位名义持有，本公司通过股权协议实质持有。</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6"/>
          <w:szCs w:val="16"/>
        </w:rPr>
      </w:pPr>
    </w:p>
    <w:p>
      <w:pPr>
        <w:pStyle w:val="BodyText"/>
        <w:spacing w:line="240" w:lineRule="auto"/>
        <w:ind w:left="653" w:right="0"/>
        <w:jc w:val="left"/>
      </w:pPr>
      <w:r>
        <w:rPr>
          <w:rFonts w:ascii="Times New Roman" w:hAnsi="Times New Roman" w:cs="Times New Roman" w:eastAsia="Times New Roman" w:hint="default"/>
        </w:rPr>
        <w:t>3</w:t>
      </w:r>
      <w:r>
        <w:rPr/>
        <w:t>、本公司无同一控制下或非同一控制下企业合并取得的子公司</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6"/>
          <w:szCs w:val="16"/>
        </w:rPr>
      </w:pPr>
    </w:p>
    <w:p>
      <w:pPr>
        <w:pStyle w:val="BodyText"/>
        <w:spacing w:line="240" w:lineRule="auto"/>
        <w:ind w:left="653" w:right="0"/>
        <w:jc w:val="left"/>
      </w:pPr>
      <w:r>
        <w:rPr>
          <w:rFonts w:ascii="Times New Roman" w:hAnsi="Times New Roman" w:cs="Times New Roman" w:eastAsia="Times New Roman" w:hint="default"/>
        </w:rPr>
        <w:t>4</w:t>
      </w:r>
      <w:r>
        <w:rPr/>
        <w:t>、如下公司经本公司董事会决议，处于依法清算阶段，本公司已对该等公司无实质控制权，未纳入财务报表合并范围。</w:t>
      </w:r>
    </w:p>
    <w:p>
      <w:pPr>
        <w:spacing w:after="0" w:line="240" w:lineRule="auto"/>
        <w:jc w:val="left"/>
        <w:sectPr>
          <w:pgSz w:w="16840" w:h="11900" w:orient="landscape"/>
          <w:pgMar w:header="0" w:footer="954" w:top="1100" w:bottom="1140" w:left="90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tabs>
          <w:tab w:pos="1259" w:val="left" w:leader="none"/>
        </w:tabs>
        <w:spacing w:line="240" w:lineRule="auto" w:before="35"/>
        <w:ind w:left="0" w:right="153"/>
        <w:jc w:val="right"/>
      </w:pPr>
      <w:r>
        <w:rPr/>
        <w:t>单位：万元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5164"/>
        <w:gridCol w:w="1344"/>
        <w:gridCol w:w="1439"/>
        <w:gridCol w:w="1427"/>
        <w:gridCol w:w="959"/>
        <w:gridCol w:w="959"/>
        <w:gridCol w:w="3349"/>
      </w:tblGrid>
      <w:tr>
        <w:trPr>
          <w:trHeight w:val="510" w:hRule="exact"/>
        </w:trPr>
        <w:tc>
          <w:tcPr>
            <w:tcW w:w="516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3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43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42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7" w:right="0"/>
              <w:jc w:val="left"/>
              <w:rPr>
                <w:rFonts w:ascii="宋体" w:hAnsi="宋体" w:cs="宋体" w:eastAsia="宋体" w:hint="default"/>
                <w:sz w:val="18"/>
                <w:szCs w:val="18"/>
              </w:rPr>
            </w:pPr>
            <w:r>
              <w:rPr>
                <w:rFonts w:ascii="宋体" w:hAnsi="宋体" w:cs="宋体" w:eastAsia="宋体" w:hint="default"/>
                <w:sz w:val="18"/>
                <w:szCs w:val="18"/>
              </w:rPr>
              <w:t>投资额</w:t>
            </w:r>
          </w:p>
          <w:p>
            <w:pPr>
              <w:pStyle w:val="TableParagraph"/>
              <w:spacing w:line="240" w:lineRule="auto" w:before="118"/>
              <w:ind w:left="46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9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占权益比例</w:t>
            </w:r>
          </w:p>
        </w:tc>
        <w:tc>
          <w:tcPr>
            <w:tcW w:w="3349"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主营业务</w:t>
            </w:r>
          </w:p>
        </w:tc>
      </w:tr>
      <w:tr>
        <w:trPr>
          <w:trHeight w:val="510" w:hRule="exact"/>
        </w:trPr>
        <w:tc>
          <w:tcPr>
            <w:tcW w:w="5164" w:type="dxa"/>
            <w:vMerge/>
            <w:tcBorders>
              <w:left w:val="nil" w:sz="6" w:space="0" w:color="auto"/>
              <w:bottom w:val="single" w:sz="4" w:space="0" w:color="000000"/>
              <w:right w:val="single" w:sz="4" w:space="0" w:color="000000"/>
            </w:tcBorders>
          </w:tcPr>
          <w:p>
            <w:pPr/>
          </w:p>
        </w:tc>
        <w:tc>
          <w:tcPr>
            <w:tcW w:w="1344" w:type="dxa"/>
            <w:vMerge/>
            <w:tcBorders>
              <w:left w:val="single" w:sz="4" w:space="0" w:color="000000"/>
              <w:bottom w:val="single" w:sz="4" w:space="0" w:color="000000"/>
              <w:right w:val="single" w:sz="4" w:space="0" w:color="000000"/>
            </w:tcBorders>
          </w:tcPr>
          <w:p>
            <w:pPr/>
          </w:p>
        </w:tc>
        <w:tc>
          <w:tcPr>
            <w:tcW w:w="1439" w:type="dxa"/>
            <w:vMerge/>
            <w:tcBorders>
              <w:left w:val="single" w:sz="4" w:space="0" w:color="000000"/>
              <w:bottom w:val="single" w:sz="4" w:space="0" w:color="000000"/>
              <w:right w:val="single" w:sz="4" w:space="0" w:color="000000"/>
            </w:tcBorders>
          </w:tcPr>
          <w:p>
            <w:pPr/>
          </w:p>
        </w:tc>
        <w:tc>
          <w:tcPr>
            <w:tcW w:w="1427" w:type="dxa"/>
            <w:vMerge/>
            <w:tcBorders>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3349" w:type="dxa"/>
            <w:vMerge/>
            <w:tcBorders>
              <w:left w:val="single" w:sz="4" w:space="0" w:color="000000"/>
              <w:bottom w:val="single" w:sz="4" w:space="0" w:color="000000"/>
              <w:right w:val="nil" w:sz="6" w:space="0" w:color="auto"/>
            </w:tcBorders>
          </w:tcPr>
          <w:p>
            <w:pPr/>
          </w:p>
        </w:tc>
      </w:tr>
      <w:tr>
        <w:trPr>
          <w:trHeight w:val="510" w:hRule="exact"/>
        </w:trPr>
        <w:tc>
          <w:tcPr>
            <w:tcW w:w="51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1" w:right="0"/>
              <w:jc w:val="left"/>
              <w:rPr>
                <w:rFonts w:ascii="宋体" w:hAnsi="宋体" w:cs="宋体" w:eastAsia="宋体" w:hint="default"/>
                <w:sz w:val="18"/>
                <w:szCs w:val="18"/>
              </w:rPr>
            </w:pPr>
            <w:r>
              <w:rPr>
                <w:rFonts w:ascii="宋体" w:hAnsi="宋体" w:cs="宋体" w:eastAsia="宋体" w:hint="default"/>
                <w:sz w:val="18"/>
                <w:szCs w:val="18"/>
              </w:rPr>
              <w:t>未纳入合并范围的子公司</w:t>
            </w:r>
          </w:p>
        </w:tc>
        <w:tc>
          <w:tcPr>
            <w:tcW w:w="1344"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3349"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51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414"/>
              <w:jc w:val="right"/>
              <w:rPr>
                <w:rFonts w:ascii="宋体" w:hAnsi="宋体" w:cs="宋体" w:eastAsia="宋体" w:hint="default"/>
                <w:sz w:val="18"/>
                <w:szCs w:val="18"/>
              </w:rPr>
            </w:pPr>
            <w:r>
              <w:rPr>
                <w:rFonts w:ascii="宋体" w:hAnsi="宋体" w:cs="宋体" w:eastAsia="宋体" w:hint="default"/>
                <w:sz w:val="18"/>
                <w:szCs w:val="18"/>
              </w:rPr>
              <w:t>西安鸿腾生物科技有限责任公司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西安</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z w:val="18"/>
              </w:rPr>
              <w:t>200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05"/>
              <w:jc w:val="right"/>
              <w:rPr>
                <w:rFonts w:ascii="Times New Roman" w:hAnsi="Times New Roman" w:cs="Times New Roman" w:eastAsia="Times New Roman" w:hint="default"/>
                <w:sz w:val="18"/>
                <w:szCs w:val="18"/>
              </w:rPr>
            </w:pPr>
            <w:r>
              <w:rPr>
                <w:rFonts w:ascii="Times New Roman"/>
                <w:sz w:val="18"/>
              </w:rPr>
              <w:t>420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70%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3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生物制药</w:t>
            </w:r>
          </w:p>
        </w:tc>
      </w:tr>
      <w:tr>
        <w:trPr>
          <w:trHeight w:val="510" w:hRule="exact"/>
        </w:trPr>
        <w:tc>
          <w:tcPr>
            <w:tcW w:w="51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414"/>
              <w:jc w:val="right"/>
              <w:rPr>
                <w:rFonts w:ascii="宋体" w:hAnsi="宋体" w:cs="宋体" w:eastAsia="宋体" w:hint="default"/>
                <w:sz w:val="18"/>
                <w:szCs w:val="18"/>
              </w:rPr>
            </w:pPr>
            <w:r>
              <w:rPr>
                <w:rFonts w:ascii="宋体" w:hAnsi="宋体" w:cs="宋体" w:eastAsia="宋体" w:hint="default"/>
                <w:sz w:val="18"/>
                <w:szCs w:val="18"/>
              </w:rPr>
              <w:t>深圳鸿南建筑机械工程有限公司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深圳</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z w:val="18"/>
              </w:rPr>
              <w:t>360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05"/>
              <w:jc w:val="right"/>
              <w:rPr>
                <w:rFonts w:ascii="Times New Roman" w:hAnsi="Times New Roman" w:cs="Times New Roman" w:eastAsia="Times New Roman" w:hint="default"/>
                <w:sz w:val="18"/>
                <w:szCs w:val="18"/>
              </w:rPr>
            </w:pPr>
            <w:r>
              <w:rPr>
                <w:rFonts w:ascii="Times New Roman"/>
                <w:sz w:val="18"/>
              </w:rPr>
              <w:t>324</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90%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3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机械生产销售</w:t>
            </w:r>
          </w:p>
        </w:tc>
      </w:tr>
      <w:tr>
        <w:trPr>
          <w:trHeight w:val="510" w:hRule="exact"/>
        </w:trPr>
        <w:tc>
          <w:tcPr>
            <w:tcW w:w="51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深运工贸翠苑旅店</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深圳</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z w:val="18"/>
              </w:rPr>
              <w:t>50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05"/>
              <w:jc w:val="right"/>
              <w:rPr>
                <w:rFonts w:ascii="Times New Roman" w:hAnsi="Times New Roman" w:cs="Times New Roman" w:eastAsia="Times New Roman" w:hint="default"/>
                <w:sz w:val="18"/>
                <w:szCs w:val="18"/>
              </w:rPr>
            </w:pPr>
            <w:r>
              <w:rPr>
                <w:rFonts w:ascii="Times New Roman"/>
                <w:sz w:val="18"/>
              </w:rPr>
              <w:t>50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100%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3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旅店、服务</w:t>
            </w:r>
          </w:p>
        </w:tc>
      </w:tr>
      <w:tr>
        <w:trPr>
          <w:trHeight w:val="510" w:hRule="exact"/>
        </w:trPr>
        <w:tc>
          <w:tcPr>
            <w:tcW w:w="51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深圳市鸿基广源贸易有限公司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深圳</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z w:val="18"/>
              </w:rPr>
              <w:t>500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05"/>
              <w:jc w:val="right"/>
              <w:rPr>
                <w:rFonts w:ascii="Times New Roman" w:hAnsi="Times New Roman" w:cs="Times New Roman" w:eastAsia="Times New Roman" w:hint="default"/>
                <w:sz w:val="18"/>
                <w:szCs w:val="18"/>
              </w:rPr>
            </w:pPr>
            <w:r>
              <w:rPr>
                <w:rFonts w:ascii="Times New Roman"/>
                <w:sz w:val="18"/>
              </w:rPr>
              <w:t>400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80%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3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进出口及代理</w:t>
            </w:r>
          </w:p>
        </w:tc>
      </w:tr>
    </w:tbl>
    <w:p>
      <w:pPr>
        <w:spacing w:after="0" w:line="240" w:lineRule="auto"/>
        <w:jc w:val="center"/>
        <w:rPr>
          <w:rFonts w:ascii="宋体" w:hAnsi="宋体" w:cs="宋体" w:eastAsia="宋体" w:hint="default"/>
          <w:sz w:val="18"/>
          <w:szCs w:val="18"/>
        </w:rPr>
        <w:sectPr>
          <w:pgSz w:w="16840" w:h="11900" w:orient="landscape"/>
          <w:pgMar w:header="0" w:footer="954" w:top="1100" w:bottom="1140" w:left="980" w:right="980"/>
        </w:sectPr>
      </w:pPr>
    </w:p>
    <w:p>
      <w:pPr>
        <w:pStyle w:val="BodyText"/>
        <w:spacing w:line="412" w:lineRule="auto" w:before="6"/>
        <w:ind w:left="650" w:right="0" w:hanging="420"/>
        <w:jc w:val="left"/>
      </w:pPr>
      <w:r>
        <w:rPr>
          <w:rFonts w:ascii="Times New Roman" w:hAnsi="Times New Roman" w:cs="Times New Roman" w:eastAsia="Times New Roman" w:hint="default"/>
          <w:b/>
          <w:bCs/>
        </w:rPr>
        <w:t>5</w:t>
      </w:r>
      <w:r>
        <w:rPr/>
        <w:t>、合并范围发生变更的说明</w:t>
      </w:r>
      <w:r>
        <w:rPr>
          <w:spacing w:val="-99"/>
        </w:rPr>
        <w:t> </w:t>
      </w:r>
      <w:r>
        <w:rPr>
          <w:spacing w:val="-99"/>
        </w:rPr>
      </w:r>
      <w:r>
        <w:rPr>
          <w:spacing w:val="-1"/>
        </w:rPr>
        <w:t>本公司本期已全部转让下列两家公司股权，因此，期末下列两家公司不再纳入合并报表范围。</w:t>
      </w:r>
    </w:p>
    <w:p>
      <w:pPr>
        <w:pStyle w:val="BodyText"/>
        <w:tabs>
          <w:tab w:pos="1049" w:val="left" w:leader="none"/>
        </w:tabs>
        <w:spacing w:line="240" w:lineRule="auto" w:before="73"/>
        <w:ind w:left="0" w:right="2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37"/>
        <w:gridCol w:w="2708"/>
        <w:gridCol w:w="2786"/>
      </w:tblGrid>
      <w:tr>
        <w:trPr>
          <w:trHeight w:val="510" w:hRule="exact"/>
        </w:trPr>
        <w:tc>
          <w:tcPr>
            <w:tcW w:w="36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18"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2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期初至处置日净利润</w:t>
            </w:r>
          </w:p>
        </w:tc>
      </w:tr>
      <w:tr>
        <w:trPr>
          <w:trHeight w:val="510" w:hRule="exact"/>
        </w:trPr>
        <w:tc>
          <w:tcPr>
            <w:tcW w:w="36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深圳市鸿基恒安租赁汽车有限公司</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-420,498.25</w:t>
            </w:r>
          </w:p>
        </w:tc>
        <w:tc>
          <w:tcPr>
            <w:tcW w:w="2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-890,752.37</w:t>
            </w:r>
          </w:p>
        </w:tc>
      </w:tr>
      <w:tr>
        <w:trPr>
          <w:trHeight w:val="510" w:hRule="exact"/>
        </w:trPr>
        <w:tc>
          <w:tcPr>
            <w:tcW w:w="36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长沙鸿基运输实业有限公司</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10,527,518.64</w:t>
            </w:r>
          </w:p>
        </w:tc>
        <w:tc>
          <w:tcPr>
            <w:tcW w:w="2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4,322,925.95</w:t>
            </w:r>
          </w:p>
        </w:tc>
      </w:tr>
    </w:tbl>
    <w:p>
      <w:pPr>
        <w:spacing w:line="240" w:lineRule="auto" w:before="0"/>
        <w:rPr>
          <w:rFonts w:ascii="宋体" w:hAnsi="宋体" w:cs="宋体" w:eastAsia="宋体" w:hint="default"/>
          <w:sz w:val="12"/>
          <w:szCs w:val="12"/>
        </w:rPr>
      </w:pPr>
    </w:p>
    <w:p>
      <w:pPr>
        <w:pStyle w:val="BodyText"/>
        <w:spacing w:line="420" w:lineRule="auto" w:before="35"/>
        <w:ind w:left="230" w:right="226" w:firstLine="42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7"/>
        </w:rPr>
        <w:t> </w:t>
      </w:r>
      <w:r>
        <w:rPr/>
        <w:t>月</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日，本公司之控股子公司深圳市鸿基物流有限公司、深圳市新鸿泰投资 </w:t>
      </w:r>
      <w:r>
        <w:rPr>
          <w:spacing w:val="-4"/>
        </w:rPr>
        <w:t>发展有限公司（以下简称“新鸿泰”）与自然人赵州芝，签订了《深圳市鸿基恒安汽车租赁有限公</w:t>
      </w:r>
      <w:r>
        <w:rPr>
          <w:spacing w:val="-64"/>
        </w:rPr>
        <w:t> </w:t>
      </w:r>
      <w:r>
        <w:rPr>
          <w:spacing w:val="-64"/>
        </w:rPr>
      </w:r>
      <w:r>
        <w:rPr>
          <w:spacing w:val="-10"/>
        </w:rPr>
        <w:t>司股权转让协议》，协商确定将其持有</w:t>
      </w:r>
      <w:r>
        <w:rPr>
          <w:spacing w:val="-41"/>
        </w:rPr>
        <w:t> </w:t>
      </w:r>
      <w:r>
        <w:rPr>
          <w:rFonts w:ascii="Times New Roman" w:hAnsi="Times New Roman" w:cs="Times New Roman" w:eastAsia="Times New Roman" w:hint="default"/>
          <w:spacing w:val="-1"/>
        </w:rPr>
        <w:t>90%</w:t>
      </w:r>
      <w:r>
        <w:rPr>
          <w:spacing w:val="-1"/>
        </w:rPr>
        <w:t>股权与新鸿泰持有</w:t>
      </w:r>
      <w:r>
        <w:rPr>
          <w:spacing w:val="-41"/>
        </w:rPr>
        <w:t> </w:t>
      </w:r>
      <w:r>
        <w:rPr>
          <w:rFonts w:ascii="Times New Roman" w:hAnsi="Times New Roman" w:cs="Times New Roman" w:eastAsia="Times New Roman" w:hint="default"/>
          <w:spacing w:val="-1"/>
        </w:rPr>
        <w:t>10%</w:t>
      </w:r>
      <w:r>
        <w:rPr>
          <w:spacing w:val="-1"/>
        </w:rPr>
        <w:t>股权的深圳市鸿基恒安汽车租赁</w:t>
      </w:r>
      <w:r>
        <w:rPr>
          <w:spacing w:val="-103"/>
        </w:rPr>
        <w:t> </w:t>
      </w:r>
      <w:r>
        <w:rPr>
          <w:spacing w:val="-103"/>
        </w:rPr>
      </w:r>
      <w:r>
        <w:rPr/>
        <w:t>有限公司以人民币</w:t>
      </w:r>
      <w:r>
        <w:rPr>
          <w:spacing w:val="-53"/>
        </w:rPr>
        <w:t> </w:t>
      </w:r>
      <w:r>
        <w:rPr>
          <w:rFonts w:ascii="Times New Roman" w:hAnsi="Times New Roman" w:cs="Times New Roman" w:eastAsia="Times New Roman" w:hint="default"/>
        </w:rPr>
        <w:t>150.00 </w:t>
      </w:r>
      <w:r>
        <w:rPr>
          <w:spacing w:val="-5"/>
        </w:rPr>
        <w:t>万元转让予自然人赵州芝。公司已于</w:t>
      </w:r>
      <w:r>
        <w:rPr>
          <w:spacing w:val="-53"/>
        </w:rPr>
        <w:t> </w:t>
      </w:r>
      <w:r>
        <w:rPr>
          <w:rFonts w:ascii="Times New Roman" w:hAnsi="Times New Roman" w:cs="Times New Roman" w:eastAsia="Times New Roman" w:hint="default"/>
        </w:rPr>
        <w:t>2009 </w:t>
      </w:r>
      <w:r>
        <w:rPr/>
        <w:t>年</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w:t>
      </w:r>
      <w:r>
        <w:rPr>
          <w:spacing w:val="-54"/>
        </w:rPr>
        <w:t> </w:t>
      </w:r>
      <w:r>
        <w:rPr>
          <w:rFonts w:ascii="Times New Roman" w:hAnsi="Times New Roman" w:cs="Times New Roman" w:eastAsia="Times New Roman" w:hint="default"/>
        </w:rPr>
        <w:t>24 </w:t>
      </w:r>
      <w:r>
        <w:rPr/>
        <w:t>日已全额收到转让 价款。此股权转让已办理股权工商变更登记过户手续。</w:t>
      </w:r>
    </w:p>
    <w:p>
      <w:pPr>
        <w:pStyle w:val="BodyText"/>
        <w:spacing w:line="412" w:lineRule="auto" w:before="68"/>
        <w:ind w:left="230" w:right="225" w:firstLine="419"/>
        <w:jc w:val="both"/>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年</w:t>
      </w:r>
      <w:r>
        <w:rPr>
          <w:spacing w:val="-41"/>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w:t>
      </w:r>
      <w:r>
        <w:rPr>
          <w:spacing w:val="-42"/>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日，公司与湖南汽车城永通有限公司（以下简称</w:t>
      </w:r>
      <w:r>
        <w:rPr>
          <w:rFonts w:ascii="Times New Roman" w:hAnsi="Times New Roman" w:cs="Times New Roman" w:eastAsia="Times New Roman" w:hint="default"/>
          <w:spacing w:val="-1"/>
        </w:rPr>
        <w:t>“</w:t>
      </w:r>
      <w:r>
        <w:rPr/>
        <w:t>永通公</w:t>
      </w:r>
      <w:r>
        <w:rPr>
          <w:spacing w:val="1"/>
        </w:rPr>
        <w:t>司</w:t>
      </w:r>
      <w:r>
        <w:rPr>
          <w:rFonts w:ascii="Times New Roman" w:hAnsi="Times New Roman" w:cs="Times New Roman" w:eastAsia="Times New Roman" w:hint="default"/>
        </w:rPr>
        <w:t>”</w:t>
      </w:r>
      <w:r>
        <w:rPr>
          <w:spacing w:val="-105"/>
        </w:rPr>
        <w:t>）</w:t>
      </w:r>
      <w:r>
        <w:rPr/>
        <w:t>、自然人</w:t>
      </w:r>
      <w:r>
        <w:rPr/>
        <w:t> 蒋宗平，</w:t>
      </w:r>
      <w:r>
        <w:rPr>
          <w:spacing w:val="1"/>
        </w:rPr>
        <w:t>签</w:t>
      </w:r>
      <w:r>
        <w:rPr/>
        <w:t>订了《长</w:t>
      </w:r>
      <w:r>
        <w:rPr>
          <w:spacing w:val="1"/>
        </w:rPr>
        <w:t>沙</w:t>
      </w:r>
      <w:r>
        <w:rPr/>
        <w:t>鸿基运输</w:t>
      </w:r>
      <w:r>
        <w:rPr>
          <w:spacing w:val="1"/>
        </w:rPr>
        <w:t>实</w:t>
      </w:r>
      <w:r>
        <w:rPr/>
        <w:t>业有限公</w:t>
      </w:r>
      <w:r>
        <w:rPr>
          <w:spacing w:val="1"/>
        </w:rPr>
        <w:t>司</w:t>
      </w:r>
      <w:r>
        <w:rPr/>
        <w:t>股权转让</w:t>
      </w:r>
      <w:r>
        <w:rPr>
          <w:spacing w:val="1"/>
        </w:rPr>
        <w:t>协</w:t>
      </w:r>
      <w:r>
        <w:rPr/>
        <w:t>议</w:t>
      </w:r>
      <w:r>
        <w:rPr>
          <w:spacing w:val="-105"/>
        </w:rPr>
        <w:t>》</w:t>
      </w:r>
      <w:r>
        <w:rPr/>
        <w:t>，协商</w:t>
      </w:r>
      <w:r>
        <w:rPr>
          <w:spacing w:val="1"/>
        </w:rPr>
        <w:t>确</w:t>
      </w:r>
      <w:r>
        <w:rPr/>
        <w:t>定长沙鸿</w:t>
      </w:r>
      <w:r>
        <w:rPr>
          <w:spacing w:val="1"/>
        </w:rPr>
        <w:t>基</w:t>
      </w:r>
      <w:r>
        <w:rPr/>
        <w:t>运输公司 </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p>
    <w:p>
      <w:pPr>
        <w:pStyle w:val="BodyText"/>
        <w:spacing w:line="240" w:lineRule="auto" w:before="42"/>
        <w:ind w:left="230" w:right="0"/>
        <w:jc w:val="left"/>
      </w:pPr>
      <w:r>
        <w:rPr/>
        <w:t>股权转让价格为人民币</w:t>
      </w:r>
      <w:r>
        <w:rPr>
          <w:spacing w:val="-57"/>
        </w:rPr>
        <w:t> </w:t>
      </w:r>
      <w:r>
        <w:rPr>
          <w:rFonts w:ascii="Times New Roman" w:hAnsi="Times New Roman" w:cs="Times New Roman" w:eastAsia="Times New Roman" w:hint="default"/>
        </w:rPr>
        <w:t>4,880.00</w:t>
      </w:r>
      <w:r>
        <w:rPr>
          <w:rFonts w:ascii="Times New Roman" w:hAnsi="Times New Roman" w:cs="Times New Roman" w:eastAsia="Times New Roman" w:hint="default"/>
          <w:spacing w:val="-4"/>
        </w:rPr>
        <w:t> </w:t>
      </w:r>
      <w:r>
        <w:rPr/>
        <w:t>万元，公司已于</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spacing w:val="-4"/>
        </w:rPr>
        <w:t>11 </w:t>
      </w:r>
      <w:r>
        <w:rPr/>
        <w:t>月</w:t>
      </w:r>
      <w:r>
        <w:rPr>
          <w:spacing w:val="-58"/>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日已全额收到转让价款，以及长</w:t>
      </w:r>
    </w:p>
    <w:p>
      <w:pPr>
        <w:spacing w:line="240" w:lineRule="auto" w:before="0"/>
        <w:rPr>
          <w:rFonts w:ascii="宋体" w:hAnsi="宋体" w:cs="宋体" w:eastAsia="宋体" w:hint="default"/>
          <w:sz w:val="16"/>
          <w:szCs w:val="16"/>
        </w:rPr>
      </w:pPr>
    </w:p>
    <w:p>
      <w:pPr>
        <w:pStyle w:val="BodyText"/>
        <w:spacing w:line="240" w:lineRule="auto"/>
        <w:ind w:left="230" w:right="0"/>
        <w:jc w:val="left"/>
        <w:rPr>
          <w:rFonts w:ascii="Times New Roman" w:hAnsi="Times New Roman" w:cs="Times New Roman" w:eastAsia="Times New Roman" w:hint="default"/>
        </w:rPr>
      </w:pPr>
      <w:r>
        <w:rPr/>
        <w:t>沙鸿基运输公司</w:t>
      </w:r>
      <w:r>
        <w:rPr>
          <w:spacing w:val="-6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6"/>
        </w:rPr>
        <w:t> </w:t>
      </w:r>
      <w:r>
        <w:rPr/>
        <w:t>年</w:t>
      </w:r>
      <w:r>
        <w:rPr>
          <w:spacing w:val="-69"/>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spacing w:val="-69"/>
        </w:rPr>
        <w:t> </w:t>
      </w: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t>日以前留存的未分配利润和</w:t>
      </w:r>
      <w:r>
        <w:rPr>
          <w:spacing w:val="-6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5"/>
        </w:rPr>
        <w:t> </w:t>
      </w:r>
      <w:r>
        <w:rPr/>
        <w:t>年形成的未分配利润共计</w:t>
      </w:r>
      <w:r>
        <w:rPr>
          <w:spacing w:val="-68"/>
        </w:rPr>
        <w:t> </w:t>
      </w:r>
      <w:r>
        <w:rPr>
          <w:rFonts w:ascii="Times New Roman" w:hAnsi="Times New Roman" w:cs="Times New Roman" w:eastAsia="Times New Roman" w:hint="default"/>
        </w:rPr>
        <w:t>756.58</w:t>
      </w:r>
    </w:p>
    <w:p>
      <w:pPr>
        <w:spacing w:line="240" w:lineRule="auto" w:before="2"/>
        <w:rPr>
          <w:rFonts w:ascii="Times New Roman" w:hAnsi="Times New Roman" w:cs="Times New Roman" w:eastAsia="Times New Roman" w:hint="default"/>
          <w:sz w:val="18"/>
          <w:szCs w:val="18"/>
        </w:rPr>
      </w:pPr>
    </w:p>
    <w:p>
      <w:pPr>
        <w:pStyle w:val="BodyText"/>
        <w:spacing w:line="240" w:lineRule="auto"/>
        <w:ind w:left="230" w:right="0"/>
        <w:jc w:val="left"/>
      </w:pPr>
      <w:r>
        <w:rPr/>
        <w:t>万元。此股权转让已办理了股权工商变更登记过户手续。</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ind w:left="230" w:right="0"/>
        <w:jc w:val="left"/>
        <w:rPr>
          <w:rFonts w:ascii="黑体" w:hAnsi="黑体" w:cs="黑体" w:eastAsia="黑体" w:hint="default"/>
        </w:rPr>
      </w:pPr>
      <w:r>
        <w:rPr>
          <w:rFonts w:ascii="黑体" w:hAnsi="黑体" w:cs="黑体" w:eastAsia="黑体" w:hint="default"/>
        </w:rPr>
        <w:t>五、合并财务报表项目注释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15"/>
          <w:szCs w:val="15"/>
        </w:rPr>
      </w:pPr>
    </w:p>
    <w:p>
      <w:pPr>
        <w:pStyle w:val="BodyText"/>
        <w:spacing w:line="240" w:lineRule="auto"/>
        <w:ind w:left="230" w:right="0"/>
        <w:jc w:val="left"/>
      </w:pPr>
      <w:r>
        <w:rPr>
          <w:rFonts w:ascii="Times New Roman" w:hAnsi="Times New Roman" w:cs="Times New Roman" w:eastAsia="Times New Roman" w:hint="default"/>
          <w:b/>
          <w:bCs/>
        </w:rPr>
        <w:t>1</w:t>
      </w:r>
      <w:r>
        <w:rPr/>
        <w:t>、货币资金</w:t>
      </w:r>
    </w:p>
    <w:p>
      <w:pPr>
        <w:spacing w:line="240" w:lineRule="auto" w:before="0"/>
        <w:rPr>
          <w:rFonts w:ascii="宋体" w:hAnsi="宋体" w:cs="宋体" w:eastAsia="宋体" w:hint="default"/>
          <w:sz w:val="16"/>
          <w:szCs w:val="16"/>
        </w:rPr>
      </w:pPr>
    </w:p>
    <w:p>
      <w:pPr>
        <w:pStyle w:val="BodyText"/>
        <w:tabs>
          <w:tab w:pos="1049" w:val="left" w:leader="none"/>
        </w:tabs>
        <w:spacing w:line="240" w:lineRule="auto"/>
        <w:ind w:left="0" w:right="225"/>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590"/>
        <w:gridCol w:w="1464"/>
        <w:gridCol w:w="880"/>
        <w:gridCol w:w="1464"/>
        <w:gridCol w:w="1318"/>
        <w:gridCol w:w="881"/>
        <w:gridCol w:w="1536"/>
      </w:tblGrid>
      <w:tr>
        <w:trPr>
          <w:trHeight w:val="510" w:hRule="exact"/>
        </w:trPr>
        <w:tc>
          <w:tcPr>
            <w:tcW w:w="159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3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0" w:hRule="exact"/>
        </w:trPr>
        <w:tc>
          <w:tcPr>
            <w:tcW w:w="1590" w:type="dxa"/>
            <w:vMerge/>
            <w:tcBorders>
              <w:left w:val="nil" w:sz="6" w:space="0" w:color="auto"/>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510" w:hRule="exact"/>
        </w:trPr>
        <w:tc>
          <w:tcPr>
            <w:tcW w:w="1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tabs>
                <w:tab w:pos="664"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w:t>
              <w:tab/>
              <w:t>金：</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79"/>
              <w:jc w:val="right"/>
              <w:rPr>
                <w:rFonts w:ascii="Times New Roman" w:hAnsi="Times New Roman" w:cs="Times New Roman" w:eastAsia="Times New Roman" w:hint="default"/>
                <w:sz w:val="18"/>
                <w:szCs w:val="18"/>
              </w:rPr>
            </w:pPr>
            <w:r>
              <w:rPr>
                <w:rFonts w:ascii="Times New Roman"/>
                <w:sz w:val="18"/>
              </w:rPr>
              <w:t>840,932.58</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840,932.58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64"/>
              <w:jc w:val="right"/>
              <w:rPr>
                <w:rFonts w:ascii="Times New Roman" w:hAnsi="Times New Roman" w:cs="Times New Roman" w:eastAsia="Times New Roman" w:hint="default"/>
                <w:sz w:val="18"/>
                <w:szCs w:val="18"/>
              </w:rPr>
            </w:pPr>
            <w:r>
              <w:rPr>
                <w:rFonts w:ascii="Times New Roman"/>
                <w:spacing w:val="-1"/>
                <w:sz w:val="18"/>
              </w:rPr>
              <w:t>1,462,280.80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1,462,280.80</w:t>
            </w:r>
          </w:p>
        </w:tc>
      </w:tr>
      <w:tr>
        <w:trPr>
          <w:trHeight w:val="510" w:hRule="exact"/>
        </w:trPr>
        <w:tc>
          <w:tcPr>
            <w:tcW w:w="1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404"/>
              <w:jc w:val="right"/>
              <w:rPr>
                <w:rFonts w:ascii="Times New Roman" w:hAnsi="Times New Roman" w:cs="Times New Roman" w:eastAsia="Times New Roman" w:hint="default"/>
                <w:sz w:val="18"/>
                <w:szCs w:val="18"/>
              </w:rPr>
            </w:pPr>
            <w:r>
              <w:rPr>
                <w:rFonts w:ascii="Times New Roman"/>
                <w:sz w:val="18"/>
              </w:rPr>
              <w:t>-</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279,431,475.06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855" w:right="0"/>
              <w:jc w:val="left"/>
              <w:rPr>
                <w:rFonts w:ascii="Times New Roman" w:hAnsi="Times New Roman" w:cs="Times New Roman" w:eastAsia="Times New Roman" w:hint="default"/>
                <w:sz w:val="18"/>
                <w:szCs w:val="18"/>
              </w:rPr>
            </w:pPr>
            <w:r>
              <w:rPr>
                <w:rFonts w:ascii="Times New Roman"/>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100,472,507.92</w:t>
            </w:r>
          </w:p>
        </w:tc>
      </w:tr>
      <w:tr>
        <w:trPr>
          <w:trHeight w:val="510" w:hRule="exact"/>
        </w:trPr>
        <w:tc>
          <w:tcPr>
            <w:tcW w:w="1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79"/>
              <w:jc w:val="right"/>
              <w:rPr>
                <w:rFonts w:ascii="Times New Roman" w:hAnsi="Times New Roman" w:cs="Times New Roman" w:eastAsia="Times New Roman" w:hint="default"/>
                <w:sz w:val="18"/>
                <w:szCs w:val="18"/>
              </w:rPr>
            </w:pPr>
            <w:r>
              <w:rPr>
                <w:rFonts w:ascii="Times New Roman"/>
                <w:spacing w:val="-1"/>
                <w:sz w:val="18"/>
              </w:rPr>
              <w:t>277,682,545.71</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277,682,545.71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64"/>
              <w:jc w:val="right"/>
              <w:rPr>
                <w:rFonts w:ascii="Times New Roman" w:hAnsi="Times New Roman" w:cs="Times New Roman" w:eastAsia="Times New Roman" w:hint="default"/>
                <w:sz w:val="18"/>
                <w:szCs w:val="18"/>
              </w:rPr>
            </w:pPr>
            <w:r>
              <w:rPr>
                <w:rFonts w:ascii="Times New Roman"/>
                <w:spacing w:val="-1"/>
                <w:sz w:val="18"/>
              </w:rPr>
              <w:t>98,479,678.15</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98,479,678.15</w:t>
            </w:r>
          </w:p>
        </w:tc>
      </w:tr>
      <w:tr>
        <w:trPr>
          <w:trHeight w:val="510" w:hRule="exact"/>
        </w:trPr>
        <w:tc>
          <w:tcPr>
            <w:tcW w:w="1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79"/>
              <w:jc w:val="right"/>
              <w:rPr>
                <w:rFonts w:ascii="Times New Roman" w:hAnsi="Times New Roman" w:cs="Times New Roman" w:eastAsia="Times New Roman" w:hint="default"/>
                <w:sz w:val="18"/>
                <w:szCs w:val="18"/>
              </w:rPr>
            </w:pPr>
            <w:r>
              <w:rPr>
                <w:rFonts w:ascii="Times New Roman"/>
                <w:spacing w:val="-1"/>
                <w:sz w:val="18"/>
              </w:rPr>
              <w:t>1,972,604.97</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0.8805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1,736,844.94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66"/>
              <w:jc w:val="right"/>
              <w:rPr>
                <w:rFonts w:ascii="Times New Roman" w:hAnsi="Times New Roman" w:cs="Times New Roman" w:eastAsia="Times New Roman" w:hint="default"/>
                <w:sz w:val="18"/>
                <w:szCs w:val="18"/>
              </w:rPr>
            </w:pPr>
            <w:r>
              <w:rPr>
                <w:rFonts w:ascii="Times New Roman"/>
                <w:spacing w:val="-1"/>
                <w:sz w:val="18"/>
              </w:rPr>
              <w:t>1,852,650.71</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0.8819</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1,633,852.66</w:t>
            </w:r>
          </w:p>
        </w:tc>
      </w:tr>
      <w:tr>
        <w:trPr>
          <w:trHeight w:val="511" w:hRule="exact"/>
        </w:trPr>
        <w:tc>
          <w:tcPr>
            <w:tcW w:w="1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79"/>
              <w:jc w:val="right"/>
              <w:rPr>
                <w:rFonts w:ascii="Times New Roman" w:hAnsi="Times New Roman" w:cs="Times New Roman" w:eastAsia="Times New Roman" w:hint="default"/>
                <w:sz w:val="18"/>
                <w:szCs w:val="18"/>
              </w:rPr>
            </w:pPr>
            <w:r>
              <w:rPr>
                <w:rFonts w:ascii="Times New Roman"/>
                <w:sz w:val="18"/>
              </w:rPr>
              <w:t>1,769.78</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6.8282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12,084.41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64"/>
              <w:jc w:val="right"/>
              <w:rPr>
                <w:rFonts w:ascii="Times New Roman" w:hAnsi="Times New Roman" w:cs="Times New Roman" w:eastAsia="Times New Roman" w:hint="default"/>
                <w:sz w:val="18"/>
                <w:szCs w:val="18"/>
              </w:rPr>
            </w:pPr>
            <w:r>
              <w:rPr>
                <w:rFonts w:ascii="Times New Roman"/>
                <w:sz w:val="18"/>
              </w:rPr>
              <w:t>52,523.50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6.8346</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358,977.11</w:t>
            </w:r>
          </w:p>
        </w:tc>
      </w:tr>
    </w:tbl>
    <w:p>
      <w:pPr>
        <w:spacing w:after="0" w:line="240" w:lineRule="auto"/>
        <w:jc w:val="right"/>
        <w:rPr>
          <w:rFonts w:ascii="Times New Roman" w:hAnsi="Times New Roman" w:cs="Times New Roman" w:eastAsia="Times New Roman" w:hint="default"/>
          <w:sz w:val="18"/>
          <w:szCs w:val="18"/>
        </w:rPr>
        <w:sectPr>
          <w:footerReference w:type="default" r:id="rId16"/>
          <w:pgSz w:w="11900" w:h="16840"/>
          <w:pgMar w:footer="982" w:header="0" w:top="1320" w:bottom="1180" w:left="1640" w:right="900"/>
          <w:pgNumType w:start="35"/>
        </w:sectPr>
      </w:pPr>
    </w:p>
    <w:p>
      <w:pPr>
        <w:spacing w:line="240" w:lineRule="auto" w:before="9"/>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1590"/>
        <w:gridCol w:w="1464"/>
        <w:gridCol w:w="880"/>
        <w:gridCol w:w="1464"/>
        <w:gridCol w:w="1318"/>
        <w:gridCol w:w="881"/>
        <w:gridCol w:w="1536"/>
      </w:tblGrid>
      <w:tr>
        <w:trPr>
          <w:trHeight w:val="510" w:hRule="exact"/>
        </w:trPr>
        <w:tc>
          <w:tcPr>
            <w:tcW w:w="159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3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0" w:hRule="exact"/>
        </w:trPr>
        <w:tc>
          <w:tcPr>
            <w:tcW w:w="1590" w:type="dxa"/>
            <w:vMerge/>
            <w:tcBorders>
              <w:left w:val="nil" w:sz="6" w:space="0" w:color="auto"/>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550" w:hRule="exact"/>
        </w:trPr>
        <w:tc>
          <w:tcPr>
            <w:tcW w:w="1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404"/>
              <w:jc w:val="right"/>
              <w:rPr>
                <w:rFonts w:ascii="Times New Roman" w:hAnsi="Times New Roman" w:cs="Times New Roman" w:eastAsia="Times New Roman" w:hint="default"/>
                <w:sz w:val="18"/>
                <w:szCs w:val="18"/>
              </w:rPr>
            </w:pPr>
            <w:r>
              <w:rPr>
                <w:rFonts w:ascii="Times New Roman"/>
                <w:sz w:val="18"/>
              </w:rPr>
              <w:t>-</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31,343,628.92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855" w:right="0"/>
              <w:jc w:val="left"/>
              <w:rPr>
                <w:rFonts w:ascii="Times New Roman" w:hAnsi="Times New Roman" w:cs="Times New Roman" w:eastAsia="Times New Roman" w:hint="default"/>
                <w:sz w:val="18"/>
                <w:szCs w:val="18"/>
              </w:rPr>
            </w:pPr>
            <w:r>
              <w:rPr>
                <w:rFonts w:ascii="Times New Roman"/>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34,131,150.95</w:t>
            </w:r>
          </w:p>
        </w:tc>
      </w:tr>
      <w:tr>
        <w:trPr>
          <w:trHeight w:val="551" w:hRule="exact"/>
        </w:trPr>
        <w:tc>
          <w:tcPr>
            <w:tcW w:w="1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按揭保证金</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79"/>
              <w:jc w:val="right"/>
              <w:rPr>
                <w:rFonts w:ascii="Times New Roman" w:hAnsi="Times New Roman" w:cs="Times New Roman" w:eastAsia="Times New Roman" w:hint="default"/>
                <w:sz w:val="18"/>
                <w:szCs w:val="18"/>
              </w:rPr>
            </w:pPr>
            <w:r>
              <w:rPr>
                <w:rFonts w:ascii="Times New Roman"/>
                <w:spacing w:val="-1"/>
                <w:sz w:val="18"/>
              </w:rPr>
              <w:t>1,343,628.92</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1,343,628.92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1,579,235.64</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1,579,235.64</w:t>
            </w:r>
          </w:p>
        </w:tc>
      </w:tr>
      <w:tr>
        <w:trPr>
          <w:trHeight w:val="550" w:hRule="exact"/>
        </w:trPr>
        <w:tc>
          <w:tcPr>
            <w:tcW w:w="1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存单质押</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79"/>
              <w:jc w:val="right"/>
              <w:rPr>
                <w:rFonts w:ascii="Times New Roman" w:hAnsi="Times New Roman" w:cs="Times New Roman" w:eastAsia="Times New Roman" w:hint="default"/>
                <w:sz w:val="18"/>
                <w:szCs w:val="18"/>
              </w:rPr>
            </w:pPr>
            <w:r>
              <w:rPr>
                <w:rFonts w:ascii="Times New Roman"/>
                <w:spacing w:val="-1"/>
                <w:sz w:val="18"/>
              </w:rPr>
              <w:t>30,000,000.00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32,551,915.31</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32,551,915.31</w:t>
            </w:r>
          </w:p>
        </w:tc>
      </w:tr>
      <w:tr>
        <w:trPr>
          <w:trHeight w:val="551" w:hRule="exact"/>
        </w:trPr>
        <w:tc>
          <w:tcPr>
            <w:tcW w:w="1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tabs>
                <w:tab w:pos="664"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404"/>
              <w:jc w:val="right"/>
              <w:rPr>
                <w:rFonts w:ascii="Times New Roman" w:hAnsi="Times New Roman" w:cs="Times New Roman" w:eastAsia="Times New Roman" w:hint="default"/>
                <w:sz w:val="18"/>
                <w:szCs w:val="18"/>
              </w:rPr>
            </w:pPr>
            <w:r>
              <w:rPr>
                <w:rFonts w:ascii="Times New Roman"/>
                <w:sz w:val="18"/>
              </w:rPr>
              <w:t>-</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311,616,036.56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855" w:right="0"/>
              <w:jc w:val="left"/>
              <w:rPr>
                <w:rFonts w:ascii="Times New Roman" w:hAnsi="Times New Roman" w:cs="Times New Roman" w:eastAsia="Times New Roman" w:hint="default"/>
                <w:sz w:val="18"/>
                <w:szCs w:val="18"/>
              </w:rPr>
            </w:pPr>
            <w:r>
              <w:rPr>
                <w:rFonts w:ascii="Times New Roman"/>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136,065,939.67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35"/>
        <w:ind w:left="250" w:right="116"/>
        <w:jc w:val="left"/>
      </w:pPr>
      <w:r>
        <w:rPr>
          <w:rFonts w:ascii="Times New Roman" w:hAnsi="Times New Roman" w:cs="Times New Roman" w:eastAsia="Times New Roman" w:hint="default"/>
          <w:b/>
          <w:bCs/>
        </w:rPr>
        <w:t>2</w:t>
      </w:r>
      <w:r>
        <w:rPr/>
        <w:t>、应收股利</w:t>
      </w:r>
    </w:p>
    <w:p>
      <w:pPr>
        <w:spacing w:line="240" w:lineRule="auto" w:before="5"/>
        <w:rPr>
          <w:rFonts w:ascii="宋体" w:hAnsi="宋体" w:cs="宋体" w:eastAsia="宋体" w:hint="default"/>
          <w:sz w:val="16"/>
          <w:szCs w:val="16"/>
        </w:rPr>
      </w:pPr>
    </w:p>
    <w:p>
      <w:pPr>
        <w:pStyle w:val="BodyText"/>
        <w:tabs>
          <w:tab w:pos="1049" w:val="left" w:leader="none"/>
        </w:tabs>
        <w:spacing w:line="240" w:lineRule="auto" w:before="35"/>
        <w:ind w:left="0" w:right="225"/>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520"/>
        <w:gridCol w:w="1402"/>
        <w:gridCol w:w="1400"/>
        <w:gridCol w:w="1412"/>
        <w:gridCol w:w="1398"/>
      </w:tblGrid>
      <w:tr>
        <w:trPr>
          <w:trHeight w:val="559" w:hRule="exact"/>
        </w:trPr>
        <w:tc>
          <w:tcPr>
            <w:tcW w:w="35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tabs>
                <w:tab w:pos="541" w:val="left" w:leader="none"/>
              </w:tabs>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69"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68"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68"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9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58"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62" w:hRule="exact"/>
        </w:trPr>
        <w:tc>
          <w:tcPr>
            <w:tcW w:w="35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深圳市鸿丰酒店管理有限公司</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11,793,478.45</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23" w:right="0"/>
              <w:jc w:val="center"/>
              <w:rPr>
                <w:rFonts w:ascii="Times New Roman" w:hAnsi="Times New Roman" w:cs="Times New Roman" w:eastAsia="Times New Roman" w:hint="default"/>
                <w:sz w:val="18"/>
                <w:szCs w:val="18"/>
              </w:rPr>
            </w:pPr>
            <w:r>
              <w:rPr>
                <w:rFonts w:ascii="Times New Roman"/>
                <w:sz w:val="18"/>
              </w:rPr>
              <w:t>7,565,815.77</w:t>
            </w:r>
          </w:p>
        </w:tc>
        <w:tc>
          <w:tcPr>
            <w:tcW w:w="1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14,402,880.24</w:t>
            </w:r>
          </w:p>
        </w:tc>
        <w:tc>
          <w:tcPr>
            <w:tcW w:w="139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z w:val="18"/>
              </w:rPr>
              <w:t>4,956,413.98</w:t>
            </w:r>
          </w:p>
        </w:tc>
      </w:tr>
    </w:tbl>
    <w:p>
      <w:pPr>
        <w:spacing w:line="240" w:lineRule="auto" w:before="2"/>
        <w:rPr>
          <w:rFonts w:ascii="宋体" w:hAnsi="宋体" w:cs="宋体" w:eastAsia="宋体" w:hint="default"/>
          <w:sz w:val="15"/>
          <w:szCs w:val="15"/>
        </w:rPr>
      </w:pPr>
    </w:p>
    <w:p>
      <w:pPr>
        <w:pStyle w:val="BodyText"/>
        <w:spacing w:line="472" w:lineRule="auto" w:before="35"/>
        <w:ind w:left="250" w:right="116" w:firstLine="420"/>
        <w:jc w:val="left"/>
      </w:pPr>
      <w:r>
        <w:rPr/>
        <w:t>未收回的原因是该款被该公司用于流动资金周转，因该公司为本公司关联企业，收回该款可 能性较大，未提取减值准备。</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BodyText"/>
        <w:spacing w:line="240" w:lineRule="auto"/>
        <w:ind w:left="250" w:right="116"/>
        <w:jc w:val="left"/>
      </w:pPr>
      <w:r>
        <w:rPr>
          <w:rFonts w:ascii="Times New Roman" w:hAnsi="Times New Roman" w:cs="Times New Roman" w:eastAsia="Times New Roman" w:hint="default"/>
          <w:b/>
          <w:bCs/>
        </w:rPr>
        <w:t>3</w:t>
      </w:r>
      <w:r>
        <w:rPr/>
        <w:t>、应收账款</w:t>
      </w:r>
    </w:p>
    <w:p>
      <w:pPr>
        <w:spacing w:line="240" w:lineRule="auto" w:before="1"/>
        <w:rPr>
          <w:rFonts w:ascii="宋体" w:hAnsi="宋体" w:cs="宋体" w:eastAsia="宋体" w:hint="default"/>
          <w:sz w:val="19"/>
          <w:szCs w:val="19"/>
        </w:rPr>
      </w:pPr>
    </w:p>
    <w:p>
      <w:pPr>
        <w:pStyle w:val="BodyText"/>
        <w:spacing w:line="240" w:lineRule="auto"/>
        <w:ind w:left="250" w:right="116"/>
        <w:jc w:val="left"/>
      </w:pPr>
      <w:r>
        <w:rPr/>
        <w:t>（</w:t>
      </w:r>
      <w:r>
        <w:rPr>
          <w:rFonts w:ascii="Times New Roman" w:hAnsi="Times New Roman" w:cs="Times New Roman" w:eastAsia="Times New Roman" w:hint="default"/>
        </w:rPr>
        <w:t>1</w:t>
      </w:r>
      <w:r>
        <w:rPr/>
        <w:t>）应收账款按种类披露：</w:t>
      </w:r>
    </w:p>
    <w:p>
      <w:pPr>
        <w:spacing w:line="240" w:lineRule="auto" w:before="1"/>
        <w:rPr>
          <w:rFonts w:ascii="宋体" w:hAnsi="宋体" w:cs="宋体" w:eastAsia="宋体" w:hint="default"/>
          <w:sz w:val="19"/>
          <w:szCs w:val="19"/>
        </w:rPr>
      </w:pPr>
    </w:p>
    <w:p>
      <w:pPr>
        <w:pStyle w:val="BodyText"/>
        <w:tabs>
          <w:tab w:pos="1049" w:val="left" w:leader="none"/>
        </w:tabs>
        <w:spacing w:line="240" w:lineRule="auto"/>
        <w:ind w:left="0" w:right="225"/>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641"/>
        <w:gridCol w:w="1687"/>
        <w:gridCol w:w="1130"/>
        <w:gridCol w:w="1548"/>
        <w:gridCol w:w="1126"/>
      </w:tblGrid>
      <w:tr>
        <w:trPr>
          <w:trHeight w:val="550" w:hRule="exact"/>
        </w:trPr>
        <w:tc>
          <w:tcPr>
            <w:tcW w:w="364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491"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50" w:hRule="exact"/>
        </w:trPr>
        <w:tc>
          <w:tcPr>
            <w:tcW w:w="3641" w:type="dxa"/>
            <w:vMerge/>
            <w:tcBorders>
              <w:left w:val="nil" w:sz="6" w:space="0" w:color="auto"/>
              <w:right w:val="single" w:sz="4" w:space="0" w:color="000000"/>
            </w:tcBorders>
          </w:tcPr>
          <w:p>
            <w:pPr/>
          </w:p>
        </w:tc>
        <w:tc>
          <w:tcPr>
            <w:tcW w:w="28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7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1" w:hRule="exact"/>
        </w:trPr>
        <w:tc>
          <w:tcPr>
            <w:tcW w:w="3641" w:type="dxa"/>
            <w:vMerge/>
            <w:tcBorders>
              <w:left w:val="nil" w:sz="6" w:space="0" w:color="auto"/>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65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46"/>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50" w:hRule="exact"/>
        </w:trPr>
        <w:tc>
          <w:tcPr>
            <w:tcW w:w="36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单项金额重大的应收账款</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628" w:right="0"/>
              <w:jc w:val="left"/>
              <w:rPr>
                <w:rFonts w:ascii="Times New Roman" w:hAnsi="Times New Roman" w:cs="Times New Roman" w:eastAsia="Times New Roman" w:hint="default"/>
                <w:sz w:val="18"/>
                <w:szCs w:val="18"/>
              </w:rPr>
            </w:pPr>
            <w:r>
              <w:rPr>
                <w:rFonts w:ascii="Times New Roman"/>
                <w:sz w:val="18"/>
              </w:rPr>
              <w:t>1,346,393.00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80"/>
              <w:jc w:val="right"/>
              <w:rPr>
                <w:rFonts w:ascii="Times New Roman" w:hAnsi="Times New Roman" w:cs="Times New Roman" w:eastAsia="Times New Roman" w:hint="default"/>
                <w:sz w:val="18"/>
                <w:szCs w:val="18"/>
              </w:rPr>
            </w:pPr>
            <w:r>
              <w:rPr>
                <w:rFonts w:ascii="Times New Roman"/>
                <w:sz w:val="18"/>
              </w:rPr>
              <w:t>17.49%</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1,346,393.00</w:t>
            </w:r>
          </w:p>
        </w:tc>
        <w:tc>
          <w:tcPr>
            <w:tcW w:w="1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83"/>
              <w:jc w:val="right"/>
              <w:rPr>
                <w:rFonts w:ascii="Times New Roman" w:hAnsi="Times New Roman" w:cs="Times New Roman" w:eastAsia="Times New Roman" w:hint="default"/>
                <w:sz w:val="18"/>
                <w:szCs w:val="18"/>
              </w:rPr>
            </w:pPr>
            <w:r>
              <w:rPr>
                <w:rFonts w:ascii="Times New Roman"/>
                <w:sz w:val="18"/>
              </w:rPr>
              <w:t>61.30%</w:t>
            </w:r>
          </w:p>
        </w:tc>
      </w:tr>
      <w:tr>
        <w:trPr>
          <w:trHeight w:val="716" w:hRule="exact"/>
        </w:trPr>
        <w:tc>
          <w:tcPr>
            <w:tcW w:w="36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92"/>
              <w:jc w:val="left"/>
              <w:rPr>
                <w:rFonts w:ascii="宋体" w:hAnsi="宋体" w:cs="宋体" w:eastAsia="宋体" w:hint="default"/>
                <w:sz w:val="18"/>
                <w:szCs w:val="18"/>
              </w:rPr>
            </w:pPr>
            <w:r>
              <w:rPr>
                <w:rFonts w:ascii="宋体" w:hAnsi="宋体" w:cs="宋体" w:eastAsia="宋体" w:hint="default"/>
                <w:spacing w:val="9"/>
                <w:sz w:val="18"/>
                <w:szCs w:val="18"/>
              </w:rPr>
              <w:t>单项金额不重大但按信用风险特征组合后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该组合的风险较大的应收账款</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628" w:right="0"/>
              <w:jc w:val="left"/>
              <w:rPr>
                <w:rFonts w:ascii="Times New Roman" w:hAnsi="Times New Roman" w:cs="Times New Roman" w:eastAsia="Times New Roman" w:hint="default"/>
                <w:sz w:val="18"/>
                <w:szCs w:val="18"/>
              </w:rPr>
            </w:pPr>
            <w:r>
              <w:rPr>
                <w:rFonts w:ascii="Times New Roman"/>
                <w:sz w:val="18"/>
              </w:rPr>
              <w:t>1,064,272.53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80"/>
              <w:jc w:val="right"/>
              <w:rPr>
                <w:rFonts w:ascii="Times New Roman" w:hAnsi="Times New Roman" w:cs="Times New Roman" w:eastAsia="Times New Roman" w:hint="default"/>
                <w:sz w:val="18"/>
                <w:szCs w:val="18"/>
              </w:rPr>
            </w:pPr>
            <w:r>
              <w:rPr>
                <w:rFonts w:ascii="Times New Roman"/>
                <w:sz w:val="18"/>
              </w:rPr>
              <w:t>13.83%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805,709.46</w:t>
            </w:r>
          </w:p>
        </w:tc>
        <w:tc>
          <w:tcPr>
            <w:tcW w:w="11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83"/>
              <w:jc w:val="right"/>
              <w:rPr>
                <w:rFonts w:ascii="Times New Roman" w:hAnsi="Times New Roman" w:cs="Times New Roman" w:eastAsia="Times New Roman" w:hint="default"/>
                <w:sz w:val="18"/>
                <w:szCs w:val="18"/>
              </w:rPr>
            </w:pPr>
            <w:r>
              <w:rPr>
                <w:rFonts w:ascii="Times New Roman"/>
                <w:sz w:val="18"/>
              </w:rPr>
              <w:t>36.68%</w:t>
            </w:r>
          </w:p>
        </w:tc>
      </w:tr>
      <w:tr>
        <w:trPr>
          <w:trHeight w:val="551" w:hRule="exact"/>
        </w:trPr>
        <w:tc>
          <w:tcPr>
            <w:tcW w:w="36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其他不重大应收账款</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628" w:right="0"/>
              <w:jc w:val="left"/>
              <w:rPr>
                <w:rFonts w:ascii="Times New Roman" w:hAnsi="Times New Roman" w:cs="Times New Roman" w:eastAsia="Times New Roman" w:hint="default"/>
                <w:sz w:val="18"/>
                <w:szCs w:val="18"/>
              </w:rPr>
            </w:pPr>
            <w:r>
              <w:rPr>
                <w:rFonts w:ascii="Times New Roman"/>
                <w:sz w:val="18"/>
              </w:rPr>
              <w:t>5,285,612.18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80"/>
              <w:jc w:val="right"/>
              <w:rPr>
                <w:rFonts w:ascii="Times New Roman" w:hAnsi="Times New Roman" w:cs="Times New Roman" w:eastAsia="Times New Roman" w:hint="default"/>
                <w:sz w:val="18"/>
                <w:szCs w:val="18"/>
              </w:rPr>
            </w:pPr>
            <w:r>
              <w:rPr>
                <w:rFonts w:ascii="Times New Roman"/>
                <w:sz w:val="18"/>
              </w:rPr>
              <w:t>68.68%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44,293.56</w:t>
            </w:r>
          </w:p>
        </w:tc>
        <w:tc>
          <w:tcPr>
            <w:tcW w:w="1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29"/>
              <w:jc w:val="right"/>
              <w:rPr>
                <w:rFonts w:ascii="Times New Roman" w:hAnsi="Times New Roman" w:cs="Times New Roman" w:eastAsia="Times New Roman" w:hint="default"/>
                <w:sz w:val="18"/>
                <w:szCs w:val="18"/>
              </w:rPr>
            </w:pPr>
            <w:r>
              <w:rPr>
                <w:rFonts w:ascii="Times New Roman"/>
                <w:sz w:val="18"/>
              </w:rPr>
              <w:t>2.02%</w:t>
            </w:r>
          </w:p>
        </w:tc>
      </w:tr>
      <w:tr>
        <w:trPr>
          <w:trHeight w:val="550" w:hRule="exact"/>
        </w:trPr>
        <w:tc>
          <w:tcPr>
            <w:tcW w:w="36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628" w:right="0"/>
              <w:jc w:val="left"/>
              <w:rPr>
                <w:rFonts w:ascii="Times New Roman" w:hAnsi="Times New Roman" w:cs="Times New Roman" w:eastAsia="Times New Roman" w:hint="default"/>
                <w:sz w:val="18"/>
                <w:szCs w:val="18"/>
              </w:rPr>
            </w:pPr>
            <w:r>
              <w:rPr>
                <w:rFonts w:ascii="Times New Roman"/>
                <w:sz w:val="18"/>
              </w:rPr>
              <w:t>7,696,277.71</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5"/>
              <w:jc w:val="right"/>
              <w:rPr>
                <w:rFonts w:ascii="Times New Roman" w:hAnsi="Times New Roman" w:cs="Times New Roman" w:eastAsia="Times New Roman" w:hint="default"/>
                <w:sz w:val="18"/>
                <w:szCs w:val="18"/>
              </w:rPr>
            </w:pPr>
            <w:r>
              <w:rPr>
                <w:rFonts w:ascii="Times New Roman"/>
                <w:sz w:val="18"/>
              </w:rPr>
              <w:t>100.00%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2,196,396.02</w:t>
            </w:r>
          </w:p>
        </w:tc>
        <w:tc>
          <w:tcPr>
            <w:tcW w:w="1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00" w:h="16840"/>
          <w:pgMar w:header="0" w:footer="982" w:top="1060" w:bottom="1180" w:left="1620" w:right="900"/>
        </w:sectPr>
      </w:pPr>
    </w:p>
    <w:p>
      <w:pPr>
        <w:spacing w:line="240" w:lineRule="auto" w:before="9"/>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3641"/>
        <w:gridCol w:w="1687"/>
        <w:gridCol w:w="1130"/>
        <w:gridCol w:w="1548"/>
        <w:gridCol w:w="1126"/>
      </w:tblGrid>
      <w:tr>
        <w:trPr>
          <w:trHeight w:val="470" w:hRule="exact"/>
        </w:trPr>
        <w:tc>
          <w:tcPr>
            <w:tcW w:w="364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491"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69" w:hRule="exact"/>
        </w:trPr>
        <w:tc>
          <w:tcPr>
            <w:tcW w:w="3641" w:type="dxa"/>
            <w:vMerge/>
            <w:tcBorders>
              <w:left w:val="nil" w:sz="6" w:space="0" w:color="auto"/>
              <w:right w:val="single" w:sz="4" w:space="0" w:color="000000"/>
            </w:tcBorders>
          </w:tcPr>
          <w:p>
            <w:pPr/>
          </w:p>
        </w:tc>
        <w:tc>
          <w:tcPr>
            <w:tcW w:w="28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7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70" w:hRule="exact"/>
        </w:trPr>
        <w:tc>
          <w:tcPr>
            <w:tcW w:w="3641" w:type="dxa"/>
            <w:vMerge/>
            <w:tcBorders>
              <w:left w:val="nil" w:sz="6" w:space="0" w:color="auto"/>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46"/>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70" w:hRule="exact"/>
        </w:trPr>
        <w:tc>
          <w:tcPr>
            <w:tcW w:w="36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单项金额重大的应收账款</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2,964,048.00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80"/>
              <w:jc w:val="right"/>
              <w:rPr>
                <w:rFonts w:ascii="Times New Roman" w:hAnsi="Times New Roman" w:cs="Times New Roman" w:eastAsia="Times New Roman" w:hint="default"/>
                <w:sz w:val="18"/>
                <w:szCs w:val="18"/>
              </w:rPr>
            </w:pPr>
            <w:r>
              <w:rPr>
                <w:rFonts w:ascii="Times New Roman"/>
                <w:sz w:val="18"/>
              </w:rPr>
              <w:t>23.64%</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1,595,393.00</w:t>
            </w:r>
          </w:p>
        </w:tc>
        <w:tc>
          <w:tcPr>
            <w:tcW w:w="1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83"/>
              <w:jc w:val="right"/>
              <w:rPr>
                <w:rFonts w:ascii="Times New Roman" w:hAnsi="Times New Roman" w:cs="Times New Roman" w:eastAsia="Times New Roman" w:hint="default"/>
                <w:sz w:val="18"/>
                <w:szCs w:val="18"/>
              </w:rPr>
            </w:pPr>
            <w:r>
              <w:rPr>
                <w:rFonts w:ascii="Times New Roman"/>
                <w:sz w:val="18"/>
              </w:rPr>
              <w:t>52.17%</w:t>
            </w:r>
          </w:p>
        </w:tc>
      </w:tr>
      <w:tr>
        <w:trPr>
          <w:trHeight w:val="716" w:hRule="exact"/>
        </w:trPr>
        <w:tc>
          <w:tcPr>
            <w:tcW w:w="36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92"/>
              <w:jc w:val="left"/>
              <w:rPr>
                <w:rFonts w:ascii="宋体" w:hAnsi="宋体" w:cs="宋体" w:eastAsia="宋体" w:hint="default"/>
                <w:sz w:val="18"/>
                <w:szCs w:val="18"/>
              </w:rPr>
            </w:pPr>
            <w:r>
              <w:rPr>
                <w:rFonts w:ascii="宋体" w:hAnsi="宋体" w:cs="宋体" w:eastAsia="宋体" w:hint="default"/>
                <w:spacing w:val="9"/>
                <w:sz w:val="18"/>
                <w:szCs w:val="18"/>
              </w:rPr>
              <w:t>单项金额不重大但按信用风险特征组合后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该组合的风险较大的应收账款</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7,881,594.52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80"/>
              <w:jc w:val="right"/>
              <w:rPr>
                <w:rFonts w:ascii="Times New Roman" w:hAnsi="Times New Roman" w:cs="Times New Roman" w:eastAsia="Times New Roman" w:hint="default"/>
                <w:sz w:val="18"/>
                <w:szCs w:val="18"/>
              </w:rPr>
            </w:pPr>
            <w:r>
              <w:rPr>
                <w:rFonts w:ascii="Times New Roman"/>
                <w:sz w:val="18"/>
              </w:rPr>
              <w:t>62.85%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1,455,120.52</w:t>
            </w:r>
          </w:p>
        </w:tc>
        <w:tc>
          <w:tcPr>
            <w:tcW w:w="11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83"/>
              <w:jc w:val="right"/>
              <w:rPr>
                <w:rFonts w:ascii="Times New Roman" w:hAnsi="Times New Roman" w:cs="Times New Roman" w:eastAsia="Times New Roman" w:hint="default"/>
                <w:sz w:val="18"/>
                <w:szCs w:val="18"/>
              </w:rPr>
            </w:pPr>
            <w:r>
              <w:rPr>
                <w:rFonts w:ascii="Times New Roman"/>
                <w:sz w:val="18"/>
              </w:rPr>
              <w:t>47.58%</w:t>
            </w:r>
          </w:p>
        </w:tc>
      </w:tr>
      <w:tr>
        <w:trPr>
          <w:trHeight w:val="470" w:hRule="exact"/>
        </w:trPr>
        <w:tc>
          <w:tcPr>
            <w:tcW w:w="36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其他不重大应收账款</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1,694,498.51</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80"/>
              <w:jc w:val="right"/>
              <w:rPr>
                <w:rFonts w:ascii="Times New Roman" w:hAnsi="Times New Roman" w:cs="Times New Roman" w:eastAsia="Times New Roman" w:hint="default"/>
                <w:sz w:val="18"/>
                <w:szCs w:val="18"/>
              </w:rPr>
            </w:pPr>
            <w:r>
              <w:rPr>
                <w:rFonts w:ascii="Times New Roman"/>
                <w:sz w:val="18"/>
              </w:rPr>
              <w:t>13.51%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7,714.55</w:t>
            </w:r>
          </w:p>
        </w:tc>
        <w:tc>
          <w:tcPr>
            <w:tcW w:w="1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29"/>
              <w:jc w:val="right"/>
              <w:rPr>
                <w:rFonts w:ascii="Times New Roman" w:hAnsi="Times New Roman" w:cs="Times New Roman" w:eastAsia="Times New Roman" w:hint="default"/>
                <w:sz w:val="18"/>
                <w:szCs w:val="18"/>
              </w:rPr>
            </w:pPr>
            <w:r>
              <w:rPr>
                <w:rFonts w:ascii="Times New Roman"/>
                <w:sz w:val="18"/>
              </w:rPr>
              <w:t>0.25%</w:t>
            </w:r>
          </w:p>
        </w:tc>
      </w:tr>
      <w:tr>
        <w:trPr>
          <w:trHeight w:val="470" w:hRule="exact"/>
        </w:trPr>
        <w:tc>
          <w:tcPr>
            <w:tcW w:w="36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12,540,141.03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5"/>
              <w:jc w:val="right"/>
              <w:rPr>
                <w:rFonts w:ascii="Times New Roman" w:hAnsi="Times New Roman" w:cs="Times New Roman" w:eastAsia="Times New Roman" w:hint="default"/>
                <w:sz w:val="18"/>
                <w:szCs w:val="18"/>
              </w:rPr>
            </w:pPr>
            <w:r>
              <w:rPr>
                <w:rFonts w:ascii="Times New Roman"/>
                <w:sz w:val="18"/>
              </w:rPr>
              <w:t>100.00%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3,058,228.07</w:t>
            </w:r>
          </w:p>
        </w:tc>
        <w:tc>
          <w:tcPr>
            <w:tcW w:w="1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9"/>
          <w:szCs w:val="9"/>
        </w:rPr>
      </w:pPr>
    </w:p>
    <w:p>
      <w:pPr>
        <w:pStyle w:val="BodyText"/>
        <w:spacing w:line="240" w:lineRule="auto" w:before="35"/>
        <w:ind w:left="0" w:right="225"/>
        <w:jc w:val="right"/>
      </w:pPr>
      <w:r>
        <w:rPr/>
        <w:t>单项金额重大的应收账款是指单项金额在</w:t>
      </w:r>
      <w:r>
        <w:rPr>
          <w:spacing w:val="-66"/>
        </w:rPr>
        <w:t> </w:t>
      </w:r>
      <w:r>
        <w:rPr>
          <w:rFonts w:ascii="Times New Roman" w:hAnsi="Times New Roman" w:cs="Times New Roman" w:eastAsia="Times New Roman" w:hint="default"/>
        </w:rPr>
        <w:t>100</w:t>
      </w:r>
      <w:r>
        <w:rPr>
          <w:rFonts w:ascii="Times New Roman" w:hAnsi="Times New Roman" w:cs="Times New Roman" w:eastAsia="Times New Roman" w:hint="default"/>
          <w:spacing w:val="-14"/>
        </w:rPr>
        <w:t> </w:t>
      </w:r>
      <w:r>
        <w:rPr/>
        <w:t>万元以上的款项，单项金额不重大但按信用风险</w:t>
      </w:r>
    </w:p>
    <w:p>
      <w:pPr>
        <w:pStyle w:val="BodyText"/>
        <w:spacing w:line="240" w:lineRule="auto" w:before="169"/>
        <w:ind w:left="250" w:right="116"/>
        <w:jc w:val="left"/>
      </w:pPr>
      <w:r>
        <w:rPr/>
        <w:t>特征组合后该组合的风险较大的应收账款是指单项金额在 </w:t>
      </w:r>
      <w:r>
        <w:rPr>
          <w:rFonts w:ascii="Times New Roman" w:hAnsi="Times New Roman" w:cs="Times New Roman" w:eastAsia="Times New Roman" w:hint="default"/>
        </w:rPr>
        <w:t>100</w:t>
      </w:r>
      <w:r>
        <w:rPr>
          <w:rFonts w:ascii="Times New Roman" w:hAnsi="Times New Roman" w:cs="Times New Roman" w:eastAsia="Times New Roman" w:hint="default"/>
          <w:spacing w:val="25"/>
        </w:rPr>
        <w:t> </w:t>
      </w:r>
      <w:r>
        <w:rPr/>
        <w:t>万元以下、按账龄情况进行划分和</w:t>
      </w:r>
    </w:p>
    <w:p>
      <w:pPr>
        <w:pStyle w:val="BodyText"/>
        <w:spacing w:line="381" w:lineRule="auto" w:before="169"/>
        <w:ind w:left="250" w:right="212"/>
        <w:jc w:val="left"/>
      </w:pPr>
      <w:r>
        <w:rPr/>
        <w:t>组合且其账龄为已逾期的款项，其他不重大的应收账款是指单项金额在 </w:t>
      </w:r>
      <w:r>
        <w:rPr>
          <w:rFonts w:ascii="Times New Roman" w:hAnsi="Times New Roman" w:cs="Times New Roman" w:eastAsia="Times New Roman" w:hint="default"/>
        </w:rPr>
        <w:t>100</w:t>
      </w:r>
      <w:r>
        <w:rPr>
          <w:rFonts w:ascii="Times New Roman" w:hAnsi="Times New Roman" w:cs="Times New Roman" w:eastAsia="Times New Roman" w:hint="default"/>
          <w:spacing w:val="25"/>
        </w:rPr>
        <w:t> </w:t>
      </w:r>
      <w:r>
        <w:rPr/>
        <w:t>万元以下且其账龄为 未逾期的款项。</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50" w:right="116"/>
        <w:jc w:val="left"/>
      </w:pPr>
      <w:r>
        <w:rPr/>
        <w:t>（</w:t>
      </w:r>
      <w:r>
        <w:rPr>
          <w:rFonts w:ascii="Times New Roman" w:hAnsi="Times New Roman" w:cs="Times New Roman" w:eastAsia="Times New Roman" w:hint="default"/>
        </w:rPr>
        <w:t>2</w:t>
      </w:r>
      <w:r>
        <w:rPr/>
        <w:t>）期末单项金额重大或虽不重大但单独进行减值测试的应收账款坏账准备计提：</w:t>
      </w:r>
    </w:p>
    <w:p>
      <w:pPr>
        <w:pStyle w:val="BodyText"/>
        <w:tabs>
          <w:tab w:pos="1049" w:val="left" w:leader="none"/>
        </w:tabs>
        <w:spacing w:line="240" w:lineRule="auto" w:before="170"/>
        <w:ind w:left="0" w:right="225"/>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936"/>
        <w:gridCol w:w="1740"/>
        <w:gridCol w:w="1740"/>
        <w:gridCol w:w="1393"/>
        <w:gridCol w:w="1322"/>
      </w:tblGrid>
      <w:tr>
        <w:trPr>
          <w:trHeight w:val="571" w:hRule="exact"/>
        </w:trPr>
        <w:tc>
          <w:tcPr>
            <w:tcW w:w="293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934"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00"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3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3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81" w:hRule="exact"/>
        </w:trPr>
        <w:tc>
          <w:tcPr>
            <w:tcW w:w="293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应收深圳昌信实业有限公司运费</w:t>
            </w:r>
          </w:p>
        </w:tc>
        <w:tc>
          <w:tcPr>
            <w:tcW w:w="1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6" w:right="0"/>
              <w:jc w:val="left"/>
              <w:rPr>
                <w:rFonts w:ascii="Times New Roman" w:hAnsi="Times New Roman" w:cs="Times New Roman" w:eastAsia="Times New Roman" w:hint="default"/>
                <w:sz w:val="18"/>
                <w:szCs w:val="18"/>
              </w:rPr>
            </w:pPr>
            <w:r>
              <w:rPr>
                <w:rFonts w:ascii="Times New Roman"/>
                <w:sz w:val="18"/>
              </w:rPr>
              <w:t>1,346,393.00</w:t>
            </w:r>
          </w:p>
        </w:tc>
        <w:tc>
          <w:tcPr>
            <w:tcW w:w="1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6" w:right="0"/>
              <w:jc w:val="left"/>
              <w:rPr>
                <w:rFonts w:ascii="Times New Roman" w:hAnsi="Times New Roman" w:cs="Times New Roman" w:eastAsia="Times New Roman" w:hint="default"/>
                <w:sz w:val="18"/>
                <w:szCs w:val="18"/>
              </w:rPr>
            </w:pPr>
            <w:r>
              <w:rPr>
                <w:rFonts w:ascii="Times New Roman"/>
                <w:sz w:val="18"/>
              </w:rPr>
              <w:t>1,346,393.00</w:t>
            </w:r>
          </w:p>
        </w:tc>
        <w:tc>
          <w:tcPr>
            <w:tcW w:w="13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13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left="250" w:right="116"/>
        <w:jc w:val="left"/>
      </w:pPr>
      <w:r>
        <w:rPr/>
        <w:t>（</w:t>
      </w:r>
      <w:r>
        <w:rPr>
          <w:rFonts w:ascii="Times New Roman" w:hAnsi="Times New Roman" w:cs="Times New Roman" w:eastAsia="Times New Roman" w:hint="default"/>
        </w:rPr>
        <w:t>3</w:t>
      </w:r>
      <w:r>
        <w:rPr/>
        <w:t>）单项金额不重大但按信用风险特征组合后该组合的风险较大的应收账款：</w:t>
      </w:r>
    </w:p>
    <w:p>
      <w:pPr>
        <w:pStyle w:val="BodyText"/>
        <w:tabs>
          <w:tab w:pos="1049" w:val="left" w:leader="none"/>
        </w:tabs>
        <w:spacing w:line="240" w:lineRule="auto" w:before="169"/>
        <w:ind w:left="0" w:right="2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296"/>
        <w:gridCol w:w="1480"/>
        <w:gridCol w:w="1048"/>
        <w:gridCol w:w="1448"/>
        <w:gridCol w:w="1448"/>
        <w:gridCol w:w="1001"/>
        <w:gridCol w:w="1411"/>
      </w:tblGrid>
      <w:tr>
        <w:trPr>
          <w:trHeight w:val="480" w:hRule="exact"/>
        </w:trPr>
        <w:tc>
          <w:tcPr>
            <w:tcW w:w="1296" w:type="dxa"/>
            <w:vMerge w:val="restart"/>
            <w:tcBorders>
              <w:top w:val="single" w:sz="8"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445"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3976"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60" w:type="dxa"/>
            <w:gridSpan w:val="3"/>
            <w:tcBorders>
              <w:top w:val="single" w:sz="8" w:space="0" w:color="000000"/>
              <w:left w:val="single" w:sz="8" w:space="0" w:color="000000"/>
              <w:bottom w:val="single" w:sz="8" w:space="0" w:color="000000"/>
              <w:right w:val="nil" w:sz="6" w:space="0" w:color="auto"/>
            </w:tcBorders>
          </w:tcPr>
          <w:p>
            <w:pPr>
              <w:pStyle w:val="TableParagraph"/>
              <w:spacing w:line="240" w:lineRule="auto" w:before="154"/>
              <w:ind w:right="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80" w:hRule="exact"/>
        </w:trPr>
        <w:tc>
          <w:tcPr>
            <w:tcW w:w="1296" w:type="dxa"/>
            <w:vMerge/>
            <w:tcBorders>
              <w:left w:val="nil" w:sz="6" w:space="0" w:color="auto"/>
              <w:right w:val="single" w:sz="8" w:space="0" w:color="000000"/>
            </w:tcBorders>
          </w:tcPr>
          <w:p>
            <w:pPr/>
          </w:p>
        </w:tc>
        <w:tc>
          <w:tcPr>
            <w:tcW w:w="2527"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left="8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48" w:type="dxa"/>
            <w:vMerge w:val="restart"/>
            <w:tcBorders>
              <w:top w:val="single" w:sz="8" w:space="0" w:color="000000"/>
              <w:left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9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49"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left="79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1" w:type="dxa"/>
            <w:vMerge w:val="restart"/>
            <w:tcBorders>
              <w:top w:val="single" w:sz="8" w:space="0" w:color="000000"/>
              <w:left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7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80" w:hRule="exact"/>
        </w:trPr>
        <w:tc>
          <w:tcPr>
            <w:tcW w:w="1296" w:type="dxa"/>
            <w:vMerge/>
            <w:tcBorders>
              <w:left w:val="nil" w:sz="6" w:space="0" w:color="auto"/>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145"/>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448" w:type="dxa"/>
            <w:vMerge/>
            <w:tcBorders>
              <w:left w:val="single" w:sz="8" w:space="0" w:color="000000"/>
              <w:bottom w:val="single" w:sz="8" w:space="0" w:color="000000"/>
              <w:right w:val="single" w:sz="8" w:space="0" w:color="000000"/>
            </w:tcBorders>
          </w:tcPr>
          <w:p>
            <w:pPr/>
          </w:p>
        </w:tc>
        <w:tc>
          <w:tcPr>
            <w:tcW w:w="1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121"/>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411" w:type="dxa"/>
            <w:vMerge/>
            <w:tcBorders>
              <w:left w:val="single" w:sz="8" w:space="0" w:color="000000"/>
              <w:bottom w:val="single" w:sz="8" w:space="0" w:color="000000"/>
              <w:right w:val="nil" w:sz="6" w:space="0" w:color="auto"/>
            </w:tcBorders>
          </w:tcPr>
          <w:p>
            <w:pPr/>
          </w:p>
        </w:tc>
      </w:tr>
      <w:tr>
        <w:trPr>
          <w:trHeight w:val="480" w:hRule="exact"/>
        </w:trPr>
        <w:tc>
          <w:tcPr>
            <w:tcW w:w="12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54"/>
              <w:ind w:right="268"/>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131,079.60</w:t>
            </w:r>
          </w:p>
        </w:tc>
        <w:tc>
          <w:tcPr>
            <w:tcW w:w="10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7"/>
              <w:jc w:val="right"/>
              <w:rPr>
                <w:rFonts w:ascii="Times New Roman" w:hAnsi="Times New Roman" w:cs="Times New Roman" w:eastAsia="Times New Roman" w:hint="default"/>
                <w:sz w:val="21"/>
                <w:szCs w:val="21"/>
              </w:rPr>
            </w:pPr>
            <w:r>
              <w:rPr>
                <w:rFonts w:ascii="Times New Roman"/>
                <w:spacing w:val="-1"/>
                <w:sz w:val="21"/>
              </w:rPr>
              <w:t>12.32%</w:t>
            </w:r>
          </w:p>
        </w:tc>
        <w:tc>
          <w:tcPr>
            <w:tcW w:w="1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43,556.75</w:t>
            </w:r>
          </w:p>
        </w:tc>
        <w:tc>
          <w:tcPr>
            <w:tcW w:w="1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4,372,815.17</w:t>
            </w:r>
          </w:p>
        </w:tc>
        <w:tc>
          <w:tcPr>
            <w:tcW w:w="10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63"/>
              <w:jc w:val="right"/>
              <w:rPr>
                <w:rFonts w:ascii="Times New Roman" w:hAnsi="Times New Roman" w:cs="Times New Roman" w:eastAsia="Times New Roman" w:hint="default"/>
                <w:sz w:val="21"/>
                <w:szCs w:val="21"/>
              </w:rPr>
            </w:pPr>
            <w:r>
              <w:rPr>
                <w:rFonts w:ascii="Times New Roman"/>
                <w:spacing w:val="-1"/>
                <w:sz w:val="21"/>
              </w:rPr>
              <w:t>55.48%</w:t>
            </w:r>
          </w:p>
        </w:tc>
        <w:tc>
          <w:tcPr>
            <w:tcW w:w="141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119,178.53</w:t>
            </w:r>
          </w:p>
        </w:tc>
      </w:tr>
      <w:tr>
        <w:trPr>
          <w:trHeight w:val="480" w:hRule="exact"/>
        </w:trPr>
        <w:tc>
          <w:tcPr>
            <w:tcW w:w="12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54"/>
              <w:ind w:left="2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w:t>
            </w:r>
          </w:p>
        </w:tc>
        <w:tc>
          <w:tcPr>
            <w:tcW w:w="10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w:t>
            </w:r>
          </w:p>
        </w:tc>
        <w:tc>
          <w:tcPr>
            <w:tcW w:w="1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927,439.53</w:t>
            </w:r>
          </w:p>
        </w:tc>
        <w:tc>
          <w:tcPr>
            <w:tcW w:w="10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63"/>
              <w:jc w:val="right"/>
              <w:rPr>
                <w:rFonts w:ascii="Times New Roman" w:hAnsi="Times New Roman" w:cs="Times New Roman" w:eastAsia="Times New Roman" w:hint="default"/>
                <w:sz w:val="21"/>
                <w:szCs w:val="21"/>
              </w:rPr>
            </w:pPr>
            <w:r>
              <w:rPr>
                <w:rFonts w:ascii="Times New Roman"/>
                <w:spacing w:val="-1"/>
                <w:sz w:val="21"/>
              </w:rPr>
              <w:t>11.77%</w:t>
            </w:r>
          </w:p>
        </w:tc>
        <w:tc>
          <w:tcPr>
            <w:tcW w:w="141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153,540.21</w:t>
            </w:r>
          </w:p>
        </w:tc>
      </w:tr>
      <w:tr>
        <w:trPr>
          <w:trHeight w:val="480" w:hRule="exact"/>
        </w:trPr>
        <w:tc>
          <w:tcPr>
            <w:tcW w:w="12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54"/>
              <w:ind w:left="2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73,190.00</w:t>
            </w:r>
          </w:p>
        </w:tc>
        <w:tc>
          <w:tcPr>
            <w:tcW w:w="10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42" w:right="0"/>
              <w:jc w:val="left"/>
              <w:rPr>
                <w:rFonts w:ascii="Times New Roman" w:hAnsi="Times New Roman" w:cs="Times New Roman" w:eastAsia="Times New Roman" w:hint="default"/>
                <w:sz w:val="21"/>
                <w:szCs w:val="21"/>
              </w:rPr>
            </w:pPr>
            <w:r>
              <w:rPr>
                <w:rFonts w:ascii="Times New Roman"/>
                <w:sz w:val="21"/>
              </w:rPr>
              <w:t>6.88%</w:t>
            </w:r>
          </w:p>
        </w:tc>
        <w:tc>
          <w:tcPr>
            <w:tcW w:w="1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21,957.00</w:t>
            </w:r>
          </w:p>
        </w:tc>
        <w:tc>
          <w:tcPr>
            <w:tcW w:w="1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912,987.28</w:t>
            </w:r>
          </w:p>
        </w:tc>
        <w:tc>
          <w:tcPr>
            <w:tcW w:w="10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63"/>
              <w:jc w:val="right"/>
              <w:rPr>
                <w:rFonts w:ascii="Times New Roman" w:hAnsi="Times New Roman" w:cs="Times New Roman" w:eastAsia="Times New Roman" w:hint="default"/>
                <w:sz w:val="21"/>
                <w:szCs w:val="21"/>
              </w:rPr>
            </w:pPr>
            <w:r>
              <w:rPr>
                <w:rFonts w:ascii="Times New Roman"/>
                <w:spacing w:val="-1"/>
                <w:sz w:val="21"/>
              </w:rPr>
              <w:t>11.58%</w:t>
            </w:r>
          </w:p>
        </w:tc>
        <w:tc>
          <w:tcPr>
            <w:tcW w:w="141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266,870.14</w:t>
            </w:r>
          </w:p>
        </w:tc>
      </w:tr>
      <w:tr>
        <w:trPr>
          <w:trHeight w:val="480" w:hRule="exact"/>
        </w:trPr>
        <w:tc>
          <w:tcPr>
            <w:tcW w:w="12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54"/>
              <w:ind w:left="2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 </w:t>
            </w:r>
            <w:r>
              <w:rPr>
                <w:rFonts w:ascii="宋体" w:hAnsi="宋体" w:cs="宋体" w:eastAsia="宋体" w:hint="default"/>
                <w:sz w:val="21"/>
                <w:szCs w:val="21"/>
              </w:rPr>
              <w:t>年</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259,909.86</w:t>
            </w:r>
            <w:r>
              <w:rPr>
                <w:rFonts w:ascii="Times New Roman"/>
                <w:sz w:val="21"/>
              </w:rPr>
            </w:r>
          </w:p>
        </w:tc>
        <w:tc>
          <w:tcPr>
            <w:tcW w:w="10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9"/>
              <w:jc w:val="right"/>
              <w:rPr>
                <w:rFonts w:ascii="Times New Roman" w:hAnsi="Times New Roman" w:cs="Times New Roman" w:eastAsia="Times New Roman" w:hint="default"/>
                <w:sz w:val="21"/>
                <w:szCs w:val="21"/>
              </w:rPr>
            </w:pPr>
            <w:r>
              <w:rPr>
                <w:rFonts w:ascii="Times New Roman"/>
                <w:spacing w:val="-1"/>
                <w:sz w:val="21"/>
              </w:rPr>
              <w:t>24.42%</w:t>
            </w:r>
          </w:p>
        </w:tc>
        <w:tc>
          <w:tcPr>
            <w:tcW w:w="1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186,750.05</w:t>
            </w:r>
            <w:r>
              <w:rPr>
                <w:rFonts w:ascii="Times New Roman"/>
                <w:sz w:val="21"/>
              </w:rPr>
            </w:r>
          </w:p>
        </w:tc>
        <w:tc>
          <w:tcPr>
            <w:tcW w:w="1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574,200.48</w:t>
            </w:r>
            <w:r>
              <w:rPr>
                <w:rFonts w:ascii="Times New Roman"/>
                <w:sz w:val="21"/>
              </w:rPr>
            </w:r>
          </w:p>
        </w:tc>
        <w:tc>
          <w:tcPr>
            <w:tcW w:w="10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17" w:right="0"/>
              <w:jc w:val="left"/>
              <w:rPr>
                <w:rFonts w:ascii="Times New Roman" w:hAnsi="Times New Roman" w:cs="Times New Roman" w:eastAsia="Times New Roman" w:hint="default"/>
                <w:sz w:val="21"/>
                <w:szCs w:val="21"/>
              </w:rPr>
            </w:pPr>
            <w:r>
              <w:rPr>
                <w:rFonts w:ascii="Times New Roman"/>
                <w:sz w:val="21"/>
              </w:rPr>
              <w:t>7.29%</w:t>
            </w:r>
          </w:p>
        </w:tc>
        <w:tc>
          <w:tcPr>
            <w:tcW w:w="141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279,159.58</w:t>
            </w:r>
            <w:r>
              <w:rPr>
                <w:rFonts w:ascii="Times New Roman"/>
                <w:sz w:val="21"/>
              </w:rPr>
            </w:r>
          </w:p>
        </w:tc>
      </w:tr>
      <w:tr>
        <w:trPr>
          <w:trHeight w:val="480" w:hRule="exact"/>
        </w:trPr>
        <w:tc>
          <w:tcPr>
            <w:tcW w:w="12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54"/>
              <w:ind w:left="2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 </w:t>
            </w:r>
            <w:r>
              <w:rPr>
                <w:rFonts w:ascii="宋体" w:hAnsi="宋体" w:cs="宋体" w:eastAsia="宋体" w:hint="default"/>
                <w:sz w:val="21"/>
                <w:szCs w:val="21"/>
              </w:rPr>
              <w:t>年</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233,237.05</w:t>
            </w:r>
          </w:p>
        </w:tc>
        <w:tc>
          <w:tcPr>
            <w:tcW w:w="10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7"/>
              <w:jc w:val="right"/>
              <w:rPr>
                <w:rFonts w:ascii="Times New Roman" w:hAnsi="Times New Roman" w:cs="Times New Roman" w:eastAsia="Times New Roman" w:hint="default"/>
                <w:sz w:val="21"/>
                <w:szCs w:val="21"/>
              </w:rPr>
            </w:pPr>
            <w:r>
              <w:rPr>
                <w:rFonts w:ascii="Times New Roman"/>
                <w:spacing w:val="-1"/>
                <w:sz w:val="21"/>
              </w:rPr>
              <w:t>21.92%</w:t>
            </w:r>
          </w:p>
        </w:tc>
        <w:tc>
          <w:tcPr>
            <w:tcW w:w="1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186,589.64</w:t>
            </w:r>
          </w:p>
        </w:tc>
        <w:tc>
          <w:tcPr>
            <w:tcW w:w="1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898,340.54</w:t>
            </w:r>
          </w:p>
        </w:tc>
        <w:tc>
          <w:tcPr>
            <w:tcW w:w="10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63"/>
              <w:jc w:val="right"/>
              <w:rPr>
                <w:rFonts w:ascii="Times New Roman" w:hAnsi="Times New Roman" w:cs="Times New Roman" w:eastAsia="Times New Roman" w:hint="default"/>
                <w:sz w:val="21"/>
                <w:szCs w:val="21"/>
              </w:rPr>
            </w:pPr>
            <w:r>
              <w:rPr>
                <w:rFonts w:ascii="Times New Roman"/>
                <w:spacing w:val="-1"/>
                <w:sz w:val="21"/>
              </w:rPr>
              <w:t>11.40%</w:t>
            </w:r>
          </w:p>
        </w:tc>
        <w:tc>
          <w:tcPr>
            <w:tcW w:w="141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440,560.54</w:t>
            </w:r>
          </w:p>
        </w:tc>
      </w:tr>
      <w:tr>
        <w:trPr>
          <w:trHeight w:val="480" w:hRule="exact"/>
        </w:trPr>
        <w:tc>
          <w:tcPr>
            <w:tcW w:w="12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54"/>
              <w:ind w:right="268"/>
              <w:jc w:val="righ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366,856.02</w:t>
            </w:r>
            <w:r>
              <w:rPr>
                <w:rFonts w:ascii="Times New Roman"/>
                <w:sz w:val="21"/>
              </w:rPr>
            </w:r>
          </w:p>
        </w:tc>
        <w:tc>
          <w:tcPr>
            <w:tcW w:w="10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9"/>
              <w:jc w:val="right"/>
              <w:rPr>
                <w:rFonts w:ascii="Times New Roman" w:hAnsi="Times New Roman" w:cs="Times New Roman" w:eastAsia="Times New Roman" w:hint="default"/>
                <w:sz w:val="21"/>
                <w:szCs w:val="21"/>
              </w:rPr>
            </w:pPr>
            <w:r>
              <w:rPr>
                <w:rFonts w:ascii="Times New Roman"/>
                <w:spacing w:val="-1"/>
                <w:sz w:val="21"/>
              </w:rPr>
              <w:t>34.46%</w:t>
            </w:r>
          </w:p>
        </w:tc>
        <w:tc>
          <w:tcPr>
            <w:tcW w:w="1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366,856.02</w:t>
            </w:r>
            <w:r>
              <w:rPr>
                <w:rFonts w:ascii="Times New Roman"/>
                <w:sz w:val="21"/>
              </w:rPr>
            </w:r>
          </w:p>
        </w:tc>
        <w:tc>
          <w:tcPr>
            <w:tcW w:w="1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195,811.52</w:t>
            </w:r>
            <w:r>
              <w:rPr>
                <w:rFonts w:ascii="Times New Roman"/>
                <w:sz w:val="21"/>
              </w:rPr>
            </w:r>
          </w:p>
        </w:tc>
        <w:tc>
          <w:tcPr>
            <w:tcW w:w="10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17" w:right="0"/>
              <w:jc w:val="left"/>
              <w:rPr>
                <w:rFonts w:ascii="Times New Roman" w:hAnsi="Times New Roman" w:cs="Times New Roman" w:eastAsia="Times New Roman" w:hint="default"/>
                <w:sz w:val="21"/>
                <w:szCs w:val="21"/>
              </w:rPr>
            </w:pPr>
            <w:r>
              <w:rPr>
                <w:rFonts w:ascii="Times New Roman"/>
                <w:sz w:val="21"/>
              </w:rPr>
              <w:t>2.48%</w:t>
            </w:r>
          </w:p>
        </w:tc>
        <w:tc>
          <w:tcPr>
            <w:tcW w:w="141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195,811.52</w:t>
            </w:r>
            <w:r>
              <w:rPr>
                <w:rFonts w:ascii="Times New Roman"/>
                <w:sz w:val="21"/>
              </w:rPr>
            </w:r>
          </w:p>
        </w:tc>
      </w:tr>
      <w:tr>
        <w:trPr>
          <w:trHeight w:val="480" w:hRule="exact"/>
        </w:trPr>
        <w:tc>
          <w:tcPr>
            <w:tcW w:w="12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54"/>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1,064,272.53</w:t>
            </w:r>
          </w:p>
        </w:tc>
        <w:tc>
          <w:tcPr>
            <w:tcW w:w="10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36"/>
              <w:jc w:val="right"/>
              <w:rPr>
                <w:rFonts w:ascii="Times New Roman" w:hAnsi="Times New Roman" w:cs="Times New Roman" w:eastAsia="Times New Roman" w:hint="default"/>
                <w:sz w:val="21"/>
                <w:szCs w:val="21"/>
              </w:rPr>
            </w:pPr>
            <w:r>
              <w:rPr>
                <w:rFonts w:ascii="Times New Roman"/>
                <w:spacing w:val="-1"/>
                <w:sz w:val="21"/>
              </w:rPr>
              <w:t>100.00%</w:t>
            </w:r>
          </w:p>
        </w:tc>
        <w:tc>
          <w:tcPr>
            <w:tcW w:w="1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805,709.46</w:t>
            </w:r>
          </w:p>
        </w:tc>
        <w:tc>
          <w:tcPr>
            <w:tcW w:w="1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7,881,594.52</w:t>
            </w:r>
          </w:p>
        </w:tc>
        <w:tc>
          <w:tcPr>
            <w:tcW w:w="10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12"/>
              <w:jc w:val="right"/>
              <w:rPr>
                <w:rFonts w:ascii="Times New Roman" w:hAnsi="Times New Roman" w:cs="Times New Roman" w:eastAsia="Times New Roman" w:hint="default"/>
                <w:sz w:val="21"/>
                <w:szCs w:val="21"/>
              </w:rPr>
            </w:pPr>
            <w:r>
              <w:rPr>
                <w:rFonts w:ascii="Times New Roman"/>
                <w:spacing w:val="-1"/>
                <w:sz w:val="21"/>
              </w:rPr>
              <w:t>100.00%</w:t>
            </w:r>
          </w:p>
        </w:tc>
        <w:tc>
          <w:tcPr>
            <w:tcW w:w="141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1,455,120.52</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982" w:top="1060" w:bottom="1180" w:left="1620" w:right="900"/>
        </w:sectPr>
      </w:pPr>
    </w:p>
    <w:p>
      <w:pPr>
        <w:spacing w:line="240" w:lineRule="auto" w:before="9"/>
        <w:rPr>
          <w:rFonts w:ascii="宋体" w:hAnsi="宋体" w:cs="宋体" w:eastAsia="宋体" w:hint="default"/>
          <w:sz w:val="17"/>
          <w:szCs w:val="17"/>
        </w:rPr>
      </w:pPr>
    </w:p>
    <w:p>
      <w:pPr>
        <w:pStyle w:val="BodyText"/>
        <w:spacing w:line="429" w:lineRule="auto" w:before="35"/>
        <w:ind w:left="250" w:right="116"/>
        <w:jc w:val="left"/>
      </w:pPr>
      <w:r>
        <w:rPr>
          <w:spacing w:val="-1"/>
        </w:rPr>
        <w:t>（</w:t>
      </w:r>
      <w:r>
        <w:rPr>
          <w:rFonts w:ascii="Times New Roman" w:hAnsi="Times New Roman" w:cs="Times New Roman" w:eastAsia="Times New Roman" w:hint="default"/>
          <w:spacing w:val="-1"/>
        </w:rPr>
        <w:t>4</w:t>
      </w:r>
      <w:r>
        <w:rPr>
          <w:spacing w:val="-1"/>
        </w:rPr>
        <w:t>）本集团无本报告期前已全额计提坏账准备，或计提坏账准备的比例较大，但在本期又全额收</w:t>
      </w:r>
      <w:r>
        <w:rPr>
          <w:spacing w:val="-89"/>
        </w:rPr>
        <w:t> </w:t>
      </w:r>
      <w:r>
        <w:rPr>
          <w:spacing w:val="-89"/>
        </w:rPr>
      </w:r>
      <w:r>
        <w:rPr/>
        <w:t>回或转回的应收账款；无通过重组等其他方式收回的应收账款；无实际核销的应收账款。</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spacing w:line="240" w:lineRule="auto"/>
        <w:ind w:left="250" w:right="116"/>
        <w:jc w:val="left"/>
      </w:pPr>
      <w:r>
        <w:rPr/>
        <w:t>（</w:t>
      </w:r>
      <w:r>
        <w:rPr>
          <w:rFonts w:ascii="Times New Roman" w:hAnsi="Times New Roman" w:cs="Times New Roman" w:eastAsia="Times New Roman" w:hint="default"/>
        </w:rPr>
        <w:t>5</w:t>
      </w:r>
      <w:r>
        <w:rPr/>
        <w:t>）本集团无对持有公司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以上表决权股份的股东单位及其他关联方的应收账款。</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pStyle w:val="BodyText"/>
        <w:spacing w:line="240" w:lineRule="auto"/>
        <w:ind w:left="250" w:right="116"/>
        <w:jc w:val="left"/>
      </w:pPr>
      <w:r>
        <w:rPr/>
        <w:t>（</w:t>
      </w:r>
      <w:r>
        <w:rPr>
          <w:rFonts w:ascii="Times New Roman" w:hAnsi="Times New Roman" w:cs="Times New Roman" w:eastAsia="Times New Roman" w:hint="default"/>
        </w:rPr>
        <w:t>6</w:t>
      </w:r>
      <w:r>
        <w:rPr/>
        <w:t>）应收账款金额前五名单位情况</w:t>
      </w:r>
    </w:p>
    <w:p>
      <w:pPr>
        <w:pStyle w:val="BodyText"/>
        <w:tabs>
          <w:tab w:pos="1049" w:val="left" w:leader="none"/>
        </w:tabs>
        <w:spacing w:line="240" w:lineRule="auto" w:before="189"/>
        <w:ind w:left="0" w:right="225"/>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672"/>
        <w:gridCol w:w="1336"/>
        <w:gridCol w:w="1758"/>
        <w:gridCol w:w="1163"/>
        <w:gridCol w:w="991"/>
        <w:gridCol w:w="1212"/>
      </w:tblGrid>
      <w:tr>
        <w:trPr>
          <w:trHeight w:val="356" w:hRule="exact"/>
        </w:trPr>
        <w:tc>
          <w:tcPr>
            <w:tcW w:w="2672" w:type="dxa"/>
            <w:tcBorders>
              <w:top w:val="single" w:sz="8" w:space="0" w:color="000000"/>
              <w:left w:val="nil" w:sz="6" w:space="0" w:color="auto"/>
              <w:bottom w:val="nil" w:sz="6" w:space="0" w:color="auto"/>
              <w:right w:val="single" w:sz="8" w:space="0" w:color="000000"/>
            </w:tcBorders>
          </w:tcPr>
          <w:p>
            <w:pPr/>
          </w:p>
        </w:tc>
        <w:tc>
          <w:tcPr>
            <w:tcW w:w="1336" w:type="dxa"/>
            <w:tcBorders>
              <w:top w:val="single" w:sz="8" w:space="0" w:color="000000"/>
              <w:left w:val="single" w:sz="8" w:space="0" w:color="000000"/>
              <w:bottom w:val="nil" w:sz="6" w:space="0" w:color="auto"/>
              <w:right w:val="single" w:sz="8" w:space="0" w:color="000000"/>
            </w:tcBorders>
          </w:tcPr>
          <w:p>
            <w:pPr/>
          </w:p>
        </w:tc>
        <w:tc>
          <w:tcPr>
            <w:tcW w:w="1758" w:type="dxa"/>
            <w:tcBorders>
              <w:top w:val="single" w:sz="8" w:space="0" w:color="000000"/>
              <w:left w:val="single" w:sz="8" w:space="0" w:color="000000"/>
              <w:bottom w:val="nil" w:sz="6" w:space="0" w:color="auto"/>
              <w:right w:val="single" w:sz="8" w:space="0" w:color="000000"/>
            </w:tcBorders>
          </w:tcPr>
          <w:p>
            <w:pPr/>
          </w:p>
        </w:tc>
        <w:tc>
          <w:tcPr>
            <w:tcW w:w="1163" w:type="dxa"/>
            <w:tcBorders>
              <w:top w:val="single" w:sz="8" w:space="0" w:color="000000"/>
              <w:left w:val="single" w:sz="8" w:space="0" w:color="000000"/>
              <w:bottom w:val="nil" w:sz="6" w:space="0" w:color="auto"/>
              <w:right w:val="single" w:sz="8" w:space="0" w:color="000000"/>
            </w:tcBorders>
          </w:tcPr>
          <w:p>
            <w:pPr/>
          </w:p>
        </w:tc>
        <w:tc>
          <w:tcPr>
            <w:tcW w:w="991" w:type="dxa"/>
            <w:tcBorders>
              <w:top w:val="single" w:sz="8" w:space="0" w:color="000000"/>
              <w:left w:val="single" w:sz="8" w:space="0" w:color="000000"/>
              <w:bottom w:val="nil" w:sz="6" w:space="0" w:color="auto"/>
              <w:right w:val="single" w:sz="8" w:space="0" w:color="000000"/>
            </w:tcBorders>
          </w:tcPr>
          <w:p>
            <w:pPr/>
          </w:p>
        </w:tc>
        <w:tc>
          <w:tcPr>
            <w:tcW w:w="1212" w:type="dxa"/>
            <w:tcBorders>
              <w:top w:val="single" w:sz="8" w:space="0" w:color="000000"/>
              <w:left w:val="single" w:sz="8" w:space="0" w:color="000000"/>
              <w:bottom w:val="nil" w:sz="6" w:space="0" w:color="auto"/>
              <w:right w:val="nil" w:sz="6" w:space="0" w:color="auto"/>
            </w:tcBorders>
          </w:tcPr>
          <w:p>
            <w:pPr>
              <w:pStyle w:val="TableParagraph"/>
              <w:spacing w:line="240" w:lineRule="auto" w:before="91"/>
              <w:ind w:right="10"/>
              <w:jc w:val="center"/>
              <w:rPr>
                <w:rFonts w:ascii="宋体" w:hAnsi="宋体" w:cs="宋体" w:eastAsia="宋体" w:hint="default"/>
                <w:sz w:val="18"/>
                <w:szCs w:val="18"/>
              </w:rPr>
            </w:pPr>
            <w:r>
              <w:rPr>
                <w:rFonts w:ascii="宋体" w:hAnsi="宋体" w:cs="宋体" w:eastAsia="宋体" w:hint="default"/>
                <w:sz w:val="18"/>
                <w:szCs w:val="18"/>
              </w:rPr>
              <w:t>占应收账款</w:t>
            </w:r>
          </w:p>
        </w:tc>
      </w:tr>
      <w:tr>
        <w:trPr>
          <w:trHeight w:val="237" w:hRule="exact"/>
        </w:trPr>
        <w:tc>
          <w:tcPr>
            <w:tcW w:w="2672" w:type="dxa"/>
            <w:tcBorders>
              <w:top w:val="nil" w:sz="6" w:space="0" w:color="auto"/>
              <w:left w:val="nil" w:sz="6" w:space="0" w:color="auto"/>
              <w:bottom w:val="nil" w:sz="6" w:space="0" w:color="auto"/>
              <w:right w:val="single" w:sz="8" w:space="0" w:color="000000"/>
            </w:tcBorders>
          </w:tcPr>
          <w:p>
            <w:pPr>
              <w:pStyle w:val="TableParagraph"/>
              <w:spacing w:line="200" w:lineRule="exact"/>
              <w:ind w:left="2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36" w:type="dxa"/>
            <w:tcBorders>
              <w:top w:val="nil" w:sz="6" w:space="0" w:color="auto"/>
              <w:left w:val="single" w:sz="8" w:space="0" w:color="000000"/>
              <w:bottom w:val="nil" w:sz="6" w:space="0" w:color="auto"/>
              <w:right w:val="single" w:sz="8" w:space="0" w:color="000000"/>
            </w:tcBorders>
          </w:tcPr>
          <w:p>
            <w:pPr>
              <w:pStyle w:val="TableParagraph"/>
              <w:spacing w:line="200" w:lineRule="exact"/>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58" w:type="dxa"/>
            <w:tcBorders>
              <w:top w:val="nil" w:sz="6" w:space="0" w:color="auto"/>
              <w:left w:val="single" w:sz="8" w:space="0" w:color="000000"/>
              <w:bottom w:val="nil" w:sz="6" w:space="0" w:color="auto"/>
              <w:right w:val="single" w:sz="8" w:space="0" w:color="000000"/>
            </w:tcBorders>
          </w:tcPr>
          <w:p>
            <w:pPr>
              <w:pStyle w:val="TableParagraph"/>
              <w:spacing w:line="200" w:lineRule="exact"/>
              <w:ind w:left="508" w:right="0"/>
              <w:jc w:val="left"/>
              <w:rPr>
                <w:rFonts w:ascii="宋体" w:hAnsi="宋体" w:cs="宋体" w:eastAsia="宋体" w:hint="default"/>
                <w:sz w:val="18"/>
                <w:szCs w:val="18"/>
              </w:rPr>
            </w:pPr>
            <w:r>
              <w:rPr>
                <w:rFonts w:ascii="宋体" w:hAnsi="宋体" w:cs="宋体" w:eastAsia="宋体" w:hint="default"/>
                <w:sz w:val="18"/>
                <w:szCs w:val="18"/>
              </w:rPr>
              <w:t>经济内容</w:t>
            </w:r>
          </w:p>
        </w:tc>
        <w:tc>
          <w:tcPr>
            <w:tcW w:w="1163" w:type="dxa"/>
            <w:tcBorders>
              <w:top w:val="nil" w:sz="6" w:space="0" w:color="auto"/>
              <w:left w:val="single" w:sz="8" w:space="0" w:color="000000"/>
              <w:bottom w:val="nil" w:sz="6" w:space="0" w:color="auto"/>
              <w:right w:val="single" w:sz="8" w:space="0" w:color="000000"/>
            </w:tcBorders>
          </w:tcPr>
          <w:p>
            <w:pPr>
              <w:pStyle w:val="TableParagraph"/>
              <w:spacing w:line="200"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nil" w:sz="6" w:space="0" w:color="auto"/>
              <w:left w:val="single" w:sz="8" w:space="0" w:color="000000"/>
              <w:bottom w:val="nil" w:sz="6" w:space="0" w:color="auto"/>
              <w:right w:val="single" w:sz="8" w:space="0" w:color="000000"/>
            </w:tcBorders>
          </w:tcPr>
          <w:p>
            <w:pPr>
              <w:pStyle w:val="TableParagraph"/>
              <w:spacing w:line="200" w:lineRule="exact"/>
              <w:ind w:left="305"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1212" w:type="dxa"/>
            <w:tcBorders>
              <w:top w:val="nil" w:sz="6" w:space="0" w:color="auto"/>
              <w:left w:val="single" w:sz="8" w:space="0" w:color="000000"/>
              <w:bottom w:val="nil" w:sz="6" w:space="0" w:color="auto"/>
              <w:right w:val="nil" w:sz="6" w:space="0" w:color="auto"/>
            </w:tcBorders>
          </w:tcPr>
          <w:p>
            <w:pPr>
              <w:pStyle w:val="TableParagraph"/>
              <w:spacing w:line="214" w:lineRule="exact"/>
              <w:ind w:right="10"/>
              <w:jc w:val="center"/>
              <w:rPr>
                <w:rFonts w:ascii="宋体" w:hAnsi="宋体" w:cs="宋体" w:eastAsia="宋体" w:hint="default"/>
                <w:sz w:val="18"/>
                <w:szCs w:val="18"/>
              </w:rPr>
            </w:pPr>
            <w:r>
              <w:rPr>
                <w:rFonts w:ascii="宋体" w:hAnsi="宋体" w:cs="宋体" w:eastAsia="宋体" w:hint="default"/>
                <w:sz w:val="18"/>
                <w:szCs w:val="18"/>
              </w:rPr>
              <w:t>总额的比例</w:t>
            </w:r>
          </w:p>
        </w:tc>
      </w:tr>
      <w:tr>
        <w:trPr>
          <w:trHeight w:val="221" w:hRule="exact"/>
        </w:trPr>
        <w:tc>
          <w:tcPr>
            <w:tcW w:w="2672" w:type="dxa"/>
            <w:tcBorders>
              <w:top w:val="nil" w:sz="6" w:space="0" w:color="auto"/>
              <w:left w:val="nil" w:sz="6" w:space="0" w:color="auto"/>
              <w:bottom w:val="single" w:sz="8" w:space="0" w:color="000000"/>
              <w:right w:val="single" w:sz="8" w:space="0" w:color="000000"/>
            </w:tcBorders>
          </w:tcPr>
          <w:p>
            <w:pPr/>
          </w:p>
        </w:tc>
        <w:tc>
          <w:tcPr>
            <w:tcW w:w="1336" w:type="dxa"/>
            <w:tcBorders>
              <w:top w:val="nil" w:sz="6" w:space="0" w:color="auto"/>
              <w:left w:val="single" w:sz="8" w:space="0" w:color="000000"/>
              <w:bottom w:val="single" w:sz="8" w:space="0" w:color="000000"/>
              <w:right w:val="single" w:sz="8" w:space="0" w:color="000000"/>
            </w:tcBorders>
          </w:tcPr>
          <w:p>
            <w:pPr/>
          </w:p>
        </w:tc>
        <w:tc>
          <w:tcPr>
            <w:tcW w:w="1758" w:type="dxa"/>
            <w:tcBorders>
              <w:top w:val="nil" w:sz="6" w:space="0" w:color="auto"/>
              <w:left w:val="single" w:sz="8" w:space="0" w:color="000000"/>
              <w:bottom w:val="single" w:sz="8" w:space="0" w:color="000000"/>
              <w:right w:val="single" w:sz="8" w:space="0" w:color="000000"/>
            </w:tcBorders>
          </w:tcPr>
          <w:p>
            <w:pPr/>
          </w:p>
        </w:tc>
        <w:tc>
          <w:tcPr>
            <w:tcW w:w="1163" w:type="dxa"/>
            <w:tcBorders>
              <w:top w:val="nil" w:sz="6" w:space="0" w:color="auto"/>
              <w:left w:val="single" w:sz="8" w:space="0" w:color="000000"/>
              <w:bottom w:val="single" w:sz="8" w:space="0" w:color="000000"/>
              <w:right w:val="single" w:sz="8" w:space="0" w:color="000000"/>
            </w:tcBorders>
          </w:tcPr>
          <w:p>
            <w:pPr/>
          </w:p>
        </w:tc>
        <w:tc>
          <w:tcPr>
            <w:tcW w:w="991" w:type="dxa"/>
            <w:tcBorders>
              <w:top w:val="nil" w:sz="6" w:space="0" w:color="auto"/>
              <w:left w:val="single" w:sz="8" w:space="0" w:color="000000"/>
              <w:bottom w:val="single" w:sz="8" w:space="0" w:color="000000"/>
              <w:right w:val="single" w:sz="8" w:space="0" w:color="000000"/>
            </w:tcBorders>
          </w:tcPr>
          <w:p>
            <w:pPr/>
          </w:p>
        </w:tc>
        <w:tc>
          <w:tcPr>
            <w:tcW w:w="1212" w:type="dxa"/>
            <w:tcBorders>
              <w:top w:val="nil" w:sz="6" w:space="0" w:color="auto"/>
              <w:left w:val="single" w:sz="8" w:space="0" w:color="000000"/>
              <w:bottom w:val="single" w:sz="8" w:space="0" w:color="000000"/>
              <w:right w:val="nil" w:sz="6" w:space="0" w:color="auto"/>
            </w:tcBorders>
          </w:tcPr>
          <w:p>
            <w:pPr>
              <w:pStyle w:val="TableParagraph"/>
              <w:spacing w:line="207" w:lineRule="exact"/>
              <w:ind w:right="8"/>
              <w:jc w:val="center"/>
              <w:rPr>
                <w:rFonts w:ascii="Times New Roman" w:hAnsi="Times New Roman" w:cs="Times New Roman" w:eastAsia="Times New Roman" w:hint="default"/>
                <w:sz w:val="18"/>
                <w:szCs w:val="18"/>
              </w:rPr>
            </w:pPr>
            <w:r>
              <w:rPr>
                <w:rFonts w:ascii="Times New Roman"/>
                <w:sz w:val="18"/>
              </w:rPr>
              <w:t>(%)</w:t>
            </w:r>
          </w:p>
        </w:tc>
      </w:tr>
      <w:tr>
        <w:trPr>
          <w:trHeight w:val="500" w:hRule="exact"/>
        </w:trPr>
        <w:tc>
          <w:tcPr>
            <w:tcW w:w="26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深圳昌信实业有限公司</w:t>
            </w:r>
          </w:p>
        </w:tc>
        <w:tc>
          <w:tcPr>
            <w:tcW w:w="1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运费</w:t>
            </w:r>
          </w:p>
        </w:tc>
        <w:tc>
          <w:tcPr>
            <w:tcW w:w="11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1,346,393.00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46"/>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21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z w:val="18"/>
              </w:rPr>
              <w:t>17.49%</w:t>
            </w:r>
          </w:p>
        </w:tc>
      </w:tr>
      <w:tr>
        <w:trPr>
          <w:trHeight w:val="500" w:hRule="exact"/>
        </w:trPr>
        <w:tc>
          <w:tcPr>
            <w:tcW w:w="26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深圳招商局海运物流有限公司</w:t>
            </w:r>
          </w:p>
        </w:tc>
        <w:tc>
          <w:tcPr>
            <w:tcW w:w="1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堆存款</w:t>
            </w:r>
          </w:p>
        </w:tc>
        <w:tc>
          <w:tcPr>
            <w:tcW w:w="11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742,614.50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14"/>
              <w:jc w:val="right"/>
              <w:rPr>
                <w:rFonts w:ascii="宋体" w:hAnsi="宋体" w:cs="宋体" w:eastAsia="宋体" w:hint="default"/>
                <w:sz w:val="18"/>
                <w:szCs w:val="18"/>
              </w:rPr>
            </w:pPr>
            <w:r>
              <w:rPr>
                <w:rFonts w:ascii="宋体" w:hAnsi="宋体" w:cs="宋体" w:eastAsia="宋体" w:hint="default"/>
                <w:sz w:val="18"/>
                <w:szCs w:val="18"/>
              </w:rPr>
              <w:t>未逾期</w:t>
            </w:r>
          </w:p>
        </w:tc>
        <w:tc>
          <w:tcPr>
            <w:tcW w:w="121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
              <w:jc w:val="center"/>
              <w:rPr>
                <w:rFonts w:ascii="Times New Roman" w:hAnsi="Times New Roman" w:cs="Times New Roman" w:eastAsia="Times New Roman" w:hint="default"/>
                <w:sz w:val="18"/>
                <w:szCs w:val="18"/>
              </w:rPr>
            </w:pPr>
            <w:r>
              <w:rPr>
                <w:rFonts w:ascii="Times New Roman"/>
                <w:sz w:val="18"/>
              </w:rPr>
              <w:t>9.65%</w:t>
            </w:r>
          </w:p>
        </w:tc>
      </w:tr>
      <w:tr>
        <w:trPr>
          <w:trHeight w:val="499" w:hRule="exact"/>
        </w:trPr>
        <w:tc>
          <w:tcPr>
            <w:tcW w:w="26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陈创凯</w:t>
            </w:r>
          </w:p>
        </w:tc>
        <w:tc>
          <w:tcPr>
            <w:tcW w:w="1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508" w:right="0"/>
              <w:jc w:val="left"/>
              <w:rPr>
                <w:rFonts w:ascii="宋体" w:hAnsi="宋体" w:cs="宋体" w:eastAsia="宋体" w:hint="default"/>
                <w:sz w:val="18"/>
                <w:szCs w:val="18"/>
              </w:rPr>
            </w:pPr>
            <w:r>
              <w:rPr>
                <w:rFonts w:ascii="宋体" w:hAnsi="宋体" w:cs="宋体" w:eastAsia="宋体" w:hint="default"/>
                <w:sz w:val="18"/>
                <w:szCs w:val="18"/>
              </w:rPr>
              <w:t>商铺租金</w:t>
            </w:r>
          </w:p>
        </w:tc>
        <w:tc>
          <w:tcPr>
            <w:tcW w:w="11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682,000.00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14"/>
              <w:jc w:val="right"/>
              <w:rPr>
                <w:rFonts w:ascii="宋体" w:hAnsi="宋体" w:cs="宋体" w:eastAsia="宋体" w:hint="default"/>
                <w:sz w:val="18"/>
                <w:szCs w:val="18"/>
              </w:rPr>
            </w:pPr>
            <w:r>
              <w:rPr>
                <w:rFonts w:ascii="宋体" w:hAnsi="宋体" w:cs="宋体" w:eastAsia="宋体" w:hint="default"/>
                <w:sz w:val="18"/>
                <w:szCs w:val="18"/>
              </w:rPr>
              <w:t>未逾期</w:t>
            </w:r>
          </w:p>
        </w:tc>
        <w:tc>
          <w:tcPr>
            <w:tcW w:w="121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
              <w:jc w:val="center"/>
              <w:rPr>
                <w:rFonts w:ascii="Times New Roman" w:hAnsi="Times New Roman" w:cs="Times New Roman" w:eastAsia="Times New Roman" w:hint="default"/>
                <w:sz w:val="18"/>
                <w:szCs w:val="18"/>
              </w:rPr>
            </w:pPr>
            <w:r>
              <w:rPr>
                <w:rFonts w:ascii="Times New Roman"/>
                <w:sz w:val="18"/>
              </w:rPr>
              <w:t>8.86%</w:t>
            </w:r>
          </w:p>
        </w:tc>
      </w:tr>
      <w:tr>
        <w:trPr>
          <w:trHeight w:val="500" w:hRule="exact"/>
        </w:trPr>
        <w:tc>
          <w:tcPr>
            <w:tcW w:w="26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柏坚货柜机械维修公司</w:t>
            </w:r>
          </w:p>
        </w:tc>
        <w:tc>
          <w:tcPr>
            <w:tcW w:w="1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堆存款及闸口费</w:t>
            </w:r>
          </w:p>
        </w:tc>
        <w:tc>
          <w:tcPr>
            <w:tcW w:w="11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669,397.17</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14"/>
              <w:jc w:val="right"/>
              <w:rPr>
                <w:rFonts w:ascii="宋体" w:hAnsi="宋体" w:cs="宋体" w:eastAsia="宋体" w:hint="default"/>
                <w:sz w:val="18"/>
                <w:szCs w:val="18"/>
              </w:rPr>
            </w:pPr>
            <w:r>
              <w:rPr>
                <w:rFonts w:ascii="宋体" w:hAnsi="宋体" w:cs="宋体" w:eastAsia="宋体" w:hint="default"/>
                <w:sz w:val="18"/>
                <w:szCs w:val="18"/>
              </w:rPr>
              <w:t>未逾期</w:t>
            </w:r>
          </w:p>
        </w:tc>
        <w:tc>
          <w:tcPr>
            <w:tcW w:w="121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
              <w:jc w:val="center"/>
              <w:rPr>
                <w:rFonts w:ascii="Times New Roman" w:hAnsi="Times New Roman" w:cs="Times New Roman" w:eastAsia="Times New Roman" w:hint="default"/>
                <w:sz w:val="18"/>
                <w:szCs w:val="18"/>
              </w:rPr>
            </w:pPr>
            <w:r>
              <w:rPr>
                <w:rFonts w:ascii="Times New Roman"/>
                <w:sz w:val="18"/>
              </w:rPr>
              <w:t>8.70%</w:t>
            </w:r>
          </w:p>
        </w:tc>
      </w:tr>
      <w:tr>
        <w:trPr>
          <w:trHeight w:val="500" w:hRule="exact"/>
        </w:trPr>
        <w:tc>
          <w:tcPr>
            <w:tcW w:w="26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桂林漓佳金属公司</w:t>
            </w:r>
          </w:p>
        </w:tc>
        <w:tc>
          <w:tcPr>
            <w:tcW w:w="1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运费</w:t>
            </w:r>
          </w:p>
        </w:tc>
        <w:tc>
          <w:tcPr>
            <w:tcW w:w="11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659,115.38</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14"/>
              <w:jc w:val="right"/>
              <w:rPr>
                <w:rFonts w:ascii="宋体" w:hAnsi="宋体" w:cs="宋体" w:eastAsia="宋体" w:hint="default"/>
                <w:sz w:val="18"/>
                <w:szCs w:val="18"/>
              </w:rPr>
            </w:pPr>
            <w:r>
              <w:rPr>
                <w:rFonts w:ascii="宋体" w:hAnsi="宋体" w:cs="宋体" w:eastAsia="宋体" w:hint="default"/>
                <w:sz w:val="18"/>
                <w:szCs w:val="18"/>
              </w:rPr>
              <w:t>未逾期</w:t>
            </w:r>
          </w:p>
        </w:tc>
        <w:tc>
          <w:tcPr>
            <w:tcW w:w="121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
              <w:jc w:val="center"/>
              <w:rPr>
                <w:rFonts w:ascii="Times New Roman" w:hAnsi="Times New Roman" w:cs="Times New Roman" w:eastAsia="Times New Roman" w:hint="default"/>
                <w:sz w:val="18"/>
                <w:szCs w:val="18"/>
              </w:rPr>
            </w:pPr>
            <w:r>
              <w:rPr>
                <w:rFonts w:ascii="Times New Roman"/>
                <w:sz w:val="18"/>
              </w:rPr>
              <w:t>8.56%</w:t>
            </w:r>
          </w:p>
        </w:tc>
      </w:tr>
      <w:tr>
        <w:trPr>
          <w:trHeight w:val="500" w:hRule="exact"/>
        </w:trPr>
        <w:tc>
          <w:tcPr>
            <w:tcW w:w="26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8" w:space="0" w:color="000000"/>
              <w:left w:val="single" w:sz="8" w:space="0" w:color="000000"/>
              <w:bottom w:val="single" w:sz="8" w:space="0" w:color="000000"/>
              <w:right w:val="single" w:sz="8" w:space="0" w:color="000000"/>
            </w:tcBorders>
          </w:tcPr>
          <w:p>
            <w:pPr/>
          </w:p>
        </w:tc>
        <w:tc>
          <w:tcPr>
            <w:tcW w:w="1758" w:type="dxa"/>
            <w:tcBorders>
              <w:top w:val="single" w:sz="8" w:space="0" w:color="000000"/>
              <w:left w:val="single" w:sz="8" w:space="0" w:color="000000"/>
              <w:bottom w:val="single" w:sz="8" w:space="0" w:color="000000"/>
              <w:right w:val="single" w:sz="8" w:space="0" w:color="000000"/>
            </w:tcBorders>
          </w:tcPr>
          <w:p>
            <w:pPr/>
          </w:p>
        </w:tc>
        <w:tc>
          <w:tcPr>
            <w:tcW w:w="11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4,099,520.05</w:t>
            </w:r>
          </w:p>
        </w:tc>
        <w:tc>
          <w:tcPr>
            <w:tcW w:w="991" w:type="dxa"/>
            <w:tcBorders>
              <w:top w:val="single" w:sz="8" w:space="0" w:color="000000"/>
              <w:left w:val="single" w:sz="8" w:space="0" w:color="000000"/>
              <w:bottom w:val="single" w:sz="8" w:space="0" w:color="000000"/>
              <w:right w:val="single" w:sz="8" w:space="0" w:color="000000"/>
            </w:tcBorders>
          </w:tcPr>
          <w:p>
            <w:pPr/>
          </w:p>
        </w:tc>
        <w:tc>
          <w:tcPr>
            <w:tcW w:w="121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53.27%</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before="35"/>
        <w:ind w:left="250" w:right="116"/>
        <w:jc w:val="left"/>
      </w:pPr>
      <w:r>
        <w:rPr>
          <w:rFonts w:ascii="Times New Roman" w:hAnsi="Times New Roman" w:cs="Times New Roman" w:eastAsia="Times New Roman" w:hint="default"/>
          <w:b/>
          <w:bCs/>
        </w:rPr>
        <w:t>4</w:t>
      </w:r>
      <w:r>
        <w:rPr/>
        <w:t>、其他应收款</w:t>
      </w:r>
    </w:p>
    <w:p>
      <w:pPr>
        <w:pStyle w:val="BodyText"/>
        <w:spacing w:line="240" w:lineRule="auto" w:before="189"/>
        <w:ind w:left="250" w:right="116"/>
        <w:jc w:val="left"/>
      </w:pPr>
      <w:r>
        <w:rPr/>
        <w:t>（</w:t>
      </w:r>
      <w:r>
        <w:rPr>
          <w:rFonts w:ascii="Times New Roman" w:hAnsi="Times New Roman" w:cs="Times New Roman" w:eastAsia="Times New Roman" w:hint="default"/>
        </w:rPr>
        <w:t>1</w:t>
      </w:r>
      <w:r>
        <w:rPr/>
        <w:t>）其他应收款按种类披露：</w:t>
      </w:r>
    </w:p>
    <w:p>
      <w:pPr>
        <w:spacing w:line="240" w:lineRule="auto" w:before="10"/>
        <w:rPr>
          <w:rFonts w:ascii="宋体" w:hAnsi="宋体" w:cs="宋体" w:eastAsia="宋体" w:hint="default"/>
          <w:sz w:val="11"/>
          <w:szCs w:val="11"/>
        </w:rPr>
      </w:pPr>
    </w:p>
    <w:p>
      <w:pPr>
        <w:pStyle w:val="BodyText"/>
        <w:tabs>
          <w:tab w:pos="1049" w:val="left" w:leader="none"/>
        </w:tabs>
        <w:spacing w:line="240" w:lineRule="auto" w:before="35"/>
        <w:ind w:left="0" w:right="225"/>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924"/>
        <w:gridCol w:w="1688"/>
        <w:gridCol w:w="919"/>
        <w:gridCol w:w="1612"/>
        <w:gridCol w:w="989"/>
      </w:tblGrid>
      <w:tr>
        <w:trPr>
          <w:trHeight w:val="490" w:hRule="exact"/>
        </w:trPr>
        <w:tc>
          <w:tcPr>
            <w:tcW w:w="392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0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91" w:hRule="exact"/>
        </w:trPr>
        <w:tc>
          <w:tcPr>
            <w:tcW w:w="3924" w:type="dxa"/>
            <w:vMerge/>
            <w:tcBorders>
              <w:left w:val="nil" w:sz="6" w:space="0" w:color="auto"/>
              <w:right w:val="single" w:sz="4" w:space="0" w:color="000000"/>
            </w:tcBorders>
          </w:tcPr>
          <w:p>
            <w:pPr/>
          </w:p>
        </w:tc>
        <w:tc>
          <w:tcPr>
            <w:tcW w:w="26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0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0" w:hRule="exact"/>
        </w:trPr>
        <w:tc>
          <w:tcPr>
            <w:tcW w:w="3924" w:type="dxa"/>
            <w:vMerge/>
            <w:tcBorders>
              <w:left w:val="nil" w:sz="6" w:space="0" w:color="auto"/>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10" w:hRule="exact"/>
        </w:trPr>
        <w:tc>
          <w:tcPr>
            <w:tcW w:w="3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单项金额重大的其他应收款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290,246,936.81</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89.15%</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176,268,102.32</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94.47%</w:t>
            </w:r>
          </w:p>
        </w:tc>
      </w:tr>
      <w:tr>
        <w:trPr>
          <w:trHeight w:val="716" w:hRule="exact"/>
        </w:trPr>
        <w:tc>
          <w:tcPr>
            <w:tcW w:w="3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95"/>
              <w:jc w:val="left"/>
              <w:rPr>
                <w:rFonts w:ascii="宋体" w:hAnsi="宋体" w:cs="宋体" w:eastAsia="宋体" w:hint="default"/>
                <w:sz w:val="18"/>
                <w:szCs w:val="18"/>
              </w:rPr>
            </w:pPr>
            <w:r>
              <w:rPr>
                <w:rFonts w:ascii="宋体" w:hAnsi="宋体" w:cs="宋体" w:eastAsia="宋体" w:hint="default"/>
                <w:spacing w:val="4"/>
                <w:sz w:val="18"/>
                <w:szCs w:val="18"/>
              </w:rPr>
              <w:t>单项金额不重大但按信用风险特征组合后该组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合的风险较大的其他应收款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12,957,760.27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1" w:right="0"/>
              <w:jc w:val="left"/>
              <w:rPr>
                <w:rFonts w:ascii="Times New Roman" w:hAnsi="Times New Roman" w:cs="Times New Roman" w:eastAsia="Times New Roman" w:hint="default"/>
                <w:sz w:val="18"/>
                <w:szCs w:val="18"/>
              </w:rPr>
            </w:pPr>
            <w:r>
              <w:rPr>
                <w:rFonts w:ascii="Times New Roman"/>
                <w:sz w:val="18"/>
              </w:rPr>
              <w:t>3.98%</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10,166,717.26</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55" w:right="0"/>
              <w:jc w:val="left"/>
              <w:rPr>
                <w:rFonts w:ascii="Times New Roman" w:hAnsi="Times New Roman" w:cs="Times New Roman" w:eastAsia="Times New Roman" w:hint="default"/>
                <w:sz w:val="18"/>
                <w:szCs w:val="18"/>
              </w:rPr>
            </w:pPr>
            <w:r>
              <w:rPr>
                <w:rFonts w:ascii="Times New Roman"/>
                <w:sz w:val="18"/>
              </w:rPr>
              <w:t>5.45%</w:t>
            </w:r>
          </w:p>
        </w:tc>
      </w:tr>
      <w:tr>
        <w:trPr>
          <w:trHeight w:val="510" w:hRule="exact"/>
        </w:trPr>
        <w:tc>
          <w:tcPr>
            <w:tcW w:w="3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其他不重大其他应收款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22,374,641.49</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6.87%</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140,850.53</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0.08%</w:t>
            </w:r>
          </w:p>
        </w:tc>
      </w:tr>
      <w:tr>
        <w:trPr>
          <w:trHeight w:val="511" w:hRule="exact"/>
        </w:trPr>
        <w:tc>
          <w:tcPr>
            <w:tcW w:w="3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325,579,338.57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100.00%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186,575,670.11</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left"/>
        <w:rPr>
          <w:rFonts w:ascii="Times New Roman" w:hAnsi="Times New Roman" w:cs="Times New Roman" w:eastAsia="Times New Roman" w:hint="default"/>
          <w:sz w:val="18"/>
          <w:szCs w:val="18"/>
        </w:rPr>
        <w:sectPr>
          <w:pgSz w:w="11900" w:h="16840"/>
          <w:pgMar w:header="0" w:footer="982" w:top="1600" w:bottom="1180" w:left="1620" w:right="900"/>
        </w:sectPr>
      </w:pPr>
    </w:p>
    <w:p>
      <w:pPr>
        <w:spacing w:line="240" w:lineRule="auto" w:before="9"/>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3924"/>
        <w:gridCol w:w="1688"/>
        <w:gridCol w:w="919"/>
        <w:gridCol w:w="1612"/>
        <w:gridCol w:w="989"/>
      </w:tblGrid>
      <w:tr>
        <w:trPr>
          <w:trHeight w:val="510" w:hRule="exact"/>
        </w:trPr>
        <w:tc>
          <w:tcPr>
            <w:tcW w:w="392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0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0" w:hRule="exact"/>
        </w:trPr>
        <w:tc>
          <w:tcPr>
            <w:tcW w:w="3924" w:type="dxa"/>
            <w:vMerge/>
            <w:tcBorders>
              <w:left w:val="nil" w:sz="6" w:space="0" w:color="auto"/>
              <w:right w:val="single" w:sz="4" w:space="0" w:color="000000"/>
            </w:tcBorders>
          </w:tcPr>
          <w:p>
            <w:pPr/>
          </w:p>
        </w:tc>
        <w:tc>
          <w:tcPr>
            <w:tcW w:w="26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0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0" w:hRule="exact"/>
        </w:trPr>
        <w:tc>
          <w:tcPr>
            <w:tcW w:w="3924" w:type="dxa"/>
            <w:vMerge/>
            <w:tcBorders>
              <w:left w:val="nil" w:sz="6" w:space="0" w:color="auto"/>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10" w:hRule="exact"/>
        </w:trPr>
        <w:tc>
          <w:tcPr>
            <w:tcW w:w="3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单项金额重大的其他应收款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474,860,374.25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94.51%</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285,281,614.92</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95.15%</w:t>
            </w:r>
          </w:p>
        </w:tc>
      </w:tr>
      <w:tr>
        <w:trPr>
          <w:trHeight w:val="716" w:hRule="exact"/>
        </w:trPr>
        <w:tc>
          <w:tcPr>
            <w:tcW w:w="3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95"/>
              <w:jc w:val="left"/>
              <w:rPr>
                <w:rFonts w:ascii="宋体" w:hAnsi="宋体" w:cs="宋体" w:eastAsia="宋体" w:hint="default"/>
                <w:sz w:val="18"/>
                <w:szCs w:val="18"/>
              </w:rPr>
            </w:pPr>
            <w:r>
              <w:rPr>
                <w:rFonts w:ascii="宋体" w:hAnsi="宋体" w:cs="宋体" w:eastAsia="宋体" w:hint="default"/>
                <w:spacing w:val="4"/>
                <w:sz w:val="18"/>
                <w:szCs w:val="18"/>
              </w:rPr>
              <w:t>单项金额不重大但按信用风险特征组合后该组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合的风险较大的其他应收款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24,544,551.95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1" w:right="0"/>
              <w:jc w:val="left"/>
              <w:rPr>
                <w:rFonts w:ascii="Times New Roman" w:hAnsi="Times New Roman" w:cs="Times New Roman" w:eastAsia="Times New Roman" w:hint="default"/>
                <w:sz w:val="18"/>
                <w:szCs w:val="18"/>
              </w:rPr>
            </w:pPr>
            <w:r>
              <w:rPr>
                <w:rFonts w:ascii="Times New Roman"/>
                <w:sz w:val="18"/>
              </w:rPr>
              <w:t>4.88%</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14,536,048.87</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5"/>
              <w:jc w:val="center"/>
              <w:rPr>
                <w:rFonts w:ascii="Times New Roman" w:hAnsi="Times New Roman" w:cs="Times New Roman" w:eastAsia="Times New Roman" w:hint="default"/>
                <w:sz w:val="18"/>
                <w:szCs w:val="18"/>
              </w:rPr>
            </w:pPr>
            <w:r>
              <w:rPr>
                <w:rFonts w:ascii="Times New Roman"/>
                <w:sz w:val="18"/>
              </w:rPr>
              <w:t>4.85%</w:t>
            </w:r>
          </w:p>
        </w:tc>
      </w:tr>
      <w:tr>
        <w:trPr>
          <w:trHeight w:val="490" w:hRule="exact"/>
        </w:trPr>
        <w:tc>
          <w:tcPr>
            <w:tcW w:w="3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其他不重大其他应收款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3,057,192.06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0.61%</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13,450.13</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w:t>
            </w:r>
          </w:p>
        </w:tc>
      </w:tr>
      <w:tr>
        <w:trPr>
          <w:trHeight w:val="491" w:hRule="exact"/>
        </w:trPr>
        <w:tc>
          <w:tcPr>
            <w:tcW w:w="3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502,462,118.26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100.00%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299,831,113.92</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before="35"/>
        <w:ind w:left="250" w:right="116"/>
        <w:jc w:val="left"/>
      </w:pPr>
      <w:r>
        <w:rPr/>
        <w:t>（</w:t>
      </w:r>
      <w:r>
        <w:rPr>
          <w:rFonts w:ascii="Times New Roman" w:hAnsi="Times New Roman" w:cs="Times New Roman" w:eastAsia="Times New Roman" w:hint="default"/>
        </w:rPr>
        <w:t>2</w:t>
      </w:r>
      <w:r>
        <w:rPr/>
        <w:t>）期末单项金额前十名的其他应收款坏账准备计提：</w:t>
      </w:r>
    </w:p>
    <w:p>
      <w:pPr>
        <w:spacing w:line="240" w:lineRule="auto" w:before="10"/>
        <w:rPr>
          <w:rFonts w:ascii="宋体" w:hAnsi="宋体" w:cs="宋体" w:eastAsia="宋体" w:hint="default"/>
          <w:sz w:val="11"/>
          <w:szCs w:val="11"/>
        </w:rPr>
      </w:pPr>
    </w:p>
    <w:p>
      <w:pPr>
        <w:pStyle w:val="BodyText"/>
        <w:tabs>
          <w:tab w:pos="1049" w:val="left" w:leader="none"/>
        </w:tabs>
        <w:spacing w:line="240" w:lineRule="auto" w:before="35"/>
        <w:ind w:left="0" w:right="225"/>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666"/>
        <w:gridCol w:w="1418"/>
        <w:gridCol w:w="1559"/>
        <w:gridCol w:w="1420"/>
        <w:gridCol w:w="1069"/>
      </w:tblGrid>
      <w:tr>
        <w:trPr>
          <w:trHeight w:val="500" w:hRule="exact"/>
        </w:trPr>
        <w:tc>
          <w:tcPr>
            <w:tcW w:w="36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09"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经济内容</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06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99" w:hRule="exact"/>
        </w:trPr>
        <w:tc>
          <w:tcPr>
            <w:tcW w:w="36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北京中关村通信网络发展有限公司</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4"/>
              <w:ind w:right="1"/>
              <w:jc w:val="center"/>
              <w:rPr>
                <w:rFonts w:ascii="宋体" w:hAnsi="宋体" w:cs="宋体" w:eastAsia="宋体" w:hint="default"/>
                <w:sz w:val="21"/>
                <w:szCs w:val="21"/>
              </w:rPr>
            </w:pPr>
            <w:r>
              <w:rPr>
                <w:rFonts w:ascii="宋体" w:hAnsi="宋体" w:cs="宋体" w:eastAsia="宋体" w:hint="default"/>
                <w:sz w:val="21"/>
                <w:szCs w:val="21"/>
              </w:rPr>
              <w:t>①</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48"/>
              <w:jc w:val="right"/>
              <w:rPr>
                <w:rFonts w:ascii="Times New Roman" w:hAnsi="Times New Roman" w:cs="Times New Roman" w:eastAsia="Times New Roman" w:hint="default"/>
                <w:sz w:val="18"/>
                <w:szCs w:val="18"/>
              </w:rPr>
            </w:pPr>
            <w:r>
              <w:rPr>
                <w:rFonts w:ascii="Times New Roman"/>
                <w:spacing w:val="-1"/>
                <w:sz w:val="18"/>
              </w:rPr>
              <w:t>59,000,000.00</w:t>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295,000.00</w:t>
            </w:r>
          </w:p>
        </w:tc>
        <w:tc>
          <w:tcPr>
            <w:tcW w:w="106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0.50%</w:t>
            </w:r>
          </w:p>
        </w:tc>
      </w:tr>
      <w:tr>
        <w:trPr>
          <w:trHeight w:val="500" w:hRule="exact"/>
        </w:trPr>
        <w:tc>
          <w:tcPr>
            <w:tcW w:w="36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深圳市海龙王房地产开发有限公司</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4"/>
              <w:ind w:right="1"/>
              <w:jc w:val="center"/>
              <w:rPr>
                <w:rFonts w:ascii="宋体" w:hAnsi="宋体" w:cs="宋体" w:eastAsia="宋体" w:hint="default"/>
                <w:sz w:val="21"/>
                <w:szCs w:val="21"/>
              </w:rPr>
            </w:pPr>
            <w:r>
              <w:rPr>
                <w:rFonts w:ascii="宋体" w:hAnsi="宋体" w:cs="宋体" w:eastAsia="宋体" w:hint="default"/>
                <w:sz w:val="21"/>
                <w:szCs w:val="21"/>
              </w:rPr>
              <w:t>②</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48"/>
              <w:jc w:val="right"/>
              <w:rPr>
                <w:rFonts w:ascii="Times New Roman" w:hAnsi="Times New Roman" w:cs="Times New Roman" w:eastAsia="Times New Roman" w:hint="default"/>
                <w:sz w:val="18"/>
                <w:szCs w:val="18"/>
              </w:rPr>
            </w:pPr>
            <w:r>
              <w:rPr>
                <w:rFonts w:ascii="Times New Roman"/>
                <w:spacing w:val="-1"/>
                <w:sz w:val="18"/>
              </w:rPr>
              <w:t>50,119,685.55</w:t>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50,119,685.55</w:t>
            </w:r>
          </w:p>
        </w:tc>
        <w:tc>
          <w:tcPr>
            <w:tcW w:w="106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
              <w:jc w:val="center"/>
              <w:rPr>
                <w:rFonts w:ascii="Times New Roman" w:hAnsi="Times New Roman" w:cs="Times New Roman" w:eastAsia="Times New Roman" w:hint="default"/>
                <w:sz w:val="18"/>
                <w:szCs w:val="18"/>
              </w:rPr>
            </w:pPr>
            <w:r>
              <w:rPr>
                <w:rFonts w:ascii="Times New Roman"/>
                <w:sz w:val="18"/>
              </w:rPr>
              <w:t>100.00%</w:t>
            </w:r>
          </w:p>
        </w:tc>
      </w:tr>
      <w:tr>
        <w:trPr>
          <w:trHeight w:val="500" w:hRule="exact"/>
        </w:trPr>
        <w:tc>
          <w:tcPr>
            <w:tcW w:w="36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深圳市赛德隆投资发展有限公司</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4"/>
              <w:ind w:right="1"/>
              <w:jc w:val="center"/>
              <w:rPr>
                <w:rFonts w:ascii="宋体" w:hAnsi="宋体" w:cs="宋体" w:eastAsia="宋体" w:hint="default"/>
                <w:sz w:val="21"/>
                <w:szCs w:val="21"/>
              </w:rPr>
            </w:pPr>
            <w:r>
              <w:rPr>
                <w:rFonts w:ascii="宋体" w:hAnsi="宋体" w:cs="宋体" w:eastAsia="宋体" w:hint="default"/>
                <w:sz w:val="21"/>
                <w:szCs w:val="21"/>
              </w:rPr>
              <w:t>③</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48"/>
              <w:jc w:val="right"/>
              <w:rPr>
                <w:rFonts w:ascii="Times New Roman" w:hAnsi="Times New Roman" w:cs="Times New Roman" w:eastAsia="Times New Roman" w:hint="default"/>
                <w:sz w:val="18"/>
                <w:szCs w:val="18"/>
              </w:rPr>
            </w:pPr>
            <w:r>
              <w:rPr>
                <w:rFonts w:ascii="Times New Roman"/>
                <w:spacing w:val="-1"/>
                <w:sz w:val="18"/>
              </w:rPr>
              <w:t>47,438,461.73</w:t>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23,719,230.87</w:t>
            </w:r>
          </w:p>
        </w:tc>
        <w:tc>
          <w:tcPr>
            <w:tcW w:w="106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z w:val="18"/>
              </w:rPr>
              <w:t>50.00%</w:t>
            </w:r>
          </w:p>
        </w:tc>
      </w:tr>
      <w:tr>
        <w:trPr>
          <w:trHeight w:val="499" w:hRule="exact"/>
        </w:trPr>
        <w:tc>
          <w:tcPr>
            <w:tcW w:w="36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广州金宇房地产开发公司</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4"/>
              <w:ind w:right="1"/>
              <w:jc w:val="center"/>
              <w:rPr>
                <w:rFonts w:ascii="宋体" w:hAnsi="宋体" w:cs="宋体" w:eastAsia="宋体" w:hint="default"/>
                <w:sz w:val="21"/>
                <w:szCs w:val="21"/>
              </w:rPr>
            </w:pPr>
            <w:r>
              <w:rPr>
                <w:rFonts w:ascii="宋体" w:hAnsi="宋体" w:cs="宋体" w:eastAsia="宋体" w:hint="default"/>
                <w:sz w:val="21"/>
                <w:szCs w:val="21"/>
              </w:rPr>
              <w:t>④</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48"/>
              <w:jc w:val="right"/>
              <w:rPr>
                <w:rFonts w:ascii="Times New Roman" w:hAnsi="Times New Roman" w:cs="Times New Roman" w:eastAsia="Times New Roman" w:hint="default"/>
                <w:sz w:val="18"/>
                <w:szCs w:val="18"/>
              </w:rPr>
            </w:pPr>
            <w:r>
              <w:rPr>
                <w:rFonts w:ascii="Times New Roman"/>
                <w:spacing w:val="-1"/>
                <w:sz w:val="18"/>
              </w:rPr>
              <w:t>25,597,688.50</w:t>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25,597,688.50</w:t>
            </w:r>
          </w:p>
        </w:tc>
        <w:tc>
          <w:tcPr>
            <w:tcW w:w="106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
              <w:jc w:val="center"/>
              <w:rPr>
                <w:rFonts w:ascii="Times New Roman" w:hAnsi="Times New Roman" w:cs="Times New Roman" w:eastAsia="Times New Roman" w:hint="default"/>
                <w:sz w:val="18"/>
                <w:szCs w:val="18"/>
              </w:rPr>
            </w:pPr>
            <w:r>
              <w:rPr>
                <w:rFonts w:ascii="Times New Roman"/>
                <w:sz w:val="18"/>
              </w:rPr>
              <w:t>100.00%</w:t>
            </w:r>
          </w:p>
        </w:tc>
      </w:tr>
      <w:tr>
        <w:trPr>
          <w:trHeight w:val="500" w:hRule="exact"/>
        </w:trPr>
        <w:tc>
          <w:tcPr>
            <w:tcW w:w="36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深圳桂兴贸易发展公司</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4"/>
              <w:ind w:right="1"/>
              <w:jc w:val="center"/>
              <w:rPr>
                <w:rFonts w:ascii="宋体" w:hAnsi="宋体" w:cs="宋体" w:eastAsia="宋体" w:hint="default"/>
                <w:sz w:val="21"/>
                <w:szCs w:val="21"/>
              </w:rPr>
            </w:pPr>
            <w:r>
              <w:rPr>
                <w:rFonts w:ascii="宋体" w:hAnsi="宋体" w:cs="宋体" w:eastAsia="宋体" w:hint="default"/>
                <w:sz w:val="21"/>
                <w:szCs w:val="21"/>
              </w:rPr>
              <w:t>⑤</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48"/>
              <w:jc w:val="right"/>
              <w:rPr>
                <w:rFonts w:ascii="Times New Roman" w:hAnsi="Times New Roman" w:cs="Times New Roman" w:eastAsia="Times New Roman" w:hint="default"/>
                <w:sz w:val="18"/>
                <w:szCs w:val="18"/>
              </w:rPr>
            </w:pPr>
            <w:r>
              <w:rPr>
                <w:rFonts w:ascii="Times New Roman"/>
                <w:spacing w:val="-1"/>
                <w:sz w:val="18"/>
              </w:rPr>
              <w:t>18,588,821.90</w:t>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18,588,821.90</w:t>
            </w:r>
          </w:p>
        </w:tc>
        <w:tc>
          <w:tcPr>
            <w:tcW w:w="106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
              <w:jc w:val="center"/>
              <w:rPr>
                <w:rFonts w:ascii="Times New Roman" w:hAnsi="Times New Roman" w:cs="Times New Roman" w:eastAsia="Times New Roman" w:hint="default"/>
                <w:sz w:val="18"/>
                <w:szCs w:val="18"/>
              </w:rPr>
            </w:pPr>
            <w:r>
              <w:rPr>
                <w:rFonts w:ascii="Times New Roman"/>
                <w:sz w:val="18"/>
              </w:rPr>
              <w:t>100.00%</w:t>
            </w:r>
          </w:p>
        </w:tc>
      </w:tr>
      <w:tr>
        <w:trPr>
          <w:trHeight w:val="500" w:hRule="exact"/>
        </w:trPr>
        <w:tc>
          <w:tcPr>
            <w:tcW w:w="36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西安创博实业有限公司</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4"/>
              <w:ind w:right="1"/>
              <w:jc w:val="center"/>
              <w:rPr>
                <w:rFonts w:ascii="宋体" w:hAnsi="宋体" w:cs="宋体" w:eastAsia="宋体" w:hint="default"/>
                <w:sz w:val="21"/>
                <w:szCs w:val="21"/>
              </w:rPr>
            </w:pPr>
            <w:r>
              <w:rPr>
                <w:rFonts w:ascii="宋体" w:hAnsi="宋体" w:cs="宋体" w:eastAsia="宋体" w:hint="default"/>
                <w:sz w:val="21"/>
                <w:szCs w:val="21"/>
              </w:rPr>
              <w:t>⑥</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48"/>
              <w:jc w:val="right"/>
              <w:rPr>
                <w:rFonts w:ascii="Times New Roman" w:hAnsi="Times New Roman" w:cs="Times New Roman" w:eastAsia="Times New Roman" w:hint="default"/>
                <w:sz w:val="18"/>
                <w:szCs w:val="18"/>
              </w:rPr>
            </w:pPr>
            <w:r>
              <w:rPr>
                <w:rFonts w:ascii="Times New Roman"/>
                <w:spacing w:val="-1"/>
                <w:sz w:val="18"/>
              </w:rPr>
              <w:t>16,300,000.00</w:t>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4,890,000.00</w:t>
            </w:r>
          </w:p>
        </w:tc>
        <w:tc>
          <w:tcPr>
            <w:tcW w:w="106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z w:val="18"/>
              </w:rPr>
              <w:t>30.00%</w:t>
            </w:r>
          </w:p>
        </w:tc>
      </w:tr>
      <w:tr>
        <w:trPr>
          <w:trHeight w:val="499" w:hRule="exact"/>
        </w:trPr>
        <w:tc>
          <w:tcPr>
            <w:tcW w:w="36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正中置业集团有限公司</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4"/>
              <w:ind w:right="1"/>
              <w:jc w:val="center"/>
              <w:rPr>
                <w:rFonts w:ascii="宋体" w:hAnsi="宋体" w:cs="宋体" w:eastAsia="宋体" w:hint="default"/>
                <w:sz w:val="21"/>
                <w:szCs w:val="21"/>
              </w:rPr>
            </w:pPr>
            <w:r>
              <w:rPr>
                <w:rFonts w:ascii="宋体" w:hAnsi="宋体" w:cs="宋体" w:eastAsia="宋体" w:hint="default"/>
                <w:sz w:val="21"/>
                <w:szCs w:val="21"/>
              </w:rPr>
              <w:t>⑦</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48"/>
              <w:jc w:val="right"/>
              <w:rPr>
                <w:rFonts w:ascii="Times New Roman" w:hAnsi="Times New Roman" w:cs="Times New Roman" w:eastAsia="Times New Roman" w:hint="default"/>
                <w:sz w:val="18"/>
                <w:szCs w:val="18"/>
              </w:rPr>
            </w:pPr>
            <w:r>
              <w:rPr>
                <w:rFonts w:ascii="Times New Roman"/>
                <w:spacing w:val="-1"/>
                <w:sz w:val="18"/>
              </w:rPr>
              <w:t>15,020,889.67</w:t>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15,020,889.67</w:t>
            </w:r>
          </w:p>
        </w:tc>
        <w:tc>
          <w:tcPr>
            <w:tcW w:w="106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
              <w:jc w:val="center"/>
              <w:rPr>
                <w:rFonts w:ascii="Times New Roman" w:hAnsi="Times New Roman" w:cs="Times New Roman" w:eastAsia="Times New Roman" w:hint="default"/>
                <w:sz w:val="18"/>
                <w:szCs w:val="18"/>
              </w:rPr>
            </w:pPr>
            <w:r>
              <w:rPr>
                <w:rFonts w:ascii="Times New Roman"/>
                <w:sz w:val="18"/>
              </w:rPr>
              <w:t>100.00%</w:t>
            </w:r>
          </w:p>
        </w:tc>
      </w:tr>
      <w:tr>
        <w:trPr>
          <w:trHeight w:val="500" w:hRule="exact"/>
        </w:trPr>
        <w:tc>
          <w:tcPr>
            <w:tcW w:w="36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北京建工集团有限责任公司西安分公司</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4"/>
              <w:ind w:right="1"/>
              <w:jc w:val="center"/>
              <w:rPr>
                <w:rFonts w:ascii="宋体" w:hAnsi="宋体" w:cs="宋体" w:eastAsia="宋体" w:hint="default"/>
                <w:sz w:val="21"/>
                <w:szCs w:val="21"/>
              </w:rPr>
            </w:pPr>
            <w:r>
              <w:rPr>
                <w:rFonts w:ascii="宋体" w:hAnsi="宋体" w:cs="宋体" w:eastAsia="宋体" w:hint="default"/>
                <w:sz w:val="21"/>
                <w:szCs w:val="21"/>
              </w:rPr>
              <w:t>⑥</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48"/>
              <w:jc w:val="right"/>
              <w:rPr>
                <w:rFonts w:ascii="Times New Roman" w:hAnsi="Times New Roman" w:cs="Times New Roman" w:eastAsia="Times New Roman" w:hint="default"/>
                <w:sz w:val="18"/>
                <w:szCs w:val="18"/>
              </w:rPr>
            </w:pPr>
            <w:r>
              <w:rPr>
                <w:rFonts w:ascii="Times New Roman"/>
                <w:spacing w:val="-1"/>
                <w:sz w:val="18"/>
              </w:rPr>
              <w:t>10,000,000.00</w:t>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3,000,000.00</w:t>
            </w:r>
          </w:p>
        </w:tc>
        <w:tc>
          <w:tcPr>
            <w:tcW w:w="106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z w:val="18"/>
              </w:rPr>
              <w:t>30.00%</w:t>
            </w:r>
          </w:p>
        </w:tc>
      </w:tr>
      <w:tr>
        <w:trPr>
          <w:trHeight w:val="500" w:hRule="exact"/>
        </w:trPr>
        <w:tc>
          <w:tcPr>
            <w:tcW w:w="36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深圳市盐田港国际供应链营运有限公司</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48"/>
              <w:jc w:val="right"/>
              <w:rPr>
                <w:rFonts w:ascii="Times New Roman" w:hAnsi="Times New Roman" w:cs="Times New Roman" w:eastAsia="Times New Roman" w:hint="default"/>
                <w:sz w:val="18"/>
                <w:szCs w:val="18"/>
              </w:rPr>
            </w:pPr>
            <w:r>
              <w:rPr>
                <w:rFonts w:ascii="Times New Roman"/>
                <w:spacing w:val="-1"/>
                <w:sz w:val="18"/>
              </w:rPr>
              <w:t>5,925,636.11</w:t>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2,450,000.00</w:t>
            </w:r>
          </w:p>
        </w:tc>
        <w:tc>
          <w:tcPr>
            <w:tcW w:w="106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z w:val="18"/>
              </w:rPr>
              <w:t>41.35%</w:t>
            </w:r>
          </w:p>
        </w:tc>
      </w:tr>
      <w:tr>
        <w:trPr>
          <w:trHeight w:val="500" w:hRule="exact"/>
        </w:trPr>
        <w:tc>
          <w:tcPr>
            <w:tcW w:w="36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深圳市瑞赐实业有限公司</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4"/>
              <w:ind w:right="1"/>
              <w:jc w:val="center"/>
              <w:rPr>
                <w:rFonts w:ascii="宋体" w:hAnsi="宋体" w:cs="宋体" w:eastAsia="宋体" w:hint="default"/>
                <w:sz w:val="21"/>
                <w:szCs w:val="21"/>
              </w:rPr>
            </w:pPr>
            <w:r>
              <w:rPr>
                <w:rFonts w:ascii="宋体" w:hAnsi="宋体" w:cs="宋体" w:eastAsia="宋体" w:hint="default"/>
                <w:sz w:val="21"/>
                <w:szCs w:val="21"/>
              </w:rPr>
              <w:t>⑤</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48"/>
              <w:jc w:val="right"/>
              <w:rPr>
                <w:rFonts w:ascii="Times New Roman" w:hAnsi="Times New Roman" w:cs="Times New Roman" w:eastAsia="Times New Roman" w:hint="default"/>
                <w:sz w:val="18"/>
                <w:szCs w:val="18"/>
              </w:rPr>
            </w:pPr>
            <w:r>
              <w:rPr>
                <w:rFonts w:ascii="Times New Roman"/>
                <w:spacing w:val="-1"/>
                <w:sz w:val="18"/>
              </w:rPr>
              <w:t>5,016,291.90</w:t>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3,544,951.69</w:t>
            </w:r>
          </w:p>
        </w:tc>
        <w:tc>
          <w:tcPr>
            <w:tcW w:w="106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z w:val="18"/>
              </w:rPr>
              <w:t>70.67%</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before="35"/>
        <w:ind w:left="250" w:right="116"/>
        <w:jc w:val="left"/>
      </w:pPr>
      <w:r>
        <w:rPr/>
        <w:t>金额较大的其他应收款的性质或内容：</w:t>
      </w:r>
    </w:p>
    <w:p>
      <w:pPr>
        <w:spacing w:line="240" w:lineRule="auto" w:before="2"/>
        <w:rPr>
          <w:rFonts w:ascii="宋体" w:hAnsi="宋体" w:cs="宋体" w:eastAsia="宋体" w:hint="default"/>
          <w:sz w:val="14"/>
          <w:szCs w:val="14"/>
        </w:rPr>
      </w:pPr>
    </w:p>
    <w:p>
      <w:pPr>
        <w:pStyle w:val="BodyText"/>
        <w:spacing w:line="393" w:lineRule="auto"/>
        <w:ind w:left="250" w:right="223" w:firstLine="420"/>
        <w:jc w:val="both"/>
      </w:pPr>
      <w:r>
        <w:rPr/>
        <w:t>①北京中关村通信网络发展有限公司款项：系本公司应收出售给该公司福建东南广播电视网 络有限公司股权的应收款项，以前年度该公司与重庆国投有限公司对在本公司出售福建东南广播</w:t>
      </w:r>
      <w:r>
        <w:rPr>
          <w:spacing w:val="-39"/>
        </w:rPr>
        <w:t> </w:t>
      </w:r>
      <w:r>
        <w:rPr>
          <w:spacing w:val="-39"/>
        </w:rPr>
      </w:r>
      <w:r>
        <w:rPr/>
        <w:t>电视网络有限公司股权时存在信托关系，</w:t>
      </w:r>
      <w:r>
        <w:rPr>
          <w:rFonts w:ascii="Times New Roman" w:hAnsi="Times New Roman" w:cs="Times New Roman" w:eastAsia="Times New Roman" w:hint="default"/>
        </w:rPr>
        <w:t>2008</w:t>
      </w:r>
      <w:r>
        <w:rPr>
          <w:rFonts w:ascii="Times New Roman" w:hAnsi="Times New Roman" w:cs="Times New Roman" w:eastAsia="Times New Roman" w:hint="default"/>
          <w:spacing w:val="25"/>
        </w:rPr>
        <w:t> </w:t>
      </w:r>
      <w:r>
        <w:rPr/>
        <w:t>年度已解除。深圳市东鸿信投资发展有限公司对该 欠款向本公司出具了担保函，以其名下相应的资产作为该公司还款的担保。</w:t>
      </w:r>
    </w:p>
    <w:p>
      <w:pPr>
        <w:pStyle w:val="BodyText"/>
        <w:spacing w:line="240" w:lineRule="auto" w:before="50"/>
        <w:ind w:left="670" w:right="116"/>
        <w:jc w:val="left"/>
      </w:pPr>
      <w:r>
        <w:rPr/>
        <w:t>②深圳市海龙王房地产开发有限公司款项：系本公司于</w:t>
      </w:r>
      <w:r>
        <w:rPr>
          <w:spacing w:val="-60"/>
        </w:rPr>
        <w:t> </w:t>
      </w:r>
      <w:r>
        <w:rPr>
          <w:rFonts w:ascii="Times New Roman" w:hAnsi="Times New Roman" w:cs="Times New Roman" w:eastAsia="Times New Roman" w:hint="default"/>
        </w:rPr>
        <w:t>2002</w:t>
      </w:r>
      <w:r>
        <w:rPr>
          <w:rFonts w:ascii="Times New Roman" w:hAnsi="Times New Roman" w:cs="Times New Roman" w:eastAsia="Times New Roman" w:hint="default"/>
          <w:spacing w:val="-8"/>
        </w:rPr>
        <w:t> </w:t>
      </w:r>
      <w:r>
        <w:rPr/>
        <w:t>年</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月，与深圳市海龙王房地产</w:t>
      </w:r>
    </w:p>
    <w:p>
      <w:pPr>
        <w:spacing w:after="0" w:line="240" w:lineRule="auto"/>
        <w:jc w:val="left"/>
        <w:sectPr>
          <w:pgSz w:w="11900" w:h="16840"/>
          <w:pgMar w:header="0" w:footer="982" w:top="1560" w:bottom="1180" w:left="1620" w:right="900"/>
        </w:sectPr>
      </w:pPr>
    </w:p>
    <w:p>
      <w:pPr>
        <w:pStyle w:val="BodyText"/>
        <w:spacing w:line="240" w:lineRule="auto" w:before="7"/>
        <w:ind w:left="250" w:right="0"/>
        <w:jc w:val="both"/>
      </w:pPr>
      <w:r>
        <w:rPr/>
        <w:t>开发有限公司签约合作开发</w:t>
      </w:r>
      <w:r>
        <w:rPr>
          <w:rFonts w:ascii="Times New Roman" w:hAnsi="Times New Roman" w:cs="Times New Roman" w:eastAsia="Times New Roman" w:hint="default"/>
        </w:rPr>
        <w:t>“</w:t>
      </w:r>
      <w:r>
        <w:rPr/>
        <w:t>银湖别墅</w:t>
      </w:r>
      <w:r>
        <w:rPr>
          <w:rFonts w:ascii="Times New Roman" w:hAnsi="Times New Roman" w:cs="Times New Roman" w:eastAsia="Times New Roman" w:hint="default"/>
        </w:rPr>
        <w:t>”</w:t>
      </w:r>
      <w:r>
        <w:rPr/>
        <w:t>形成，本公司于</w:t>
      </w:r>
      <w:r>
        <w:rPr>
          <w:spacing w:val="-55"/>
        </w:rPr>
        <w:t> </w:t>
      </w:r>
      <w:r>
        <w:rPr>
          <w:rFonts w:ascii="Times New Roman" w:hAnsi="Times New Roman" w:cs="Times New Roman" w:eastAsia="Times New Roman" w:hint="default"/>
        </w:rPr>
        <w:t>2003</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月起诉深圳市海龙王房地产开发</w:t>
      </w:r>
    </w:p>
    <w:p>
      <w:pPr>
        <w:pStyle w:val="BodyText"/>
        <w:spacing w:line="381" w:lineRule="auto" w:before="169"/>
        <w:ind w:left="250" w:right="226"/>
        <w:jc w:val="both"/>
      </w:pPr>
      <w:r>
        <w:rPr/>
        <w:t>有限公司，</w:t>
      </w:r>
      <w:r>
        <w:rPr>
          <w:rFonts w:ascii="Times New Roman" w:hAnsi="Times New Roman" w:cs="Times New Roman" w:eastAsia="Times New Roman" w:hint="default"/>
        </w:rPr>
        <w:t>2004</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日已由广东省高院作出终审判决，判令该公司还款。</w:t>
      </w:r>
      <w:r>
        <w:rPr>
          <w:rFonts w:ascii="Times New Roman" w:hAnsi="Times New Roman" w:cs="Times New Roman" w:eastAsia="Times New Roman" w:hint="default"/>
        </w:rPr>
        <w:t>2005</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月转由广 东省汕尾市中级人民法院立案执行，目前已中止执行。</w:t>
      </w:r>
    </w:p>
    <w:p>
      <w:pPr>
        <w:pStyle w:val="BodyText"/>
        <w:spacing w:line="240" w:lineRule="auto" w:before="61"/>
        <w:ind w:left="670" w:right="116"/>
        <w:jc w:val="left"/>
        <w:rPr>
          <w:rFonts w:ascii="Times New Roman" w:hAnsi="Times New Roman" w:cs="Times New Roman" w:eastAsia="Times New Roman" w:hint="default"/>
        </w:rPr>
      </w:pPr>
      <w:r>
        <w:rPr>
          <w:spacing w:val="2"/>
        </w:rPr>
        <w:t>③深圳市</w:t>
      </w:r>
      <w:r>
        <w:rPr>
          <w:spacing w:val="1"/>
        </w:rPr>
        <w:t>赛</w:t>
      </w:r>
      <w:r>
        <w:rPr>
          <w:spacing w:val="2"/>
        </w:rPr>
        <w:t>德隆投资</w:t>
      </w:r>
      <w:r>
        <w:rPr>
          <w:spacing w:val="1"/>
        </w:rPr>
        <w:t>发</w:t>
      </w:r>
      <w:r>
        <w:rPr>
          <w:spacing w:val="2"/>
        </w:rPr>
        <w:t>展有限公</w:t>
      </w:r>
      <w:r>
        <w:rPr>
          <w:spacing w:val="1"/>
        </w:rPr>
        <w:t>司</w:t>
      </w:r>
      <w:r>
        <w:rPr>
          <w:spacing w:val="2"/>
        </w:rPr>
        <w:t>系本公司</w:t>
      </w:r>
      <w:r>
        <w:rPr>
          <w:spacing w:val="1"/>
        </w:rPr>
        <w:t>关</w:t>
      </w:r>
      <w:r>
        <w:rPr>
          <w:spacing w:val="2"/>
        </w:rPr>
        <w:t>联公司（</w:t>
      </w:r>
      <w:r>
        <w:rPr>
          <w:spacing w:val="1"/>
        </w:rPr>
        <w:t>附</w:t>
      </w:r>
      <w:r>
        <w:rPr>
          <w:spacing w:val="2"/>
        </w:rPr>
        <w:t>注六</w:t>
      </w:r>
      <w:r>
        <w:rPr>
          <w:spacing w:val="-104"/>
        </w:rPr>
        <w:t>）</w:t>
      </w:r>
      <w:r>
        <w:rPr>
          <w:spacing w:val="2"/>
        </w:rPr>
        <w:t>，该</w:t>
      </w:r>
      <w:r>
        <w:rPr>
          <w:spacing w:val="1"/>
        </w:rPr>
        <w:t>款</w:t>
      </w:r>
      <w:r>
        <w:rPr>
          <w:spacing w:val="2"/>
        </w:rPr>
        <w:t>项为本公</w:t>
      </w:r>
      <w:r>
        <w:rPr>
          <w:spacing w:val="1"/>
        </w:rPr>
        <w:t>司</w:t>
      </w:r>
      <w:r>
        <w:rPr>
          <w:spacing w:val="2"/>
        </w:rPr>
        <w:t>应</w:t>
      </w:r>
      <w:r>
        <w:rPr/>
        <w:t>收</w:t>
      </w:r>
      <w:r>
        <w:rPr>
          <w:spacing w:val="1"/>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0</w:t>
      </w:r>
      <w:r>
        <w:rPr>
          <w:rFonts w:ascii="Times New Roman" w:hAnsi="Times New Roman" w:cs="Times New Roman" w:eastAsia="Times New Roman" w:hint="default"/>
        </w:rPr>
        <w:t>6</w:t>
      </w:r>
    </w:p>
    <w:p>
      <w:pPr>
        <w:pStyle w:val="BodyText"/>
        <w:spacing w:line="240" w:lineRule="auto" w:before="169"/>
        <w:ind w:left="250" w:right="0"/>
        <w:jc w:val="both"/>
      </w:pPr>
      <w:r>
        <w:rPr/>
        <w:t>年度转让本公司之子公司西安新鸿业公司部分股权的款项和其他往来款项。</w:t>
      </w:r>
    </w:p>
    <w:p>
      <w:pPr>
        <w:spacing w:line="240" w:lineRule="auto" w:before="3"/>
        <w:rPr>
          <w:rFonts w:ascii="宋体" w:hAnsi="宋体" w:cs="宋体" w:eastAsia="宋体" w:hint="default"/>
          <w:sz w:val="14"/>
          <w:szCs w:val="14"/>
        </w:rPr>
      </w:pPr>
    </w:p>
    <w:p>
      <w:pPr>
        <w:pStyle w:val="BodyText"/>
        <w:spacing w:line="379" w:lineRule="auto"/>
        <w:ind w:left="250" w:right="116" w:firstLine="420"/>
        <w:jc w:val="left"/>
      </w:pPr>
      <w:r>
        <w:rPr/>
        <w:t>④广州金宇房地产开发公司款项：系本公司于</w:t>
      </w:r>
      <w:r>
        <w:rPr>
          <w:spacing w:val="-58"/>
        </w:rPr>
        <w:t> </w:t>
      </w:r>
      <w:r>
        <w:rPr>
          <w:rFonts w:ascii="Times New Roman" w:hAnsi="Times New Roman" w:cs="Times New Roman" w:eastAsia="Times New Roman" w:hint="default"/>
        </w:rPr>
        <w:t>1994</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月，与广州金宇房地产开发公司签约 合作开发广州东沙经济区</w:t>
      </w:r>
      <w:r>
        <w:rPr>
          <w:spacing w:val="-53"/>
        </w:rPr>
        <w:t> </w:t>
      </w:r>
      <w:r>
        <w:rPr>
          <w:rFonts w:ascii="Times New Roman" w:hAnsi="Times New Roman" w:cs="Times New Roman" w:eastAsia="Times New Roman" w:hint="default"/>
        </w:rPr>
        <w:t>B-07</w:t>
      </w:r>
      <w:r>
        <w:rPr>
          <w:rFonts w:ascii="Times New Roman" w:hAnsi="Times New Roman" w:cs="Times New Roman" w:eastAsia="Times New Roman" w:hint="default"/>
          <w:spacing w:val="1"/>
        </w:rPr>
        <w:t> </w:t>
      </w:r>
      <w:r>
        <w:rPr>
          <w:spacing w:val="-3"/>
        </w:rPr>
        <w:t>号地商住楼形成，本公司于</w:t>
      </w:r>
      <w:r>
        <w:rPr>
          <w:spacing w:val="-53"/>
        </w:rPr>
        <w:t> </w:t>
      </w:r>
      <w:r>
        <w:rPr>
          <w:rFonts w:ascii="Times New Roman" w:hAnsi="Times New Roman" w:cs="Times New Roman" w:eastAsia="Times New Roman" w:hint="default"/>
        </w:rPr>
        <w:t>2002 </w:t>
      </w:r>
      <w:r>
        <w:rPr/>
        <w:t>年起诉广州金宇房地产开发公司， </w:t>
      </w:r>
      <w:r>
        <w:rPr>
          <w:rFonts w:ascii="Times New Roman" w:hAnsi="Times New Roman" w:cs="Times New Roman" w:eastAsia="Times New Roman" w:hint="default"/>
        </w:rPr>
        <w:t>2004</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日由广东省高院作出终审判决，判令该公司还款。</w:t>
      </w:r>
      <w:r>
        <w:rPr>
          <w:rFonts w:ascii="Times New Roman" w:hAnsi="Times New Roman" w:cs="Times New Roman" w:eastAsia="Times New Roman" w:hint="default"/>
        </w:rPr>
        <w:t>2004</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月在广州市中级人民 法院立案执行，目前已中止执行。</w:t>
      </w:r>
    </w:p>
    <w:p>
      <w:pPr>
        <w:pStyle w:val="BodyText"/>
        <w:spacing w:line="240" w:lineRule="auto" w:before="63"/>
        <w:ind w:left="670" w:right="116"/>
        <w:jc w:val="left"/>
      </w:pPr>
      <w:r>
        <w:rPr/>
        <w:t>⑤深圳桂兴贸易发展公司、深圳市瑞赐实业有限公司款项</w:t>
      </w:r>
    </w:p>
    <w:p>
      <w:pPr>
        <w:spacing w:line="240" w:lineRule="auto" w:before="2"/>
        <w:rPr>
          <w:rFonts w:ascii="宋体" w:hAnsi="宋体" w:cs="宋体" w:eastAsia="宋体" w:hint="default"/>
          <w:sz w:val="14"/>
          <w:szCs w:val="14"/>
        </w:rPr>
      </w:pPr>
    </w:p>
    <w:p>
      <w:pPr>
        <w:pStyle w:val="BodyText"/>
        <w:spacing w:line="240" w:lineRule="auto"/>
        <w:ind w:left="670" w:right="116"/>
        <w:jc w:val="left"/>
      </w:pPr>
      <w:r>
        <w:rPr/>
        <w:t>系</w:t>
      </w:r>
      <w:r>
        <w:rPr>
          <w:spacing w:val="-34"/>
        </w:rPr>
        <w:t> </w:t>
      </w:r>
      <w:r>
        <w:rPr>
          <w:rFonts w:ascii="Times New Roman" w:hAnsi="Times New Roman" w:cs="Times New Roman" w:eastAsia="Times New Roman" w:hint="default"/>
        </w:rPr>
        <w:t>2003</w:t>
      </w:r>
      <w:r>
        <w:rPr>
          <w:rFonts w:ascii="Times New Roman" w:hAnsi="Times New Roman" w:cs="Times New Roman" w:eastAsia="Times New Roman" w:hint="default"/>
          <w:spacing w:val="19"/>
        </w:rPr>
        <w:t> </w:t>
      </w:r>
      <w:r>
        <w:rPr/>
        <w:t>至</w:t>
      </w:r>
      <w:r>
        <w:rPr>
          <w:spacing w:val="-35"/>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9"/>
        </w:rPr>
        <w:t> </w:t>
      </w:r>
      <w:r>
        <w:rPr/>
        <w:t>年期间，垫付深圳桂兴贸易发展公司、深圳市瑞赐实业有限公司款项形成，</w:t>
      </w:r>
    </w:p>
    <w:p>
      <w:pPr>
        <w:pStyle w:val="BodyText"/>
        <w:spacing w:line="240" w:lineRule="auto" w:before="170"/>
        <w:ind w:left="250" w:right="0"/>
        <w:jc w:val="both"/>
        <w:rPr>
          <w:rFonts w:ascii="Times New Roman" w:hAnsi="Times New Roman" w:cs="Times New Roman" w:eastAsia="Times New Roman" w:hint="default"/>
        </w:rPr>
      </w:pPr>
      <w:r>
        <w:rPr/>
        <w:t>本公司于</w:t>
      </w:r>
      <w:r>
        <w:rPr>
          <w:spacing w:val="-8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7"/>
        </w:rPr>
        <w:t> </w:t>
      </w:r>
      <w:r>
        <w:rPr/>
        <w:t>年</w:t>
      </w:r>
      <w:r>
        <w:rPr>
          <w:spacing w:val="-80"/>
        </w:rPr>
        <w:t> </w:t>
      </w:r>
      <w:r>
        <w:rPr>
          <w:rFonts w:ascii="Times New Roman" w:hAnsi="Times New Roman" w:cs="Times New Roman" w:eastAsia="Times New Roman" w:hint="default"/>
        </w:rPr>
        <w:t>8</w:t>
      </w:r>
      <w:r>
        <w:rPr>
          <w:rFonts w:ascii="Times New Roman" w:hAnsi="Times New Roman" w:cs="Times New Roman" w:eastAsia="Times New Roman" w:hint="default"/>
          <w:spacing w:val="-27"/>
        </w:rPr>
        <w:t> </w:t>
      </w:r>
      <w:r>
        <w:rPr/>
        <w:t>月向深圳市罗湖区人民法院起诉深圳市瑞赐实业有限公司请求清偿</w:t>
      </w:r>
      <w:r>
        <w:rPr>
          <w:spacing w:val="-80"/>
        </w:rPr>
        <w:t> </w:t>
      </w:r>
      <w:r>
        <w:rPr>
          <w:rFonts w:ascii="Times New Roman" w:hAnsi="Times New Roman" w:cs="Times New Roman" w:eastAsia="Times New Roman" w:hint="default"/>
        </w:rPr>
        <w:t>5,016,291.90</w:t>
      </w:r>
    </w:p>
    <w:p>
      <w:pPr>
        <w:pStyle w:val="BodyText"/>
        <w:spacing w:line="379" w:lineRule="auto" w:before="169"/>
        <w:ind w:left="250" w:right="150"/>
        <w:jc w:val="both"/>
      </w:pPr>
      <w:r>
        <w:rPr/>
        <w:t>元，并于</w:t>
      </w:r>
      <w:r>
        <w:rPr>
          <w:spacing w:val="-4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月通过法院查封其广西经贸大厦北座共三层房屋。此案于</w:t>
      </w:r>
      <w:r>
        <w:rPr>
          <w:spacing w:val="-4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日由</w:t>
      </w:r>
      <w:r>
        <w:rPr>
          <w:spacing w:val="1"/>
        </w:rPr>
        <w:t> </w:t>
      </w:r>
      <w:r>
        <w:rPr/>
        <w:t>深圳市罗湖区人民法院分别以（</w:t>
      </w:r>
      <w:r>
        <w:rPr>
          <w:rFonts w:ascii="Times New Roman" w:hAnsi="Times New Roman" w:cs="Times New Roman" w:eastAsia="Times New Roman" w:hint="default"/>
        </w:rPr>
        <w:t>2007</w:t>
      </w:r>
      <w:r>
        <w:rPr/>
        <w:t>）深罗法民二初字第 </w:t>
      </w:r>
      <w:r>
        <w:rPr>
          <w:rFonts w:ascii="Times New Roman" w:hAnsi="Times New Roman" w:cs="Times New Roman" w:eastAsia="Times New Roman" w:hint="default"/>
        </w:rPr>
        <w:t>1087 </w:t>
      </w:r>
      <w:r>
        <w:rPr/>
        <w:t>号、</w:t>
      </w:r>
      <w:r>
        <w:rPr>
          <w:rFonts w:ascii="Times New Roman" w:hAnsi="Times New Roman" w:cs="Times New Roman" w:eastAsia="Times New Roman" w:hint="default"/>
        </w:rPr>
        <w:t>1088 </w:t>
      </w:r>
      <w:r>
        <w:rPr/>
        <w:t>号、</w:t>
      </w:r>
      <w:r>
        <w:rPr>
          <w:rFonts w:ascii="Times New Roman" w:hAnsi="Times New Roman" w:cs="Times New Roman" w:eastAsia="Times New Roman" w:hint="default"/>
        </w:rPr>
        <w:t>1089 </w:t>
      </w:r>
      <w:r>
        <w:rPr/>
        <w:t>号、</w:t>
      </w:r>
      <w:r>
        <w:rPr>
          <w:rFonts w:ascii="Times New Roman" w:hAnsi="Times New Roman" w:cs="Times New Roman" w:eastAsia="Times New Roman" w:hint="default"/>
        </w:rPr>
        <w:t>1090</w:t>
      </w:r>
      <w:r>
        <w:rPr>
          <w:rFonts w:ascii="Times New Roman" w:hAnsi="Times New Roman" w:cs="Times New Roman" w:eastAsia="Times New Roman" w:hint="default"/>
          <w:spacing w:val="-33"/>
        </w:rPr>
        <w:t> </w:t>
      </w:r>
      <w:r>
        <w:rPr/>
        <w:t>号，</w:t>
      </w:r>
      <w:r>
        <w:rPr>
          <w:spacing w:val="1"/>
        </w:rPr>
        <w:t> </w:t>
      </w:r>
      <w:r>
        <w:rPr/>
        <w:t>四份民事判决书，判决深圳市瑞赐实业有限公司于判决书生效十天内清偿本公司</w:t>
      </w:r>
      <w:r>
        <w:rPr>
          <w:spacing w:val="-56"/>
        </w:rPr>
        <w:t> </w:t>
      </w:r>
      <w:r>
        <w:rPr>
          <w:rFonts w:ascii="Times New Roman" w:hAnsi="Times New Roman" w:cs="Times New Roman" w:eastAsia="Times New Roman" w:hint="default"/>
        </w:rPr>
        <w:t>3,397,817.67</w:t>
      </w:r>
      <w:r>
        <w:rPr>
          <w:rFonts w:ascii="Times New Roman" w:hAnsi="Times New Roman" w:cs="Times New Roman" w:eastAsia="Times New Roman" w:hint="default"/>
          <w:spacing w:val="-4"/>
        </w:rPr>
        <w:t> </w:t>
      </w:r>
      <w:r>
        <w:rPr/>
        <w:t>元，</w:t>
      </w:r>
    </w:p>
    <w:p>
      <w:pPr>
        <w:pStyle w:val="BodyText"/>
        <w:spacing w:line="379" w:lineRule="auto" w:before="34"/>
        <w:ind w:left="250" w:right="225"/>
        <w:jc w:val="both"/>
      </w:pPr>
      <w:r>
        <w:rPr/>
        <w:t>其余</w:t>
      </w:r>
      <w:r>
        <w:rPr>
          <w:spacing w:val="-45"/>
        </w:rPr>
        <w:t> </w:t>
      </w:r>
      <w:r>
        <w:rPr>
          <w:rFonts w:ascii="Times New Roman" w:hAnsi="Times New Roman" w:cs="Times New Roman" w:eastAsia="Times New Roman" w:hint="default"/>
        </w:rPr>
        <w:t>1,618,474.23</w:t>
      </w:r>
      <w:r>
        <w:rPr>
          <w:rFonts w:ascii="Times New Roman" w:hAnsi="Times New Roman" w:cs="Times New Roman" w:eastAsia="Times New Roman" w:hint="default"/>
          <w:spacing w:val="8"/>
        </w:rPr>
        <w:t> </w:t>
      </w:r>
      <w:r>
        <w:rPr>
          <w:spacing w:val="-3"/>
        </w:rPr>
        <w:t>元诉讼请求部分，予以驳回。本公司及深圳市瑞赐实业有限公司已就深罗法民二</w:t>
      </w:r>
      <w:r>
        <w:rPr>
          <w:spacing w:val="-103"/>
        </w:rPr>
        <w:t> </w:t>
      </w:r>
      <w:r>
        <w:rPr>
          <w:spacing w:val="-103"/>
        </w:rPr>
      </w:r>
      <w:r>
        <w:rPr/>
        <w:t>初字第 </w:t>
      </w:r>
      <w:r>
        <w:rPr>
          <w:rFonts w:ascii="Times New Roman" w:hAnsi="Times New Roman" w:cs="Times New Roman" w:eastAsia="Times New Roman" w:hint="default"/>
        </w:rPr>
        <w:t>1088 </w:t>
      </w:r>
      <w:r>
        <w:rPr/>
        <w:t>号、</w:t>
      </w:r>
      <w:r>
        <w:rPr>
          <w:rFonts w:ascii="Times New Roman" w:hAnsi="Times New Roman" w:cs="Times New Roman" w:eastAsia="Times New Roman" w:hint="default"/>
        </w:rPr>
        <w:t>1089 </w:t>
      </w:r>
      <w:r>
        <w:rPr/>
        <w:t>号、</w:t>
      </w:r>
      <w:r>
        <w:rPr>
          <w:rFonts w:ascii="Times New Roman" w:hAnsi="Times New Roman" w:cs="Times New Roman" w:eastAsia="Times New Roman" w:hint="default"/>
        </w:rPr>
        <w:t>1090</w:t>
      </w:r>
      <w:r>
        <w:rPr>
          <w:rFonts w:ascii="Times New Roman" w:hAnsi="Times New Roman" w:cs="Times New Roman" w:eastAsia="Times New Roman" w:hint="default"/>
          <w:spacing w:val="22"/>
        </w:rPr>
        <w:t> </w:t>
      </w:r>
      <w:r>
        <w:rPr/>
        <w:t>号民事判决案件，向广东省深圳市中级人民法院提请上诉，目前 在审理中。</w:t>
      </w:r>
    </w:p>
    <w:p>
      <w:pPr>
        <w:pStyle w:val="BodyText"/>
        <w:spacing w:line="400" w:lineRule="auto" w:before="63"/>
        <w:ind w:left="670" w:right="214"/>
        <w:jc w:val="left"/>
      </w:pPr>
      <w:r>
        <w:rPr/>
        <w:t>⑥西安创博实业有限公司、北京建工集团有限责任公司西安分公司款项 本公司子公司西安新鸿业投资发展有限公司</w:t>
      </w:r>
      <w:r>
        <w:rPr>
          <w:spacing w:val="-6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5"/>
        </w:rPr>
        <w:t> </w:t>
      </w:r>
      <w:r>
        <w:rPr/>
        <w:t>年与该两公司签订协议，由该两公司分别提</w:t>
      </w:r>
    </w:p>
    <w:p>
      <w:pPr>
        <w:pStyle w:val="BodyText"/>
        <w:spacing w:line="240" w:lineRule="auto" w:before="14"/>
        <w:ind w:left="250" w:right="0"/>
        <w:jc w:val="both"/>
      </w:pPr>
      <w:r>
        <w:rPr>
          <w:spacing w:val="-2"/>
        </w:rPr>
        <w:t>供项目所需材料及配套设施的施工，</w:t>
      </w:r>
      <w:r>
        <w:rPr>
          <w:rFonts w:ascii="Times New Roman" w:hAnsi="Times New Roman" w:cs="Times New Roman" w:eastAsia="Times New Roman" w:hint="default"/>
          <w:spacing w:val="-2"/>
        </w:rPr>
        <w:t>2008</w:t>
      </w:r>
      <w:r>
        <w:rPr>
          <w:rFonts w:ascii="Times New Roman" w:hAnsi="Times New Roman" w:cs="Times New Roman" w:eastAsia="Times New Roman" w:hint="default"/>
          <w:spacing w:val="9"/>
        </w:rPr>
        <w:t> </w:t>
      </w:r>
      <w:r>
        <w:rPr>
          <w:spacing w:val="-2"/>
        </w:rPr>
        <w:t>年因项目设计变化终止备料协议，施工项目也暂时中止。</w:t>
      </w:r>
    </w:p>
    <w:p>
      <w:pPr>
        <w:pStyle w:val="BodyText"/>
        <w:spacing w:line="400" w:lineRule="auto" w:before="169"/>
        <w:ind w:left="250" w:right="116" w:firstLine="420"/>
        <w:jc w:val="left"/>
      </w:pPr>
      <w:r>
        <w:rPr/>
        <w:t>⑦正中置业集团有限公司系本公司股东，该款系本公司与其合作开发房地产项目（附注六） 应收款项。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left="250" w:right="0"/>
        <w:jc w:val="both"/>
      </w:pPr>
      <w:r>
        <w:rPr/>
        <w:t>（</w:t>
      </w:r>
      <w:r>
        <w:rPr>
          <w:rFonts w:ascii="Times New Roman" w:hAnsi="Times New Roman" w:cs="Times New Roman" w:eastAsia="Times New Roman" w:hint="default"/>
        </w:rPr>
        <w:t>3</w:t>
      </w:r>
      <w:r>
        <w:rPr/>
        <w:t>）单项金额不重大但按信用风险特征组合后该组合的风险较大的其他应收款</w:t>
      </w:r>
    </w:p>
    <w:p>
      <w:pPr>
        <w:pStyle w:val="BodyText"/>
        <w:tabs>
          <w:tab w:pos="1049" w:val="left" w:leader="none"/>
        </w:tabs>
        <w:spacing w:line="240" w:lineRule="auto" w:before="169"/>
        <w:ind w:left="0" w:right="2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223"/>
        <w:gridCol w:w="1423"/>
        <w:gridCol w:w="1213"/>
        <w:gridCol w:w="1456"/>
        <w:gridCol w:w="1423"/>
        <w:gridCol w:w="970"/>
        <w:gridCol w:w="1424"/>
      </w:tblGrid>
      <w:tr>
        <w:trPr>
          <w:trHeight w:val="480" w:hRule="exact"/>
        </w:trPr>
        <w:tc>
          <w:tcPr>
            <w:tcW w:w="1223" w:type="dxa"/>
            <w:vMerge w:val="restart"/>
            <w:tcBorders>
              <w:top w:val="single" w:sz="8"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407"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092"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17" w:type="dxa"/>
            <w:gridSpan w:val="3"/>
            <w:tcBorders>
              <w:top w:val="single" w:sz="8" w:space="0" w:color="000000"/>
              <w:left w:val="single" w:sz="8" w:space="0" w:color="000000"/>
              <w:bottom w:val="single" w:sz="8" w:space="0" w:color="000000"/>
              <w:right w:val="nil" w:sz="6" w:space="0" w:color="auto"/>
            </w:tcBorders>
          </w:tcPr>
          <w:p>
            <w:pPr>
              <w:pStyle w:val="TableParagraph"/>
              <w:spacing w:line="240" w:lineRule="auto" w:before="154"/>
              <w:ind w:right="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80" w:hRule="exact"/>
        </w:trPr>
        <w:tc>
          <w:tcPr>
            <w:tcW w:w="1223" w:type="dxa"/>
            <w:vMerge/>
            <w:tcBorders>
              <w:left w:val="nil" w:sz="6" w:space="0" w:color="auto"/>
              <w:right w:val="single" w:sz="8" w:space="0" w:color="000000"/>
            </w:tcBorders>
          </w:tcPr>
          <w:p>
            <w:pPr/>
          </w:p>
        </w:tc>
        <w:tc>
          <w:tcPr>
            <w:tcW w:w="263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56" w:type="dxa"/>
            <w:vMerge w:val="restart"/>
            <w:tcBorders>
              <w:top w:val="single" w:sz="8" w:space="0" w:color="000000"/>
              <w:left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left="76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4" w:type="dxa"/>
            <w:vMerge w:val="restart"/>
            <w:tcBorders>
              <w:top w:val="single" w:sz="8" w:space="0" w:color="000000"/>
              <w:left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8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80" w:hRule="exact"/>
        </w:trPr>
        <w:tc>
          <w:tcPr>
            <w:tcW w:w="1223" w:type="dxa"/>
            <w:vMerge/>
            <w:tcBorders>
              <w:left w:val="nil" w:sz="6" w:space="0" w:color="auto"/>
              <w:bottom w:val="single" w:sz="8" w:space="0" w:color="000000"/>
              <w:right w:val="single" w:sz="8" w:space="0" w:color="000000"/>
            </w:tcBorders>
          </w:tcPr>
          <w:p>
            <w:pP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56" w:type="dxa"/>
            <w:vMerge/>
            <w:tcBorders>
              <w:left w:val="single" w:sz="8" w:space="0" w:color="000000"/>
              <w:bottom w:val="single" w:sz="8" w:space="0" w:color="000000"/>
              <w:right w:val="single" w:sz="8" w:space="0" w:color="000000"/>
            </w:tcBorders>
          </w:tcPr>
          <w:p>
            <w:pP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4" w:type="dxa"/>
            <w:vMerge/>
            <w:tcBorders>
              <w:left w:val="single" w:sz="8" w:space="0" w:color="000000"/>
              <w:bottom w:val="single" w:sz="8" w:space="0" w:color="000000"/>
              <w:right w:val="nil" w:sz="6" w:space="0" w:color="auto"/>
            </w:tcBorders>
          </w:tcPr>
          <w:p>
            <w:pPr/>
          </w:p>
        </w:tc>
      </w:tr>
      <w:tr>
        <w:trPr>
          <w:trHeight w:val="480" w:hRule="exact"/>
        </w:trPr>
        <w:tc>
          <w:tcPr>
            <w:tcW w:w="122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54"/>
              <w:ind w:left="2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1,476,717.47</w:t>
            </w:r>
          </w:p>
        </w:tc>
        <w:tc>
          <w:tcPr>
            <w:tcW w:w="12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11.40%</w:t>
            </w:r>
          </w:p>
        </w:tc>
        <w:tc>
          <w:tcPr>
            <w:tcW w:w="1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69,416.07</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8" w:right="0"/>
              <w:jc w:val="center"/>
              <w:rPr>
                <w:rFonts w:ascii="Times New Roman" w:hAnsi="Times New Roman" w:cs="Times New Roman" w:eastAsia="Times New Roman" w:hint="default"/>
                <w:sz w:val="21"/>
                <w:szCs w:val="21"/>
              </w:rPr>
            </w:pPr>
            <w:r>
              <w:rPr>
                <w:rFonts w:ascii="Times New Roman"/>
                <w:sz w:val="21"/>
              </w:rPr>
              <w:t>3,717,368.35</w:t>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15.15%</w:t>
            </w:r>
          </w:p>
        </w:tc>
        <w:tc>
          <w:tcPr>
            <w:tcW w:w="142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487,667.04</w:t>
            </w:r>
          </w:p>
        </w:tc>
      </w:tr>
      <w:tr>
        <w:trPr>
          <w:trHeight w:val="480" w:hRule="exact"/>
        </w:trPr>
        <w:tc>
          <w:tcPr>
            <w:tcW w:w="122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54"/>
              <w:ind w:left="2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791,910.03</w:t>
            </w:r>
          </w:p>
        </w:tc>
        <w:tc>
          <w:tcPr>
            <w:tcW w:w="12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6.11%</w:t>
            </w:r>
          </w:p>
        </w:tc>
        <w:tc>
          <w:tcPr>
            <w:tcW w:w="1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111,303.47</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9" w:right="0"/>
              <w:jc w:val="center"/>
              <w:rPr>
                <w:rFonts w:ascii="Times New Roman" w:hAnsi="Times New Roman" w:cs="Times New Roman" w:eastAsia="Times New Roman" w:hint="default"/>
                <w:sz w:val="21"/>
                <w:szCs w:val="21"/>
              </w:rPr>
            </w:pPr>
            <w:r>
              <w:rPr>
                <w:rFonts w:ascii="Times New Roman"/>
                <w:sz w:val="21"/>
              </w:rPr>
              <w:t>2,939,141.78</w:t>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11.97%</w:t>
            </w:r>
          </w:p>
        </w:tc>
        <w:tc>
          <w:tcPr>
            <w:tcW w:w="142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1,056,077.55</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982" w:top="1280" w:bottom="1180" w:left="1620" w:right="900"/>
        </w:sectPr>
      </w:pPr>
    </w:p>
    <w:p>
      <w:pPr>
        <w:spacing w:line="240" w:lineRule="auto" w:before="9"/>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1223"/>
        <w:gridCol w:w="1423"/>
        <w:gridCol w:w="1213"/>
        <w:gridCol w:w="1456"/>
        <w:gridCol w:w="1423"/>
        <w:gridCol w:w="970"/>
        <w:gridCol w:w="1424"/>
      </w:tblGrid>
      <w:tr>
        <w:trPr>
          <w:trHeight w:val="480" w:hRule="exact"/>
        </w:trPr>
        <w:tc>
          <w:tcPr>
            <w:tcW w:w="1223" w:type="dxa"/>
            <w:vMerge w:val="restart"/>
            <w:tcBorders>
              <w:top w:val="single" w:sz="8"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407"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092"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17" w:type="dxa"/>
            <w:gridSpan w:val="3"/>
            <w:tcBorders>
              <w:top w:val="single" w:sz="8" w:space="0" w:color="000000"/>
              <w:left w:val="single" w:sz="8" w:space="0" w:color="000000"/>
              <w:bottom w:val="single" w:sz="8" w:space="0" w:color="000000"/>
              <w:right w:val="nil" w:sz="6" w:space="0" w:color="auto"/>
            </w:tcBorders>
          </w:tcPr>
          <w:p>
            <w:pPr>
              <w:pStyle w:val="TableParagraph"/>
              <w:spacing w:line="240" w:lineRule="auto" w:before="154"/>
              <w:ind w:right="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80" w:hRule="exact"/>
        </w:trPr>
        <w:tc>
          <w:tcPr>
            <w:tcW w:w="1223" w:type="dxa"/>
            <w:vMerge/>
            <w:tcBorders>
              <w:left w:val="nil" w:sz="6" w:space="0" w:color="auto"/>
              <w:right w:val="single" w:sz="8" w:space="0" w:color="000000"/>
            </w:tcBorders>
          </w:tcPr>
          <w:p>
            <w:pPr/>
          </w:p>
        </w:tc>
        <w:tc>
          <w:tcPr>
            <w:tcW w:w="263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56" w:type="dxa"/>
            <w:vMerge w:val="restart"/>
            <w:tcBorders>
              <w:top w:val="single" w:sz="8" w:space="0" w:color="000000"/>
              <w:left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left="76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4" w:type="dxa"/>
            <w:vMerge w:val="restart"/>
            <w:tcBorders>
              <w:top w:val="single" w:sz="8" w:space="0" w:color="000000"/>
              <w:left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8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80" w:hRule="exact"/>
        </w:trPr>
        <w:tc>
          <w:tcPr>
            <w:tcW w:w="1223" w:type="dxa"/>
            <w:vMerge/>
            <w:tcBorders>
              <w:left w:val="nil" w:sz="6" w:space="0" w:color="auto"/>
              <w:bottom w:val="single" w:sz="8" w:space="0" w:color="000000"/>
              <w:right w:val="single" w:sz="8" w:space="0" w:color="000000"/>
            </w:tcBorders>
          </w:tcPr>
          <w:p>
            <w:pP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56" w:type="dxa"/>
            <w:vMerge/>
            <w:tcBorders>
              <w:left w:val="single" w:sz="8" w:space="0" w:color="000000"/>
              <w:bottom w:val="single" w:sz="8" w:space="0" w:color="000000"/>
              <w:right w:val="single" w:sz="8" w:space="0" w:color="000000"/>
            </w:tcBorders>
          </w:tcPr>
          <w:p>
            <w:pP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107"/>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424" w:type="dxa"/>
            <w:vMerge/>
            <w:tcBorders>
              <w:left w:val="single" w:sz="8" w:space="0" w:color="000000"/>
              <w:bottom w:val="single" w:sz="8" w:space="0" w:color="000000"/>
              <w:right w:val="nil" w:sz="6" w:space="0" w:color="auto"/>
            </w:tcBorders>
          </w:tcPr>
          <w:p>
            <w:pPr/>
          </w:p>
        </w:tc>
      </w:tr>
      <w:tr>
        <w:trPr>
          <w:trHeight w:val="520" w:hRule="exact"/>
        </w:trPr>
        <w:tc>
          <w:tcPr>
            <w:tcW w:w="122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94"/>
              <w:ind w:left="2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187,603.51</w:t>
            </w:r>
          </w:p>
        </w:tc>
        <w:tc>
          <w:tcPr>
            <w:tcW w:w="12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1.45%</w:t>
            </w:r>
          </w:p>
        </w:tc>
        <w:tc>
          <w:tcPr>
            <w:tcW w:w="1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51,781.05</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4,145,258.72</w:t>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48"/>
              <w:jc w:val="right"/>
              <w:rPr>
                <w:rFonts w:ascii="Times New Roman" w:hAnsi="Times New Roman" w:cs="Times New Roman" w:eastAsia="Times New Roman" w:hint="default"/>
                <w:sz w:val="21"/>
                <w:szCs w:val="21"/>
              </w:rPr>
            </w:pPr>
            <w:r>
              <w:rPr>
                <w:rFonts w:ascii="Times New Roman"/>
                <w:spacing w:val="-1"/>
                <w:sz w:val="21"/>
              </w:rPr>
              <w:t>16.89%</w:t>
            </w:r>
          </w:p>
        </w:tc>
        <w:tc>
          <w:tcPr>
            <w:tcW w:w="142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2,512,117.66</w:t>
            </w:r>
          </w:p>
        </w:tc>
      </w:tr>
      <w:tr>
        <w:trPr>
          <w:trHeight w:val="521" w:hRule="exact"/>
        </w:trPr>
        <w:tc>
          <w:tcPr>
            <w:tcW w:w="122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94"/>
              <w:ind w:left="2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 </w:t>
            </w:r>
            <w:r>
              <w:rPr>
                <w:rFonts w:ascii="宋体" w:hAnsi="宋体" w:cs="宋体" w:eastAsia="宋体" w:hint="default"/>
                <w:sz w:val="21"/>
                <w:szCs w:val="21"/>
              </w:rPr>
              <w:t>年</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1,091,250.10</w:t>
            </w:r>
          </w:p>
        </w:tc>
        <w:tc>
          <w:tcPr>
            <w:tcW w:w="12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8.42%</w:t>
            </w:r>
          </w:p>
        </w:tc>
        <w:tc>
          <w:tcPr>
            <w:tcW w:w="1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892,574.99</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4,510,800.33</w:t>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48"/>
              <w:jc w:val="right"/>
              <w:rPr>
                <w:rFonts w:ascii="Times New Roman" w:hAnsi="Times New Roman" w:cs="Times New Roman" w:eastAsia="Times New Roman" w:hint="default"/>
                <w:sz w:val="21"/>
                <w:szCs w:val="21"/>
              </w:rPr>
            </w:pPr>
            <w:r>
              <w:rPr>
                <w:rFonts w:ascii="Times New Roman"/>
                <w:spacing w:val="-1"/>
                <w:sz w:val="21"/>
              </w:rPr>
              <w:t>18.38%</w:t>
            </w:r>
          </w:p>
        </w:tc>
        <w:tc>
          <w:tcPr>
            <w:tcW w:w="142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2,218,681.11</w:t>
            </w:r>
          </w:p>
        </w:tc>
      </w:tr>
      <w:tr>
        <w:trPr>
          <w:trHeight w:val="520" w:hRule="exact"/>
        </w:trPr>
        <w:tc>
          <w:tcPr>
            <w:tcW w:w="122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94"/>
              <w:ind w:left="2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 </w:t>
            </w:r>
            <w:r>
              <w:rPr>
                <w:rFonts w:ascii="宋体" w:hAnsi="宋体" w:cs="宋体" w:eastAsia="宋体" w:hint="default"/>
                <w:sz w:val="21"/>
                <w:szCs w:val="21"/>
              </w:rPr>
              <w:t>年</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1,655,562.40</w:t>
            </w:r>
          </w:p>
        </w:tc>
        <w:tc>
          <w:tcPr>
            <w:tcW w:w="12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12.78%</w:t>
            </w:r>
          </w:p>
        </w:tc>
        <w:tc>
          <w:tcPr>
            <w:tcW w:w="1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1,387,738.09</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2,995,663.12</w:t>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48"/>
              <w:jc w:val="right"/>
              <w:rPr>
                <w:rFonts w:ascii="Times New Roman" w:hAnsi="Times New Roman" w:cs="Times New Roman" w:eastAsia="Times New Roman" w:hint="default"/>
                <w:sz w:val="21"/>
                <w:szCs w:val="21"/>
              </w:rPr>
            </w:pPr>
            <w:r>
              <w:rPr>
                <w:rFonts w:ascii="Times New Roman"/>
                <w:spacing w:val="-1"/>
                <w:sz w:val="21"/>
              </w:rPr>
              <w:t>12.21%</w:t>
            </w:r>
          </w:p>
        </w:tc>
        <w:tc>
          <w:tcPr>
            <w:tcW w:w="142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2,736,519.72</w:t>
            </w:r>
          </w:p>
        </w:tc>
      </w:tr>
      <w:tr>
        <w:trPr>
          <w:trHeight w:val="520" w:hRule="exact"/>
        </w:trPr>
        <w:tc>
          <w:tcPr>
            <w:tcW w:w="122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94"/>
              <w:ind w:left="2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7,754,716.76</w:t>
            </w:r>
          </w:p>
        </w:tc>
        <w:tc>
          <w:tcPr>
            <w:tcW w:w="12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59.84%</w:t>
            </w:r>
          </w:p>
        </w:tc>
        <w:tc>
          <w:tcPr>
            <w:tcW w:w="1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7,653,903.59</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6,236,319.65</w:t>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48"/>
              <w:jc w:val="right"/>
              <w:rPr>
                <w:rFonts w:ascii="Times New Roman" w:hAnsi="Times New Roman" w:cs="Times New Roman" w:eastAsia="Times New Roman" w:hint="default"/>
                <w:sz w:val="21"/>
                <w:szCs w:val="21"/>
              </w:rPr>
            </w:pPr>
            <w:r>
              <w:rPr>
                <w:rFonts w:ascii="Times New Roman"/>
                <w:spacing w:val="-1"/>
                <w:sz w:val="21"/>
              </w:rPr>
              <w:t>25.40%</w:t>
            </w:r>
          </w:p>
        </w:tc>
        <w:tc>
          <w:tcPr>
            <w:tcW w:w="142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5,524,985.79</w:t>
            </w:r>
          </w:p>
        </w:tc>
      </w:tr>
      <w:tr>
        <w:trPr>
          <w:trHeight w:val="521" w:hRule="exact"/>
        </w:trPr>
        <w:tc>
          <w:tcPr>
            <w:tcW w:w="122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12,957,760.27</w:t>
            </w:r>
          </w:p>
        </w:tc>
        <w:tc>
          <w:tcPr>
            <w:tcW w:w="12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100.00%</w:t>
            </w:r>
          </w:p>
        </w:tc>
        <w:tc>
          <w:tcPr>
            <w:tcW w:w="1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10,166,717.26</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24,544,551.95</w:t>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100.00%</w:t>
            </w:r>
          </w:p>
        </w:tc>
        <w:tc>
          <w:tcPr>
            <w:tcW w:w="142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14,536,048.87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12" w:lineRule="auto" w:before="169"/>
        <w:ind w:left="250" w:right="198"/>
        <w:jc w:val="both"/>
      </w:pPr>
      <w:r>
        <w:rPr/>
        <w:t>（</w:t>
      </w:r>
      <w:r>
        <w:rPr>
          <w:rFonts w:ascii="Times New Roman" w:hAnsi="Times New Roman" w:cs="Times New Roman" w:eastAsia="Times New Roman" w:hint="default"/>
        </w:rPr>
        <w:t>4</w:t>
      </w:r>
      <w:r>
        <w:rPr/>
        <w:t>）本期前对福建东南电视网络公司的其他应收款 </w:t>
      </w:r>
      <w:r>
        <w:rPr>
          <w:rFonts w:ascii="Times New Roman" w:hAnsi="Times New Roman" w:cs="Times New Roman" w:eastAsia="Times New Roman" w:hint="default"/>
        </w:rPr>
        <w:t>130,934,941.00</w:t>
      </w:r>
      <w:r>
        <w:rPr>
          <w:rFonts w:ascii="Times New Roman" w:hAnsi="Times New Roman" w:cs="Times New Roman" w:eastAsia="Times New Roman" w:hint="default"/>
          <w:spacing w:val="-31"/>
        </w:rPr>
        <w:t> </w:t>
      </w:r>
      <w:r>
        <w:rPr/>
        <w:t>元已全额计提坏账准备，本期 </w:t>
      </w:r>
      <w:r>
        <w:rPr>
          <w:spacing w:val="-4"/>
        </w:rPr>
        <w:t>本公司以此债权与深圳市东鸿信投资发展有限公司进行资产置换（见附注六、</w:t>
      </w:r>
      <w:r>
        <w:rPr>
          <w:rFonts w:ascii="Times New Roman" w:hAnsi="Times New Roman" w:cs="Times New Roman" w:eastAsia="Times New Roman" w:hint="default"/>
          <w:spacing w:val="-4"/>
        </w:rPr>
        <w:t>5</w:t>
      </w:r>
      <w:r>
        <w:rPr>
          <w:spacing w:val="-4"/>
        </w:rPr>
        <w:t>（</w:t>
      </w:r>
      <w:r>
        <w:rPr>
          <w:rFonts w:ascii="Times New Roman" w:hAnsi="Times New Roman" w:cs="Times New Roman" w:eastAsia="Times New Roman" w:hint="default"/>
          <w:spacing w:val="-4"/>
        </w:rPr>
        <w:t>3</w:t>
      </w:r>
      <w:r>
        <w:rPr>
          <w:spacing w:val="-4"/>
        </w:rPr>
        <w:t>）），取得价值</w:t>
      </w:r>
      <w:r>
        <w:rPr>
          <w:spacing w:val="-71"/>
        </w:rPr>
        <w:t> </w:t>
      </w:r>
      <w:r>
        <w:rPr>
          <w:spacing w:val="-71"/>
        </w:rPr>
      </w:r>
      <w:r>
        <w:rPr>
          <w:rFonts w:ascii="Times New Roman" w:hAnsi="Times New Roman" w:cs="Times New Roman" w:eastAsia="Times New Roman" w:hint="default"/>
        </w:rPr>
        <w:t>106,244,662.00 </w:t>
      </w:r>
      <w:r>
        <w:rPr>
          <w:rFonts w:ascii="Times New Roman" w:hAnsi="Times New Roman" w:cs="Times New Roman" w:eastAsia="Times New Roman" w:hint="default"/>
          <w:spacing w:val="26"/>
        </w:rPr>
        <w:t> </w:t>
      </w:r>
      <w:r>
        <w:rPr>
          <w:spacing w:val="20"/>
        </w:rPr>
        <w:t>元的资产</w:t>
      </w:r>
      <w:r>
        <w:rPr>
          <w:spacing w:val="-80"/>
        </w:rPr>
        <w:t> </w:t>
      </w:r>
      <w:r>
        <w:rPr>
          <w:spacing w:val="21"/>
        </w:rPr>
        <w:t>，因此其他</w:t>
      </w:r>
      <w:r>
        <w:rPr>
          <w:spacing w:val="-80"/>
        </w:rPr>
        <w:t> </w:t>
      </w:r>
      <w:r>
        <w:rPr>
          <w:spacing w:val="21"/>
        </w:rPr>
        <w:t>应收款减值</w:t>
      </w:r>
      <w:r>
        <w:rPr>
          <w:spacing w:val="-80"/>
        </w:rPr>
        <w:t> </w:t>
      </w:r>
      <w:r>
        <w:rPr>
          <w:spacing w:val="20"/>
        </w:rPr>
        <w:t>准备转回</w:t>
      </w:r>
      <w:r>
        <w:rPr>
          <w:spacing w:val="26"/>
        </w:rPr>
        <w:t> </w:t>
      </w:r>
      <w:r>
        <w:rPr>
          <w:rFonts w:ascii="Times New Roman" w:hAnsi="Times New Roman" w:cs="Times New Roman" w:eastAsia="Times New Roman" w:hint="default"/>
        </w:rPr>
        <w:t>106,244,662.00 </w:t>
      </w:r>
      <w:r>
        <w:rPr>
          <w:rFonts w:ascii="Times New Roman" w:hAnsi="Times New Roman" w:cs="Times New Roman" w:eastAsia="Times New Roman" w:hint="default"/>
          <w:spacing w:val="25"/>
        </w:rPr>
        <w:t> </w:t>
      </w:r>
      <w:r>
        <w:rPr>
          <w:spacing w:val="20"/>
        </w:rPr>
        <w:t>元，对剩</w:t>
      </w:r>
      <w:r>
        <w:rPr>
          <w:spacing w:val="-80"/>
        </w:rPr>
        <w:t> </w:t>
      </w:r>
      <w:r>
        <w:rPr>
          <w:spacing w:val="18"/>
        </w:rPr>
        <w:t>余差额</w:t>
      </w:r>
      <w:r>
        <w:rPr>
          <w:spacing w:val="-78"/>
        </w:rPr>
        <w:t> </w:t>
      </w:r>
      <w:r>
        <w:rPr/>
      </w:r>
    </w:p>
    <w:p>
      <w:pPr>
        <w:pStyle w:val="BodyText"/>
        <w:spacing w:line="240" w:lineRule="auto" w:before="42"/>
        <w:ind w:left="250" w:right="0"/>
        <w:jc w:val="both"/>
        <w:rPr>
          <w:sz w:val="20"/>
          <w:szCs w:val="20"/>
        </w:rPr>
      </w:pPr>
      <w:r>
        <w:rPr>
          <w:rFonts w:ascii="Times New Roman" w:hAnsi="Times New Roman" w:cs="Times New Roman" w:eastAsia="Times New Roman" w:hint="default"/>
        </w:rPr>
        <w:t>24,690,279.00</w:t>
      </w:r>
      <w:r>
        <w:rPr>
          <w:rFonts w:ascii="Times New Roman" w:hAnsi="Times New Roman" w:cs="Times New Roman" w:eastAsia="Times New Roman" w:hint="default"/>
          <w:spacing w:val="-8"/>
        </w:rPr>
        <w:t> </w:t>
      </w:r>
      <w:r>
        <w:rPr/>
        <w:t>元进行了转销</w:t>
      </w:r>
      <w:r>
        <w:rPr>
          <w:sz w:val="20"/>
          <w:szCs w:val="20"/>
        </w:rPr>
        <w:t>；</w:t>
      </w:r>
    </w:p>
    <w:p>
      <w:pPr>
        <w:spacing w:line="240" w:lineRule="auto" w:before="0"/>
        <w:rPr>
          <w:rFonts w:ascii="宋体" w:hAnsi="宋体" w:cs="宋体" w:eastAsia="宋体" w:hint="default"/>
          <w:sz w:val="16"/>
          <w:szCs w:val="16"/>
        </w:rPr>
      </w:pPr>
    </w:p>
    <w:p>
      <w:pPr>
        <w:pStyle w:val="BodyText"/>
        <w:spacing w:line="240" w:lineRule="auto"/>
        <w:ind w:left="0" w:right="226"/>
        <w:jc w:val="right"/>
      </w:pPr>
      <w:r>
        <w:rPr/>
        <w:t>本期前对深圳市正邦工程有限公司的其他应收款</w:t>
      </w:r>
      <w:r>
        <w:rPr>
          <w:spacing w:val="-62"/>
        </w:rPr>
        <w:t> </w:t>
      </w:r>
      <w:r>
        <w:rPr>
          <w:rFonts w:ascii="Times New Roman" w:hAnsi="Times New Roman" w:cs="Times New Roman" w:eastAsia="Times New Roman" w:hint="default"/>
        </w:rPr>
        <w:t>5,000,000.00</w:t>
      </w:r>
      <w:r>
        <w:rPr>
          <w:rFonts w:ascii="Times New Roman" w:hAnsi="Times New Roman" w:cs="Times New Roman" w:eastAsia="Times New Roman" w:hint="default"/>
          <w:spacing w:val="-9"/>
        </w:rPr>
        <w:t> </w:t>
      </w:r>
      <w:r>
        <w:rPr/>
        <w:t>元计提了</w:t>
      </w:r>
      <w:r>
        <w:rPr>
          <w:spacing w:val="-63"/>
        </w:rPr>
        <w:t> </w:t>
      </w:r>
      <w:r>
        <w:rPr>
          <w:rFonts w:ascii="Times New Roman" w:hAnsi="Times New Roman" w:cs="Times New Roman" w:eastAsia="Times New Roman" w:hint="default"/>
        </w:rPr>
        <w:t>2,500,000.00</w:t>
      </w:r>
      <w:r>
        <w:rPr>
          <w:rFonts w:ascii="Times New Roman" w:hAnsi="Times New Roman" w:cs="Times New Roman" w:eastAsia="Times New Roman" w:hint="default"/>
          <w:spacing w:val="-9"/>
        </w:rPr>
        <w:t> </w:t>
      </w:r>
      <w:r>
        <w:rPr/>
        <w:t>元的坏账</w:t>
      </w:r>
    </w:p>
    <w:p>
      <w:pPr>
        <w:spacing w:line="240" w:lineRule="auto" w:before="12"/>
        <w:rPr>
          <w:rFonts w:ascii="宋体" w:hAnsi="宋体" w:cs="宋体" w:eastAsia="宋体" w:hint="default"/>
          <w:sz w:val="15"/>
          <w:szCs w:val="15"/>
        </w:rPr>
      </w:pPr>
    </w:p>
    <w:p>
      <w:pPr>
        <w:pStyle w:val="BodyText"/>
        <w:spacing w:line="240" w:lineRule="auto"/>
        <w:ind w:left="250" w:right="0"/>
        <w:jc w:val="both"/>
        <w:rPr>
          <w:sz w:val="20"/>
          <w:szCs w:val="20"/>
        </w:rPr>
      </w:pPr>
      <w:r>
        <w:rPr/>
        <w:t>准备，本期该款项全额收回，因此其他应收款减值准备转回</w:t>
      </w:r>
      <w:r>
        <w:rPr>
          <w:spacing w:val="-57"/>
        </w:rPr>
        <w:t> </w:t>
      </w:r>
      <w:r>
        <w:rPr>
          <w:rFonts w:ascii="Times New Roman" w:hAnsi="Times New Roman" w:cs="Times New Roman" w:eastAsia="Times New Roman" w:hint="default"/>
        </w:rPr>
        <w:t>2,500,000.00</w:t>
      </w:r>
      <w:r>
        <w:rPr>
          <w:rFonts w:ascii="Times New Roman" w:hAnsi="Times New Roman" w:cs="Times New Roman" w:eastAsia="Times New Roman" w:hint="default"/>
          <w:spacing w:val="-4"/>
        </w:rPr>
        <w:t> </w:t>
      </w:r>
      <w:r>
        <w:rPr/>
        <w:t>元</w:t>
      </w:r>
      <w:r>
        <w:rPr>
          <w:sz w:val="20"/>
          <w:szCs w:val="20"/>
        </w:rPr>
        <w:t>。</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pStyle w:val="BodyText"/>
        <w:spacing w:line="240" w:lineRule="auto"/>
        <w:ind w:left="250" w:right="0"/>
        <w:jc w:val="both"/>
      </w:pPr>
      <w:r>
        <w:rPr/>
        <w:t>（</w:t>
      </w:r>
      <w:r>
        <w:rPr>
          <w:rFonts w:ascii="Times New Roman" w:hAnsi="Times New Roman" w:cs="Times New Roman" w:eastAsia="Times New Roman" w:hint="default"/>
        </w:rPr>
        <w:t>5</w:t>
      </w:r>
      <w:r>
        <w:rPr/>
        <w:t>）本期实际核销的其他应收款情况</w:t>
      </w:r>
    </w:p>
    <w:p>
      <w:pPr>
        <w:spacing w:line="240" w:lineRule="auto" w:before="12"/>
        <w:rPr>
          <w:rFonts w:ascii="宋体" w:hAnsi="宋体" w:cs="宋体" w:eastAsia="宋体" w:hint="default"/>
          <w:sz w:val="15"/>
          <w:szCs w:val="15"/>
        </w:rPr>
      </w:pPr>
    </w:p>
    <w:p>
      <w:pPr>
        <w:pStyle w:val="BodyText"/>
        <w:tabs>
          <w:tab w:pos="1049" w:val="left" w:leader="none"/>
        </w:tabs>
        <w:spacing w:line="240" w:lineRule="auto"/>
        <w:ind w:left="0" w:right="2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778"/>
        <w:gridCol w:w="1632"/>
        <w:gridCol w:w="1494"/>
        <w:gridCol w:w="1246"/>
        <w:gridCol w:w="1982"/>
      </w:tblGrid>
      <w:tr>
        <w:trPr>
          <w:trHeight w:val="520" w:hRule="exact"/>
        </w:trPr>
        <w:tc>
          <w:tcPr>
            <w:tcW w:w="277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8"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98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521" w:hRule="exact"/>
        </w:trPr>
        <w:tc>
          <w:tcPr>
            <w:tcW w:w="277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福建东南电视网络公司</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借款及往来款</w:t>
            </w:r>
          </w:p>
        </w:tc>
        <w:tc>
          <w:tcPr>
            <w:tcW w:w="1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24,690,279.00</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见（</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98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20" w:hRule="exact"/>
        </w:trPr>
        <w:tc>
          <w:tcPr>
            <w:tcW w:w="277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深圳市鸿基影视文化有限公司</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6,238,491.81</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公司清算</w:t>
            </w:r>
          </w:p>
        </w:tc>
        <w:tc>
          <w:tcPr>
            <w:tcW w:w="198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0" w:hRule="exact"/>
        </w:trPr>
        <w:tc>
          <w:tcPr>
            <w:tcW w:w="277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新时代酒楼</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157,861.68</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8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1" w:hRule="exact"/>
        </w:trPr>
        <w:tc>
          <w:tcPr>
            <w:tcW w:w="277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2" w:type="dxa"/>
            <w:tcBorders>
              <w:top w:val="single" w:sz="8" w:space="0" w:color="000000"/>
              <w:left w:val="single" w:sz="8" w:space="0" w:color="000000"/>
              <w:bottom w:val="single" w:sz="8" w:space="0" w:color="000000"/>
              <w:right w:val="single" w:sz="8" w:space="0" w:color="000000"/>
            </w:tcBorders>
          </w:tcPr>
          <w:p>
            <w:pPr/>
          </w:p>
        </w:tc>
        <w:tc>
          <w:tcPr>
            <w:tcW w:w="1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31,086,632.49</w:t>
            </w:r>
          </w:p>
        </w:tc>
        <w:tc>
          <w:tcPr>
            <w:tcW w:w="1246" w:type="dxa"/>
            <w:tcBorders>
              <w:top w:val="single" w:sz="8" w:space="0" w:color="000000"/>
              <w:left w:val="single" w:sz="8" w:space="0" w:color="000000"/>
              <w:bottom w:val="single" w:sz="8" w:space="0" w:color="000000"/>
              <w:right w:val="single" w:sz="8" w:space="0" w:color="000000"/>
            </w:tcBorders>
          </w:tcPr>
          <w:p>
            <w:pPr/>
          </w:p>
        </w:tc>
        <w:tc>
          <w:tcPr>
            <w:tcW w:w="1982" w:type="dxa"/>
            <w:tcBorders>
              <w:top w:val="single" w:sz="8" w:space="0" w:color="000000"/>
              <w:left w:val="single" w:sz="8" w:space="0" w:color="000000"/>
              <w:bottom w:val="single" w:sz="8" w:space="0" w:color="000000"/>
              <w:right w:val="nil" w:sz="6" w:space="0" w:color="auto"/>
            </w:tcBorders>
          </w:tcPr>
          <w:p>
            <w:pPr/>
          </w:p>
        </w:tc>
      </w:tr>
    </w:tbl>
    <w:p>
      <w:pPr>
        <w:spacing w:line="240" w:lineRule="auto" w:before="0"/>
        <w:rPr>
          <w:rFonts w:ascii="宋体" w:hAnsi="宋体" w:cs="宋体" w:eastAsia="宋体" w:hint="default"/>
          <w:sz w:val="12"/>
          <w:szCs w:val="12"/>
        </w:rPr>
      </w:pPr>
    </w:p>
    <w:p>
      <w:pPr>
        <w:pStyle w:val="BodyText"/>
        <w:spacing w:line="412" w:lineRule="auto" w:before="35"/>
        <w:ind w:left="250" w:right="215" w:firstLine="420"/>
        <w:jc w:val="left"/>
      </w:pPr>
      <w:r>
        <w:rPr/>
        <w:t>深圳市鸿基影视文化有限公司为本公司的关联方，该公司已于</w:t>
      </w:r>
      <w:r>
        <w:rPr>
          <w:spacing w:val="-4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t>年</w:t>
      </w:r>
      <w:r>
        <w:rPr>
          <w:spacing w:val="-40"/>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月</w:t>
      </w:r>
      <w:r>
        <w:rPr>
          <w:spacing w:val="-40"/>
        </w:rPr>
        <w:t> </w:t>
      </w:r>
      <w:r>
        <w:rPr>
          <w:rFonts w:ascii="Times New Roman" w:hAnsi="Times New Roman" w:cs="Times New Roman" w:eastAsia="Times New Roman" w:hint="default"/>
        </w:rPr>
        <w:t>26</w:t>
      </w:r>
      <w:r>
        <w:rPr>
          <w:rFonts w:ascii="Times New Roman" w:hAnsi="Times New Roman" w:cs="Times New Roman" w:eastAsia="Times New Roman" w:hint="default"/>
          <w:spacing w:val="13"/>
        </w:rPr>
        <w:t> </w:t>
      </w:r>
      <w:r>
        <w:rPr/>
        <w:t>日办理工商注 销登记手续，款项无法收回，公司将其列为坏账进行核销。</w:t>
      </w:r>
    </w:p>
    <w:p>
      <w:pPr>
        <w:pStyle w:val="BodyText"/>
        <w:spacing w:line="436" w:lineRule="auto" w:before="74"/>
        <w:ind w:left="250" w:right="116" w:firstLine="420"/>
        <w:jc w:val="left"/>
      </w:pPr>
      <w:r>
        <w:rPr/>
        <w:t>新时代酒楼的其他应收款为本公司子公司深圳市龙岗鸿基房地产开发有限公司的其他应收款 项，账龄为</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年以上，新时代酒楼已经倒闭，收回机会渺茫，公司将其列为坏账进行核销。</w:t>
      </w:r>
    </w:p>
    <w:p>
      <w:pPr>
        <w:spacing w:after="0" w:line="436" w:lineRule="auto"/>
        <w:jc w:val="left"/>
        <w:sectPr>
          <w:pgSz w:w="11900" w:h="16840"/>
          <w:pgMar w:header="0" w:footer="982" w:top="1060" w:bottom="1180" w:left="1620" w:right="900"/>
        </w:sectPr>
      </w:pPr>
    </w:p>
    <w:p>
      <w:pPr>
        <w:spacing w:line="240" w:lineRule="auto" w:before="8"/>
        <w:rPr>
          <w:rFonts w:ascii="宋体" w:hAnsi="宋体" w:cs="宋体" w:eastAsia="宋体" w:hint="default"/>
          <w:sz w:val="11"/>
          <w:szCs w:val="11"/>
        </w:rPr>
      </w:pPr>
    </w:p>
    <w:p>
      <w:pPr>
        <w:pStyle w:val="BodyText"/>
        <w:spacing w:line="240" w:lineRule="auto" w:before="35"/>
        <w:ind w:left="250" w:right="116"/>
        <w:jc w:val="left"/>
      </w:pPr>
      <w:r>
        <w:rPr/>
        <w:t>（</w:t>
      </w:r>
      <w:r>
        <w:rPr>
          <w:rFonts w:ascii="Times New Roman" w:hAnsi="Times New Roman" w:cs="Times New Roman" w:eastAsia="Times New Roman" w:hint="default"/>
        </w:rPr>
        <w:t>6</w:t>
      </w:r>
      <w:r>
        <w:rPr/>
        <w:t>）期末其他应收款中无持有本公司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pStyle w:val="BodyText"/>
        <w:spacing w:line="240" w:lineRule="auto"/>
        <w:ind w:left="250" w:right="116"/>
        <w:jc w:val="left"/>
      </w:pPr>
      <w:r>
        <w:rPr/>
        <w:t>（</w:t>
      </w:r>
      <w:r>
        <w:rPr>
          <w:rFonts w:ascii="Times New Roman" w:hAnsi="Times New Roman" w:cs="Times New Roman" w:eastAsia="Times New Roman" w:hint="default"/>
        </w:rPr>
        <w:t>7</w:t>
      </w:r>
      <w:r>
        <w:rPr/>
        <w:t>）应收关联方款项</w:t>
      </w:r>
    </w:p>
    <w:p>
      <w:pPr>
        <w:pStyle w:val="BodyText"/>
        <w:tabs>
          <w:tab w:pos="1049" w:val="left" w:leader="none"/>
        </w:tabs>
        <w:spacing w:line="240" w:lineRule="auto" w:before="189"/>
        <w:ind w:left="0" w:right="225"/>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933"/>
        <w:gridCol w:w="3314"/>
        <w:gridCol w:w="1403"/>
        <w:gridCol w:w="1482"/>
      </w:tblGrid>
      <w:tr>
        <w:trPr>
          <w:trHeight w:val="727" w:hRule="exact"/>
        </w:trPr>
        <w:tc>
          <w:tcPr>
            <w:tcW w:w="293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8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36" w:right="109" w:hanging="13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 额的比例</w:t>
            </w:r>
            <w:r>
              <w:rPr>
                <w:rFonts w:ascii="Times New Roman" w:hAnsi="Times New Roman" w:cs="Times New Roman" w:eastAsia="Times New Roman" w:hint="default"/>
                <w:sz w:val="18"/>
                <w:szCs w:val="18"/>
              </w:rPr>
              <w:t>(%)</w:t>
            </w:r>
          </w:p>
        </w:tc>
      </w:tr>
      <w:tr>
        <w:trPr>
          <w:trHeight w:val="1194" w:hRule="exact"/>
        </w:trPr>
        <w:tc>
          <w:tcPr>
            <w:tcW w:w="2933"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深圳市赛德隆投资发展有限公司</w:t>
            </w:r>
          </w:p>
        </w:tc>
        <w:tc>
          <w:tcPr>
            <w:tcW w:w="33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28" w:lineRule="auto"/>
              <w:ind w:left="98" w:right="95"/>
              <w:jc w:val="both"/>
              <w:rPr>
                <w:rFonts w:ascii="宋体" w:hAnsi="宋体" w:cs="宋体" w:eastAsia="宋体" w:hint="default"/>
                <w:sz w:val="18"/>
                <w:szCs w:val="18"/>
              </w:rPr>
            </w:pPr>
            <w:r>
              <w:rPr>
                <w:rFonts w:ascii="宋体" w:hAnsi="宋体" w:cs="宋体" w:eastAsia="宋体" w:hint="default"/>
                <w:sz w:val="18"/>
                <w:szCs w:val="18"/>
              </w:rPr>
              <w:t>拥有本公司控股子公司深圳市凯方实业 发展有限公司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股权及控股子公司西 安新鸿业投资发展有限公司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33.50%</w:t>
            </w:r>
            <w:r>
              <w:rPr>
                <w:rFonts w:ascii="宋体" w:hAnsi="宋体" w:cs="宋体" w:eastAsia="宋体" w:hint="default"/>
                <w:sz w:val="18"/>
                <w:szCs w:val="18"/>
              </w:rPr>
              <w:t>股权 的股东</w:t>
            </w:r>
          </w:p>
        </w:tc>
        <w:tc>
          <w:tcPr>
            <w:tcW w:w="1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47,438,461.73</w:t>
            </w:r>
          </w:p>
        </w:tc>
        <w:tc>
          <w:tcPr>
            <w:tcW w:w="1482"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8"/>
              <w:jc w:val="center"/>
              <w:rPr>
                <w:rFonts w:ascii="Times New Roman" w:hAnsi="Times New Roman" w:cs="Times New Roman" w:eastAsia="Times New Roman" w:hint="default"/>
                <w:sz w:val="18"/>
                <w:szCs w:val="18"/>
              </w:rPr>
            </w:pPr>
            <w:r>
              <w:rPr>
                <w:rFonts w:ascii="Times New Roman"/>
                <w:sz w:val="18"/>
              </w:rPr>
              <w:t>14.57%</w:t>
            </w:r>
          </w:p>
        </w:tc>
      </w:tr>
      <w:tr>
        <w:trPr>
          <w:trHeight w:val="960" w:hRule="exact"/>
        </w:trPr>
        <w:tc>
          <w:tcPr>
            <w:tcW w:w="2933"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正中置业集团有限公司</w:t>
            </w:r>
          </w:p>
        </w:tc>
        <w:tc>
          <w:tcPr>
            <w:tcW w:w="33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1" w:lineRule="exact"/>
              <w:ind w:left="98" w:right="0"/>
              <w:jc w:val="left"/>
              <w:rPr>
                <w:rFonts w:ascii="宋体" w:hAnsi="宋体" w:cs="宋体" w:eastAsia="宋体" w:hint="default"/>
                <w:sz w:val="18"/>
                <w:szCs w:val="18"/>
              </w:rPr>
            </w:pPr>
            <w:r>
              <w:rPr>
                <w:rFonts w:ascii="宋体" w:hAnsi="宋体" w:cs="宋体" w:eastAsia="宋体" w:hint="default"/>
                <w:sz w:val="18"/>
                <w:szCs w:val="18"/>
              </w:rPr>
              <w:t>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2.21</w:t>
            </w:r>
            <w:r>
              <w:rPr>
                <w:rFonts w:ascii="宋体" w:hAnsi="宋体" w:cs="宋体" w:eastAsia="宋体" w:hint="default"/>
                <w:sz w:val="18"/>
                <w:szCs w:val="18"/>
              </w:rPr>
              <w:t>％股份的第三大股东</w:t>
            </w:r>
          </w:p>
          <w:p>
            <w:pPr>
              <w:pStyle w:val="TableParagraph"/>
              <w:spacing w:line="234" w:lineRule="exact" w:before="15"/>
              <w:ind w:left="98" w:right="13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深圳市正中投资发展有限公司之控 股企业</w:t>
            </w:r>
          </w:p>
        </w:tc>
        <w:tc>
          <w:tcPr>
            <w:tcW w:w="1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15,020,889.67</w:t>
            </w:r>
          </w:p>
        </w:tc>
        <w:tc>
          <w:tcPr>
            <w:tcW w:w="1482"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4.61%</w:t>
            </w:r>
          </w:p>
        </w:tc>
      </w:tr>
      <w:tr>
        <w:trPr>
          <w:trHeight w:val="493" w:hRule="exact"/>
        </w:trPr>
        <w:tc>
          <w:tcPr>
            <w:tcW w:w="293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深圳市鸿基广源贸易有限公司</w:t>
            </w:r>
          </w:p>
        </w:tc>
        <w:tc>
          <w:tcPr>
            <w:tcW w:w="33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已进入清算程序的子公司</w:t>
            </w:r>
          </w:p>
        </w:tc>
        <w:tc>
          <w:tcPr>
            <w:tcW w:w="1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3,260,739.46</w:t>
            </w:r>
          </w:p>
        </w:tc>
        <w:tc>
          <w:tcPr>
            <w:tcW w:w="148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1.00%</w:t>
            </w:r>
          </w:p>
        </w:tc>
      </w:tr>
      <w:tr>
        <w:trPr>
          <w:trHeight w:val="727" w:hRule="exact"/>
        </w:trPr>
        <w:tc>
          <w:tcPr>
            <w:tcW w:w="293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深圳市鸿丰酒店管理有限公司</w:t>
            </w:r>
          </w:p>
        </w:tc>
        <w:tc>
          <w:tcPr>
            <w:tcW w:w="33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8" w:right="134"/>
              <w:jc w:val="left"/>
              <w:rPr>
                <w:rFonts w:ascii="宋体" w:hAnsi="宋体" w:cs="宋体" w:eastAsia="宋体" w:hint="default"/>
                <w:sz w:val="18"/>
                <w:szCs w:val="18"/>
              </w:rPr>
            </w:pPr>
            <w:r>
              <w:rPr>
                <w:rFonts w:ascii="宋体" w:hAnsi="宋体" w:cs="宋体" w:eastAsia="宋体" w:hint="default"/>
                <w:sz w:val="18"/>
                <w:szCs w:val="18"/>
              </w:rPr>
              <w:t>本公司间接控股子公司深圳市鸿基酒店 管理有限公司之联营企业</w:t>
            </w:r>
          </w:p>
        </w:tc>
        <w:tc>
          <w:tcPr>
            <w:tcW w:w="1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7"/>
              <w:jc w:val="right"/>
              <w:rPr>
                <w:rFonts w:ascii="Times New Roman" w:hAnsi="Times New Roman" w:cs="Times New Roman" w:eastAsia="Times New Roman" w:hint="default"/>
                <w:sz w:val="18"/>
                <w:szCs w:val="18"/>
              </w:rPr>
            </w:pPr>
            <w:r>
              <w:rPr>
                <w:rFonts w:ascii="Times New Roman"/>
                <w:spacing w:val="-1"/>
                <w:sz w:val="18"/>
              </w:rPr>
              <w:t>1,601,164.27</w:t>
            </w:r>
          </w:p>
        </w:tc>
        <w:tc>
          <w:tcPr>
            <w:tcW w:w="1482"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
              <w:jc w:val="center"/>
              <w:rPr>
                <w:rFonts w:ascii="Times New Roman" w:hAnsi="Times New Roman" w:cs="Times New Roman" w:eastAsia="Times New Roman" w:hint="default"/>
                <w:sz w:val="18"/>
                <w:szCs w:val="18"/>
              </w:rPr>
            </w:pPr>
            <w:r>
              <w:rPr>
                <w:rFonts w:ascii="Times New Roman"/>
                <w:sz w:val="18"/>
              </w:rPr>
              <w:t>0.49%</w:t>
            </w:r>
          </w:p>
        </w:tc>
      </w:tr>
      <w:tr>
        <w:trPr>
          <w:trHeight w:val="726" w:hRule="exact"/>
        </w:trPr>
        <w:tc>
          <w:tcPr>
            <w:tcW w:w="293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深圳市泉源实业发展有限公司</w:t>
            </w:r>
          </w:p>
        </w:tc>
        <w:tc>
          <w:tcPr>
            <w:tcW w:w="33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ind w:left="98" w:right="134"/>
              <w:jc w:val="left"/>
              <w:rPr>
                <w:rFonts w:ascii="宋体" w:hAnsi="宋体" w:cs="宋体" w:eastAsia="宋体" w:hint="default"/>
                <w:sz w:val="18"/>
                <w:szCs w:val="18"/>
              </w:rPr>
            </w:pPr>
            <w:r>
              <w:rPr>
                <w:rFonts w:ascii="宋体" w:hAnsi="宋体" w:cs="宋体" w:eastAsia="宋体" w:hint="default"/>
                <w:sz w:val="18"/>
                <w:szCs w:val="18"/>
              </w:rPr>
              <w:t>子公司深圳市凯方实业发展有限公司之 联营企业</w:t>
            </w:r>
          </w:p>
        </w:tc>
        <w:tc>
          <w:tcPr>
            <w:tcW w:w="1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7"/>
              <w:jc w:val="right"/>
              <w:rPr>
                <w:rFonts w:ascii="Times New Roman" w:hAnsi="Times New Roman" w:cs="Times New Roman" w:eastAsia="Times New Roman" w:hint="default"/>
                <w:sz w:val="18"/>
                <w:szCs w:val="18"/>
              </w:rPr>
            </w:pPr>
            <w:r>
              <w:rPr>
                <w:rFonts w:ascii="Times New Roman"/>
                <w:spacing w:val="-1"/>
                <w:sz w:val="18"/>
              </w:rPr>
              <w:t>3,750,000.00</w:t>
            </w:r>
          </w:p>
        </w:tc>
        <w:tc>
          <w:tcPr>
            <w:tcW w:w="1482"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
              <w:jc w:val="center"/>
              <w:rPr>
                <w:rFonts w:ascii="Times New Roman" w:hAnsi="Times New Roman" w:cs="Times New Roman" w:eastAsia="Times New Roman" w:hint="default"/>
                <w:sz w:val="18"/>
                <w:szCs w:val="18"/>
              </w:rPr>
            </w:pPr>
            <w:r>
              <w:rPr>
                <w:rFonts w:ascii="Times New Roman"/>
                <w:sz w:val="18"/>
              </w:rPr>
              <w:t>1.15%</w:t>
            </w:r>
          </w:p>
        </w:tc>
      </w:tr>
      <w:tr>
        <w:trPr>
          <w:trHeight w:val="521" w:hRule="exact"/>
        </w:trPr>
        <w:tc>
          <w:tcPr>
            <w:tcW w:w="293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8" w:space="0" w:color="000000"/>
              <w:left w:val="single" w:sz="8" w:space="0" w:color="000000"/>
              <w:bottom w:val="single" w:sz="8" w:space="0" w:color="000000"/>
              <w:right w:val="single" w:sz="8" w:space="0" w:color="000000"/>
            </w:tcBorders>
          </w:tcPr>
          <w:p>
            <w:pPr/>
          </w:p>
        </w:tc>
        <w:tc>
          <w:tcPr>
            <w:tcW w:w="1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71,071,255.13</w:t>
            </w:r>
          </w:p>
        </w:tc>
        <w:tc>
          <w:tcPr>
            <w:tcW w:w="148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z w:val="18"/>
              </w:rPr>
              <w:t>21.82%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BodyText"/>
        <w:spacing w:line="240" w:lineRule="auto" w:before="35"/>
        <w:ind w:left="250" w:right="116"/>
        <w:jc w:val="left"/>
      </w:pPr>
      <w:r>
        <w:rPr>
          <w:rFonts w:ascii="Times New Roman" w:hAnsi="Times New Roman" w:cs="Times New Roman" w:eastAsia="Times New Roman" w:hint="default"/>
          <w:b/>
          <w:bCs/>
        </w:rPr>
        <w:t>5</w:t>
      </w:r>
      <w:r>
        <w:rPr/>
        <w:t>、预付款项</w:t>
      </w:r>
    </w:p>
    <w:p>
      <w:pPr>
        <w:spacing w:line="240" w:lineRule="auto" w:before="12"/>
        <w:rPr>
          <w:rFonts w:ascii="宋体" w:hAnsi="宋体" w:cs="宋体" w:eastAsia="宋体" w:hint="default"/>
          <w:sz w:val="15"/>
          <w:szCs w:val="15"/>
        </w:rPr>
      </w:pPr>
    </w:p>
    <w:p>
      <w:pPr>
        <w:pStyle w:val="BodyText"/>
        <w:spacing w:line="240" w:lineRule="auto"/>
        <w:ind w:left="250" w:right="116"/>
        <w:jc w:val="left"/>
      </w:pPr>
      <w:r>
        <w:rPr/>
        <w:t>（</w:t>
      </w:r>
      <w:r>
        <w:rPr>
          <w:rFonts w:ascii="Times New Roman" w:hAnsi="Times New Roman" w:cs="Times New Roman" w:eastAsia="Times New Roman" w:hint="default"/>
        </w:rPr>
        <w:t>1</w:t>
      </w:r>
      <w:r>
        <w:rPr/>
        <w:t>）预付款项按账龄列示</w:t>
      </w:r>
    </w:p>
    <w:p>
      <w:pPr>
        <w:spacing w:line="240" w:lineRule="auto" w:before="4"/>
        <w:rPr>
          <w:rFonts w:ascii="宋体" w:hAnsi="宋体" w:cs="宋体" w:eastAsia="宋体" w:hint="default"/>
          <w:sz w:val="13"/>
          <w:szCs w:val="13"/>
        </w:rPr>
      </w:pPr>
    </w:p>
    <w:p>
      <w:pPr>
        <w:pStyle w:val="BodyText"/>
        <w:tabs>
          <w:tab w:pos="1049" w:val="left" w:leader="none"/>
        </w:tabs>
        <w:spacing w:line="240" w:lineRule="auto" w:before="35"/>
        <w:ind w:left="0" w:right="225"/>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757"/>
        <w:gridCol w:w="1843"/>
        <w:gridCol w:w="1843"/>
        <w:gridCol w:w="1843"/>
        <w:gridCol w:w="1846"/>
      </w:tblGrid>
      <w:tr>
        <w:trPr>
          <w:trHeight w:val="510" w:hRule="exact"/>
        </w:trPr>
        <w:tc>
          <w:tcPr>
            <w:tcW w:w="175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6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68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0" w:hRule="exact"/>
        </w:trPr>
        <w:tc>
          <w:tcPr>
            <w:tcW w:w="1757" w:type="dxa"/>
            <w:vMerge/>
            <w:tcBorders>
              <w:left w:val="nil" w:sz="6" w:space="0" w:color="auto"/>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2"/>
              <w:ind w:right="5"/>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510" w:hRule="exact"/>
        </w:trPr>
        <w:tc>
          <w:tcPr>
            <w:tcW w:w="17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45,138,938.32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90.26%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16,382,323.30</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73.15%</w:t>
            </w:r>
          </w:p>
        </w:tc>
      </w:tr>
      <w:tr>
        <w:trPr>
          <w:trHeight w:val="510" w:hRule="exact"/>
        </w:trPr>
        <w:tc>
          <w:tcPr>
            <w:tcW w:w="17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1,973,083.04</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8.81%</w:t>
            </w:r>
          </w:p>
        </w:tc>
      </w:tr>
      <w:tr>
        <w:trPr>
          <w:trHeight w:val="510" w:hRule="exact"/>
        </w:trPr>
        <w:tc>
          <w:tcPr>
            <w:tcW w:w="17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569,590.04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1.14%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2,000,000.00</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8.93%</w:t>
            </w:r>
          </w:p>
        </w:tc>
      </w:tr>
      <w:tr>
        <w:trPr>
          <w:trHeight w:val="510" w:hRule="exact"/>
        </w:trPr>
        <w:tc>
          <w:tcPr>
            <w:tcW w:w="17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4.60%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2,040,797.00</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9.11%</w:t>
            </w:r>
          </w:p>
        </w:tc>
      </w:tr>
      <w:tr>
        <w:trPr>
          <w:trHeight w:val="511" w:hRule="exact"/>
        </w:trPr>
        <w:tc>
          <w:tcPr>
            <w:tcW w:w="17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50,008,528.36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22,396,203.34</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center"/>
        <w:rPr>
          <w:rFonts w:ascii="Times New Roman" w:hAnsi="Times New Roman" w:cs="Times New Roman" w:eastAsia="Times New Roman" w:hint="default"/>
          <w:sz w:val="21"/>
          <w:szCs w:val="21"/>
        </w:rPr>
        <w:sectPr>
          <w:pgSz w:w="11900" w:h="16840"/>
          <w:pgMar w:header="0" w:footer="982" w:top="1600" w:bottom="1180" w:left="1620" w:right="900"/>
        </w:sectPr>
      </w:pPr>
    </w:p>
    <w:p>
      <w:pPr>
        <w:pStyle w:val="BodyText"/>
        <w:spacing w:line="240" w:lineRule="auto" w:before="6"/>
        <w:ind w:left="250" w:right="116"/>
        <w:jc w:val="left"/>
      </w:pPr>
      <w:r>
        <w:rPr/>
        <w:t>（</w:t>
      </w:r>
      <w:r>
        <w:rPr>
          <w:rFonts w:ascii="Times New Roman" w:hAnsi="Times New Roman" w:cs="Times New Roman" w:eastAsia="Times New Roman" w:hint="default"/>
        </w:rPr>
        <w:t>2</w:t>
      </w:r>
      <w:r>
        <w:rPr/>
        <w:t>）预付款项金额前五名单位情况</w:t>
      </w:r>
    </w:p>
    <w:p>
      <w:pPr>
        <w:spacing w:line="240" w:lineRule="auto" w:before="4"/>
        <w:rPr>
          <w:rFonts w:ascii="宋体" w:hAnsi="宋体" w:cs="宋体" w:eastAsia="宋体" w:hint="default"/>
          <w:sz w:val="13"/>
          <w:szCs w:val="13"/>
        </w:rPr>
      </w:pPr>
    </w:p>
    <w:p>
      <w:pPr>
        <w:pStyle w:val="BodyText"/>
        <w:tabs>
          <w:tab w:pos="1049" w:val="left" w:leader="none"/>
        </w:tabs>
        <w:spacing w:line="240" w:lineRule="auto" w:before="35"/>
        <w:ind w:left="0" w:right="225"/>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786"/>
        <w:gridCol w:w="1462"/>
        <w:gridCol w:w="1295"/>
        <w:gridCol w:w="1330"/>
        <w:gridCol w:w="1260"/>
      </w:tblGrid>
      <w:tr>
        <w:trPr>
          <w:trHeight w:val="521" w:hRule="exact"/>
        </w:trPr>
        <w:tc>
          <w:tcPr>
            <w:tcW w:w="378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2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2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26" w:hRule="exact"/>
        </w:trPr>
        <w:tc>
          <w:tcPr>
            <w:tcW w:w="378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中国有色金属工业西安勘察院地基基础公司</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3" w:right="0"/>
              <w:jc w:val="center"/>
              <w:rPr>
                <w:rFonts w:ascii="Times New Roman" w:hAnsi="Times New Roman" w:cs="Times New Roman" w:eastAsia="Times New Roman" w:hint="default"/>
                <w:sz w:val="18"/>
                <w:szCs w:val="18"/>
              </w:rPr>
            </w:pPr>
            <w:r>
              <w:rPr>
                <w:rFonts w:ascii="Times New Roman"/>
                <w:sz w:val="18"/>
              </w:rPr>
              <w:t>10,000,000.00</w:t>
            </w:r>
          </w:p>
        </w:tc>
        <w:tc>
          <w:tcPr>
            <w:tcW w:w="1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60"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ind w:left="350" w:right="179" w:hanging="180"/>
              <w:jc w:val="left"/>
              <w:rPr>
                <w:rFonts w:ascii="宋体" w:hAnsi="宋体" w:cs="宋体" w:eastAsia="宋体" w:hint="default"/>
                <w:sz w:val="18"/>
                <w:szCs w:val="18"/>
              </w:rPr>
            </w:pPr>
            <w:r>
              <w:rPr>
                <w:rFonts w:ascii="宋体" w:hAnsi="宋体" w:cs="宋体" w:eastAsia="宋体" w:hint="default"/>
                <w:sz w:val="18"/>
                <w:szCs w:val="18"/>
              </w:rPr>
              <w:t>工程款未验 收决算</w:t>
            </w:r>
          </w:p>
        </w:tc>
      </w:tr>
      <w:tr>
        <w:trPr>
          <w:trHeight w:val="727" w:hRule="exact"/>
        </w:trPr>
        <w:tc>
          <w:tcPr>
            <w:tcW w:w="378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西安航达幕墙工程有限公司</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33" w:right="0"/>
              <w:jc w:val="center"/>
              <w:rPr>
                <w:rFonts w:ascii="Times New Roman" w:hAnsi="Times New Roman" w:cs="Times New Roman" w:eastAsia="Times New Roman" w:hint="default"/>
                <w:sz w:val="18"/>
                <w:szCs w:val="18"/>
              </w:rPr>
            </w:pPr>
            <w:r>
              <w:rPr>
                <w:rFonts w:ascii="Times New Roman"/>
                <w:sz w:val="18"/>
              </w:rPr>
              <w:t>4,739,999.95</w:t>
            </w:r>
          </w:p>
        </w:tc>
        <w:tc>
          <w:tcPr>
            <w:tcW w:w="1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50" w:right="179" w:hanging="180"/>
              <w:jc w:val="left"/>
              <w:rPr>
                <w:rFonts w:ascii="宋体" w:hAnsi="宋体" w:cs="宋体" w:eastAsia="宋体" w:hint="default"/>
                <w:sz w:val="18"/>
                <w:szCs w:val="18"/>
              </w:rPr>
            </w:pPr>
            <w:r>
              <w:rPr>
                <w:rFonts w:ascii="宋体" w:hAnsi="宋体" w:cs="宋体" w:eastAsia="宋体" w:hint="default"/>
                <w:sz w:val="18"/>
                <w:szCs w:val="18"/>
              </w:rPr>
              <w:t>工程款未验 收决算</w:t>
            </w:r>
          </w:p>
        </w:tc>
      </w:tr>
      <w:tr>
        <w:trPr>
          <w:trHeight w:val="727" w:hRule="exact"/>
        </w:trPr>
        <w:tc>
          <w:tcPr>
            <w:tcW w:w="378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陕西安立岩土基础工程有限公司</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33" w:right="0"/>
              <w:jc w:val="center"/>
              <w:rPr>
                <w:rFonts w:ascii="Times New Roman" w:hAnsi="Times New Roman" w:cs="Times New Roman" w:eastAsia="Times New Roman" w:hint="default"/>
                <w:sz w:val="18"/>
                <w:szCs w:val="18"/>
              </w:rPr>
            </w:pPr>
            <w:r>
              <w:rPr>
                <w:rFonts w:ascii="Times New Roman"/>
                <w:sz w:val="18"/>
              </w:rPr>
              <w:t>4,600,000.00</w:t>
            </w:r>
          </w:p>
        </w:tc>
        <w:tc>
          <w:tcPr>
            <w:tcW w:w="1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50" w:right="179" w:hanging="180"/>
              <w:jc w:val="left"/>
              <w:rPr>
                <w:rFonts w:ascii="宋体" w:hAnsi="宋体" w:cs="宋体" w:eastAsia="宋体" w:hint="default"/>
                <w:sz w:val="18"/>
                <w:szCs w:val="18"/>
              </w:rPr>
            </w:pPr>
            <w:r>
              <w:rPr>
                <w:rFonts w:ascii="宋体" w:hAnsi="宋体" w:cs="宋体" w:eastAsia="宋体" w:hint="default"/>
                <w:sz w:val="18"/>
                <w:szCs w:val="18"/>
              </w:rPr>
              <w:t>工程款未验 收决算</w:t>
            </w:r>
          </w:p>
        </w:tc>
      </w:tr>
      <w:tr>
        <w:trPr>
          <w:trHeight w:val="727" w:hRule="exact"/>
        </w:trPr>
        <w:tc>
          <w:tcPr>
            <w:tcW w:w="378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深圳市嘉润洲园林装饰工程有限公司</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33" w:right="0"/>
              <w:jc w:val="center"/>
              <w:rPr>
                <w:rFonts w:ascii="Times New Roman" w:hAnsi="Times New Roman" w:cs="Times New Roman" w:eastAsia="Times New Roman" w:hint="default"/>
                <w:sz w:val="18"/>
                <w:szCs w:val="18"/>
              </w:rPr>
            </w:pPr>
            <w:r>
              <w:rPr>
                <w:rFonts w:ascii="Times New Roman"/>
                <w:sz w:val="18"/>
              </w:rPr>
              <w:t>3,500,000.00</w:t>
            </w:r>
          </w:p>
        </w:tc>
        <w:tc>
          <w:tcPr>
            <w:tcW w:w="1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60"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ind w:left="350" w:right="179" w:hanging="180"/>
              <w:jc w:val="left"/>
              <w:rPr>
                <w:rFonts w:ascii="宋体" w:hAnsi="宋体" w:cs="宋体" w:eastAsia="宋体" w:hint="default"/>
                <w:sz w:val="18"/>
                <w:szCs w:val="18"/>
              </w:rPr>
            </w:pPr>
            <w:r>
              <w:rPr>
                <w:rFonts w:ascii="宋体" w:hAnsi="宋体" w:cs="宋体" w:eastAsia="宋体" w:hint="default"/>
                <w:sz w:val="18"/>
                <w:szCs w:val="18"/>
              </w:rPr>
              <w:t>工程款未验 收决算</w:t>
            </w:r>
          </w:p>
        </w:tc>
      </w:tr>
      <w:tr>
        <w:trPr>
          <w:trHeight w:val="726" w:hRule="exact"/>
        </w:trPr>
        <w:tc>
          <w:tcPr>
            <w:tcW w:w="378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中国有色金属工业西安岩土工程公司</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33" w:right="0"/>
              <w:jc w:val="center"/>
              <w:rPr>
                <w:rFonts w:ascii="Times New Roman" w:hAnsi="Times New Roman" w:cs="Times New Roman" w:eastAsia="Times New Roman" w:hint="default"/>
                <w:sz w:val="18"/>
                <w:szCs w:val="18"/>
              </w:rPr>
            </w:pPr>
            <w:r>
              <w:rPr>
                <w:rFonts w:ascii="Times New Roman"/>
                <w:sz w:val="18"/>
              </w:rPr>
              <w:t>3,000,000.00</w:t>
            </w:r>
          </w:p>
        </w:tc>
        <w:tc>
          <w:tcPr>
            <w:tcW w:w="1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60"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ind w:left="350" w:right="179" w:hanging="180"/>
              <w:jc w:val="left"/>
              <w:rPr>
                <w:rFonts w:ascii="宋体" w:hAnsi="宋体" w:cs="宋体" w:eastAsia="宋体" w:hint="default"/>
                <w:sz w:val="18"/>
                <w:szCs w:val="18"/>
              </w:rPr>
            </w:pPr>
            <w:r>
              <w:rPr>
                <w:rFonts w:ascii="宋体" w:hAnsi="宋体" w:cs="宋体" w:eastAsia="宋体" w:hint="default"/>
                <w:sz w:val="18"/>
                <w:szCs w:val="18"/>
              </w:rPr>
              <w:t>工程款未验 收决算</w:t>
            </w:r>
          </w:p>
        </w:tc>
      </w:tr>
      <w:tr>
        <w:trPr>
          <w:trHeight w:val="521" w:hRule="exact"/>
        </w:trPr>
        <w:tc>
          <w:tcPr>
            <w:tcW w:w="378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8" w:space="0" w:color="000000"/>
              <w:left w:val="single" w:sz="8" w:space="0" w:color="000000"/>
              <w:bottom w:val="single" w:sz="8" w:space="0" w:color="000000"/>
              <w:right w:val="single" w:sz="8" w:space="0" w:color="000000"/>
            </w:tcBorders>
          </w:tcPr>
          <w:p>
            <w:pPr/>
          </w:p>
        </w:tc>
        <w:tc>
          <w:tcPr>
            <w:tcW w:w="12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25,839,999.95</w:t>
            </w:r>
          </w:p>
        </w:tc>
        <w:tc>
          <w:tcPr>
            <w:tcW w:w="133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35"/>
        <w:ind w:left="250" w:right="116"/>
        <w:jc w:val="left"/>
      </w:pPr>
      <w:r>
        <w:rPr/>
        <w:t>（</w:t>
      </w:r>
      <w:r>
        <w:rPr>
          <w:rFonts w:ascii="Times New Roman" w:hAnsi="Times New Roman" w:cs="Times New Roman" w:eastAsia="Times New Roman" w:hint="default"/>
        </w:rPr>
        <w:t>3</w:t>
      </w:r>
      <w:r>
        <w:rPr/>
        <w:t>）期末预付款项中无持有本公司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以上表决权股份的股东单位及其他关联方的款项。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6"/>
          <w:szCs w:val="16"/>
        </w:rPr>
      </w:pPr>
    </w:p>
    <w:p>
      <w:pPr>
        <w:spacing w:before="0"/>
        <w:ind w:left="250" w:right="11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sz w:val="21"/>
          <w:szCs w:val="21"/>
        </w:rPr>
        <w:t>、存货</w:t>
      </w:r>
    </w:p>
    <w:p>
      <w:pPr>
        <w:spacing w:line="240" w:lineRule="auto" w:before="1"/>
        <w:rPr>
          <w:rFonts w:ascii="宋体" w:hAnsi="宋体" w:cs="宋体" w:eastAsia="宋体" w:hint="default"/>
          <w:sz w:val="19"/>
          <w:szCs w:val="19"/>
        </w:rPr>
      </w:pPr>
    </w:p>
    <w:p>
      <w:pPr>
        <w:pStyle w:val="BodyText"/>
        <w:spacing w:line="240" w:lineRule="auto"/>
        <w:ind w:left="250" w:right="116"/>
        <w:jc w:val="left"/>
      </w:pPr>
      <w:r>
        <w:rPr/>
        <w:t>（</w:t>
      </w:r>
      <w:r>
        <w:rPr>
          <w:rFonts w:ascii="Times New Roman" w:hAnsi="Times New Roman" w:cs="Times New Roman" w:eastAsia="Times New Roman" w:hint="default"/>
        </w:rPr>
        <w:t>1</w:t>
      </w:r>
      <w:r>
        <w:rPr/>
        <w:t>）存货分类</w:t>
      </w:r>
    </w:p>
    <w:p>
      <w:pPr>
        <w:spacing w:line="240" w:lineRule="auto" w:before="1"/>
        <w:rPr>
          <w:rFonts w:ascii="宋体" w:hAnsi="宋体" w:cs="宋体" w:eastAsia="宋体" w:hint="default"/>
          <w:sz w:val="19"/>
          <w:szCs w:val="19"/>
        </w:rPr>
      </w:pPr>
    </w:p>
    <w:p>
      <w:pPr>
        <w:pStyle w:val="BodyText"/>
        <w:tabs>
          <w:tab w:pos="1049" w:val="left" w:leader="none"/>
        </w:tabs>
        <w:spacing w:line="240" w:lineRule="auto"/>
        <w:ind w:left="0" w:right="225"/>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389"/>
        <w:gridCol w:w="2222"/>
        <w:gridCol w:w="2222"/>
        <w:gridCol w:w="2220"/>
      </w:tblGrid>
      <w:tr>
        <w:trPr>
          <w:trHeight w:val="551" w:hRule="exact"/>
        </w:trPr>
        <w:tc>
          <w:tcPr>
            <w:tcW w:w="238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66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550" w:hRule="exact"/>
        </w:trPr>
        <w:tc>
          <w:tcPr>
            <w:tcW w:w="2389" w:type="dxa"/>
            <w:vMerge/>
            <w:tcBorders>
              <w:left w:val="nil" w:sz="6" w:space="0" w:color="auto"/>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86"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8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0"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2,855,887.93</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89"/>
              <w:jc w:val="right"/>
              <w:rPr>
                <w:rFonts w:ascii="Times New Roman" w:hAnsi="Times New Roman" w:cs="Times New Roman" w:eastAsia="Times New Roman" w:hint="default"/>
                <w:sz w:val="21"/>
                <w:szCs w:val="21"/>
              </w:rPr>
            </w:pPr>
            <w:r>
              <w:rPr>
                <w:rFonts w:ascii="Times New Roman"/>
                <w:sz w:val="21"/>
              </w:rPr>
              <w:t>-</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2,855,887.93</w:t>
            </w:r>
          </w:p>
        </w:tc>
      </w:tr>
      <w:tr>
        <w:trPr>
          <w:trHeight w:val="551"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15,195.00</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89"/>
              <w:jc w:val="right"/>
              <w:rPr>
                <w:rFonts w:ascii="Times New Roman" w:hAnsi="Times New Roman" w:cs="Times New Roman" w:eastAsia="Times New Roman" w:hint="default"/>
                <w:sz w:val="21"/>
                <w:szCs w:val="21"/>
              </w:rPr>
            </w:pPr>
            <w:r>
              <w:rPr>
                <w:rFonts w:ascii="Times New Roman"/>
                <w:sz w:val="21"/>
              </w:rPr>
              <w:t>-</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15,195.00</w:t>
            </w:r>
          </w:p>
        </w:tc>
      </w:tr>
      <w:tr>
        <w:trPr>
          <w:trHeight w:val="550"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48,190,097.99</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26"/>
              <w:jc w:val="right"/>
              <w:rPr>
                <w:rFonts w:ascii="Times New Roman" w:hAnsi="Times New Roman" w:cs="Times New Roman" w:eastAsia="Times New Roman" w:hint="default"/>
                <w:sz w:val="21"/>
                <w:szCs w:val="21"/>
              </w:rPr>
            </w:pPr>
            <w:r>
              <w:rPr>
                <w:rFonts w:ascii="Times New Roman"/>
                <w:spacing w:val="-1"/>
                <w:sz w:val="21"/>
              </w:rPr>
              <w:t>630,786.93</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47,559,311.06</w:t>
            </w:r>
          </w:p>
        </w:tc>
      </w:tr>
      <w:tr>
        <w:trPr>
          <w:trHeight w:val="550"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在建开发成本①</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1,215,920,885.40</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26"/>
              <w:jc w:val="right"/>
              <w:rPr>
                <w:rFonts w:ascii="Times New Roman" w:hAnsi="Times New Roman" w:cs="Times New Roman" w:eastAsia="Times New Roman" w:hint="default"/>
                <w:sz w:val="21"/>
                <w:szCs w:val="21"/>
              </w:rPr>
            </w:pPr>
            <w:r>
              <w:rPr>
                <w:rFonts w:ascii="Times New Roman"/>
                <w:spacing w:val="-1"/>
                <w:sz w:val="21"/>
              </w:rPr>
              <w:t>3,847,089.00</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1,212,073,796.40</w:t>
            </w:r>
          </w:p>
        </w:tc>
      </w:tr>
      <w:tr>
        <w:trPr>
          <w:trHeight w:val="551"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其中：利息资本化</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21,163,176.93</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89"/>
              <w:jc w:val="right"/>
              <w:rPr>
                <w:rFonts w:ascii="Times New Roman" w:hAnsi="Times New Roman" w:cs="Times New Roman" w:eastAsia="Times New Roman" w:hint="default"/>
                <w:sz w:val="21"/>
                <w:szCs w:val="21"/>
              </w:rPr>
            </w:pPr>
            <w:r>
              <w:rPr>
                <w:rFonts w:ascii="Times New Roman"/>
                <w:sz w:val="21"/>
              </w:rPr>
              <w:t>-</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21,163,176.93</w:t>
            </w:r>
          </w:p>
        </w:tc>
      </w:tr>
      <w:tr>
        <w:trPr>
          <w:trHeight w:val="550"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tabs>
                <w:tab w:pos="647" w:val="left" w:leader="none"/>
              </w:tabs>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1,266,982,066.32</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26"/>
              <w:jc w:val="right"/>
              <w:rPr>
                <w:rFonts w:ascii="Times New Roman" w:hAnsi="Times New Roman" w:cs="Times New Roman" w:eastAsia="Times New Roman" w:hint="default"/>
                <w:sz w:val="21"/>
                <w:szCs w:val="21"/>
              </w:rPr>
            </w:pPr>
            <w:r>
              <w:rPr>
                <w:rFonts w:ascii="Times New Roman"/>
                <w:spacing w:val="-1"/>
                <w:sz w:val="21"/>
              </w:rPr>
              <w:t>4,477,875.93</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1,262,504,190.39</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982" w:top="1320" w:bottom="1180" w:left="1620" w:right="900"/>
        </w:sectPr>
      </w:pPr>
    </w:p>
    <w:p>
      <w:pPr>
        <w:spacing w:line="240" w:lineRule="auto" w:before="9"/>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2382"/>
        <w:gridCol w:w="2215"/>
        <w:gridCol w:w="2243"/>
        <w:gridCol w:w="2214"/>
      </w:tblGrid>
      <w:tr>
        <w:trPr>
          <w:trHeight w:val="520" w:hRule="exact"/>
        </w:trPr>
        <w:tc>
          <w:tcPr>
            <w:tcW w:w="2382" w:type="dxa"/>
            <w:vMerge w:val="restart"/>
            <w:tcBorders>
              <w:top w:val="single" w:sz="8"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672" w:type="dxa"/>
            <w:gridSpan w:val="3"/>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21" w:hRule="exact"/>
        </w:trPr>
        <w:tc>
          <w:tcPr>
            <w:tcW w:w="2382" w:type="dxa"/>
            <w:vMerge/>
            <w:tcBorders>
              <w:left w:val="nil" w:sz="6" w:space="0" w:color="auto"/>
              <w:bottom w:val="single" w:sz="8" w:space="0" w:color="000000"/>
              <w:right w:val="single" w:sz="8" w:space="0" w:color="000000"/>
            </w:tcBorders>
          </w:tcPr>
          <w:p>
            <w:pPr/>
          </w:p>
        </w:tc>
        <w:tc>
          <w:tcPr>
            <w:tcW w:w="22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7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91"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221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7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20" w:hRule="exact"/>
        </w:trPr>
        <w:tc>
          <w:tcPr>
            <w:tcW w:w="23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2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3,592,373.51</w:t>
            </w:r>
          </w:p>
        </w:tc>
        <w:tc>
          <w:tcPr>
            <w:tcW w:w="2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60"/>
              <w:jc w:val="right"/>
              <w:rPr>
                <w:rFonts w:ascii="Times New Roman" w:hAnsi="Times New Roman" w:cs="Times New Roman" w:eastAsia="Times New Roman" w:hint="default"/>
                <w:sz w:val="21"/>
                <w:szCs w:val="21"/>
              </w:rPr>
            </w:pPr>
            <w:r>
              <w:rPr>
                <w:rFonts w:ascii="Times New Roman"/>
                <w:sz w:val="21"/>
              </w:rPr>
              <w:t>-</w:t>
            </w:r>
          </w:p>
        </w:tc>
        <w:tc>
          <w:tcPr>
            <w:tcW w:w="221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3,592,373.51</w:t>
            </w:r>
          </w:p>
        </w:tc>
      </w:tr>
      <w:tr>
        <w:trPr>
          <w:trHeight w:val="520" w:hRule="exact"/>
        </w:trPr>
        <w:tc>
          <w:tcPr>
            <w:tcW w:w="23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22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17,269.00</w:t>
            </w:r>
          </w:p>
        </w:tc>
        <w:tc>
          <w:tcPr>
            <w:tcW w:w="2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60"/>
              <w:jc w:val="right"/>
              <w:rPr>
                <w:rFonts w:ascii="Times New Roman" w:hAnsi="Times New Roman" w:cs="Times New Roman" w:eastAsia="Times New Roman" w:hint="default"/>
                <w:sz w:val="21"/>
                <w:szCs w:val="21"/>
              </w:rPr>
            </w:pPr>
            <w:r>
              <w:rPr>
                <w:rFonts w:ascii="Times New Roman"/>
                <w:sz w:val="21"/>
              </w:rPr>
              <w:t>-</w:t>
            </w:r>
          </w:p>
        </w:tc>
        <w:tc>
          <w:tcPr>
            <w:tcW w:w="221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17,269.00</w:t>
            </w:r>
          </w:p>
        </w:tc>
      </w:tr>
      <w:tr>
        <w:trPr>
          <w:trHeight w:val="521" w:hRule="exact"/>
        </w:trPr>
        <w:tc>
          <w:tcPr>
            <w:tcW w:w="23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2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4,559,308.94</w:t>
            </w:r>
          </w:p>
        </w:tc>
        <w:tc>
          <w:tcPr>
            <w:tcW w:w="2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630,786.93</w:t>
            </w:r>
          </w:p>
        </w:tc>
        <w:tc>
          <w:tcPr>
            <w:tcW w:w="221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3,928,522.01</w:t>
            </w:r>
          </w:p>
        </w:tc>
      </w:tr>
      <w:tr>
        <w:trPr>
          <w:trHeight w:val="520" w:hRule="exact"/>
        </w:trPr>
        <w:tc>
          <w:tcPr>
            <w:tcW w:w="23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在建开发成本①</w:t>
            </w:r>
          </w:p>
        </w:tc>
        <w:tc>
          <w:tcPr>
            <w:tcW w:w="22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939,792,425.44</w:t>
            </w:r>
          </w:p>
        </w:tc>
        <w:tc>
          <w:tcPr>
            <w:tcW w:w="2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3,847,089.00</w:t>
            </w:r>
          </w:p>
        </w:tc>
        <w:tc>
          <w:tcPr>
            <w:tcW w:w="221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935,945,336.44</w:t>
            </w:r>
          </w:p>
        </w:tc>
      </w:tr>
      <w:tr>
        <w:trPr>
          <w:trHeight w:val="520" w:hRule="exact"/>
        </w:trPr>
        <w:tc>
          <w:tcPr>
            <w:tcW w:w="23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其中：利息资本化</w:t>
            </w:r>
          </w:p>
        </w:tc>
        <w:tc>
          <w:tcPr>
            <w:tcW w:w="22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17,998,656.90</w:t>
            </w:r>
          </w:p>
        </w:tc>
        <w:tc>
          <w:tcPr>
            <w:tcW w:w="2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60"/>
              <w:jc w:val="right"/>
              <w:rPr>
                <w:rFonts w:ascii="Times New Roman" w:hAnsi="Times New Roman" w:cs="Times New Roman" w:eastAsia="Times New Roman" w:hint="default"/>
                <w:sz w:val="21"/>
                <w:szCs w:val="21"/>
              </w:rPr>
            </w:pPr>
            <w:r>
              <w:rPr>
                <w:rFonts w:ascii="Times New Roman"/>
                <w:sz w:val="21"/>
              </w:rPr>
              <w:t>-</w:t>
            </w:r>
          </w:p>
        </w:tc>
        <w:tc>
          <w:tcPr>
            <w:tcW w:w="221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17,998,656.90</w:t>
            </w:r>
          </w:p>
        </w:tc>
      </w:tr>
      <w:tr>
        <w:trPr>
          <w:trHeight w:val="521" w:hRule="exact"/>
        </w:trPr>
        <w:tc>
          <w:tcPr>
            <w:tcW w:w="23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647" w:val="left" w:leader="none"/>
              </w:tabs>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947,961,376.89</w:t>
            </w:r>
          </w:p>
        </w:tc>
        <w:tc>
          <w:tcPr>
            <w:tcW w:w="2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4,477,875.93</w:t>
            </w:r>
          </w:p>
        </w:tc>
        <w:tc>
          <w:tcPr>
            <w:tcW w:w="221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943,483,500.96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250" w:right="116"/>
        <w:jc w:val="left"/>
      </w:pPr>
      <w:r>
        <w:rPr/>
        <w:t>①在建开发成本</w:t>
      </w:r>
    </w:p>
    <w:p>
      <w:pPr>
        <w:spacing w:line="240" w:lineRule="auto" w:before="7"/>
        <w:rPr>
          <w:rFonts w:ascii="宋体" w:hAnsi="宋体" w:cs="宋体" w:eastAsia="宋体" w:hint="default"/>
          <w:sz w:val="14"/>
          <w:szCs w:val="14"/>
        </w:rPr>
      </w:pPr>
    </w:p>
    <w:p>
      <w:pPr>
        <w:pStyle w:val="BodyText"/>
        <w:tabs>
          <w:tab w:pos="1049" w:val="left" w:leader="none"/>
        </w:tabs>
        <w:spacing w:line="240" w:lineRule="auto" w:before="35"/>
        <w:ind w:left="0" w:right="225"/>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256"/>
        <w:gridCol w:w="1316"/>
        <w:gridCol w:w="1096"/>
        <w:gridCol w:w="1200"/>
        <w:gridCol w:w="1202"/>
        <w:gridCol w:w="841"/>
        <w:gridCol w:w="1079"/>
        <w:gridCol w:w="1063"/>
      </w:tblGrid>
      <w:tr>
        <w:trPr>
          <w:trHeight w:val="510" w:hRule="exact"/>
        </w:trPr>
        <w:tc>
          <w:tcPr>
            <w:tcW w:w="125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34"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2009-12-31</w:t>
            </w:r>
          </w:p>
        </w:tc>
        <w:tc>
          <w:tcPr>
            <w:tcW w:w="2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2008-12-31</w:t>
            </w:r>
          </w:p>
        </w:tc>
        <w:tc>
          <w:tcPr>
            <w:tcW w:w="8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开工时间</w:t>
            </w:r>
          </w:p>
        </w:tc>
        <w:tc>
          <w:tcPr>
            <w:tcW w:w="10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6" w:right="0"/>
              <w:jc w:val="left"/>
              <w:rPr>
                <w:rFonts w:ascii="宋体" w:hAnsi="宋体" w:cs="宋体" w:eastAsia="宋体" w:hint="default"/>
                <w:sz w:val="15"/>
                <w:szCs w:val="15"/>
              </w:rPr>
            </w:pPr>
            <w:r>
              <w:rPr>
                <w:rFonts w:ascii="宋体" w:hAnsi="宋体" w:cs="宋体" w:eastAsia="宋体" w:hint="default"/>
                <w:sz w:val="15"/>
                <w:szCs w:val="15"/>
              </w:rPr>
              <w:t>预计竣工时间</w:t>
            </w:r>
          </w:p>
        </w:tc>
        <w:tc>
          <w:tcPr>
            <w:tcW w:w="1063"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5"/>
                <w:szCs w:val="15"/>
              </w:rPr>
            </w:pPr>
            <w:r>
              <w:rPr>
                <w:rFonts w:ascii="宋体" w:hAnsi="宋体" w:cs="宋体" w:eastAsia="宋体" w:hint="default"/>
                <w:sz w:val="15"/>
                <w:szCs w:val="15"/>
              </w:rPr>
              <w:t>预计总投资</w:t>
            </w:r>
          </w:p>
        </w:tc>
      </w:tr>
      <w:tr>
        <w:trPr>
          <w:trHeight w:val="510" w:hRule="exact"/>
        </w:trPr>
        <w:tc>
          <w:tcPr>
            <w:tcW w:w="1256" w:type="dxa"/>
            <w:vMerge/>
            <w:tcBorders>
              <w:left w:val="nil" w:sz="6" w:space="0" w:color="auto"/>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242" w:right="0"/>
              <w:jc w:val="left"/>
              <w:rPr>
                <w:rFonts w:ascii="宋体" w:hAnsi="宋体" w:cs="宋体" w:eastAsia="宋体" w:hint="default"/>
                <w:sz w:val="15"/>
                <w:szCs w:val="15"/>
              </w:rPr>
            </w:pPr>
            <w:r>
              <w:rPr>
                <w:rFonts w:ascii="宋体" w:hAnsi="宋体" w:cs="宋体" w:eastAsia="宋体" w:hint="default"/>
                <w:sz w:val="15"/>
                <w:szCs w:val="15"/>
              </w:rPr>
              <w:t>跌价准备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296" w:right="0"/>
              <w:jc w:val="left"/>
              <w:rPr>
                <w:rFonts w:ascii="宋体" w:hAnsi="宋体" w:cs="宋体" w:eastAsia="宋体" w:hint="default"/>
                <w:sz w:val="15"/>
                <w:szCs w:val="15"/>
              </w:rPr>
            </w:pPr>
            <w:r>
              <w:rPr>
                <w:rFonts w:ascii="宋体" w:hAnsi="宋体" w:cs="宋体" w:eastAsia="宋体" w:hint="default"/>
                <w:sz w:val="15"/>
                <w:szCs w:val="15"/>
              </w:rPr>
              <w:t>跌价准备</w:t>
            </w:r>
          </w:p>
        </w:tc>
        <w:tc>
          <w:tcPr>
            <w:tcW w:w="841" w:type="dxa"/>
            <w:vMerge/>
            <w:tcBorders>
              <w:left w:val="single" w:sz="4" w:space="0" w:color="000000"/>
              <w:bottom w:val="single" w:sz="4" w:space="0" w:color="000000"/>
              <w:right w:val="single" w:sz="4" w:space="0" w:color="000000"/>
            </w:tcBorders>
          </w:tcPr>
          <w:p>
            <w:pPr/>
          </w:p>
        </w:tc>
        <w:tc>
          <w:tcPr>
            <w:tcW w:w="1079"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nil" w:sz="6" w:space="0" w:color="auto"/>
            </w:tcBorders>
          </w:tcPr>
          <w:p>
            <w:pPr/>
          </w:p>
        </w:tc>
      </w:tr>
      <w:tr>
        <w:trPr>
          <w:trHeight w:val="510"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农贸市场</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42"/>
              <w:jc w:val="right"/>
              <w:rPr>
                <w:rFonts w:ascii="Times New Roman" w:hAnsi="Times New Roman" w:cs="Times New Roman" w:eastAsia="Times New Roman" w:hint="default"/>
                <w:sz w:val="15"/>
                <w:szCs w:val="15"/>
              </w:rPr>
            </w:pPr>
            <w:r>
              <w:rPr>
                <w:rFonts w:ascii="Times New Roman"/>
                <w:spacing w:val="-1"/>
                <w:sz w:val="15"/>
              </w:rPr>
              <w:t>3,847,089.00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94" w:right="0"/>
              <w:jc w:val="left"/>
              <w:rPr>
                <w:rFonts w:ascii="Times New Roman" w:hAnsi="Times New Roman" w:cs="Times New Roman" w:eastAsia="Times New Roman" w:hint="default"/>
                <w:sz w:val="15"/>
                <w:szCs w:val="15"/>
              </w:rPr>
            </w:pPr>
            <w:r>
              <w:rPr>
                <w:rFonts w:ascii="Times New Roman"/>
                <w:sz w:val="15"/>
              </w:rPr>
              <w:t>3,847,089.00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3,847,089.00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3,847,089.00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1996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已停工</w:t>
            </w:r>
          </w:p>
        </w:tc>
        <w:tc>
          <w:tcPr>
            <w:tcW w:w="10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草埔鸿翠苑</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29"/>
              <w:jc w:val="right"/>
              <w:rPr>
                <w:rFonts w:ascii="Times New Roman" w:hAnsi="Times New Roman" w:cs="Times New Roman" w:eastAsia="Times New Roman" w:hint="default"/>
                <w:sz w:val="15"/>
                <w:szCs w:val="15"/>
              </w:rPr>
            </w:pPr>
            <w:r>
              <w:rPr>
                <w:rFonts w:ascii="Times New Roman"/>
                <w:sz w:val="15"/>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77"/>
              <w:jc w:val="right"/>
              <w:rPr>
                <w:rFonts w:ascii="Times New Roman" w:hAnsi="Times New Roman" w:cs="Times New Roman" w:eastAsia="Times New Roman" w:hint="default"/>
                <w:sz w:val="15"/>
                <w:szCs w:val="15"/>
              </w:rPr>
            </w:pPr>
            <w:r>
              <w:rPr>
                <w:rFonts w:ascii="Times New Roman"/>
                <w:sz w:val="15"/>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147,116,876.69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5"/>
              <w:jc w:val="right"/>
              <w:rPr>
                <w:rFonts w:ascii="Times New Roman" w:hAnsi="Times New Roman" w:cs="Times New Roman" w:eastAsia="Times New Roman" w:hint="default"/>
                <w:sz w:val="15"/>
                <w:szCs w:val="15"/>
              </w:rPr>
            </w:pPr>
            <w:r>
              <w:rPr>
                <w:rFonts w:ascii="Times New Roman"/>
                <w:sz w:val="15"/>
              </w:rPr>
              <w:t>-</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2009</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tc>
        <w:tc>
          <w:tcPr>
            <w:tcW w:w="10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西安鸿基新城</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42"/>
              <w:jc w:val="right"/>
              <w:rPr>
                <w:rFonts w:ascii="Times New Roman" w:hAnsi="Times New Roman" w:cs="Times New Roman" w:eastAsia="Times New Roman" w:hint="default"/>
                <w:sz w:val="15"/>
                <w:szCs w:val="15"/>
              </w:rPr>
            </w:pPr>
            <w:r>
              <w:rPr>
                <w:rFonts w:ascii="Times New Roman"/>
                <w:spacing w:val="-1"/>
                <w:sz w:val="15"/>
              </w:rPr>
              <w:t>560,572,458.16</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78"/>
              <w:jc w:val="right"/>
              <w:rPr>
                <w:rFonts w:ascii="Times New Roman" w:hAnsi="Times New Roman" w:cs="Times New Roman" w:eastAsia="Times New Roman" w:hint="default"/>
                <w:sz w:val="15"/>
                <w:szCs w:val="15"/>
              </w:rPr>
            </w:pPr>
            <w:r>
              <w:rPr>
                <w:rFonts w:ascii="Times New Roman"/>
                <w:sz w:val="15"/>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332,205,306.45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5"/>
              <w:jc w:val="right"/>
              <w:rPr>
                <w:rFonts w:ascii="Times New Roman" w:hAnsi="Times New Roman" w:cs="Times New Roman" w:eastAsia="Times New Roman" w:hint="default"/>
                <w:sz w:val="15"/>
                <w:szCs w:val="15"/>
              </w:rPr>
            </w:pPr>
            <w:r>
              <w:rPr>
                <w:rFonts w:ascii="Times New Roman"/>
                <w:sz w:val="15"/>
              </w:rPr>
              <w:t>-</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2007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tc>
        <w:tc>
          <w:tcPr>
            <w:tcW w:w="10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7"/>
              <w:jc w:val="right"/>
              <w:rPr>
                <w:rFonts w:ascii="宋体" w:hAnsi="宋体" w:cs="宋体" w:eastAsia="宋体" w:hint="default"/>
                <w:sz w:val="15"/>
                <w:szCs w:val="15"/>
              </w:rPr>
            </w:pPr>
            <w:r>
              <w:rPr>
                <w:rFonts w:ascii="Times New Roman" w:hAnsi="Times New Roman" w:cs="Times New Roman" w:eastAsia="Times New Roman" w:hint="default"/>
                <w:sz w:val="15"/>
                <w:szCs w:val="15"/>
              </w:rPr>
              <w:t>700,000</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万元</w:t>
            </w:r>
          </w:p>
        </w:tc>
      </w:tr>
      <w:tr>
        <w:trPr>
          <w:trHeight w:val="510"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西安鸿基紫韵</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42"/>
              <w:jc w:val="right"/>
              <w:rPr>
                <w:rFonts w:ascii="Times New Roman" w:hAnsi="Times New Roman" w:cs="Times New Roman" w:eastAsia="Times New Roman" w:hint="default"/>
                <w:sz w:val="15"/>
                <w:szCs w:val="15"/>
              </w:rPr>
            </w:pPr>
            <w:r>
              <w:rPr>
                <w:rFonts w:ascii="Times New Roman"/>
                <w:spacing w:val="-1"/>
                <w:sz w:val="15"/>
              </w:rPr>
              <w:t>649,195,231.24</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78"/>
              <w:jc w:val="right"/>
              <w:rPr>
                <w:rFonts w:ascii="Times New Roman" w:hAnsi="Times New Roman" w:cs="Times New Roman" w:eastAsia="Times New Roman" w:hint="default"/>
                <w:sz w:val="15"/>
                <w:szCs w:val="15"/>
              </w:rPr>
            </w:pPr>
            <w:r>
              <w:rPr>
                <w:rFonts w:ascii="Times New Roman"/>
                <w:sz w:val="15"/>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455,333,104.30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5"/>
              <w:jc w:val="right"/>
              <w:rPr>
                <w:rFonts w:ascii="Times New Roman" w:hAnsi="Times New Roman" w:cs="Times New Roman" w:eastAsia="Times New Roman" w:hint="default"/>
                <w:sz w:val="15"/>
                <w:szCs w:val="15"/>
              </w:rPr>
            </w:pPr>
            <w:r>
              <w:rPr>
                <w:rFonts w:ascii="Times New Roman"/>
                <w:sz w:val="15"/>
              </w:rPr>
              <w:t>-</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2007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tc>
        <w:tc>
          <w:tcPr>
            <w:tcW w:w="10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7"/>
              <w:jc w:val="right"/>
              <w:rPr>
                <w:rFonts w:ascii="宋体" w:hAnsi="宋体" w:cs="宋体" w:eastAsia="宋体" w:hint="default"/>
                <w:sz w:val="15"/>
                <w:szCs w:val="15"/>
              </w:rPr>
            </w:pPr>
            <w:r>
              <w:rPr>
                <w:rFonts w:ascii="Times New Roman" w:hAnsi="Times New Roman" w:cs="Times New Roman" w:eastAsia="Times New Roman" w:hint="default"/>
                <w:sz w:val="15"/>
                <w:szCs w:val="15"/>
              </w:rPr>
              <w:t>80,000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w:t>
            </w:r>
          </w:p>
        </w:tc>
      </w:tr>
      <w:tr>
        <w:trPr>
          <w:trHeight w:val="510"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42"/>
              <w:jc w:val="right"/>
              <w:rPr>
                <w:rFonts w:ascii="Times New Roman" w:hAnsi="Times New Roman" w:cs="Times New Roman" w:eastAsia="Times New Roman" w:hint="default"/>
                <w:sz w:val="15"/>
                <w:szCs w:val="15"/>
              </w:rPr>
            </w:pPr>
            <w:r>
              <w:rPr>
                <w:rFonts w:ascii="Times New Roman"/>
                <w:spacing w:val="-1"/>
                <w:sz w:val="15"/>
              </w:rPr>
              <w:t>2,306,107.00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78"/>
              <w:jc w:val="right"/>
              <w:rPr>
                <w:rFonts w:ascii="Times New Roman" w:hAnsi="Times New Roman" w:cs="Times New Roman" w:eastAsia="Times New Roman" w:hint="default"/>
                <w:sz w:val="15"/>
                <w:szCs w:val="15"/>
              </w:rPr>
            </w:pPr>
            <w:r>
              <w:rPr>
                <w:rFonts w:ascii="Times New Roman"/>
                <w:sz w:val="15"/>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1,290,049.00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5"/>
              <w:jc w:val="right"/>
              <w:rPr>
                <w:rFonts w:ascii="Times New Roman" w:hAnsi="Times New Roman" w:cs="Times New Roman" w:eastAsia="Times New Roman" w:hint="default"/>
                <w:sz w:val="15"/>
                <w:szCs w:val="15"/>
              </w:rPr>
            </w:pPr>
            <w:r>
              <w:rPr>
                <w:rFonts w:ascii="Times New Roman"/>
                <w:sz w:val="15"/>
              </w:rPr>
              <w:t>-</w:t>
            </w:r>
          </w:p>
        </w:tc>
        <w:tc>
          <w:tcPr>
            <w:tcW w:w="841"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t>-</w:t>
            </w:r>
          </w:p>
        </w:tc>
      </w:tr>
      <w:tr>
        <w:trPr>
          <w:trHeight w:val="511"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tabs>
                <w:tab w:pos="495" w:val="left" w:leader="none"/>
              </w:tabs>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43"/>
              <w:jc w:val="right"/>
              <w:rPr>
                <w:rFonts w:ascii="Times New Roman" w:hAnsi="Times New Roman" w:cs="Times New Roman" w:eastAsia="Times New Roman" w:hint="default"/>
                <w:sz w:val="15"/>
                <w:szCs w:val="15"/>
              </w:rPr>
            </w:pPr>
            <w:r>
              <w:rPr>
                <w:rFonts w:ascii="Times New Roman"/>
                <w:spacing w:val="-1"/>
                <w:sz w:val="15"/>
              </w:rPr>
              <w:t>1,215,920,885.40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94" w:right="0"/>
              <w:jc w:val="left"/>
              <w:rPr>
                <w:rFonts w:ascii="Times New Roman" w:hAnsi="Times New Roman" w:cs="Times New Roman" w:eastAsia="Times New Roman" w:hint="default"/>
                <w:sz w:val="15"/>
                <w:szCs w:val="15"/>
              </w:rPr>
            </w:pPr>
            <w:r>
              <w:rPr>
                <w:rFonts w:ascii="Times New Roman"/>
                <w:sz w:val="15"/>
              </w:rPr>
              <w:t>3,847,089.00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939,792,425.44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3,847,089.00</w:t>
            </w:r>
          </w:p>
        </w:tc>
        <w:tc>
          <w:tcPr>
            <w:tcW w:w="841"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12"/>
          <w:szCs w:val="12"/>
        </w:rPr>
      </w:pPr>
    </w:p>
    <w:p>
      <w:pPr>
        <w:pStyle w:val="BodyText"/>
        <w:spacing w:line="240" w:lineRule="auto" w:before="35"/>
        <w:ind w:left="250" w:right="116"/>
        <w:jc w:val="left"/>
      </w:pPr>
      <w:r>
        <w:rPr/>
        <w:t>（</w:t>
      </w:r>
      <w:r>
        <w:rPr>
          <w:rFonts w:ascii="Times New Roman" w:hAnsi="Times New Roman" w:cs="Times New Roman" w:eastAsia="Times New Roman" w:hint="default"/>
        </w:rPr>
        <w:t>2</w:t>
      </w:r>
      <w:r>
        <w:rPr/>
        <w:t>）存货跌价准备</w:t>
      </w:r>
    </w:p>
    <w:p>
      <w:pPr>
        <w:spacing w:line="240" w:lineRule="auto" w:before="3"/>
        <w:rPr>
          <w:rFonts w:ascii="宋体" w:hAnsi="宋体" w:cs="宋体" w:eastAsia="宋体" w:hint="default"/>
          <w:sz w:val="13"/>
          <w:szCs w:val="13"/>
        </w:rPr>
      </w:pPr>
    </w:p>
    <w:p>
      <w:pPr>
        <w:pStyle w:val="BodyText"/>
        <w:tabs>
          <w:tab w:pos="1049" w:val="left" w:leader="none"/>
        </w:tabs>
        <w:spacing w:line="240" w:lineRule="auto" w:before="35"/>
        <w:ind w:left="0" w:right="2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758"/>
        <w:gridCol w:w="1625"/>
        <w:gridCol w:w="1459"/>
        <w:gridCol w:w="1339"/>
        <w:gridCol w:w="1343"/>
        <w:gridCol w:w="1608"/>
      </w:tblGrid>
      <w:tr>
        <w:trPr>
          <w:trHeight w:val="510" w:hRule="exact"/>
        </w:trPr>
        <w:tc>
          <w:tcPr>
            <w:tcW w:w="175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6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4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99"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08"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69"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10" w:hRule="exact"/>
        </w:trPr>
        <w:tc>
          <w:tcPr>
            <w:tcW w:w="1758" w:type="dxa"/>
            <w:vMerge/>
            <w:tcBorders>
              <w:left w:val="nil" w:sz="6" w:space="0" w:color="auto"/>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c>
          <w:tcPr>
            <w:tcW w:w="1459" w:type="dxa"/>
            <w:vMerge/>
            <w:tcBorders>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转销</w:t>
            </w:r>
          </w:p>
        </w:tc>
        <w:tc>
          <w:tcPr>
            <w:tcW w:w="1608" w:type="dxa"/>
            <w:vMerge/>
            <w:tcBorders>
              <w:left w:val="single" w:sz="4" w:space="0" w:color="000000"/>
              <w:bottom w:val="single" w:sz="4" w:space="0" w:color="000000"/>
              <w:right w:val="nil" w:sz="6" w:space="0" w:color="auto"/>
            </w:tcBorders>
          </w:tcPr>
          <w:p>
            <w:pPr/>
          </w:p>
        </w:tc>
      </w:tr>
      <w:tr>
        <w:trPr>
          <w:trHeight w:val="510" w:hRule="exact"/>
        </w:trPr>
        <w:tc>
          <w:tcPr>
            <w:tcW w:w="17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630,786.93</w:t>
            </w:r>
            <w:r>
              <w:rPr>
                <w:rFonts w:ascii="Times New Roman"/>
                <w:sz w:val="21"/>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32"/>
              <w:jc w:val="right"/>
              <w:rPr>
                <w:rFonts w:ascii="Times New Roman" w:hAnsi="Times New Roman" w:cs="Times New Roman" w:eastAsia="Times New Roman" w:hint="default"/>
                <w:sz w:val="21"/>
                <w:szCs w:val="21"/>
              </w:rPr>
            </w:pPr>
            <w:r>
              <w:rPr>
                <w:rFonts w:ascii="Times New Roman"/>
                <w:sz w:val="21"/>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51"/>
              <w:jc w:val="right"/>
              <w:rPr>
                <w:rFonts w:ascii="Times New Roman" w:hAnsi="Times New Roman" w:cs="Times New Roman" w:eastAsia="Times New Roman" w:hint="default"/>
                <w:sz w:val="21"/>
                <w:szCs w:val="21"/>
              </w:rPr>
            </w:pPr>
            <w:r>
              <w:rPr>
                <w:rFonts w:ascii="Times New Roman"/>
                <w:sz w:val="21"/>
              </w:rPr>
              <w:t>-</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55"/>
              <w:jc w:val="right"/>
              <w:rPr>
                <w:rFonts w:ascii="Times New Roman" w:hAnsi="Times New Roman" w:cs="Times New Roman" w:eastAsia="Times New Roman" w:hint="default"/>
                <w:sz w:val="21"/>
                <w:szCs w:val="21"/>
              </w:rPr>
            </w:pPr>
            <w:r>
              <w:rPr>
                <w:rFonts w:ascii="Times New Roman"/>
                <w:sz w:val="21"/>
              </w:rPr>
              <w:t>-</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630,786.93</w:t>
            </w:r>
            <w:r>
              <w:rPr>
                <w:rFonts w:ascii="Times New Roman"/>
                <w:sz w:val="21"/>
              </w:rPr>
            </w:r>
          </w:p>
        </w:tc>
      </w:tr>
      <w:tr>
        <w:trPr>
          <w:trHeight w:val="510" w:hRule="exact"/>
        </w:trPr>
        <w:tc>
          <w:tcPr>
            <w:tcW w:w="17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在建开发成本</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3,847,089.00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33"/>
              <w:jc w:val="right"/>
              <w:rPr>
                <w:rFonts w:ascii="Times New Roman" w:hAnsi="Times New Roman" w:cs="Times New Roman" w:eastAsia="Times New Roman" w:hint="default"/>
                <w:sz w:val="21"/>
                <w:szCs w:val="21"/>
              </w:rPr>
            </w:pPr>
            <w:r>
              <w:rPr>
                <w:rFonts w:ascii="Times New Roman"/>
                <w:sz w:val="21"/>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52"/>
              <w:jc w:val="right"/>
              <w:rPr>
                <w:rFonts w:ascii="Times New Roman" w:hAnsi="Times New Roman" w:cs="Times New Roman" w:eastAsia="Times New Roman" w:hint="default"/>
                <w:sz w:val="21"/>
                <w:szCs w:val="21"/>
              </w:rPr>
            </w:pPr>
            <w:r>
              <w:rPr>
                <w:rFonts w:ascii="Times New Roman"/>
                <w:sz w:val="21"/>
              </w:rPr>
              <w:t>-</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55"/>
              <w:jc w:val="right"/>
              <w:rPr>
                <w:rFonts w:ascii="Times New Roman" w:hAnsi="Times New Roman" w:cs="Times New Roman" w:eastAsia="Times New Roman" w:hint="default"/>
                <w:sz w:val="21"/>
                <w:szCs w:val="21"/>
              </w:rPr>
            </w:pPr>
            <w:r>
              <w:rPr>
                <w:rFonts w:ascii="Times New Roman"/>
                <w:sz w:val="21"/>
              </w:rPr>
              <w:t>-</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3,847,089.00</w:t>
            </w:r>
          </w:p>
        </w:tc>
      </w:tr>
      <w:tr>
        <w:trPr>
          <w:trHeight w:val="510" w:hRule="exact"/>
        </w:trPr>
        <w:tc>
          <w:tcPr>
            <w:tcW w:w="17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542" w:val="left" w:leader="none"/>
              </w:tabs>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4,477,875.93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33"/>
              <w:jc w:val="right"/>
              <w:rPr>
                <w:rFonts w:ascii="Times New Roman" w:hAnsi="Times New Roman" w:cs="Times New Roman" w:eastAsia="Times New Roman" w:hint="default"/>
                <w:sz w:val="21"/>
                <w:szCs w:val="21"/>
              </w:rPr>
            </w:pPr>
            <w:r>
              <w:rPr>
                <w:rFonts w:ascii="Times New Roman"/>
                <w:sz w:val="21"/>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52"/>
              <w:jc w:val="right"/>
              <w:rPr>
                <w:rFonts w:ascii="Times New Roman" w:hAnsi="Times New Roman" w:cs="Times New Roman" w:eastAsia="Times New Roman" w:hint="default"/>
                <w:sz w:val="21"/>
                <w:szCs w:val="21"/>
              </w:rPr>
            </w:pPr>
            <w:r>
              <w:rPr>
                <w:rFonts w:ascii="Times New Roman"/>
                <w:sz w:val="21"/>
              </w:rPr>
              <w:t>-</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55"/>
              <w:jc w:val="right"/>
              <w:rPr>
                <w:rFonts w:ascii="Times New Roman" w:hAnsi="Times New Roman" w:cs="Times New Roman" w:eastAsia="Times New Roman" w:hint="default"/>
                <w:sz w:val="21"/>
                <w:szCs w:val="21"/>
              </w:rPr>
            </w:pPr>
            <w:r>
              <w:rPr>
                <w:rFonts w:ascii="Times New Roman"/>
                <w:sz w:val="21"/>
              </w:rPr>
              <w:t>-</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4,477,875.93</w:t>
            </w:r>
          </w:p>
        </w:tc>
      </w:tr>
    </w:tbl>
    <w:p>
      <w:pPr>
        <w:spacing w:line="240" w:lineRule="auto" w:before="0"/>
        <w:rPr>
          <w:rFonts w:ascii="宋体" w:hAnsi="宋体" w:cs="宋体" w:eastAsia="宋体" w:hint="default"/>
          <w:sz w:val="12"/>
          <w:szCs w:val="12"/>
        </w:rPr>
      </w:pPr>
    </w:p>
    <w:p>
      <w:pPr>
        <w:pStyle w:val="BodyText"/>
        <w:spacing w:line="436" w:lineRule="auto" w:before="35"/>
        <w:ind w:left="250" w:right="116" w:firstLine="421"/>
        <w:jc w:val="left"/>
      </w:pPr>
      <w:r>
        <w:rPr/>
        <w:t>库存积压过期商品按预计的可回收金额与账面价值的差额计提存货跌价准备；在建开发成本 中的农贸市场项目多年前已停工，全额计提存货跌价准备。</w:t>
      </w:r>
    </w:p>
    <w:p>
      <w:pPr>
        <w:spacing w:after="0" w:line="436" w:lineRule="auto"/>
        <w:jc w:val="left"/>
        <w:sectPr>
          <w:pgSz w:w="11900" w:h="16840"/>
          <w:pgMar w:header="0" w:footer="982" w:top="1060" w:bottom="1180" w:left="1620" w:right="900"/>
        </w:sectPr>
      </w:pPr>
    </w:p>
    <w:p>
      <w:pPr>
        <w:pStyle w:val="BodyText"/>
        <w:spacing w:line="240" w:lineRule="auto" w:before="6"/>
        <w:ind w:left="230" w:right="0"/>
        <w:jc w:val="left"/>
      </w:pPr>
      <w:r>
        <w:rPr/>
        <w:t>（</w:t>
      </w:r>
      <w:r>
        <w:rPr>
          <w:rFonts w:ascii="Times New Roman" w:hAnsi="Times New Roman" w:cs="Times New Roman" w:eastAsia="Times New Roman" w:hint="default"/>
        </w:rPr>
        <w:t>3</w:t>
      </w:r>
      <w:r>
        <w:rPr/>
        <w:t>）所有权受限的存货：</w:t>
      </w:r>
    </w:p>
    <w:p>
      <w:pPr>
        <w:spacing w:line="240" w:lineRule="auto" w:before="0"/>
        <w:rPr>
          <w:rFonts w:ascii="宋体" w:hAnsi="宋体" w:cs="宋体" w:eastAsia="宋体" w:hint="default"/>
          <w:sz w:val="16"/>
          <w:szCs w:val="16"/>
        </w:rPr>
      </w:pPr>
    </w:p>
    <w:p>
      <w:pPr>
        <w:pStyle w:val="BodyText"/>
        <w:spacing w:line="240" w:lineRule="auto"/>
        <w:ind w:left="0" w:right="226"/>
        <w:jc w:val="right"/>
      </w:pPr>
      <w:r>
        <w:rPr/>
        <w:t>截止</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日，本公司用于银行贷款抵押的存货系在建开发成本中的西安鸿基紫韵</w:t>
      </w:r>
    </w:p>
    <w:p>
      <w:pPr>
        <w:spacing w:line="240" w:lineRule="auto" w:before="12"/>
        <w:rPr>
          <w:rFonts w:ascii="宋体" w:hAnsi="宋体" w:cs="宋体" w:eastAsia="宋体" w:hint="default"/>
          <w:sz w:val="15"/>
          <w:szCs w:val="15"/>
        </w:rPr>
      </w:pPr>
    </w:p>
    <w:p>
      <w:pPr>
        <w:pStyle w:val="BodyText"/>
        <w:spacing w:line="240" w:lineRule="auto"/>
        <w:ind w:left="230" w:right="0"/>
        <w:jc w:val="left"/>
      </w:pPr>
      <w:r>
        <w:rPr/>
        <w:t>与西安鸿基新城，金额为</w:t>
      </w:r>
      <w:r>
        <w:rPr>
          <w:spacing w:val="-57"/>
        </w:rPr>
        <w:t> </w:t>
      </w:r>
      <w:r>
        <w:rPr>
          <w:rFonts w:ascii="Times New Roman" w:hAnsi="Times New Roman" w:cs="Times New Roman" w:eastAsia="Times New Roman" w:hint="default"/>
        </w:rPr>
        <w:t>1,209,767,689.40</w:t>
      </w:r>
      <w:r>
        <w:rPr>
          <w:rFonts w:ascii="Times New Roman" w:hAnsi="Times New Roman" w:cs="Times New Roman" w:eastAsia="Times New Roman" w:hint="default"/>
          <w:spacing w:val="-4"/>
        </w:rPr>
        <w:t> </w:t>
      </w:r>
      <w:r>
        <w:rPr/>
        <w:t>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pStyle w:val="BodyText"/>
        <w:spacing w:line="240" w:lineRule="auto"/>
        <w:ind w:left="230" w:right="0"/>
        <w:jc w:val="left"/>
      </w:pPr>
      <w:r>
        <w:rPr>
          <w:rFonts w:ascii="Times New Roman" w:hAnsi="Times New Roman" w:cs="Times New Roman" w:eastAsia="Times New Roman" w:hint="default"/>
          <w:b/>
          <w:bCs/>
        </w:rPr>
        <w:t>7</w:t>
      </w:r>
      <w:r>
        <w:rPr/>
        <w:t>、可供出售金融资产</w:t>
      </w:r>
    </w:p>
    <w:p>
      <w:pPr>
        <w:spacing w:line="240" w:lineRule="auto" w:before="12"/>
        <w:rPr>
          <w:rFonts w:ascii="宋体" w:hAnsi="宋体" w:cs="宋体" w:eastAsia="宋体" w:hint="default"/>
          <w:sz w:val="15"/>
          <w:szCs w:val="15"/>
        </w:rPr>
      </w:pPr>
    </w:p>
    <w:p>
      <w:pPr>
        <w:pStyle w:val="BodyText"/>
        <w:tabs>
          <w:tab w:pos="1049" w:val="left" w:leader="none"/>
        </w:tabs>
        <w:spacing w:line="240" w:lineRule="auto"/>
        <w:ind w:left="0" w:right="22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520"/>
        <w:gridCol w:w="2808"/>
        <w:gridCol w:w="2804"/>
      </w:tblGrid>
      <w:tr>
        <w:trPr>
          <w:trHeight w:val="510" w:hRule="exact"/>
        </w:trPr>
        <w:tc>
          <w:tcPr>
            <w:tcW w:w="3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69"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66"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510" w:hRule="exact"/>
        </w:trPr>
        <w:tc>
          <w:tcPr>
            <w:tcW w:w="3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487" w:right="0"/>
              <w:jc w:val="left"/>
              <w:rPr>
                <w:rFonts w:ascii="Times New Roman" w:hAnsi="Times New Roman" w:cs="Times New Roman" w:eastAsia="Times New Roman" w:hint="default"/>
                <w:sz w:val="21"/>
                <w:szCs w:val="21"/>
              </w:rPr>
            </w:pPr>
            <w:r>
              <w:rPr>
                <w:rFonts w:ascii="Times New Roman"/>
                <w:sz w:val="21"/>
              </w:rPr>
              <w:t>39,034,475.45</w:t>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484" w:right="0"/>
              <w:jc w:val="left"/>
              <w:rPr>
                <w:rFonts w:ascii="Times New Roman" w:hAnsi="Times New Roman" w:cs="Times New Roman" w:eastAsia="Times New Roman" w:hint="default"/>
                <w:sz w:val="21"/>
                <w:szCs w:val="21"/>
              </w:rPr>
            </w:pPr>
            <w:r>
              <w:rPr>
                <w:rFonts w:ascii="Times New Roman"/>
                <w:sz w:val="21"/>
              </w:rPr>
              <w:t>22,240,000.00</w:t>
            </w:r>
          </w:p>
        </w:tc>
      </w:tr>
    </w:tbl>
    <w:p>
      <w:pPr>
        <w:spacing w:line="240" w:lineRule="auto" w:before="0"/>
        <w:rPr>
          <w:rFonts w:ascii="宋体" w:hAnsi="宋体" w:cs="宋体" w:eastAsia="宋体" w:hint="default"/>
          <w:sz w:val="12"/>
          <w:szCs w:val="12"/>
        </w:rPr>
      </w:pPr>
    </w:p>
    <w:p>
      <w:pPr>
        <w:pStyle w:val="BodyText"/>
        <w:spacing w:line="436" w:lineRule="auto" w:before="35"/>
        <w:ind w:left="230" w:right="0" w:firstLine="421"/>
        <w:jc w:val="left"/>
      </w:pPr>
      <w:r>
        <w:rPr/>
        <w:t>本公司可供出售金融资产均是持有的已经股改上市公司股份，以公允价值入账，按期末收市 价确定其公允价值。</w:t>
      </w:r>
    </w:p>
    <w:p>
      <w:pPr>
        <w:spacing w:after="0" w:line="436" w:lineRule="auto"/>
        <w:jc w:val="left"/>
        <w:sectPr>
          <w:pgSz w:w="11900" w:h="16840"/>
          <w:pgMar w:header="0" w:footer="982" w:top="1320" w:bottom="1180" w:left="1640" w:right="900"/>
        </w:sectPr>
      </w:pPr>
    </w:p>
    <w:p>
      <w:pPr>
        <w:spacing w:line="240" w:lineRule="auto" w:before="8"/>
        <w:rPr>
          <w:rFonts w:ascii="宋体" w:hAnsi="宋体" w:cs="宋体" w:eastAsia="宋体" w:hint="default"/>
          <w:sz w:val="14"/>
          <w:szCs w:val="14"/>
        </w:rPr>
      </w:pPr>
    </w:p>
    <w:p>
      <w:pPr>
        <w:pStyle w:val="BodyText"/>
        <w:spacing w:line="240" w:lineRule="auto" w:before="35"/>
        <w:ind w:left="250" w:right="311"/>
        <w:jc w:val="left"/>
      </w:pPr>
      <w:r>
        <w:rPr>
          <w:rFonts w:ascii="Times New Roman" w:hAnsi="Times New Roman" w:cs="Times New Roman" w:eastAsia="Times New Roman" w:hint="default"/>
          <w:b/>
          <w:bCs/>
        </w:rPr>
        <w:t>8</w:t>
      </w:r>
      <w:r>
        <w:rPr/>
        <w:t>、对联营企业投资</w:t>
      </w:r>
    </w:p>
    <w:p>
      <w:pPr>
        <w:spacing w:line="240" w:lineRule="auto" w:before="4"/>
        <w:rPr>
          <w:rFonts w:ascii="宋体" w:hAnsi="宋体" w:cs="宋体" w:eastAsia="宋体" w:hint="default"/>
          <w:sz w:val="13"/>
          <w:szCs w:val="13"/>
        </w:rPr>
      </w:pPr>
    </w:p>
    <w:p>
      <w:pPr>
        <w:pStyle w:val="BodyText"/>
        <w:tabs>
          <w:tab w:pos="1049" w:val="left" w:leader="none"/>
        </w:tabs>
        <w:spacing w:line="240" w:lineRule="auto" w:before="35"/>
        <w:ind w:left="0" w:right="318"/>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231" w:type="dxa"/>
        <w:tblLayout w:type="fixed"/>
        <w:tblCellMar>
          <w:top w:w="0" w:type="dxa"/>
          <w:left w:w="0" w:type="dxa"/>
          <w:bottom w:w="0" w:type="dxa"/>
          <w:right w:w="0" w:type="dxa"/>
        </w:tblCellMar>
        <w:tblLook w:val="01E0"/>
      </w:tblPr>
      <w:tblGrid>
        <w:gridCol w:w="1264"/>
        <w:gridCol w:w="626"/>
        <w:gridCol w:w="493"/>
        <w:gridCol w:w="792"/>
        <w:gridCol w:w="1655"/>
        <w:gridCol w:w="990"/>
        <w:gridCol w:w="1424"/>
        <w:gridCol w:w="1274"/>
        <w:gridCol w:w="1145"/>
        <w:gridCol w:w="992"/>
        <w:gridCol w:w="1134"/>
        <w:gridCol w:w="991"/>
        <w:gridCol w:w="931"/>
      </w:tblGrid>
      <w:tr>
        <w:trPr>
          <w:trHeight w:val="520" w:hRule="exact"/>
        </w:trPr>
        <w:tc>
          <w:tcPr>
            <w:tcW w:w="1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11" w:right="0"/>
              <w:jc w:val="left"/>
              <w:rPr>
                <w:rFonts w:ascii="宋体" w:hAnsi="宋体" w:cs="宋体" w:eastAsia="宋体" w:hint="default"/>
                <w:sz w:val="15"/>
                <w:szCs w:val="15"/>
              </w:rPr>
            </w:pPr>
            <w:r>
              <w:rPr>
                <w:rFonts w:ascii="宋体" w:hAnsi="宋体" w:cs="宋体" w:eastAsia="宋体" w:hint="default"/>
                <w:sz w:val="15"/>
                <w:szCs w:val="15"/>
              </w:rPr>
              <w:t>被投资单位名称</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8" w:right="0"/>
              <w:jc w:val="left"/>
              <w:rPr>
                <w:rFonts w:ascii="宋体" w:hAnsi="宋体" w:cs="宋体" w:eastAsia="宋体" w:hint="default"/>
                <w:sz w:val="15"/>
                <w:szCs w:val="15"/>
              </w:rPr>
            </w:pPr>
            <w:r>
              <w:rPr>
                <w:rFonts w:ascii="宋体" w:hAnsi="宋体" w:cs="宋体" w:eastAsia="宋体" w:hint="default"/>
                <w:sz w:val="15"/>
                <w:szCs w:val="15"/>
              </w:rPr>
              <w:t>企业类型</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注册地</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9"/>
              <w:jc w:val="right"/>
              <w:rPr>
                <w:rFonts w:ascii="宋体" w:hAnsi="宋体" w:cs="宋体" w:eastAsia="宋体" w:hint="default"/>
                <w:sz w:val="15"/>
                <w:szCs w:val="15"/>
              </w:rPr>
            </w:pPr>
            <w:r>
              <w:rPr>
                <w:rFonts w:ascii="宋体" w:hAnsi="宋体" w:cs="宋体" w:eastAsia="宋体" w:hint="default"/>
                <w:sz w:val="15"/>
                <w:szCs w:val="15"/>
              </w:rPr>
              <w:t>法人代表</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业务性质及经营范围</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宋体" w:hAnsi="宋体" w:cs="宋体" w:eastAsia="宋体" w:hint="default"/>
                <w:sz w:val="15"/>
                <w:szCs w:val="15"/>
              </w:rPr>
              <w:t>本企业持股比例</w:t>
            </w:r>
            <w:r>
              <w:rPr>
                <w:rFonts w:ascii="Times New Roman" w:hAnsi="Times New Roman" w:cs="Times New Roman" w:eastAsia="Times New Roman" w:hint="default"/>
                <w:sz w:val="15"/>
                <w:szCs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69" w:right="31" w:hanging="39"/>
              <w:jc w:val="left"/>
              <w:rPr>
                <w:rFonts w:ascii="Times New Roman" w:hAnsi="Times New Roman" w:cs="Times New Roman" w:eastAsia="Times New Roman" w:hint="default"/>
                <w:sz w:val="15"/>
                <w:szCs w:val="15"/>
              </w:rPr>
            </w:pPr>
            <w:r>
              <w:rPr>
                <w:rFonts w:ascii="宋体" w:hAnsi="宋体" w:cs="宋体" w:eastAsia="宋体" w:hint="default"/>
                <w:sz w:val="15"/>
                <w:szCs w:val="15"/>
              </w:rPr>
              <w:t>本企业在被投资单 位表决权比例</w:t>
            </w:r>
            <w:r>
              <w:rPr>
                <w:rFonts w:ascii="Times New Roman" w:hAnsi="Times New Roman" w:cs="Times New Roman" w:eastAsia="Times New Roman" w:hint="default"/>
                <w:sz w:val="15"/>
                <w:szCs w:val="15"/>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17" w:right="0"/>
              <w:jc w:val="left"/>
              <w:rPr>
                <w:rFonts w:ascii="宋体" w:hAnsi="宋体" w:cs="宋体" w:eastAsia="宋体" w:hint="default"/>
                <w:sz w:val="15"/>
                <w:szCs w:val="15"/>
              </w:rPr>
            </w:pPr>
            <w:r>
              <w:rPr>
                <w:rFonts w:ascii="宋体" w:hAnsi="宋体" w:cs="宋体" w:eastAsia="宋体" w:hint="default"/>
                <w:sz w:val="15"/>
                <w:szCs w:val="15"/>
              </w:rPr>
              <w:t>期末资产总额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0"/>
              <w:jc w:val="right"/>
              <w:rPr>
                <w:rFonts w:ascii="宋体" w:hAnsi="宋体" w:cs="宋体" w:eastAsia="宋体" w:hint="default"/>
                <w:sz w:val="15"/>
                <w:szCs w:val="15"/>
              </w:rPr>
            </w:pPr>
            <w:r>
              <w:rPr>
                <w:rFonts w:ascii="宋体" w:hAnsi="宋体" w:cs="宋体" w:eastAsia="宋体" w:hint="default"/>
                <w:sz w:val="15"/>
                <w:szCs w:val="15"/>
              </w:rPr>
              <w:t>期末负债总额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5"/>
              <w:jc w:val="right"/>
              <w:rPr>
                <w:rFonts w:ascii="宋体" w:hAnsi="宋体" w:cs="宋体" w:eastAsia="宋体" w:hint="default"/>
                <w:sz w:val="15"/>
                <w:szCs w:val="15"/>
              </w:rPr>
            </w:pPr>
            <w:r>
              <w:rPr>
                <w:rFonts w:ascii="宋体" w:hAnsi="宋体" w:cs="宋体" w:eastAsia="宋体" w:hint="default"/>
                <w:sz w:val="15"/>
                <w:szCs w:val="15"/>
              </w:rPr>
              <w:t>期末净资产总额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40" w:right="38" w:hanging="300"/>
              <w:jc w:val="left"/>
              <w:rPr>
                <w:rFonts w:ascii="宋体" w:hAnsi="宋体" w:cs="宋体" w:eastAsia="宋体" w:hint="default"/>
                <w:sz w:val="15"/>
                <w:szCs w:val="15"/>
              </w:rPr>
            </w:pPr>
            <w:r>
              <w:rPr>
                <w:rFonts w:ascii="宋体" w:hAnsi="宋体" w:cs="宋体" w:eastAsia="宋体" w:hint="default"/>
                <w:sz w:val="15"/>
                <w:szCs w:val="15"/>
              </w:rPr>
              <w:t>本期营业收入 总额</w:t>
            </w:r>
          </w:p>
        </w:tc>
        <w:tc>
          <w:tcPr>
            <w:tcW w:w="9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87" w:right="0"/>
              <w:jc w:val="left"/>
              <w:rPr>
                <w:rFonts w:ascii="宋体" w:hAnsi="宋体" w:cs="宋体" w:eastAsia="宋体" w:hint="default"/>
                <w:sz w:val="15"/>
                <w:szCs w:val="15"/>
              </w:rPr>
            </w:pPr>
            <w:r>
              <w:rPr>
                <w:rFonts w:ascii="宋体" w:hAnsi="宋体" w:cs="宋体" w:eastAsia="宋体" w:hint="default"/>
                <w:sz w:val="15"/>
                <w:szCs w:val="15"/>
              </w:rPr>
              <w:t>本期净利润</w:t>
            </w:r>
          </w:p>
        </w:tc>
      </w:tr>
      <w:tr>
        <w:trPr>
          <w:trHeight w:val="518" w:hRule="exact"/>
        </w:trPr>
        <w:tc>
          <w:tcPr>
            <w:tcW w:w="1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4" w:right="0"/>
              <w:jc w:val="left"/>
              <w:rPr>
                <w:rFonts w:ascii="宋体" w:hAnsi="宋体" w:cs="宋体" w:eastAsia="宋体" w:hint="default"/>
                <w:sz w:val="15"/>
                <w:szCs w:val="15"/>
              </w:rPr>
            </w:pPr>
            <w:r>
              <w:rPr>
                <w:rFonts w:ascii="宋体" w:hAnsi="宋体" w:cs="宋体" w:eastAsia="宋体" w:hint="default"/>
                <w:spacing w:val="5"/>
                <w:sz w:val="15"/>
                <w:szCs w:val="15"/>
              </w:rPr>
              <w:t>深圳市深威驳运有</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限公司</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14"/>
              <w:jc w:val="left"/>
              <w:rPr>
                <w:rFonts w:ascii="宋体" w:hAnsi="宋体" w:cs="宋体" w:eastAsia="宋体" w:hint="default"/>
                <w:sz w:val="15"/>
                <w:szCs w:val="15"/>
              </w:rPr>
            </w:pPr>
            <w:r>
              <w:rPr>
                <w:rFonts w:ascii="宋体" w:hAnsi="宋体" w:cs="宋体" w:eastAsia="宋体" w:hint="default"/>
                <w:sz w:val="15"/>
                <w:szCs w:val="15"/>
              </w:rPr>
              <w:t>有限责任 公司</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深圳</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64"/>
              <w:jc w:val="right"/>
              <w:rPr>
                <w:rFonts w:ascii="宋体" w:hAnsi="宋体" w:cs="宋体" w:eastAsia="宋体" w:hint="default"/>
                <w:sz w:val="15"/>
                <w:szCs w:val="15"/>
              </w:rPr>
            </w:pPr>
            <w:r>
              <w:rPr>
                <w:rFonts w:ascii="宋体" w:hAnsi="宋体" w:cs="宋体" w:eastAsia="宋体" w:hint="default"/>
                <w:sz w:val="15"/>
                <w:szCs w:val="15"/>
              </w:rPr>
              <w:t>禤宗民</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15"/>
              <w:jc w:val="left"/>
              <w:rPr>
                <w:rFonts w:ascii="宋体" w:hAnsi="宋体" w:cs="宋体" w:eastAsia="宋体" w:hint="default"/>
                <w:sz w:val="15"/>
                <w:szCs w:val="15"/>
              </w:rPr>
            </w:pPr>
            <w:r>
              <w:rPr>
                <w:rFonts w:ascii="宋体" w:hAnsi="宋体" w:cs="宋体" w:eastAsia="宋体" w:hint="default"/>
                <w:spacing w:val="13"/>
                <w:sz w:val="15"/>
                <w:szCs w:val="15"/>
              </w:rPr>
              <w:t>皇岗口岸海关监管场接</w:t>
            </w:r>
            <w:r>
              <w:rPr>
                <w:rFonts w:ascii="宋体" w:hAnsi="宋体" w:cs="宋体" w:eastAsia="宋体" w:hint="default"/>
                <w:spacing w:val="-67"/>
                <w:sz w:val="15"/>
                <w:szCs w:val="15"/>
              </w:rPr>
              <w:t> </w:t>
            </w:r>
            <w:r>
              <w:rPr>
                <w:rFonts w:ascii="宋体" w:hAnsi="宋体" w:cs="宋体" w:eastAsia="宋体" w:hint="default"/>
                <w:sz w:val="15"/>
                <w:szCs w:val="15"/>
              </w:rPr>
              <w:t>驳运输业务、装卸搬运等</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12,000,000.00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45%</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
              <w:jc w:val="right"/>
              <w:rPr>
                <w:rFonts w:ascii="Times New Roman" w:hAnsi="Times New Roman" w:cs="Times New Roman" w:eastAsia="Times New Roman" w:hint="default"/>
                <w:sz w:val="15"/>
                <w:szCs w:val="15"/>
              </w:rPr>
            </w:pPr>
            <w:r>
              <w:rPr>
                <w:rFonts w:ascii="Times New Roman"/>
                <w:spacing w:val="-1"/>
                <w:sz w:val="15"/>
              </w:rPr>
              <w:t>14,814,137.22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187,617.03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14,626,520.19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15"/>
                <w:szCs w:val="15"/>
              </w:rPr>
            </w:pPr>
            <w:r>
              <w:rPr>
                <w:rFonts w:ascii="Times New Roman"/>
                <w:spacing w:val="-1"/>
                <w:sz w:val="15"/>
              </w:rPr>
              <w:t>11,017,274.00</w:t>
            </w:r>
          </w:p>
        </w:tc>
        <w:tc>
          <w:tcPr>
            <w:tcW w:w="9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41,106.56</w:t>
            </w:r>
          </w:p>
        </w:tc>
      </w:tr>
      <w:tr>
        <w:trPr>
          <w:trHeight w:val="520" w:hRule="exact"/>
        </w:trPr>
        <w:tc>
          <w:tcPr>
            <w:tcW w:w="1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4" w:right="0"/>
              <w:jc w:val="left"/>
              <w:rPr>
                <w:rFonts w:ascii="宋体" w:hAnsi="宋体" w:cs="宋体" w:eastAsia="宋体" w:hint="default"/>
                <w:sz w:val="15"/>
                <w:szCs w:val="15"/>
              </w:rPr>
            </w:pPr>
            <w:r>
              <w:rPr>
                <w:rFonts w:ascii="宋体" w:hAnsi="宋体" w:cs="宋体" w:eastAsia="宋体" w:hint="default"/>
                <w:spacing w:val="5"/>
                <w:sz w:val="15"/>
                <w:szCs w:val="15"/>
              </w:rPr>
              <w:t>深圳市雅喆电梯有</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限公司</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14"/>
              <w:jc w:val="left"/>
              <w:rPr>
                <w:rFonts w:ascii="宋体" w:hAnsi="宋体" w:cs="宋体" w:eastAsia="宋体" w:hint="default"/>
                <w:sz w:val="15"/>
                <w:szCs w:val="15"/>
              </w:rPr>
            </w:pPr>
            <w:r>
              <w:rPr>
                <w:rFonts w:ascii="宋体" w:hAnsi="宋体" w:cs="宋体" w:eastAsia="宋体" w:hint="default"/>
                <w:sz w:val="15"/>
                <w:szCs w:val="15"/>
              </w:rPr>
              <w:t>有限责任 公司</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深圳</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5"/>
                <w:szCs w:val="15"/>
              </w:rPr>
            </w:pPr>
            <w:r>
              <w:rPr>
                <w:rFonts w:ascii="宋体" w:hAnsi="宋体" w:cs="宋体" w:eastAsia="宋体" w:hint="default"/>
                <w:sz w:val="15"/>
                <w:szCs w:val="15"/>
              </w:rPr>
              <w:t>关汉雄</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right="0"/>
              <w:jc w:val="center"/>
              <w:rPr>
                <w:rFonts w:ascii="宋体" w:hAnsi="宋体" w:cs="宋体" w:eastAsia="宋体" w:hint="default"/>
                <w:sz w:val="15"/>
                <w:szCs w:val="15"/>
              </w:rPr>
            </w:pPr>
            <w:r>
              <w:rPr>
                <w:rFonts w:ascii="宋体" w:hAnsi="宋体" w:cs="宋体" w:eastAsia="宋体" w:hint="default"/>
                <w:sz w:val="15"/>
                <w:szCs w:val="15"/>
              </w:rPr>
              <w:t>电梯安装、维修</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1,500,000.00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40%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1,935,839.78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449,637.00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1,486,202.78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15"/>
                <w:szCs w:val="15"/>
              </w:rPr>
            </w:pPr>
            <w:r>
              <w:rPr>
                <w:rFonts w:ascii="Times New Roman"/>
                <w:spacing w:val="-1"/>
                <w:sz w:val="15"/>
              </w:rPr>
              <w:t>4,002,581.91</w:t>
            </w:r>
          </w:p>
        </w:tc>
        <w:tc>
          <w:tcPr>
            <w:tcW w:w="9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80,682.49</w:t>
            </w:r>
          </w:p>
        </w:tc>
      </w:tr>
      <w:tr>
        <w:trPr>
          <w:trHeight w:val="520" w:hRule="exact"/>
        </w:trPr>
        <w:tc>
          <w:tcPr>
            <w:tcW w:w="1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4" w:right="0"/>
              <w:jc w:val="left"/>
              <w:rPr>
                <w:rFonts w:ascii="宋体" w:hAnsi="宋体" w:cs="宋体" w:eastAsia="宋体" w:hint="default"/>
                <w:sz w:val="15"/>
                <w:szCs w:val="15"/>
              </w:rPr>
            </w:pPr>
            <w:r>
              <w:rPr>
                <w:rFonts w:ascii="宋体" w:hAnsi="宋体" w:cs="宋体" w:eastAsia="宋体" w:hint="default"/>
                <w:spacing w:val="5"/>
                <w:sz w:val="15"/>
                <w:szCs w:val="15"/>
              </w:rPr>
              <w:t>深圳市泉源实业发</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展有限公司</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14"/>
              <w:jc w:val="left"/>
              <w:rPr>
                <w:rFonts w:ascii="宋体" w:hAnsi="宋体" w:cs="宋体" w:eastAsia="宋体" w:hint="default"/>
                <w:sz w:val="15"/>
                <w:szCs w:val="15"/>
              </w:rPr>
            </w:pPr>
            <w:r>
              <w:rPr>
                <w:rFonts w:ascii="宋体" w:hAnsi="宋体" w:cs="宋体" w:eastAsia="宋体" w:hint="default"/>
                <w:sz w:val="15"/>
                <w:szCs w:val="15"/>
              </w:rPr>
              <w:t>有限责任 公司</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深圳</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64"/>
              <w:jc w:val="right"/>
              <w:rPr>
                <w:rFonts w:ascii="宋体" w:hAnsi="宋体" w:cs="宋体" w:eastAsia="宋体" w:hint="default"/>
                <w:sz w:val="15"/>
                <w:szCs w:val="15"/>
              </w:rPr>
            </w:pPr>
            <w:r>
              <w:rPr>
                <w:rFonts w:ascii="宋体" w:hAnsi="宋体" w:cs="宋体" w:eastAsia="宋体" w:hint="default"/>
                <w:sz w:val="15"/>
                <w:szCs w:val="15"/>
              </w:rPr>
              <w:t>周健民</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right="1"/>
              <w:jc w:val="center"/>
              <w:rPr>
                <w:rFonts w:ascii="宋体" w:hAnsi="宋体" w:cs="宋体" w:eastAsia="宋体" w:hint="default"/>
                <w:sz w:val="15"/>
                <w:szCs w:val="15"/>
              </w:rPr>
            </w:pPr>
            <w:r>
              <w:rPr>
                <w:rFonts w:ascii="宋体" w:hAnsi="宋体" w:cs="宋体" w:eastAsia="宋体" w:hint="default"/>
                <w:sz w:val="15"/>
                <w:szCs w:val="15"/>
              </w:rPr>
              <w:t>兴办实业</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2,000,000.00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34,977,598.54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4,967,946.42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30,009,652.12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14"/>
              <w:jc w:val="right"/>
              <w:rPr>
                <w:rFonts w:ascii="Times New Roman" w:hAnsi="Times New Roman" w:cs="Times New Roman" w:eastAsia="Times New Roman" w:hint="default"/>
                <w:sz w:val="15"/>
                <w:szCs w:val="15"/>
              </w:rPr>
            </w:pPr>
            <w:r>
              <w:rPr>
                <w:rFonts w:ascii="Times New Roman"/>
                <w:sz w:val="15"/>
              </w:rPr>
              <w:t>-</w:t>
            </w:r>
          </w:p>
        </w:tc>
        <w:tc>
          <w:tcPr>
            <w:tcW w:w="9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-1,344,923.76</w:t>
            </w:r>
          </w:p>
        </w:tc>
      </w:tr>
      <w:tr>
        <w:trPr>
          <w:trHeight w:val="518" w:hRule="exact"/>
        </w:trPr>
        <w:tc>
          <w:tcPr>
            <w:tcW w:w="1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4" w:right="0"/>
              <w:jc w:val="left"/>
              <w:rPr>
                <w:rFonts w:ascii="宋体" w:hAnsi="宋体" w:cs="宋体" w:eastAsia="宋体" w:hint="default"/>
                <w:sz w:val="15"/>
                <w:szCs w:val="15"/>
              </w:rPr>
            </w:pPr>
            <w:r>
              <w:rPr>
                <w:rFonts w:ascii="宋体" w:hAnsi="宋体" w:cs="宋体" w:eastAsia="宋体" w:hint="default"/>
                <w:spacing w:val="5"/>
                <w:sz w:val="15"/>
                <w:szCs w:val="15"/>
              </w:rPr>
              <w:t>深圳市鸿丰酒店管</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理有限公司</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14"/>
              <w:jc w:val="left"/>
              <w:rPr>
                <w:rFonts w:ascii="宋体" w:hAnsi="宋体" w:cs="宋体" w:eastAsia="宋体" w:hint="default"/>
                <w:sz w:val="15"/>
                <w:szCs w:val="15"/>
              </w:rPr>
            </w:pPr>
            <w:r>
              <w:rPr>
                <w:rFonts w:ascii="宋体" w:hAnsi="宋体" w:cs="宋体" w:eastAsia="宋体" w:hint="default"/>
                <w:sz w:val="15"/>
                <w:szCs w:val="15"/>
              </w:rPr>
              <w:t>有限责任 公司</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深圳</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64"/>
              <w:jc w:val="right"/>
              <w:rPr>
                <w:rFonts w:ascii="宋体" w:hAnsi="宋体" w:cs="宋体" w:eastAsia="宋体" w:hint="default"/>
                <w:sz w:val="15"/>
                <w:szCs w:val="15"/>
              </w:rPr>
            </w:pPr>
            <w:r>
              <w:rPr>
                <w:rFonts w:ascii="宋体" w:hAnsi="宋体" w:cs="宋体" w:eastAsia="宋体" w:hint="default"/>
                <w:sz w:val="15"/>
                <w:szCs w:val="15"/>
              </w:rPr>
              <w:t>颜金辉</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right="1"/>
              <w:jc w:val="center"/>
              <w:rPr>
                <w:rFonts w:ascii="宋体" w:hAnsi="宋体" w:cs="宋体" w:eastAsia="宋体" w:hint="default"/>
                <w:sz w:val="15"/>
                <w:szCs w:val="15"/>
              </w:rPr>
            </w:pPr>
            <w:r>
              <w:rPr>
                <w:rFonts w:ascii="宋体" w:hAnsi="宋体" w:cs="宋体" w:eastAsia="宋体" w:hint="default"/>
                <w:sz w:val="15"/>
                <w:szCs w:val="15"/>
              </w:rPr>
              <w:t>酒店管理</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20,000,000.00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30%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136,754,121.72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49,628,819.86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87,125,301.86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38,658,018.82</w:t>
            </w:r>
          </w:p>
        </w:tc>
        <w:tc>
          <w:tcPr>
            <w:tcW w:w="9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8,825,399.18</w:t>
            </w:r>
          </w:p>
        </w:tc>
      </w:tr>
      <w:tr>
        <w:trPr>
          <w:trHeight w:val="714" w:hRule="exact"/>
        </w:trPr>
        <w:tc>
          <w:tcPr>
            <w:tcW w:w="126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left="14" w:right="0"/>
              <w:jc w:val="left"/>
              <w:rPr>
                <w:rFonts w:ascii="宋体" w:hAnsi="宋体" w:cs="宋体" w:eastAsia="宋体" w:hint="default"/>
                <w:sz w:val="15"/>
                <w:szCs w:val="15"/>
              </w:rPr>
            </w:pPr>
            <w:r>
              <w:rPr>
                <w:rFonts w:ascii="宋体" w:hAnsi="宋体" w:cs="宋体" w:eastAsia="宋体" w:hint="default"/>
                <w:spacing w:val="5"/>
                <w:sz w:val="15"/>
                <w:szCs w:val="15"/>
              </w:rPr>
              <w:t>福建东南广播电视</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网络有限公司</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 w:right="14"/>
              <w:jc w:val="left"/>
              <w:rPr>
                <w:rFonts w:ascii="宋体" w:hAnsi="宋体" w:cs="宋体" w:eastAsia="宋体" w:hint="default"/>
                <w:sz w:val="15"/>
                <w:szCs w:val="15"/>
              </w:rPr>
            </w:pPr>
            <w:r>
              <w:rPr>
                <w:rFonts w:ascii="宋体" w:hAnsi="宋体" w:cs="宋体" w:eastAsia="宋体" w:hint="default"/>
                <w:sz w:val="15"/>
                <w:szCs w:val="15"/>
              </w:rPr>
              <w:t>有限责任 公司</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right="1"/>
              <w:jc w:val="center"/>
              <w:rPr>
                <w:rFonts w:ascii="宋体" w:hAnsi="宋体" w:cs="宋体" w:eastAsia="宋体" w:hint="default"/>
                <w:sz w:val="15"/>
                <w:szCs w:val="15"/>
              </w:rPr>
            </w:pPr>
            <w:r>
              <w:rPr>
                <w:rFonts w:ascii="宋体" w:hAnsi="宋体" w:cs="宋体" w:eastAsia="宋体" w:hint="default"/>
                <w:sz w:val="15"/>
                <w:szCs w:val="15"/>
              </w:rPr>
              <w:t>福州</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left="241" w:right="0"/>
              <w:jc w:val="left"/>
              <w:rPr>
                <w:rFonts w:ascii="宋体" w:hAnsi="宋体" w:cs="宋体" w:eastAsia="宋体" w:hint="default"/>
                <w:sz w:val="15"/>
                <w:szCs w:val="15"/>
              </w:rPr>
            </w:pPr>
            <w:r>
              <w:rPr>
                <w:rFonts w:ascii="宋体" w:hAnsi="宋体" w:cs="宋体" w:eastAsia="宋体" w:hint="default"/>
                <w:sz w:val="15"/>
                <w:szCs w:val="15"/>
              </w:rPr>
              <w:t>龙辉</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15"/>
              <w:jc w:val="both"/>
              <w:rPr>
                <w:rFonts w:ascii="宋体" w:hAnsi="宋体" w:cs="宋体" w:eastAsia="宋体" w:hint="default"/>
                <w:sz w:val="15"/>
                <w:szCs w:val="15"/>
              </w:rPr>
            </w:pPr>
            <w:r>
              <w:rPr>
                <w:rFonts w:ascii="宋体" w:hAnsi="宋体" w:cs="宋体" w:eastAsia="宋体" w:hint="default"/>
                <w:spacing w:val="13"/>
                <w:sz w:val="15"/>
                <w:szCs w:val="15"/>
              </w:rPr>
              <w:t>有线电视网络规划、建</w:t>
            </w:r>
            <w:r>
              <w:rPr>
                <w:rFonts w:ascii="宋体" w:hAnsi="宋体" w:cs="宋体" w:eastAsia="宋体" w:hint="default"/>
                <w:spacing w:val="-67"/>
                <w:sz w:val="15"/>
                <w:szCs w:val="15"/>
              </w:rPr>
              <w:t> </w:t>
            </w:r>
            <w:r>
              <w:rPr>
                <w:rFonts w:ascii="宋体" w:hAnsi="宋体" w:cs="宋体" w:eastAsia="宋体" w:hint="default"/>
                <w:sz w:val="15"/>
                <w:szCs w:val="15"/>
              </w:rPr>
              <w:t>设、维护、营运的多功能</w:t>
            </w:r>
            <w:r>
              <w:rPr>
                <w:rFonts w:ascii="宋体" w:hAnsi="宋体" w:cs="宋体" w:eastAsia="宋体" w:hint="default"/>
                <w:sz w:val="15"/>
                <w:szCs w:val="15"/>
              </w:rPr>
              <w:t> 开发应用</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93,960,000.00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18.51%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18.51%</w:t>
            </w:r>
          </w:p>
        </w:tc>
        <w:tc>
          <w:tcPr>
            <w:tcW w:w="5194"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right="1"/>
              <w:jc w:val="center"/>
              <w:rPr>
                <w:rFonts w:ascii="宋体" w:hAnsi="宋体" w:cs="宋体" w:eastAsia="宋体" w:hint="default"/>
                <w:sz w:val="15"/>
                <w:szCs w:val="15"/>
              </w:rPr>
            </w:pPr>
            <w:r>
              <w:rPr>
                <w:rFonts w:ascii="宋体" w:hAnsi="宋体" w:cs="宋体" w:eastAsia="宋体" w:hint="default"/>
                <w:sz w:val="15"/>
                <w:szCs w:val="15"/>
              </w:rPr>
              <w:t>注</w:t>
            </w:r>
          </w:p>
        </w:tc>
      </w:tr>
    </w:tbl>
    <w:p>
      <w:pPr>
        <w:spacing w:line="240" w:lineRule="auto" w:before="13"/>
        <w:rPr>
          <w:rFonts w:ascii="宋体" w:hAnsi="宋体" w:cs="宋体" w:eastAsia="宋体" w:hint="default"/>
          <w:sz w:val="5"/>
          <w:szCs w:val="5"/>
        </w:rPr>
      </w:pPr>
    </w:p>
    <w:p>
      <w:pPr>
        <w:pStyle w:val="BodyText"/>
        <w:spacing w:line="240" w:lineRule="auto" w:before="35"/>
        <w:ind w:left="0" w:right="318"/>
        <w:jc w:val="right"/>
      </w:pPr>
      <w:r>
        <w:rPr>
          <w:spacing w:val="-5"/>
        </w:rPr>
        <w:t>注：该公司</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日财务报表中净资产为</w:t>
      </w:r>
      <w:r>
        <w:rPr>
          <w:spacing w:val="-58"/>
        </w:rPr>
        <w:t> </w:t>
      </w:r>
      <w:r>
        <w:rPr>
          <w:rFonts w:ascii="Times New Roman" w:hAnsi="Times New Roman" w:cs="Times New Roman" w:eastAsia="Times New Roman" w:hint="default"/>
        </w:rPr>
        <w:t>145,168,187.86</w:t>
      </w:r>
      <w:r>
        <w:rPr>
          <w:rFonts w:ascii="Times New Roman" w:hAnsi="Times New Roman" w:cs="Times New Roman" w:eastAsia="Times New Roman" w:hint="default"/>
          <w:spacing w:val="-5"/>
        </w:rPr>
        <w:t> </w:t>
      </w:r>
      <w:r>
        <w:rPr/>
        <w:t>元，福建立信会计师事务所有限公司对此财务报表出具了保留意见的审计报告</w:t>
      </w:r>
    </w:p>
    <w:p>
      <w:pPr>
        <w:pStyle w:val="BodyText"/>
        <w:spacing w:line="345" w:lineRule="auto" w:before="129"/>
        <w:ind w:left="250" w:right="311"/>
        <w:jc w:val="left"/>
      </w:pPr>
      <w:r>
        <w:rPr>
          <w:spacing w:val="-1"/>
        </w:rPr>
        <w:t>（审计报告号码为：闽立信会师【</w:t>
      </w:r>
      <w:r>
        <w:rPr>
          <w:rFonts w:ascii="Times New Roman" w:hAnsi="Times New Roman" w:cs="Times New Roman" w:eastAsia="Times New Roman" w:hint="default"/>
          <w:spacing w:val="-1"/>
        </w:rPr>
        <w:t>2010</w:t>
      </w:r>
      <w:r>
        <w:rPr>
          <w:spacing w:val="-1"/>
        </w:rPr>
        <w:t>】审字第</w:t>
      </w:r>
      <w:r>
        <w:rPr>
          <w:spacing w:val="-34"/>
        </w:rPr>
        <w:t> </w:t>
      </w:r>
      <w:r>
        <w:rPr>
          <w:rFonts w:ascii="Times New Roman" w:hAnsi="Times New Roman" w:cs="Times New Roman" w:eastAsia="Times New Roman" w:hint="default"/>
        </w:rPr>
        <w:t>163</w:t>
      </w:r>
      <w:r>
        <w:rPr>
          <w:rFonts w:ascii="Times New Roman" w:hAnsi="Times New Roman" w:cs="Times New Roman" w:eastAsia="Times New Roman" w:hint="default"/>
          <w:spacing w:val="19"/>
        </w:rPr>
        <w:t> </w:t>
      </w:r>
      <w:r>
        <w:rPr>
          <w:spacing w:val="-3"/>
        </w:rPr>
        <w:t>号）。考虑审计报告中保留意见事项的影响，该公司净资产为负数，该公司的持续经营能力存在</w:t>
      </w:r>
      <w:r>
        <w:rPr>
          <w:spacing w:val="-103"/>
        </w:rPr>
        <w:t> </w:t>
      </w:r>
      <w:r>
        <w:rPr>
          <w:spacing w:val="-103"/>
        </w:rPr>
      </w:r>
      <w:r>
        <w:rPr/>
        <w:t>不确定性。</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ind w:left="250" w:right="311"/>
        <w:jc w:val="left"/>
      </w:pPr>
      <w:r>
        <w:rPr>
          <w:rFonts w:ascii="Times New Roman" w:hAnsi="Times New Roman" w:cs="Times New Roman" w:eastAsia="Times New Roman" w:hint="default"/>
          <w:b/>
          <w:bCs/>
        </w:rPr>
        <w:t>9</w:t>
      </w:r>
      <w:r>
        <w:rPr/>
        <w:t>、长期股权投资</w:t>
      </w:r>
    </w:p>
    <w:p>
      <w:pPr>
        <w:spacing w:line="240" w:lineRule="auto" w:before="12"/>
        <w:rPr>
          <w:rFonts w:ascii="宋体" w:hAnsi="宋体" w:cs="宋体" w:eastAsia="宋体" w:hint="default"/>
          <w:sz w:val="15"/>
          <w:szCs w:val="15"/>
        </w:rPr>
      </w:pPr>
    </w:p>
    <w:p>
      <w:pPr>
        <w:pStyle w:val="BodyText"/>
        <w:tabs>
          <w:tab w:pos="1049" w:val="left" w:leader="none"/>
        </w:tabs>
        <w:spacing w:line="240" w:lineRule="auto"/>
        <w:ind w:left="0" w:right="318"/>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372"/>
        <w:gridCol w:w="846"/>
        <w:gridCol w:w="1274"/>
        <w:gridCol w:w="1288"/>
        <w:gridCol w:w="1134"/>
        <w:gridCol w:w="1285"/>
        <w:gridCol w:w="1130"/>
        <w:gridCol w:w="1271"/>
        <w:gridCol w:w="1122"/>
        <w:gridCol w:w="1015"/>
        <w:gridCol w:w="1134"/>
      </w:tblGrid>
      <w:tr>
        <w:trPr>
          <w:trHeight w:val="530" w:hRule="exact"/>
        </w:trPr>
        <w:tc>
          <w:tcPr>
            <w:tcW w:w="23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15"/>
                <w:szCs w:val="15"/>
              </w:rPr>
            </w:pPr>
            <w:r>
              <w:rPr>
                <w:rFonts w:ascii="宋体" w:hAnsi="宋体" w:cs="宋体" w:eastAsia="宋体" w:hint="default"/>
                <w:sz w:val="15"/>
                <w:szCs w:val="15"/>
              </w:rPr>
              <w:t>被投资单位</w:t>
            </w:r>
          </w:p>
        </w:tc>
        <w:tc>
          <w:tcPr>
            <w:tcW w:w="8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核算方法</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初始投资成本</w:t>
            </w:r>
          </w:p>
        </w:tc>
        <w:tc>
          <w:tcPr>
            <w:tcW w:w="12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sz w:val="15"/>
                <w:szCs w:val="15"/>
              </w:rPr>
              <w:t>增减变动</w:t>
            </w:r>
          </w:p>
        </w:tc>
        <w:tc>
          <w:tcPr>
            <w:tcW w:w="12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32"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142" w:right="103" w:hanging="38"/>
              <w:jc w:val="left"/>
              <w:rPr>
                <w:rFonts w:ascii="Times New Roman" w:hAnsi="Times New Roman" w:cs="Times New Roman" w:eastAsia="Times New Roman" w:hint="default"/>
                <w:sz w:val="15"/>
                <w:szCs w:val="15"/>
              </w:rPr>
            </w:pPr>
            <w:r>
              <w:rPr>
                <w:rFonts w:ascii="宋体" w:hAnsi="宋体" w:cs="宋体" w:eastAsia="宋体" w:hint="default"/>
                <w:sz w:val="15"/>
                <w:szCs w:val="15"/>
              </w:rPr>
              <w:t>在被投资单位 持股比例</w:t>
            </w:r>
            <w:r>
              <w:rPr>
                <w:rFonts w:ascii="Times New Roman" w:hAnsi="Times New Roman" w:cs="Times New Roman" w:eastAsia="Times New Roman" w:hint="default"/>
                <w:sz w:val="15"/>
                <w:szCs w:val="15"/>
              </w:rPr>
              <w:t>(%)</w:t>
            </w:r>
          </w:p>
        </w:tc>
        <w:tc>
          <w:tcPr>
            <w:tcW w:w="12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212" w:right="98" w:hanging="112"/>
              <w:jc w:val="left"/>
              <w:rPr>
                <w:rFonts w:ascii="Times New Roman" w:hAnsi="Times New Roman" w:cs="Times New Roman" w:eastAsia="Times New Roman" w:hint="default"/>
                <w:sz w:val="15"/>
                <w:szCs w:val="15"/>
              </w:rPr>
            </w:pPr>
            <w:r>
              <w:rPr>
                <w:rFonts w:ascii="宋体" w:hAnsi="宋体" w:cs="宋体" w:eastAsia="宋体" w:hint="default"/>
                <w:sz w:val="15"/>
                <w:szCs w:val="15"/>
              </w:rPr>
              <w:t>在被投资单位表 决权比例</w:t>
            </w:r>
            <w:r>
              <w:rPr>
                <w:rFonts w:ascii="Times New Roman" w:hAnsi="Times New Roman" w:cs="Times New Roman" w:eastAsia="Times New Roman" w:hint="default"/>
                <w:sz w:val="15"/>
                <w:szCs w:val="15"/>
              </w:rPr>
              <w:t>(%)</w:t>
            </w:r>
          </w:p>
        </w:tc>
        <w:tc>
          <w:tcPr>
            <w:tcW w:w="1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50"/>
              <w:jc w:val="right"/>
              <w:rPr>
                <w:rFonts w:ascii="宋体" w:hAnsi="宋体" w:cs="宋体" w:eastAsia="宋体" w:hint="default"/>
                <w:sz w:val="15"/>
                <w:szCs w:val="15"/>
              </w:rPr>
            </w:pPr>
            <w:r>
              <w:rPr>
                <w:rFonts w:ascii="宋体" w:hAnsi="宋体" w:cs="宋体" w:eastAsia="宋体" w:hint="default"/>
                <w:sz w:val="15"/>
                <w:szCs w:val="15"/>
              </w:rPr>
              <w:t>减值准备</w:t>
            </w:r>
          </w:p>
        </w:tc>
        <w:tc>
          <w:tcPr>
            <w:tcW w:w="10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273" w:right="120" w:hanging="150"/>
              <w:jc w:val="left"/>
              <w:rPr>
                <w:rFonts w:ascii="宋体" w:hAnsi="宋体" w:cs="宋体" w:eastAsia="宋体" w:hint="default"/>
                <w:sz w:val="15"/>
                <w:szCs w:val="15"/>
              </w:rPr>
            </w:pPr>
            <w:r>
              <w:rPr>
                <w:rFonts w:ascii="宋体" w:hAnsi="宋体" w:cs="宋体" w:eastAsia="宋体" w:hint="default"/>
                <w:sz w:val="15"/>
                <w:szCs w:val="15"/>
              </w:rPr>
              <w:t>本期计提减 值准备</w:t>
            </w:r>
          </w:p>
        </w:tc>
        <w:tc>
          <w:tcPr>
            <w:tcW w:w="11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15"/>
              <w:jc w:val="right"/>
              <w:rPr>
                <w:rFonts w:ascii="宋体" w:hAnsi="宋体" w:cs="宋体" w:eastAsia="宋体" w:hint="default"/>
                <w:sz w:val="15"/>
                <w:szCs w:val="15"/>
              </w:rPr>
            </w:pPr>
            <w:r>
              <w:rPr>
                <w:rFonts w:ascii="宋体" w:hAnsi="宋体" w:cs="宋体" w:eastAsia="宋体" w:hint="default"/>
                <w:sz w:val="15"/>
                <w:szCs w:val="15"/>
              </w:rPr>
              <w:t>本期现金红利</w:t>
            </w:r>
          </w:p>
        </w:tc>
      </w:tr>
      <w:tr>
        <w:trPr>
          <w:trHeight w:val="520" w:hRule="exact"/>
        </w:trPr>
        <w:tc>
          <w:tcPr>
            <w:tcW w:w="2372"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一、联营企业</w:t>
            </w:r>
          </w:p>
        </w:tc>
        <w:tc>
          <w:tcPr>
            <w:tcW w:w="846"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
        </w:tc>
        <w:tc>
          <w:tcPr>
            <w:tcW w:w="1288" w:type="dxa"/>
            <w:tcBorders>
              <w:top w:val="single" w:sz="8" w:space="0" w:color="000000"/>
              <w:left w:val="single" w:sz="8" w:space="0" w:color="000000"/>
              <w:bottom w:val="single" w:sz="8" w:space="0" w:color="000000"/>
              <w:right w:val="single" w:sz="8" w:space="0" w:color="000000"/>
            </w:tcBorders>
          </w:tcPr>
          <w:p>
            <w:pPr/>
          </w:p>
        </w:tc>
        <w:tc>
          <w:tcPr>
            <w:tcW w:w="1134" w:type="dxa"/>
            <w:tcBorders>
              <w:top w:val="single" w:sz="8" w:space="0" w:color="000000"/>
              <w:left w:val="single" w:sz="8" w:space="0" w:color="000000"/>
              <w:bottom w:val="single" w:sz="8" w:space="0" w:color="000000"/>
              <w:right w:val="single" w:sz="8" w:space="0" w:color="000000"/>
            </w:tcBorders>
          </w:tcPr>
          <w:p>
            <w:pPr/>
          </w:p>
        </w:tc>
        <w:tc>
          <w:tcPr>
            <w:tcW w:w="1285" w:type="dxa"/>
            <w:tcBorders>
              <w:top w:val="single" w:sz="8" w:space="0" w:color="000000"/>
              <w:left w:val="single" w:sz="8" w:space="0" w:color="000000"/>
              <w:bottom w:val="single" w:sz="8" w:space="0" w:color="000000"/>
              <w:right w:val="single" w:sz="8" w:space="0" w:color="000000"/>
            </w:tcBorders>
          </w:tcPr>
          <w:p>
            <w:pPr/>
          </w:p>
        </w:tc>
        <w:tc>
          <w:tcPr>
            <w:tcW w:w="1130" w:type="dxa"/>
            <w:tcBorders>
              <w:top w:val="single" w:sz="8" w:space="0" w:color="000000"/>
              <w:left w:val="single" w:sz="8" w:space="0" w:color="000000"/>
              <w:bottom w:val="single" w:sz="8" w:space="0" w:color="000000"/>
              <w:right w:val="single" w:sz="8" w:space="0" w:color="000000"/>
            </w:tcBorders>
          </w:tcPr>
          <w:p>
            <w:pPr/>
          </w:p>
        </w:tc>
        <w:tc>
          <w:tcPr>
            <w:tcW w:w="1271" w:type="dxa"/>
            <w:tcBorders>
              <w:top w:val="single" w:sz="8" w:space="0" w:color="000000"/>
              <w:left w:val="single" w:sz="8" w:space="0" w:color="000000"/>
              <w:bottom w:val="single" w:sz="8" w:space="0" w:color="000000"/>
              <w:right w:val="single" w:sz="8" w:space="0" w:color="000000"/>
            </w:tcBorders>
          </w:tcPr>
          <w:p>
            <w:pPr/>
          </w:p>
        </w:tc>
        <w:tc>
          <w:tcPr>
            <w:tcW w:w="1122" w:type="dxa"/>
            <w:tcBorders>
              <w:top w:val="single" w:sz="8" w:space="0" w:color="000000"/>
              <w:left w:val="single" w:sz="8" w:space="0" w:color="000000"/>
              <w:bottom w:val="single" w:sz="8" w:space="0" w:color="000000"/>
              <w:right w:val="single" w:sz="8" w:space="0" w:color="000000"/>
            </w:tcBorders>
          </w:tcPr>
          <w:p>
            <w:pPr/>
          </w:p>
        </w:tc>
        <w:tc>
          <w:tcPr>
            <w:tcW w:w="1015" w:type="dxa"/>
            <w:tcBorders>
              <w:top w:val="single" w:sz="8" w:space="0" w:color="000000"/>
              <w:left w:val="single" w:sz="8" w:space="0" w:color="000000"/>
              <w:bottom w:val="single" w:sz="8" w:space="0" w:color="000000"/>
              <w:right w:val="single" w:sz="8" w:space="0" w:color="000000"/>
            </w:tcBorders>
          </w:tcPr>
          <w:p>
            <w:pPr/>
          </w:p>
        </w:tc>
        <w:tc>
          <w:tcPr>
            <w:tcW w:w="1134" w:type="dxa"/>
            <w:tcBorders>
              <w:top w:val="single" w:sz="8" w:space="0" w:color="000000"/>
              <w:left w:val="single" w:sz="8" w:space="0" w:color="000000"/>
              <w:bottom w:val="single" w:sz="8" w:space="0" w:color="000000"/>
              <w:right w:val="nil" w:sz="6" w:space="0" w:color="auto"/>
            </w:tcBorders>
          </w:tcPr>
          <w:p>
            <w:pPr/>
          </w:p>
        </w:tc>
      </w:tr>
      <w:tr>
        <w:trPr>
          <w:trHeight w:val="520" w:hRule="exact"/>
        </w:trPr>
        <w:tc>
          <w:tcPr>
            <w:tcW w:w="2372"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深圳市深威驳运有限公司</w:t>
            </w:r>
          </w:p>
        </w:tc>
        <w:tc>
          <w:tcPr>
            <w:tcW w:w="8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权益法</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5,400,000.00</w:t>
            </w:r>
          </w:p>
        </w:tc>
        <w:tc>
          <w:tcPr>
            <w:tcW w:w="12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6,821,079.92</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240" w:right="0"/>
              <w:jc w:val="left"/>
              <w:rPr>
                <w:rFonts w:ascii="Times New Roman" w:hAnsi="Times New Roman" w:cs="Times New Roman" w:eastAsia="Times New Roman" w:hint="default"/>
                <w:sz w:val="15"/>
                <w:szCs w:val="15"/>
              </w:rPr>
            </w:pPr>
            <w:r>
              <w:rPr>
                <w:rFonts w:ascii="Times New Roman"/>
                <w:sz w:val="15"/>
              </w:rPr>
              <w:t>-239,145.83</w:t>
            </w:r>
          </w:p>
        </w:tc>
        <w:tc>
          <w:tcPr>
            <w:tcW w:w="12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6,581,934.09</w:t>
            </w:r>
          </w:p>
        </w:tc>
        <w:tc>
          <w:tcPr>
            <w:tcW w:w="1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415"/>
              <w:jc w:val="right"/>
              <w:rPr>
                <w:rFonts w:ascii="Times New Roman" w:hAnsi="Times New Roman" w:cs="Times New Roman" w:eastAsia="Times New Roman" w:hint="default"/>
                <w:sz w:val="15"/>
                <w:szCs w:val="15"/>
              </w:rPr>
            </w:pPr>
            <w:r>
              <w:rPr>
                <w:rFonts w:ascii="Times New Roman"/>
                <w:sz w:val="15"/>
              </w:rPr>
              <w:t>45%</w:t>
            </w:r>
          </w:p>
        </w:tc>
        <w:tc>
          <w:tcPr>
            <w:tcW w:w="12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485"/>
              <w:jc w:val="right"/>
              <w:rPr>
                <w:rFonts w:ascii="Times New Roman" w:hAnsi="Times New Roman" w:cs="Times New Roman" w:eastAsia="Times New Roman" w:hint="default"/>
                <w:sz w:val="15"/>
                <w:szCs w:val="15"/>
              </w:rPr>
            </w:pPr>
            <w:r>
              <w:rPr>
                <w:rFonts w:ascii="Times New Roman"/>
                <w:sz w:val="15"/>
              </w:rPr>
              <w:t>45%</w:t>
            </w:r>
          </w:p>
        </w:tc>
        <w:tc>
          <w:tcPr>
            <w:tcW w:w="1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336"/>
              <w:jc w:val="right"/>
              <w:rPr>
                <w:rFonts w:ascii="Times New Roman" w:hAnsi="Times New Roman" w:cs="Times New Roman" w:eastAsia="Times New Roman" w:hint="default"/>
                <w:sz w:val="15"/>
                <w:szCs w:val="15"/>
              </w:rPr>
            </w:pPr>
            <w:r>
              <w:rPr>
                <w:rFonts w:ascii="Times New Roman"/>
                <w:sz w:val="15"/>
              </w:rPr>
              <w:t>-</w:t>
            </w:r>
          </w:p>
        </w:tc>
        <w:tc>
          <w:tcPr>
            <w:tcW w:w="10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83"/>
              <w:jc w:val="righ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8"/>
              <w:jc w:val="right"/>
              <w:rPr>
                <w:rFonts w:ascii="Times New Roman" w:hAnsi="Times New Roman" w:cs="Times New Roman" w:eastAsia="Times New Roman" w:hint="default"/>
                <w:sz w:val="15"/>
                <w:szCs w:val="15"/>
              </w:rPr>
            </w:pPr>
            <w:r>
              <w:rPr>
                <w:rFonts w:ascii="Times New Roman"/>
                <w:spacing w:val="-1"/>
                <w:sz w:val="15"/>
              </w:rPr>
              <w:t>257,643.79</w:t>
            </w:r>
          </w:p>
        </w:tc>
      </w:tr>
      <w:tr>
        <w:trPr>
          <w:trHeight w:val="521" w:hRule="exact"/>
        </w:trPr>
        <w:tc>
          <w:tcPr>
            <w:tcW w:w="2372"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深圳市雅喆电梯有限公司</w:t>
            </w:r>
          </w:p>
        </w:tc>
        <w:tc>
          <w:tcPr>
            <w:tcW w:w="8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权益法</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400,000.00</w:t>
            </w:r>
          </w:p>
        </w:tc>
        <w:tc>
          <w:tcPr>
            <w:tcW w:w="12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362,208.12</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291" w:right="0"/>
              <w:jc w:val="left"/>
              <w:rPr>
                <w:rFonts w:ascii="Times New Roman" w:hAnsi="Times New Roman" w:cs="Times New Roman" w:eastAsia="Times New Roman" w:hint="default"/>
                <w:sz w:val="15"/>
                <w:szCs w:val="15"/>
              </w:rPr>
            </w:pPr>
            <w:r>
              <w:rPr>
                <w:rFonts w:ascii="Times New Roman"/>
                <w:sz w:val="15"/>
              </w:rPr>
              <w:t>232,273.00</w:t>
            </w:r>
          </w:p>
        </w:tc>
        <w:tc>
          <w:tcPr>
            <w:tcW w:w="12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594,481.12</w:t>
            </w:r>
          </w:p>
        </w:tc>
        <w:tc>
          <w:tcPr>
            <w:tcW w:w="1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417"/>
              <w:jc w:val="right"/>
              <w:rPr>
                <w:rFonts w:ascii="Times New Roman" w:hAnsi="Times New Roman" w:cs="Times New Roman" w:eastAsia="Times New Roman" w:hint="default"/>
                <w:sz w:val="15"/>
                <w:szCs w:val="15"/>
              </w:rPr>
            </w:pPr>
            <w:r>
              <w:rPr>
                <w:rFonts w:ascii="Times New Roman"/>
                <w:sz w:val="15"/>
              </w:rPr>
              <w:t>40%</w:t>
            </w:r>
          </w:p>
        </w:tc>
        <w:tc>
          <w:tcPr>
            <w:tcW w:w="12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486"/>
              <w:jc w:val="right"/>
              <w:rPr>
                <w:rFonts w:ascii="Times New Roman" w:hAnsi="Times New Roman" w:cs="Times New Roman" w:eastAsia="Times New Roman" w:hint="default"/>
                <w:sz w:val="15"/>
                <w:szCs w:val="15"/>
              </w:rPr>
            </w:pPr>
            <w:r>
              <w:rPr>
                <w:rFonts w:ascii="Times New Roman"/>
                <w:sz w:val="15"/>
              </w:rPr>
              <w:t>40%</w:t>
            </w:r>
          </w:p>
        </w:tc>
        <w:tc>
          <w:tcPr>
            <w:tcW w:w="1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336"/>
              <w:jc w:val="right"/>
              <w:rPr>
                <w:rFonts w:ascii="Times New Roman" w:hAnsi="Times New Roman" w:cs="Times New Roman" w:eastAsia="Times New Roman" w:hint="default"/>
                <w:sz w:val="15"/>
                <w:szCs w:val="15"/>
              </w:rPr>
            </w:pPr>
            <w:r>
              <w:rPr>
                <w:rFonts w:ascii="Times New Roman"/>
                <w:sz w:val="15"/>
              </w:rPr>
              <w:t>-</w:t>
            </w:r>
          </w:p>
        </w:tc>
        <w:tc>
          <w:tcPr>
            <w:tcW w:w="10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83"/>
              <w:jc w:val="righ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95"/>
              <w:jc w:val="right"/>
              <w:rPr>
                <w:rFonts w:ascii="Times New Roman" w:hAnsi="Times New Roman" w:cs="Times New Roman" w:eastAsia="Times New Roman" w:hint="default"/>
                <w:sz w:val="15"/>
                <w:szCs w:val="15"/>
              </w:rPr>
            </w:pPr>
            <w:r>
              <w:rPr>
                <w:rFonts w:ascii="Times New Roman"/>
                <w:sz w:val="15"/>
              </w:rPr>
              <w:t>-</w:t>
            </w:r>
          </w:p>
        </w:tc>
      </w:tr>
    </w:tbl>
    <w:p>
      <w:pPr>
        <w:spacing w:after="0" w:line="240" w:lineRule="auto"/>
        <w:jc w:val="right"/>
        <w:rPr>
          <w:rFonts w:ascii="Times New Roman" w:hAnsi="Times New Roman" w:cs="Times New Roman" w:eastAsia="Times New Roman" w:hint="default"/>
          <w:sz w:val="15"/>
          <w:szCs w:val="15"/>
        </w:rPr>
        <w:sectPr>
          <w:footerReference w:type="default" r:id="rId17"/>
          <w:pgSz w:w="16840" w:h="11900" w:orient="landscape"/>
          <w:pgMar w:footer="954" w:header="0" w:top="1100" w:bottom="1140" w:left="1620" w:right="1100"/>
          <w:pgNumType w:start="46"/>
        </w:sectPr>
      </w:pPr>
    </w:p>
    <w:p>
      <w:pPr>
        <w:spacing w:line="240" w:lineRule="auto" w:before="5"/>
        <w:rPr>
          <w:rFonts w:ascii="Times New Roman" w:hAnsi="Times New Roman" w:cs="Times New Roman" w:eastAsia="Times New Roman"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2372"/>
        <w:gridCol w:w="846"/>
        <w:gridCol w:w="1274"/>
        <w:gridCol w:w="1288"/>
        <w:gridCol w:w="1134"/>
        <w:gridCol w:w="1285"/>
        <w:gridCol w:w="1130"/>
        <w:gridCol w:w="1271"/>
        <w:gridCol w:w="1122"/>
        <w:gridCol w:w="1015"/>
        <w:gridCol w:w="1134"/>
      </w:tblGrid>
      <w:tr>
        <w:trPr>
          <w:trHeight w:val="530" w:hRule="exact"/>
        </w:trPr>
        <w:tc>
          <w:tcPr>
            <w:tcW w:w="23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 w:right="0"/>
              <w:jc w:val="center"/>
              <w:rPr>
                <w:rFonts w:ascii="宋体" w:hAnsi="宋体" w:cs="宋体" w:eastAsia="宋体" w:hint="default"/>
                <w:sz w:val="15"/>
                <w:szCs w:val="15"/>
              </w:rPr>
            </w:pPr>
            <w:r>
              <w:rPr>
                <w:rFonts w:ascii="宋体" w:hAnsi="宋体" w:cs="宋体" w:eastAsia="宋体" w:hint="default"/>
                <w:sz w:val="15"/>
                <w:szCs w:val="15"/>
              </w:rPr>
              <w:t>被投资单位</w:t>
            </w:r>
          </w:p>
        </w:tc>
        <w:tc>
          <w:tcPr>
            <w:tcW w:w="8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核算方法</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初始投资成本</w:t>
            </w:r>
          </w:p>
        </w:tc>
        <w:tc>
          <w:tcPr>
            <w:tcW w:w="12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sz w:val="15"/>
                <w:szCs w:val="15"/>
              </w:rPr>
              <w:t>增减变动</w:t>
            </w:r>
          </w:p>
        </w:tc>
        <w:tc>
          <w:tcPr>
            <w:tcW w:w="12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332"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142" w:right="103" w:hanging="38"/>
              <w:jc w:val="left"/>
              <w:rPr>
                <w:rFonts w:ascii="Times New Roman" w:hAnsi="Times New Roman" w:cs="Times New Roman" w:eastAsia="Times New Roman" w:hint="default"/>
                <w:sz w:val="15"/>
                <w:szCs w:val="15"/>
              </w:rPr>
            </w:pPr>
            <w:r>
              <w:rPr>
                <w:rFonts w:ascii="宋体" w:hAnsi="宋体" w:cs="宋体" w:eastAsia="宋体" w:hint="default"/>
                <w:sz w:val="15"/>
                <w:szCs w:val="15"/>
              </w:rPr>
              <w:t>在被投资单位 持股比例</w:t>
            </w:r>
            <w:r>
              <w:rPr>
                <w:rFonts w:ascii="Times New Roman" w:hAnsi="Times New Roman" w:cs="Times New Roman" w:eastAsia="Times New Roman" w:hint="default"/>
                <w:sz w:val="15"/>
                <w:szCs w:val="15"/>
              </w:rPr>
              <w:t>(%)</w:t>
            </w:r>
          </w:p>
        </w:tc>
        <w:tc>
          <w:tcPr>
            <w:tcW w:w="12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212" w:right="98" w:hanging="112"/>
              <w:jc w:val="left"/>
              <w:rPr>
                <w:rFonts w:ascii="Times New Roman" w:hAnsi="Times New Roman" w:cs="Times New Roman" w:eastAsia="Times New Roman" w:hint="default"/>
                <w:sz w:val="15"/>
                <w:szCs w:val="15"/>
              </w:rPr>
            </w:pPr>
            <w:r>
              <w:rPr>
                <w:rFonts w:ascii="宋体" w:hAnsi="宋体" w:cs="宋体" w:eastAsia="宋体" w:hint="default"/>
                <w:sz w:val="15"/>
                <w:szCs w:val="15"/>
              </w:rPr>
              <w:t>在被投资单位表 决权比例</w:t>
            </w:r>
            <w:r>
              <w:rPr>
                <w:rFonts w:ascii="Times New Roman" w:hAnsi="Times New Roman" w:cs="Times New Roman" w:eastAsia="Times New Roman" w:hint="default"/>
                <w:sz w:val="15"/>
                <w:szCs w:val="15"/>
              </w:rPr>
              <w:t>(%)</w:t>
            </w:r>
          </w:p>
        </w:tc>
        <w:tc>
          <w:tcPr>
            <w:tcW w:w="1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50" w:right="0"/>
              <w:jc w:val="left"/>
              <w:rPr>
                <w:rFonts w:ascii="宋体" w:hAnsi="宋体" w:cs="宋体" w:eastAsia="宋体" w:hint="default"/>
                <w:sz w:val="15"/>
                <w:szCs w:val="15"/>
              </w:rPr>
            </w:pPr>
            <w:r>
              <w:rPr>
                <w:rFonts w:ascii="宋体" w:hAnsi="宋体" w:cs="宋体" w:eastAsia="宋体" w:hint="default"/>
                <w:sz w:val="15"/>
                <w:szCs w:val="15"/>
              </w:rPr>
              <w:t>减值准备</w:t>
            </w:r>
          </w:p>
        </w:tc>
        <w:tc>
          <w:tcPr>
            <w:tcW w:w="10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273" w:right="120" w:hanging="150"/>
              <w:jc w:val="left"/>
              <w:rPr>
                <w:rFonts w:ascii="宋体" w:hAnsi="宋体" w:cs="宋体" w:eastAsia="宋体" w:hint="default"/>
                <w:sz w:val="15"/>
                <w:szCs w:val="15"/>
              </w:rPr>
            </w:pPr>
            <w:r>
              <w:rPr>
                <w:rFonts w:ascii="宋体" w:hAnsi="宋体" w:cs="宋体" w:eastAsia="宋体" w:hint="default"/>
                <w:sz w:val="15"/>
                <w:szCs w:val="15"/>
              </w:rPr>
              <w:t>本期计提减 值准备</w:t>
            </w:r>
          </w:p>
        </w:tc>
        <w:tc>
          <w:tcPr>
            <w:tcW w:w="11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15"/>
              <w:jc w:val="right"/>
              <w:rPr>
                <w:rFonts w:ascii="宋体" w:hAnsi="宋体" w:cs="宋体" w:eastAsia="宋体" w:hint="default"/>
                <w:sz w:val="15"/>
                <w:szCs w:val="15"/>
              </w:rPr>
            </w:pPr>
            <w:r>
              <w:rPr>
                <w:rFonts w:ascii="宋体" w:hAnsi="宋体" w:cs="宋体" w:eastAsia="宋体" w:hint="default"/>
                <w:sz w:val="15"/>
                <w:szCs w:val="15"/>
              </w:rPr>
              <w:t>本期现金红利</w:t>
            </w:r>
          </w:p>
        </w:tc>
      </w:tr>
      <w:tr>
        <w:trPr>
          <w:trHeight w:val="520" w:hRule="exact"/>
        </w:trPr>
        <w:tc>
          <w:tcPr>
            <w:tcW w:w="2372"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22" w:right="0"/>
              <w:jc w:val="left"/>
              <w:rPr>
                <w:rFonts w:ascii="宋体" w:hAnsi="宋体" w:cs="宋体" w:eastAsia="宋体" w:hint="default"/>
                <w:sz w:val="15"/>
                <w:szCs w:val="15"/>
              </w:rPr>
            </w:pPr>
            <w:r>
              <w:rPr>
                <w:rFonts w:ascii="宋体" w:hAnsi="宋体" w:cs="宋体" w:eastAsia="宋体" w:hint="default"/>
                <w:sz w:val="15"/>
                <w:szCs w:val="15"/>
              </w:rPr>
              <w:t>深圳市泉源实业发展有限公司</w:t>
            </w:r>
          </w:p>
        </w:tc>
        <w:tc>
          <w:tcPr>
            <w:tcW w:w="8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权益法</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6"/>
              <w:jc w:val="right"/>
              <w:rPr>
                <w:rFonts w:ascii="Times New Roman" w:hAnsi="Times New Roman" w:cs="Times New Roman" w:eastAsia="Times New Roman" w:hint="default"/>
                <w:sz w:val="15"/>
                <w:szCs w:val="15"/>
              </w:rPr>
            </w:pPr>
            <w:r>
              <w:rPr>
                <w:rFonts w:ascii="Times New Roman"/>
                <w:spacing w:val="-1"/>
                <w:sz w:val="15"/>
              </w:rPr>
              <w:t>23,000,000.00</w:t>
            </w:r>
          </w:p>
        </w:tc>
        <w:tc>
          <w:tcPr>
            <w:tcW w:w="12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6"/>
              <w:jc w:val="right"/>
              <w:rPr>
                <w:rFonts w:ascii="Times New Roman" w:hAnsi="Times New Roman" w:cs="Times New Roman" w:eastAsia="Times New Roman" w:hint="default"/>
                <w:sz w:val="15"/>
                <w:szCs w:val="15"/>
              </w:rPr>
            </w:pPr>
            <w:r>
              <w:rPr>
                <w:rFonts w:ascii="Times New Roman"/>
                <w:spacing w:val="-1"/>
                <w:sz w:val="15"/>
              </w:rPr>
              <w:t>15,677,287.94</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46"/>
              <w:jc w:val="right"/>
              <w:rPr>
                <w:rFonts w:ascii="Times New Roman" w:hAnsi="Times New Roman" w:cs="Times New Roman" w:eastAsia="Times New Roman" w:hint="default"/>
                <w:sz w:val="15"/>
                <w:szCs w:val="15"/>
              </w:rPr>
            </w:pPr>
            <w:r>
              <w:rPr>
                <w:rFonts w:ascii="Times New Roman"/>
                <w:spacing w:val="-1"/>
                <w:sz w:val="15"/>
              </w:rPr>
              <w:t>-672,461.88</w:t>
            </w:r>
          </w:p>
        </w:tc>
        <w:tc>
          <w:tcPr>
            <w:tcW w:w="12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15,004,826.06</w:t>
            </w:r>
          </w:p>
        </w:tc>
        <w:tc>
          <w:tcPr>
            <w:tcW w:w="1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50%</w:t>
            </w:r>
          </w:p>
        </w:tc>
        <w:tc>
          <w:tcPr>
            <w:tcW w:w="12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50%</w:t>
            </w:r>
          </w:p>
        </w:tc>
        <w:tc>
          <w:tcPr>
            <w:tcW w:w="1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49"/>
              <w:jc w:val="right"/>
              <w:rPr>
                <w:rFonts w:ascii="Times New Roman" w:hAnsi="Times New Roman" w:cs="Times New Roman" w:eastAsia="Times New Roman" w:hint="default"/>
                <w:sz w:val="15"/>
                <w:szCs w:val="15"/>
              </w:rPr>
            </w:pPr>
            <w:r>
              <w:rPr>
                <w:rFonts w:ascii="Times New Roman"/>
                <w:spacing w:val="-1"/>
                <w:sz w:val="15"/>
              </w:rPr>
              <w:t>7,502,413.03</w:t>
            </w:r>
          </w:p>
        </w:tc>
        <w:tc>
          <w:tcPr>
            <w:tcW w:w="10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6"/>
              <w:jc w:val="right"/>
              <w:rPr>
                <w:rFonts w:ascii="Times New Roman" w:hAnsi="Times New Roman" w:cs="Times New Roman" w:eastAsia="Times New Roman" w:hint="default"/>
                <w:sz w:val="15"/>
                <w:szCs w:val="15"/>
              </w:rPr>
            </w:pPr>
            <w:r>
              <w:rPr>
                <w:rFonts w:ascii="Times New Roman"/>
                <w:spacing w:val="-1"/>
                <w:sz w:val="15"/>
              </w:rPr>
              <w:t>7,502,413.03</w:t>
            </w:r>
          </w:p>
        </w:tc>
        <w:tc>
          <w:tcPr>
            <w:tcW w:w="1134"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95"/>
              <w:jc w:val="right"/>
              <w:rPr>
                <w:rFonts w:ascii="Times New Roman" w:hAnsi="Times New Roman" w:cs="Times New Roman" w:eastAsia="Times New Roman" w:hint="default"/>
                <w:sz w:val="15"/>
                <w:szCs w:val="15"/>
              </w:rPr>
            </w:pPr>
            <w:r>
              <w:rPr>
                <w:rFonts w:ascii="Times New Roman"/>
                <w:sz w:val="15"/>
              </w:rPr>
              <w:t>-</w:t>
            </w:r>
          </w:p>
        </w:tc>
      </w:tr>
      <w:tr>
        <w:trPr>
          <w:trHeight w:val="520" w:hRule="exact"/>
        </w:trPr>
        <w:tc>
          <w:tcPr>
            <w:tcW w:w="2372"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22" w:right="0"/>
              <w:jc w:val="left"/>
              <w:rPr>
                <w:rFonts w:ascii="宋体" w:hAnsi="宋体" w:cs="宋体" w:eastAsia="宋体" w:hint="default"/>
                <w:sz w:val="15"/>
                <w:szCs w:val="15"/>
              </w:rPr>
            </w:pPr>
            <w:r>
              <w:rPr>
                <w:rFonts w:ascii="宋体" w:hAnsi="宋体" w:cs="宋体" w:eastAsia="宋体" w:hint="default"/>
                <w:sz w:val="15"/>
                <w:szCs w:val="15"/>
              </w:rPr>
              <w:t>深圳市鸿丰酒店管理有限公司</w:t>
            </w:r>
          </w:p>
        </w:tc>
        <w:tc>
          <w:tcPr>
            <w:tcW w:w="8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权益法</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6"/>
              <w:jc w:val="right"/>
              <w:rPr>
                <w:rFonts w:ascii="Times New Roman" w:hAnsi="Times New Roman" w:cs="Times New Roman" w:eastAsia="Times New Roman" w:hint="default"/>
                <w:sz w:val="15"/>
                <w:szCs w:val="15"/>
              </w:rPr>
            </w:pPr>
            <w:r>
              <w:rPr>
                <w:rFonts w:ascii="Times New Roman"/>
                <w:spacing w:val="-1"/>
                <w:sz w:val="15"/>
              </w:rPr>
              <w:t>17,000,000.00</w:t>
            </w:r>
          </w:p>
        </w:tc>
        <w:tc>
          <w:tcPr>
            <w:tcW w:w="12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23,393,192.19</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47"/>
              <w:jc w:val="right"/>
              <w:rPr>
                <w:rFonts w:ascii="Times New Roman" w:hAnsi="Times New Roman" w:cs="Times New Roman" w:eastAsia="Times New Roman" w:hint="default"/>
                <w:sz w:val="15"/>
                <w:szCs w:val="15"/>
              </w:rPr>
            </w:pPr>
            <w:r>
              <w:rPr>
                <w:rFonts w:ascii="Times New Roman"/>
                <w:spacing w:val="-1"/>
                <w:sz w:val="15"/>
              </w:rPr>
              <w:t>6,502,316.98</w:t>
            </w:r>
          </w:p>
        </w:tc>
        <w:tc>
          <w:tcPr>
            <w:tcW w:w="12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29,895,509.17</w:t>
            </w:r>
          </w:p>
        </w:tc>
        <w:tc>
          <w:tcPr>
            <w:tcW w:w="1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30%</w:t>
            </w:r>
          </w:p>
        </w:tc>
        <w:tc>
          <w:tcPr>
            <w:tcW w:w="12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30%</w:t>
            </w:r>
          </w:p>
        </w:tc>
        <w:tc>
          <w:tcPr>
            <w:tcW w:w="1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714" w:right="0"/>
              <w:jc w:val="left"/>
              <w:rPr>
                <w:rFonts w:ascii="Times New Roman" w:hAnsi="Times New Roman" w:cs="Times New Roman" w:eastAsia="Times New Roman" w:hint="default"/>
                <w:sz w:val="15"/>
                <w:szCs w:val="15"/>
              </w:rPr>
            </w:pPr>
            <w:r>
              <w:rPr>
                <w:rFonts w:ascii="Times New Roman"/>
                <w:sz w:val="15"/>
              </w:rPr>
              <w:t>-</w:t>
            </w:r>
          </w:p>
        </w:tc>
        <w:tc>
          <w:tcPr>
            <w:tcW w:w="10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660" w:right="0"/>
              <w:jc w:val="lef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95"/>
              <w:jc w:val="right"/>
              <w:rPr>
                <w:rFonts w:ascii="Times New Roman" w:hAnsi="Times New Roman" w:cs="Times New Roman" w:eastAsia="Times New Roman" w:hint="default"/>
                <w:sz w:val="15"/>
                <w:szCs w:val="15"/>
              </w:rPr>
            </w:pPr>
            <w:r>
              <w:rPr>
                <w:rFonts w:ascii="Times New Roman"/>
                <w:sz w:val="15"/>
              </w:rPr>
              <w:t>-</w:t>
            </w:r>
          </w:p>
        </w:tc>
      </w:tr>
      <w:tr>
        <w:trPr>
          <w:trHeight w:val="521" w:hRule="exact"/>
        </w:trPr>
        <w:tc>
          <w:tcPr>
            <w:tcW w:w="2372"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22" w:right="0"/>
              <w:jc w:val="left"/>
              <w:rPr>
                <w:rFonts w:ascii="宋体" w:hAnsi="宋体" w:cs="宋体" w:eastAsia="宋体" w:hint="default"/>
                <w:sz w:val="15"/>
                <w:szCs w:val="15"/>
              </w:rPr>
            </w:pPr>
            <w:r>
              <w:rPr>
                <w:rFonts w:ascii="宋体" w:hAnsi="宋体" w:cs="宋体" w:eastAsia="宋体" w:hint="default"/>
                <w:sz w:val="15"/>
                <w:szCs w:val="15"/>
              </w:rPr>
              <w:t>福建东南广播电视网络有限公司</w:t>
            </w:r>
          </w:p>
        </w:tc>
        <w:tc>
          <w:tcPr>
            <w:tcW w:w="8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权益法</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16,290,750.00</w:t>
            </w:r>
          </w:p>
        </w:tc>
        <w:tc>
          <w:tcPr>
            <w:tcW w:w="12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84"/>
              <w:jc w:val="righ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729" w:right="0"/>
              <w:jc w:val="left"/>
              <w:rPr>
                <w:rFonts w:ascii="Times New Roman" w:hAnsi="Times New Roman" w:cs="Times New Roman" w:eastAsia="Times New Roman" w:hint="default"/>
                <w:sz w:val="15"/>
                <w:szCs w:val="15"/>
              </w:rPr>
            </w:pPr>
            <w:r>
              <w:rPr>
                <w:rFonts w:ascii="Times New Roman"/>
                <w:sz w:val="15"/>
              </w:rPr>
              <w:t>-</w:t>
            </w:r>
          </w:p>
        </w:tc>
        <w:tc>
          <w:tcPr>
            <w:tcW w:w="12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85"/>
              <w:jc w:val="right"/>
              <w:rPr>
                <w:rFonts w:ascii="Times New Roman" w:hAnsi="Times New Roman" w:cs="Times New Roman" w:eastAsia="Times New Roman" w:hint="default"/>
                <w:sz w:val="15"/>
                <w:szCs w:val="15"/>
              </w:rPr>
            </w:pPr>
            <w:r>
              <w:rPr>
                <w:rFonts w:ascii="Times New Roman"/>
                <w:sz w:val="15"/>
              </w:rPr>
              <w:t>-</w:t>
            </w:r>
          </w:p>
        </w:tc>
        <w:tc>
          <w:tcPr>
            <w:tcW w:w="1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18.511%</w:t>
            </w:r>
          </w:p>
        </w:tc>
        <w:tc>
          <w:tcPr>
            <w:tcW w:w="12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18.511%</w:t>
            </w:r>
          </w:p>
        </w:tc>
        <w:tc>
          <w:tcPr>
            <w:tcW w:w="1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714" w:right="0"/>
              <w:jc w:val="left"/>
              <w:rPr>
                <w:rFonts w:ascii="Times New Roman" w:hAnsi="Times New Roman" w:cs="Times New Roman" w:eastAsia="Times New Roman" w:hint="default"/>
                <w:sz w:val="15"/>
                <w:szCs w:val="15"/>
              </w:rPr>
            </w:pPr>
            <w:r>
              <w:rPr>
                <w:rFonts w:ascii="Times New Roman"/>
                <w:sz w:val="15"/>
              </w:rPr>
              <w:t>-</w:t>
            </w:r>
          </w:p>
        </w:tc>
        <w:tc>
          <w:tcPr>
            <w:tcW w:w="10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660" w:right="0"/>
              <w:jc w:val="lef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95"/>
              <w:jc w:val="right"/>
              <w:rPr>
                <w:rFonts w:ascii="Times New Roman" w:hAnsi="Times New Roman" w:cs="Times New Roman" w:eastAsia="Times New Roman" w:hint="default"/>
                <w:sz w:val="15"/>
                <w:szCs w:val="15"/>
              </w:rPr>
            </w:pPr>
            <w:r>
              <w:rPr>
                <w:rFonts w:ascii="Times New Roman"/>
                <w:sz w:val="15"/>
              </w:rPr>
              <w:t>-</w:t>
            </w:r>
          </w:p>
        </w:tc>
      </w:tr>
      <w:tr>
        <w:trPr>
          <w:trHeight w:val="520" w:hRule="exact"/>
        </w:trPr>
        <w:tc>
          <w:tcPr>
            <w:tcW w:w="2372"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22"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846"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6"/>
              <w:jc w:val="right"/>
              <w:rPr>
                <w:rFonts w:ascii="Times New Roman" w:hAnsi="Times New Roman" w:cs="Times New Roman" w:eastAsia="Times New Roman" w:hint="default"/>
                <w:sz w:val="15"/>
                <w:szCs w:val="15"/>
              </w:rPr>
            </w:pPr>
            <w:r>
              <w:rPr>
                <w:rFonts w:ascii="Times New Roman"/>
                <w:spacing w:val="-1"/>
                <w:sz w:val="15"/>
              </w:rPr>
              <w:t>62,090,750.00</w:t>
            </w:r>
          </w:p>
        </w:tc>
        <w:tc>
          <w:tcPr>
            <w:tcW w:w="12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6"/>
              <w:jc w:val="right"/>
              <w:rPr>
                <w:rFonts w:ascii="Times New Roman" w:hAnsi="Times New Roman" w:cs="Times New Roman" w:eastAsia="Times New Roman" w:hint="default"/>
                <w:sz w:val="15"/>
                <w:szCs w:val="15"/>
              </w:rPr>
            </w:pPr>
            <w:r>
              <w:rPr>
                <w:rFonts w:ascii="Times New Roman"/>
                <w:spacing w:val="-1"/>
                <w:sz w:val="15"/>
              </w:rPr>
              <w:t>46,253,768.17</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46"/>
              <w:jc w:val="right"/>
              <w:rPr>
                <w:rFonts w:ascii="Times New Roman" w:hAnsi="Times New Roman" w:cs="Times New Roman" w:eastAsia="Times New Roman" w:hint="default"/>
                <w:sz w:val="15"/>
                <w:szCs w:val="15"/>
              </w:rPr>
            </w:pPr>
            <w:r>
              <w:rPr>
                <w:rFonts w:ascii="Times New Roman"/>
                <w:spacing w:val="-1"/>
                <w:sz w:val="15"/>
              </w:rPr>
              <w:t>5,822,982.27</w:t>
            </w:r>
          </w:p>
        </w:tc>
        <w:tc>
          <w:tcPr>
            <w:tcW w:w="12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6"/>
              <w:jc w:val="right"/>
              <w:rPr>
                <w:rFonts w:ascii="Times New Roman" w:hAnsi="Times New Roman" w:cs="Times New Roman" w:eastAsia="Times New Roman" w:hint="default"/>
                <w:sz w:val="15"/>
                <w:szCs w:val="15"/>
              </w:rPr>
            </w:pPr>
            <w:r>
              <w:rPr>
                <w:rFonts w:ascii="Times New Roman"/>
                <w:spacing w:val="-1"/>
                <w:sz w:val="15"/>
              </w:rPr>
              <w:t>52,076,750.44</w:t>
            </w:r>
          </w:p>
        </w:tc>
        <w:tc>
          <w:tcPr>
            <w:tcW w:w="1130" w:type="dxa"/>
            <w:tcBorders>
              <w:top w:val="single" w:sz="8" w:space="0" w:color="000000"/>
              <w:left w:val="single" w:sz="8" w:space="0" w:color="000000"/>
              <w:bottom w:val="single" w:sz="8" w:space="0" w:color="000000"/>
              <w:right w:val="single" w:sz="8" w:space="0" w:color="000000"/>
            </w:tcBorders>
          </w:tcPr>
          <w:p>
            <w:pPr/>
          </w:p>
        </w:tc>
        <w:tc>
          <w:tcPr>
            <w:tcW w:w="1271" w:type="dxa"/>
            <w:tcBorders>
              <w:top w:val="single" w:sz="8" w:space="0" w:color="000000"/>
              <w:left w:val="single" w:sz="8" w:space="0" w:color="000000"/>
              <w:bottom w:val="single" w:sz="8" w:space="0" w:color="000000"/>
              <w:right w:val="single" w:sz="8" w:space="0" w:color="000000"/>
            </w:tcBorders>
          </w:tcPr>
          <w:p>
            <w:pPr/>
          </w:p>
        </w:tc>
        <w:tc>
          <w:tcPr>
            <w:tcW w:w="1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49"/>
              <w:jc w:val="right"/>
              <w:rPr>
                <w:rFonts w:ascii="Times New Roman" w:hAnsi="Times New Roman" w:cs="Times New Roman" w:eastAsia="Times New Roman" w:hint="default"/>
                <w:sz w:val="15"/>
                <w:szCs w:val="15"/>
              </w:rPr>
            </w:pPr>
            <w:r>
              <w:rPr>
                <w:rFonts w:ascii="Times New Roman"/>
                <w:spacing w:val="-1"/>
                <w:sz w:val="15"/>
              </w:rPr>
              <w:t>7,502,413.03</w:t>
            </w:r>
          </w:p>
        </w:tc>
        <w:tc>
          <w:tcPr>
            <w:tcW w:w="10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7,502,413.03</w:t>
            </w:r>
          </w:p>
        </w:tc>
        <w:tc>
          <w:tcPr>
            <w:tcW w:w="1134"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10"/>
              <w:jc w:val="right"/>
              <w:rPr>
                <w:rFonts w:ascii="Times New Roman" w:hAnsi="Times New Roman" w:cs="Times New Roman" w:eastAsia="Times New Roman" w:hint="default"/>
                <w:sz w:val="15"/>
                <w:szCs w:val="15"/>
              </w:rPr>
            </w:pPr>
            <w:r>
              <w:rPr>
                <w:rFonts w:ascii="Times New Roman"/>
                <w:spacing w:val="-1"/>
                <w:sz w:val="15"/>
              </w:rPr>
              <w:t>257,643.79</w:t>
            </w:r>
          </w:p>
        </w:tc>
      </w:tr>
      <w:tr>
        <w:trPr>
          <w:trHeight w:val="520" w:hRule="exact"/>
        </w:trPr>
        <w:tc>
          <w:tcPr>
            <w:tcW w:w="2372"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22" w:right="0"/>
              <w:jc w:val="left"/>
              <w:rPr>
                <w:rFonts w:ascii="宋体" w:hAnsi="宋体" w:cs="宋体" w:eastAsia="宋体" w:hint="default"/>
                <w:sz w:val="15"/>
                <w:szCs w:val="15"/>
              </w:rPr>
            </w:pPr>
            <w:r>
              <w:rPr>
                <w:rFonts w:ascii="宋体" w:hAnsi="宋体" w:cs="宋体" w:eastAsia="宋体" w:hint="default"/>
                <w:sz w:val="15"/>
                <w:szCs w:val="15"/>
              </w:rPr>
              <w:t>二、其他长期股权投资</w:t>
            </w:r>
          </w:p>
        </w:tc>
        <w:tc>
          <w:tcPr>
            <w:tcW w:w="846"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
        </w:tc>
        <w:tc>
          <w:tcPr>
            <w:tcW w:w="1288" w:type="dxa"/>
            <w:tcBorders>
              <w:top w:val="single" w:sz="8" w:space="0" w:color="000000"/>
              <w:left w:val="single" w:sz="8" w:space="0" w:color="000000"/>
              <w:bottom w:val="single" w:sz="8" w:space="0" w:color="000000"/>
              <w:right w:val="single" w:sz="8" w:space="0" w:color="000000"/>
            </w:tcBorders>
          </w:tcPr>
          <w:p>
            <w:pPr/>
          </w:p>
        </w:tc>
        <w:tc>
          <w:tcPr>
            <w:tcW w:w="1134" w:type="dxa"/>
            <w:tcBorders>
              <w:top w:val="single" w:sz="8" w:space="0" w:color="000000"/>
              <w:left w:val="single" w:sz="8" w:space="0" w:color="000000"/>
              <w:bottom w:val="single" w:sz="8" w:space="0" w:color="000000"/>
              <w:right w:val="single" w:sz="8" w:space="0" w:color="000000"/>
            </w:tcBorders>
          </w:tcPr>
          <w:p>
            <w:pPr/>
          </w:p>
        </w:tc>
        <w:tc>
          <w:tcPr>
            <w:tcW w:w="1285" w:type="dxa"/>
            <w:tcBorders>
              <w:top w:val="single" w:sz="8" w:space="0" w:color="000000"/>
              <w:left w:val="single" w:sz="8" w:space="0" w:color="000000"/>
              <w:bottom w:val="single" w:sz="8" w:space="0" w:color="000000"/>
              <w:right w:val="single" w:sz="8" w:space="0" w:color="000000"/>
            </w:tcBorders>
          </w:tcPr>
          <w:p>
            <w:pPr/>
          </w:p>
        </w:tc>
        <w:tc>
          <w:tcPr>
            <w:tcW w:w="1130" w:type="dxa"/>
            <w:tcBorders>
              <w:top w:val="single" w:sz="8" w:space="0" w:color="000000"/>
              <w:left w:val="single" w:sz="8" w:space="0" w:color="000000"/>
              <w:bottom w:val="single" w:sz="8" w:space="0" w:color="000000"/>
              <w:right w:val="single" w:sz="8" w:space="0" w:color="000000"/>
            </w:tcBorders>
          </w:tcPr>
          <w:p>
            <w:pPr/>
          </w:p>
        </w:tc>
        <w:tc>
          <w:tcPr>
            <w:tcW w:w="1271" w:type="dxa"/>
            <w:tcBorders>
              <w:top w:val="single" w:sz="8" w:space="0" w:color="000000"/>
              <w:left w:val="single" w:sz="8" w:space="0" w:color="000000"/>
              <w:bottom w:val="single" w:sz="8" w:space="0" w:color="000000"/>
              <w:right w:val="single" w:sz="8" w:space="0" w:color="000000"/>
            </w:tcBorders>
          </w:tcPr>
          <w:p>
            <w:pPr/>
          </w:p>
        </w:tc>
        <w:tc>
          <w:tcPr>
            <w:tcW w:w="1122" w:type="dxa"/>
            <w:tcBorders>
              <w:top w:val="single" w:sz="8" w:space="0" w:color="000000"/>
              <w:left w:val="single" w:sz="8" w:space="0" w:color="000000"/>
              <w:bottom w:val="single" w:sz="8" w:space="0" w:color="000000"/>
              <w:right w:val="single" w:sz="8" w:space="0" w:color="000000"/>
            </w:tcBorders>
          </w:tcPr>
          <w:p>
            <w:pPr/>
          </w:p>
        </w:tc>
        <w:tc>
          <w:tcPr>
            <w:tcW w:w="1015" w:type="dxa"/>
            <w:tcBorders>
              <w:top w:val="single" w:sz="8" w:space="0" w:color="000000"/>
              <w:left w:val="single" w:sz="8" w:space="0" w:color="000000"/>
              <w:bottom w:val="single" w:sz="8" w:space="0" w:color="000000"/>
              <w:right w:val="single" w:sz="8" w:space="0" w:color="000000"/>
            </w:tcBorders>
          </w:tcPr>
          <w:p>
            <w:pPr/>
          </w:p>
        </w:tc>
        <w:tc>
          <w:tcPr>
            <w:tcW w:w="1134" w:type="dxa"/>
            <w:tcBorders>
              <w:top w:val="single" w:sz="8" w:space="0" w:color="000000"/>
              <w:left w:val="single" w:sz="8" w:space="0" w:color="000000"/>
              <w:bottom w:val="single" w:sz="8" w:space="0" w:color="000000"/>
              <w:right w:val="nil" w:sz="6" w:space="0" w:color="auto"/>
            </w:tcBorders>
          </w:tcPr>
          <w:p>
            <w:pPr/>
          </w:p>
        </w:tc>
      </w:tr>
      <w:tr>
        <w:trPr>
          <w:trHeight w:val="521" w:hRule="exact"/>
        </w:trPr>
        <w:tc>
          <w:tcPr>
            <w:tcW w:w="2372"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22" w:right="0"/>
              <w:jc w:val="left"/>
              <w:rPr>
                <w:rFonts w:ascii="宋体" w:hAnsi="宋体" w:cs="宋体" w:eastAsia="宋体" w:hint="default"/>
                <w:sz w:val="15"/>
                <w:szCs w:val="15"/>
              </w:rPr>
            </w:pPr>
            <w:r>
              <w:rPr>
                <w:rFonts w:ascii="宋体" w:hAnsi="宋体" w:cs="宋体" w:eastAsia="宋体" w:hint="default"/>
                <w:sz w:val="15"/>
                <w:szCs w:val="15"/>
              </w:rPr>
              <w:t>三九胃泰股份有限公司</w:t>
            </w:r>
          </w:p>
        </w:tc>
        <w:tc>
          <w:tcPr>
            <w:tcW w:w="8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832,000.00</w:t>
            </w:r>
          </w:p>
        </w:tc>
        <w:tc>
          <w:tcPr>
            <w:tcW w:w="12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832,000.00</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729" w:right="0"/>
              <w:jc w:val="left"/>
              <w:rPr>
                <w:rFonts w:ascii="Times New Roman" w:hAnsi="Times New Roman" w:cs="Times New Roman" w:eastAsia="Times New Roman" w:hint="default"/>
                <w:sz w:val="15"/>
                <w:szCs w:val="15"/>
              </w:rPr>
            </w:pPr>
            <w:r>
              <w:rPr>
                <w:rFonts w:ascii="Times New Roman"/>
                <w:sz w:val="15"/>
              </w:rPr>
              <w:t>-</w:t>
            </w:r>
          </w:p>
        </w:tc>
        <w:tc>
          <w:tcPr>
            <w:tcW w:w="12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832,000.00</w:t>
            </w:r>
          </w:p>
        </w:tc>
        <w:tc>
          <w:tcPr>
            <w:tcW w:w="1130" w:type="dxa"/>
            <w:tcBorders>
              <w:top w:val="single" w:sz="8" w:space="0" w:color="000000"/>
              <w:left w:val="single" w:sz="8" w:space="0" w:color="000000"/>
              <w:bottom w:val="single" w:sz="8" w:space="0" w:color="000000"/>
              <w:right w:val="single" w:sz="8" w:space="0" w:color="000000"/>
            </w:tcBorders>
          </w:tcPr>
          <w:p>
            <w:pPr/>
          </w:p>
        </w:tc>
        <w:tc>
          <w:tcPr>
            <w:tcW w:w="1271" w:type="dxa"/>
            <w:tcBorders>
              <w:top w:val="single" w:sz="8" w:space="0" w:color="000000"/>
              <w:left w:val="single" w:sz="8" w:space="0" w:color="000000"/>
              <w:bottom w:val="single" w:sz="8" w:space="0" w:color="000000"/>
              <w:right w:val="single" w:sz="8" w:space="0" w:color="000000"/>
            </w:tcBorders>
          </w:tcPr>
          <w:p>
            <w:pPr/>
          </w:p>
        </w:tc>
        <w:tc>
          <w:tcPr>
            <w:tcW w:w="1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50"/>
              <w:jc w:val="right"/>
              <w:rPr>
                <w:rFonts w:ascii="Times New Roman" w:hAnsi="Times New Roman" w:cs="Times New Roman" w:eastAsia="Times New Roman" w:hint="default"/>
                <w:sz w:val="15"/>
                <w:szCs w:val="15"/>
              </w:rPr>
            </w:pPr>
            <w:r>
              <w:rPr>
                <w:rFonts w:ascii="Times New Roman"/>
                <w:spacing w:val="-1"/>
                <w:sz w:val="15"/>
              </w:rPr>
              <w:t>832,000.00</w:t>
            </w:r>
          </w:p>
        </w:tc>
        <w:tc>
          <w:tcPr>
            <w:tcW w:w="10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659" w:right="0"/>
              <w:jc w:val="lef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96"/>
              <w:jc w:val="right"/>
              <w:rPr>
                <w:rFonts w:ascii="Times New Roman" w:hAnsi="Times New Roman" w:cs="Times New Roman" w:eastAsia="Times New Roman" w:hint="default"/>
                <w:sz w:val="15"/>
                <w:szCs w:val="15"/>
              </w:rPr>
            </w:pPr>
            <w:r>
              <w:rPr>
                <w:rFonts w:ascii="Times New Roman"/>
                <w:sz w:val="15"/>
              </w:rPr>
              <w:t>-</w:t>
            </w:r>
          </w:p>
        </w:tc>
      </w:tr>
      <w:tr>
        <w:trPr>
          <w:trHeight w:val="520" w:hRule="exact"/>
        </w:trPr>
        <w:tc>
          <w:tcPr>
            <w:tcW w:w="2372"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22" w:right="0"/>
              <w:jc w:val="left"/>
              <w:rPr>
                <w:rFonts w:ascii="宋体" w:hAnsi="宋体" w:cs="宋体" w:eastAsia="宋体" w:hint="default"/>
                <w:sz w:val="15"/>
                <w:szCs w:val="15"/>
              </w:rPr>
            </w:pPr>
            <w:r>
              <w:rPr>
                <w:rFonts w:ascii="宋体" w:hAnsi="宋体" w:cs="宋体" w:eastAsia="宋体" w:hint="default"/>
                <w:sz w:val="15"/>
                <w:szCs w:val="15"/>
              </w:rPr>
              <w:t>同人华塑股份有限公司</w:t>
            </w:r>
          </w:p>
        </w:tc>
        <w:tc>
          <w:tcPr>
            <w:tcW w:w="8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1,500,000.00</w:t>
            </w:r>
          </w:p>
        </w:tc>
        <w:tc>
          <w:tcPr>
            <w:tcW w:w="12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1,500,000.00</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729" w:right="0"/>
              <w:jc w:val="left"/>
              <w:rPr>
                <w:rFonts w:ascii="Times New Roman" w:hAnsi="Times New Roman" w:cs="Times New Roman" w:eastAsia="Times New Roman" w:hint="default"/>
                <w:sz w:val="15"/>
                <w:szCs w:val="15"/>
              </w:rPr>
            </w:pPr>
            <w:r>
              <w:rPr>
                <w:rFonts w:ascii="Times New Roman"/>
                <w:sz w:val="15"/>
              </w:rPr>
              <w:t>-</w:t>
            </w:r>
          </w:p>
        </w:tc>
        <w:tc>
          <w:tcPr>
            <w:tcW w:w="12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1,500,000.00</w:t>
            </w:r>
          </w:p>
        </w:tc>
        <w:tc>
          <w:tcPr>
            <w:tcW w:w="1130" w:type="dxa"/>
            <w:tcBorders>
              <w:top w:val="single" w:sz="8" w:space="0" w:color="000000"/>
              <w:left w:val="single" w:sz="8" w:space="0" w:color="000000"/>
              <w:bottom w:val="single" w:sz="8" w:space="0" w:color="000000"/>
              <w:right w:val="single" w:sz="8" w:space="0" w:color="000000"/>
            </w:tcBorders>
          </w:tcPr>
          <w:p>
            <w:pPr/>
          </w:p>
        </w:tc>
        <w:tc>
          <w:tcPr>
            <w:tcW w:w="1271" w:type="dxa"/>
            <w:tcBorders>
              <w:top w:val="single" w:sz="8" w:space="0" w:color="000000"/>
              <w:left w:val="single" w:sz="8" w:space="0" w:color="000000"/>
              <w:bottom w:val="single" w:sz="8" w:space="0" w:color="000000"/>
              <w:right w:val="single" w:sz="8" w:space="0" w:color="000000"/>
            </w:tcBorders>
          </w:tcPr>
          <w:p>
            <w:pPr/>
          </w:p>
        </w:tc>
        <w:tc>
          <w:tcPr>
            <w:tcW w:w="1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713" w:right="0"/>
              <w:jc w:val="left"/>
              <w:rPr>
                <w:rFonts w:ascii="Times New Roman" w:hAnsi="Times New Roman" w:cs="Times New Roman" w:eastAsia="Times New Roman" w:hint="default"/>
                <w:sz w:val="15"/>
                <w:szCs w:val="15"/>
              </w:rPr>
            </w:pPr>
            <w:r>
              <w:rPr>
                <w:rFonts w:ascii="Times New Roman"/>
                <w:sz w:val="15"/>
              </w:rPr>
              <w:t>-</w:t>
            </w:r>
          </w:p>
        </w:tc>
        <w:tc>
          <w:tcPr>
            <w:tcW w:w="10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659" w:right="0"/>
              <w:jc w:val="lef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8" w:space="0" w:color="000000"/>
              <w:left w:val="single" w:sz="8" w:space="0" w:color="000000"/>
              <w:bottom w:val="single" w:sz="8" w:space="0" w:color="000000"/>
              <w:right w:val="nil" w:sz="6" w:space="0" w:color="auto"/>
            </w:tcBorders>
          </w:tcPr>
          <w:p>
            <w:pPr/>
          </w:p>
        </w:tc>
      </w:tr>
      <w:tr>
        <w:trPr>
          <w:trHeight w:val="520" w:hRule="exact"/>
        </w:trPr>
        <w:tc>
          <w:tcPr>
            <w:tcW w:w="2372"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22" w:right="0"/>
              <w:jc w:val="left"/>
              <w:rPr>
                <w:rFonts w:ascii="宋体" w:hAnsi="宋体" w:cs="宋体" w:eastAsia="宋体" w:hint="default"/>
                <w:sz w:val="15"/>
                <w:szCs w:val="15"/>
              </w:rPr>
            </w:pPr>
            <w:r>
              <w:rPr>
                <w:rFonts w:ascii="宋体" w:hAnsi="宋体" w:cs="宋体" w:eastAsia="宋体" w:hint="default"/>
                <w:sz w:val="15"/>
                <w:szCs w:val="15"/>
              </w:rPr>
              <w:t>四川通产物业股份有限公司</w:t>
            </w:r>
          </w:p>
        </w:tc>
        <w:tc>
          <w:tcPr>
            <w:tcW w:w="8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500,000.00</w:t>
            </w:r>
          </w:p>
        </w:tc>
        <w:tc>
          <w:tcPr>
            <w:tcW w:w="12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500,000.00</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729" w:right="0"/>
              <w:jc w:val="left"/>
              <w:rPr>
                <w:rFonts w:ascii="Times New Roman" w:hAnsi="Times New Roman" w:cs="Times New Roman" w:eastAsia="Times New Roman" w:hint="default"/>
                <w:sz w:val="15"/>
                <w:szCs w:val="15"/>
              </w:rPr>
            </w:pPr>
            <w:r>
              <w:rPr>
                <w:rFonts w:ascii="Times New Roman"/>
                <w:sz w:val="15"/>
              </w:rPr>
              <w:t>-</w:t>
            </w:r>
          </w:p>
        </w:tc>
        <w:tc>
          <w:tcPr>
            <w:tcW w:w="12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500,000.00</w:t>
            </w:r>
          </w:p>
        </w:tc>
        <w:tc>
          <w:tcPr>
            <w:tcW w:w="1130" w:type="dxa"/>
            <w:tcBorders>
              <w:top w:val="single" w:sz="8" w:space="0" w:color="000000"/>
              <w:left w:val="single" w:sz="8" w:space="0" w:color="000000"/>
              <w:bottom w:val="single" w:sz="8" w:space="0" w:color="000000"/>
              <w:right w:val="single" w:sz="8" w:space="0" w:color="000000"/>
            </w:tcBorders>
          </w:tcPr>
          <w:p>
            <w:pPr/>
          </w:p>
        </w:tc>
        <w:tc>
          <w:tcPr>
            <w:tcW w:w="1271" w:type="dxa"/>
            <w:tcBorders>
              <w:top w:val="single" w:sz="8" w:space="0" w:color="000000"/>
              <w:left w:val="single" w:sz="8" w:space="0" w:color="000000"/>
              <w:bottom w:val="single" w:sz="8" w:space="0" w:color="000000"/>
              <w:right w:val="single" w:sz="8" w:space="0" w:color="000000"/>
            </w:tcBorders>
          </w:tcPr>
          <w:p>
            <w:pPr/>
          </w:p>
        </w:tc>
        <w:tc>
          <w:tcPr>
            <w:tcW w:w="1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50"/>
              <w:jc w:val="right"/>
              <w:rPr>
                <w:rFonts w:ascii="Times New Roman" w:hAnsi="Times New Roman" w:cs="Times New Roman" w:eastAsia="Times New Roman" w:hint="default"/>
                <w:sz w:val="15"/>
                <w:szCs w:val="15"/>
              </w:rPr>
            </w:pPr>
            <w:r>
              <w:rPr>
                <w:rFonts w:ascii="Times New Roman"/>
                <w:spacing w:val="-1"/>
                <w:sz w:val="15"/>
              </w:rPr>
              <w:t>500,000.00</w:t>
            </w:r>
          </w:p>
        </w:tc>
        <w:tc>
          <w:tcPr>
            <w:tcW w:w="10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659" w:right="0"/>
              <w:jc w:val="lef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96"/>
              <w:jc w:val="right"/>
              <w:rPr>
                <w:rFonts w:ascii="Times New Roman" w:hAnsi="Times New Roman" w:cs="Times New Roman" w:eastAsia="Times New Roman" w:hint="default"/>
                <w:sz w:val="15"/>
                <w:szCs w:val="15"/>
              </w:rPr>
            </w:pPr>
            <w:r>
              <w:rPr>
                <w:rFonts w:ascii="Times New Roman"/>
                <w:sz w:val="15"/>
              </w:rPr>
              <w:t>-</w:t>
            </w:r>
          </w:p>
        </w:tc>
      </w:tr>
      <w:tr>
        <w:trPr>
          <w:trHeight w:val="649" w:hRule="exact"/>
        </w:trPr>
        <w:tc>
          <w:tcPr>
            <w:tcW w:w="23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22" w:right="138"/>
              <w:jc w:val="left"/>
              <w:rPr>
                <w:rFonts w:ascii="宋体" w:hAnsi="宋体" w:cs="宋体" w:eastAsia="宋体" w:hint="default"/>
                <w:sz w:val="15"/>
                <w:szCs w:val="15"/>
              </w:rPr>
            </w:pPr>
            <w:r>
              <w:rPr>
                <w:rFonts w:ascii="宋体" w:hAnsi="宋体" w:cs="宋体" w:eastAsia="宋体" w:hint="default"/>
                <w:sz w:val="15"/>
                <w:szCs w:val="15"/>
              </w:rPr>
              <w:t>长春高斯达生物科技集团股份有 限公司</w:t>
            </w:r>
          </w:p>
        </w:tc>
        <w:tc>
          <w:tcPr>
            <w:tcW w:w="8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8,724,000.00</w:t>
            </w:r>
          </w:p>
        </w:tc>
        <w:tc>
          <w:tcPr>
            <w:tcW w:w="12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8,724,000.00</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729" w:right="0"/>
              <w:jc w:val="left"/>
              <w:rPr>
                <w:rFonts w:ascii="Times New Roman" w:hAnsi="Times New Roman" w:cs="Times New Roman" w:eastAsia="Times New Roman" w:hint="default"/>
                <w:sz w:val="15"/>
                <w:szCs w:val="15"/>
              </w:rPr>
            </w:pPr>
            <w:r>
              <w:rPr>
                <w:rFonts w:ascii="Times New Roman"/>
                <w:sz w:val="15"/>
              </w:rPr>
              <w:t>-</w:t>
            </w:r>
          </w:p>
        </w:tc>
        <w:tc>
          <w:tcPr>
            <w:tcW w:w="12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8,724,000.00</w:t>
            </w:r>
          </w:p>
        </w:tc>
        <w:tc>
          <w:tcPr>
            <w:tcW w:w="1130" w:type="dxa"/>
            <w:tcBorders>
              <w:top w:val="single" w:sz="8" w:space="0" w:color="000000"/>
              <w:left w:val="single" w:sz="8" w:space="0" w:color="000000"/>
              <w:bottom w:val="single" w:sz="8" w:space="0" w:color="000000"/>
              <w:right w:val="single" w:sz="8" w:space="0" w:color="000000"/>
            </w:tcBorders>
          </w:tcPr>
          <w:p>
            <w:pPr/>
          </w:p>
        </w:tc>
        <w:tc>
          <w:tcPr>
            <w:tcW w:w="1271" w:type="dxa"/>
            <w:tcBorders>
              <w:top w:val="single" w:sz="8" w:space="0" w:color="000000"/>
              <w:left w:val="single" w:sz="8" w:space="0" w:color="000000"/>
              <w:bottom w:val="single" w:sz="8" w:space="0" w:color="000000"/>
              <w:right w:val="single" w:sz="8" w:space="0" w:color="000000"/>
            </w:tcBorders>
          </w:tcPr>
          <w:p>
            <w:pPr/>
          </w:p>
        </w:tc>
        <w:tc>
          <w:tcPr>
            <w:tcW w:w="1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49"/>
              <w:jc w:val="right"/>
              <w:rPr>
                <w:rFonts w:ascii="Times New Roman" w:hAnsi="Times New Roman" w:cs="Times New Roman" w:eastAsia="Times New Roman" w:hint="default"/>
                <w:sz w:val="15"/>
                <w:szCs w:val="15"/>
              </w:rPr>
            </w:pPr>
            <w:r>
              <w:rPr>
                <w:rFonts w:ascii="Times New Roman"/>
                <w:spacing w:val="-1"/>
                <w:sz w:val="15"/>
              </w:rPr>
              <w:t>8,724,000.00</w:t>
            </w:r>
          </w:p>
        </w:tc>
        <w:tc>
          <w:tcPr>
            <w:tcW w:w="10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659" w:right="0"/>
              <w:jc w:val="lef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96"/>
              <w:jc w:val="right"/>
              <w:rPr>
                <w:rFonts w:ascii="Times New Roman" w:hAnsi="Times New Roman" w:cs="Times New Roman" w:eastAsia="Times New Roman" w:hint="default"/>
                <w:sz w:val="15"/>
                <w:szCs w:val="15"/>
              </w:rPr>
            </w:pPr>
            <w:r>
              <w:rPr>
                <w:rFonts w:ascii="Times New Roman"/>
                <w:sz w:val="15"/>
              </w:rPr>
              <w:t>-</w:t>
            </w:r>
          </w:p>
        </w:tc>
      </w:tr>
      <w:tr>
        <w:trPr>
          <w:trHeight w:val="649" w:hRule="exact"/>
        </w:trPr>
        <w:tc>
          <w:tcPr>
            <w:tcW w:w="23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22" w:right="138"/>
              <w:jc w:val="left"/>
              <w:rPr>
                <w:rFonts w:ascii="宋体" w:hAnsi="宋体" w:cs="宋体" w:eastAsia="宋体" w:hint="default"/>
                <w:sz w:val="15"/>
                <w:szCs w:val="15"/>
              </w:rPr>
            </w:pPr>
            <w:r>
              <w:rPr>
                <w:rFonts w:ascii="宋体" w:hAnsi="宋体" w:cs="宋体" w:eastAsia="宋体" w:hint="default"/>
                <w:sz w:val="15"/>
                <w:szCs w:val="15"/>
              </w:rPr>
              <w:t>四川东泰产业（控股）股份有限 公司</w:t>
            </w:r>
          </w:p>
        </w:tc>
        <w:tc>
          <w:tcPr>
            <w:tcW w:w="8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3,172,173.65</w:t>
            </w:r>
          </w:p>
        </w:tc>
        <w:tc>
          <w:tcPr>
            <w:tcW w:w="12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3,172,173.65</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729" w:right="0"/>
              <w:jc w:val="left"/>
              <w:rPr>
                <w:rFonts w:ascii="Times New Roman" w:hAnsi="Times New Roman" w:cs="Times New Roman" w:eastAsia="Times New Roman" w:hint="default"/>
                <w:sz w:val="15"/>
                <w:szCs w:val="15"/>
              </w:rPr>
            </w:pPr>
            <w:r>
              <w:rPr>
                <w:rFonts w:ascii="Times New Roman"/>
                <w:sz w:val="15"/>
              </w:rPr>
              <w:t>-</w:t>
            </w:r>
          </w:p>
        </w:tc>
        <w:tc>
          <w:tcPr>
            <w:tcW w:w="12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3,172,173.65</w:t>
            </w:r>
          </w:p>
        </w:tc>
        <w:tc>
          <w:tcPr>
            <w:tcW w:w="1130" w:type="dxa"/>
            <w:tcBorders>
              <w:top w:val="single" w:sz="8" w:space="0" w:color="000000"/>
              <w:left w:val="single" w:sz="8" w:space="0" w:color="000000"/>
              <w:bottom w:val="single" w:sz="8" w:space="0" w:color="000000"/>
              <w:right w:val="single" w:sz="8" w:space="0" w:color="000000"/>
            </w:tcBorders>
          </w:tcPr>
          <w:p>
            <w:pPr/>
          </w:p>
        </w:tc>
        <w:tc>
          <w:tcPr>
            <w:tcW w:w="1271" w:type="dxa"/>
            <w:tcBorders>
              <w:top w:val="single" w:sz="8" w:space="0" w:color="000000"/>
              <w:left w:val="single" w:sz="8" w:space="0" w:color="000000"/>
              <w:bottom w:val="single" w:sz="8" w:space="0" w:color="000000"/>
              <w:right w:val="single" w:sz="8" w:space="0" w:color="000000"/>
            </w:tcBorders>
          </w:tcPr>
          <w:p>
            <w:pPr/>
          </w:p>
        </w:tc>
        <w:tc>
          <w:tcPr>
            <w:tcW w:w="1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49"/>
              <w:jc w:val="right"/>
              <w:rPr>
                <w:rFonts w:ascii="Times New Roman" w:hAnsi="Times New Roman" w:cs="Times New Roman" w:eastAsia="Times New Roman" w:hint="default"/>
                <w:sz w:val="15"/>
                <w:szCs w:val="15"/>
              </w:rPr>
            </w:pPr>
            <w:r>
              <w:rPr>
                <w:rFonts w:ascii="Times New Roman"/>
                <w:spacing w:val="-1"/>
                <w:sz w:val="15"/>
              </w:rPr>
              <w:t>3,172,173.65</w:t>
            </w:r>
          </w:p>
        </w:tc>
        <w:tc>
          <w:tcPr>
            <w:tcW w:w="10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659" w:right="0"/>
              <w:jc w:val="lef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96"/>
              <w:jc w:val="right"/>
              <w:rPr>
                <w:rFonts w:ascii="Times New Roman" w:hAnsi="Times New Roman" w:cs="Times New Roman" w:eastAsia="Times New Roman" w:hint="default"/>
                <w:sz w:val="15"/>
                <w:szCs w:val="15"/>
              </w:rPr>
            </w:pPr>
            <w:r>
              <w:rPr>
                <w:rFonts w:ascii="Times New Roman"/>
                <w:sz w:val="15"/>
              </w:rPr>
              <w:t>-</w:t>
            </w:r>
          </w:p>
        </w:tc>
      </w:tr>
      <w:tr>
        <w:trPr>
          <w:trHeight w:val="520" w:hRule="exact"/>
        </w:trPr>
        <w:tc>
          <w:tcPr>
            <w:tcW w:w="2372"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22" w:right="0"/>
              <w:jc w:val="left"/>
              <w:rPr>
                <w:rFonts w:ascii="宋体" w:hAnsi="宋体" w:cs="宋体" w:eastAsia="宋体" w:hint="default"/>
                <w:sz w:val="15"/>
                <w:szCs w:val="15"/>
              </w:rPr>
            </w:pPr>
            <w:r>
              <w:rPr>
                <w:rFonts w:ascii="宋体" w:hAnsi="宋体" w:cs="宋体" w:eastAsia="宋体" w:hint="default"/>
                <w:sz w:val="15"/>
                <w:szCs w:val="15"/>
              </w:rPr>
              <w:t>招商证券股份有限公司</w:t>
            </w:r>
          </w:p>
        </w:tc>
        <w:tc>
          <w:tcPr>
            <w:tcW w:w="8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1,938,251.50</w:t>
            </w:r>
          </w:p>
        </w:tc>
        <w:tc>
          <w:tcPr>
            <w:tcW w:w="12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1,938,251.50</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47"/>
              <w:jc w:val="right"/>
              <w:rPr>
                <w:rFonts w:ascii="Times New Roman" w:hAnsi="Times New Roman" w:cs="Times New Roman" w:eastAsia="Times New Roman" w:hint="default"/>
                <w:sz w:val="15"/>
                <w:szCs w:val="15"/>
              </w:rPr>
            </w:pPr>
            <w:r>
              <w:rPr>
                <w:rFonts w:ascii="Times New Roman"/>
                <w:spacing w:val="-1"/>
                <w:sz w:val="15"/>
              </w:rPr>
              <w:t>-1,938,251.50</w:t>
            </w:r>
          </w:p>
        </w:tc>
        <w:tc>
          <w:tcPr>
            <w:tcW w:w="12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85"/>
              <w:jc w:val="right"/>
              <w:rPr>
                <w:rFonts w:ascii="Times New Roman" w:hAnsi="Times New Roman" w:cs="Times New Roman" w:eastAsia="Times New Roman" w:hint="default"/>
                <w:sz w:val="15"/>
                <w:szCs w:val="15"/>
              </w:rPr>
            </w:pPr>
            <w:r>
              <w:rPr>
                <w:rFonts w:ascii="Times New Roman"/>
                <w:sz w:val="15"/>
              </w:rPr>
              <w:t>-</w:t>
            </w:r>
          </w:p>
        </w:tc>
        <w:tc>
          <w:tcPr>
            <w:tcW w:w="1130" w:type="dxa"/>
            <w:tcBorders>
              <w:top w:val="single" w:sz="8" w:space="0" w:color="000000"/>
              <w:left w:val="single" w:sz="8" w:space="0" w:color="000000"/>
              <w:bottom w:val="single" w:sz="8" w:space="0" w:color="000000"/>
              <w:right w:val="single" w:sz="8" w:space="0" w:color="000000"/>
            </w:tcBorders>
          </w:tcPr>
          <w:p>
            <w:pPr/>
          </w:p>
        </w:tc>
        <w:tc>
          <w:tcPr>
            <w:tcW w:w="1271" w:type="dxa"/>
            <w:tcBorders>
              <w:top w:val="single" w:sz="8" w:space="0" w:color="000000"/>
              <w:left w:val="single" w:sz="8" w:space="0" w:color="000000"/>
              <w:bottom w:val="single" w:sz="8" w:space="0" w:color="000000"/>
              <w:right w:val="single" w:sz="8" w:space="0" w:color="000000"/>
            </w:tcBorders>
          </w:tcPr>
          <w:p>
            <w:pPr/>
          </w:p>
        </w:tc>
        <w:tc>
          <w:tcPr>
            <w:tcW w:w="1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713" w:right="0"/>
              <w:jc w:val="left"/>
              <w:rPr>
                <w:rFonts w:ascii="Times New Roman" w:hAnsi="Times New Roman" w:cs="Times New Roman" w:eastAsia="Times New Roman" w:hint="default"/>
                <w:sz w:val="15"/>
                <w:szCs w:val="15"/>
              </w:rPr>
            </w:pPr>
            <w:r>
              <w:rPr>
                <w:rFonts w:ascii="Times New Roman"/>
                <w:sz w:val="15"/>
              </w:rPr>
              <w:t>-</w:t>
            </w:r>
          </w:p>
        </w:tc>
        <w:tc>
          <w:tcPr>
            <w:tcW w:w="10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659" w:right="0"/>
              <w:jc w:val="lef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96"/>
              <w:jc w:val="right"/>
              <w:rPr>
                <w:rFonts w:ascii="Times New Roman" w:hAnsi="Times New Roman" w:cs="Times New Roman" w:eastAsia="Times New Roman" w:hint="default"/>
                <w:sz w:val="15"/>
                <w:szCs w:val="15"/>
              </w:rPr>
            </w:pPr>
            <w:r>
              <w:rPr>
                <w:rFonts w:ascii="Times New Roman"/>
                <w:sz w:val="15"/>
              </w:rPr>
              <w:t>-</w:t>
            </w:r>
          </w:p>
        </w:tc>
      </w:tr>
      <w:tr>
        <w:trPr>
          <w:trHeight w:val="521" w:hRule="exact"/>
        </w:trPr>
        <w:tc>
          <w:tcPr>
            <w:tcW w:w="2372"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22" w:right="0"/>
              <w:jc w:val="left"/>
              <w:rPr>
                <w:rFonts w:ascii="宋体" w:hAnsi="宋体" w:cs="宋体" w:eastAsia="宋体" w:hint="default"/>
                <w:sz w:val="15"/>
                <w:szCs w:val="15"/>
              </w:rPr>
            </w:pPr>
            <w:r>
              <w:rPr>
                <w:rFonts w:ascii="宋体" w:hAnsi="宋体" w:cs="宋体" w:eastAsia="宋体" w:hint="default"/>
                <w:sz w:val="15"/>
                <w:szCs w:val="15"/>
              </w:rPr>
              <w:t>深圳市鸿丰旅行社有限公司</w:t>
            </w:r>
          </w:p>
        </w:tc>
        <w:tc>
          <w:tcPr>
            <w:tcW w:w="8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100,000.00</w:t>
            </w:r>
          </w:p>
        </w:tc>
        <w:tc>
          <w:tcPr>
            <w:tcW w:w="12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100,000.00</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46"/>
              <w:jc w:val="right"/>
              <w:rPr>
                <w:rFonts w:ascii="Times New Roman" w:hAnsi="Times New Roman" w:cs="Times New Roman" w:eastAsia="Times New Roman" w:hint="default"/>
                <w:sz w:val="15"/>
                <w:szCs w:val="15"/>
              </w:rPr>
            </w:pPr>
            <w:r>
              <w:rPr>
                <w:rFonts w:ascii="Times New Roman"/>
                <w:spacing w:val="-1"/>
                <w:sz w:val="15"/>
              </w:rPr>
              <w:t>-100,000.00</w:t>
            </w:r>
          </w:p>
        </w:tc>
        <w:tc>
          <w:tcPr>
            <w:tcW w:w="12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85"/>
              <w:jc w:val="right"/>
              <w:rPr>
                <w:rFonts w:ascii="Times New Roman" w:hAnsi="Times New Roman" w:cs="Times New Roman" w:eastAsia="Times New Roman" w:hint="default"/>
                <w:sz w:val="15"/>
                <w:szCs w:val="15"/>
              </w:rPr>
            </w:pPr>
            <w:r>
              <w:rPr>
                <w:rFonts w:ascii="Times New Roman"/>
                <w:sz w:val="15"/>
              </w:rPr>
              <w:t>-</w:t>
            </w:r>
          </w:p>
        </w:tc>
        <w:tc>
          <w:tcPr>
            <w:tcW w:w="1130" w:type="dxa"/>
            <w:tcBorders>
              <w:top w:val="single" w:sz="8" w:space="0" w:color="000000"/>
              <w:left w:val="single" w:sz="8" w:space="0" w:color="000000"/>
              <w:bottom w:val="single" w:sz="8" w:space="0" w:color="000000"/>
              <w:right w:val="single" w:sz="8" w:space="0" w:color="000000"/>
            </w:tcBorders>
          </w:tcPr>
          <w:p>
            <w:pPr/>
          </w:p>
        </w:tc>
        <w:tc>
          <w:tcPr>
            <w:tcW w:w="1271" w:type="dxa"/>
            <w:tcBorders>
              <w:top w:val="single" w:sz="8" w:space="0" w:color="000000"/>
              <w:left w:val="single" w:sz="8" w:space="0" w:color="000000"/>
              <w:bottom w:val="single" w:sz="8" w:space="0" w:color="000000"/>
              <w:right w:val="single" w:sz="8" w:space="0" w:color="000000"/>
            </w:tcBorders>
          </w:tcPr>
          <w:p>
            <w:pPr/>
          </w:p>
        </w:tc>
        <w:tc>
          <w:tcPr>
            <w:tcW w:w="1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713" w:right="0"/>
              <w:jc w:val="left"/>
              <w:rPr>
                <w:rFonts w:ascii="Times New Roman" w:hAnsi="Times New Roman" w:cs="Times New Roman" w:eastAsia="Times New Roman" w:hint="default"/>
                <w:sz w:val="15"/>
                <w:szCs w:val="15"/>
              </w:rPr>
            </w:pPr>
            <w:r>
              <w:rPr>
                <w:rFonts w:ascii="Times New Roman"/>
                <w:sz w:val="15"/>
              </w:rPr>
              <w:t>-</w:t>
            </w:r>
          </w:p>
        </w:tc>
        <w:tc>
          <w:tcPr>
            <w:tcW w:w="10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659" w:right="0"/>
              <w:jc w:val="lef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96"/>
              <w:jc w:val="right"/>
              <w:rPr>
                <w:rFonts w:ascii="Times New Roman" w:hAnsi="Times New Roman" w:cs="Times New Roman" w:eastAsia="Times New Roman" w:hint="default"/>
                <w:sz w:val="15"/>
                <w:szCs w:val="15"/>
              </w:rPr>
            </w:pPr>
            <w:r>
              <w:rPr>
                <w:rFonts w:ascii="Times New Roman"/>
                <w:sz w:val="15"/>
              </w:rPr>
              <w:t>-</w:t>
            </w:r>
          </w:p>
        </w:tc>
      </w:tr>
      <w:tr>
        <w:trPr>
          <w:trHeight w:val="520" w:hRule="exact"/>
        </w:trPr>
        <w:tc>
          <w:tcPr>
            <w:tcW w:w="2372"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22" w:right="0"/>
              <w:jc w:val="left"/>
              <w:rPr>
                <w:rFonts w:ascii="宋体" w:hAnsi="宋体" w:cs="宋体" w:eastAsia="宋体" w:hint="default"/>
                <w:sz w:val="15"/>
                <w:szCs w:val="15"/>
              </w:rPr>
            </w:pPr>
            <w:r>
              <w:rPr>
                <w:rFonts w:ascii="宋体" w:hAnsi="宋体" w:cs="宋体" w:eastAsia="宋体" w:hint="default"/>
                <w:sz w:val="15"/>
                <w:szCs w:val="15"/>
              </w:rPr>
              <w:t>深运工贸翠苑旅店</w:t>
            </w:r>
          </w:p>
        </w:tc>
        <w:tc>
          <w:tcPr>
            <w:tcW w:w="8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500,000.00</w:t>
            </w:r>
          </w:p>
        </w:tc>
        <w:tc>
          <w:tcPr>
            <w:tcW w:w="12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785,377.30</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729" w:right="0"/>
              <w:jc w:val="left"/>
              <w:rPr>
                <w:rFonts w:ascii="Times New Roman" w:hAnsi="Times New Roman" w:cs="Times New Roman" w:eastAsia="Times New Roman" w:hint="default"/>
                <w:sz w:val="15"/>
                <w:szCs w:val="15"/>
              </w:rPr>
            </w:pPr>
            <w:r>
              <w:rPr>
                <w:rFonts w:ascii="Times New Roman"/>
                <w:sz w:val="15"/>
              </w:rPr>
              <w:t>-</w:t>
            </w:r>
          </w:p>
        </w:tc>
        <w:tc>
          <w:tcPr>
            <w:tcW w:w="12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785,377.30</w:t>
            </w:r>
          </w:p>
        </w:tc>
        <w:tc>
          <w:tcPr>
            <w:tcW w:w="1130" w:type="dxa"/>
            <w:tcBorders>
              <w:top w:val="single" w:sz="8" w:space="0" w:color="000000"/>
              <w:left w:val="single" w:sz="8" w:space="0" w:color="000000"/>
              <w:bottom w:val="single" w:sz="8" w:space="0" w:color="000000"/>
              <w:right w:val="single" w:sz="8" w:space="0" w:color="000000"/>
            </w:tcBorders>
          </w:tcPr>
          <w:p>
            <w:pPr/>
          </w:p>
        </w:tc>
        <w:tc>
          <w:tcPr>
            <w:tcW w:w="1271" w:type="dxa"/>
            <w:tcBorders>
              <w:top w:val="single" w:sz="8" w:space="0" w:color="000000"/>
              <w:left w:val="single" w:sz="8" w:space="0" w:color="000000"/>
              <w:bottom w:val="single" w:sz="8" w:space="0" w:color="000000"/>
              <w:right w:val="single" w:sz="8" w:space="0" w:color="000000"/>
            </w:tcBorders>
          </w:tcPr>
          <w:p>
            <w:pPr/>
          </w:p>
        </w:tc>
        <w:tc>
          <w:tcPr>
            <w:tcW w:w="1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50"/>
              <w:jc w:val="right"/>
              <w:rPr>
                <w:rFonts w:ascii="Times New Roman" w:hAnsi="Times New Roman" w:cs="Times New Roman" w:eastAsia="Times New Roman" w:hint="default"/>
                <w:sz w:val="15"/>
                <w:szCs w:val="15"/>
              </w:rPr>
            </w:pPr>
            <w:r>
              <w:rPr>
                <w:rFonts w:ascii="Times New Roman"/>
                <w:spacing w:val="-1"/>
                <w:sz w:val="15"/>
              </w:rPr>
              <w:t>785,377.30</w:t>
            </w:r>
          </w:p>
        </w:tc>
        <w:tc>
          <w:tcPr>
            <w:tcW w:w="10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659" w:right="0"/>
              <w:jc w:val="lef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96"/>
              <w:jc w:val="right"/>
              <w:rPr>
                <w:rFonts w:ascii="Times New Roman" w:hAnsi="Times New Roman" w:cs="Times New Roman" w:eastAsia="Times New Roman" w:hint="default"/>
                <w:sz w:val="15"/>
                <w:szCs w:val="15"/>
              </w:rPr>
            </w:pPr>
            <w:r>
              <w:rPr>
                <w:rFonts w:ascii="Times New Roman"/>
                <w:sz w:val="15"/>
              </w:rPr>
              <w:t>-</w:t>
            </w:r>
          </w:p>
        </w:tc>
      </w:tr>
      <w:tr>
        <w:trPr>
          <w:trHeight w:val="520" w:hRule="exact"/>
        </w:trPr>
        <w:tc>
          <w:tcPr>
            <w:tcW w:w="2372"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22" w:right="0"/>
              <w:jc w:val="left"/>
              <w:rPr>
                <w:rFonts w:ascii="宋体" w:hAnsi="宋体" w:cs="宋体" w:eastAsia="宋体" w:hint="default"/>
                <w:sz w:val="15"/>
                <w:szCs w:val="15"/>
              </w:rPr>
            </w:pPr>
            <w:r>
              <w:rPr>
                <w:rFonts w:ascii="宋体" w:hAnsi="宋体" w:cs="宋体" w:eastAsia="宋体" w:hint="default"/>
                <w:sz w:val="15"/>
                <w:szCs w:val="15"/>
              </w:rPr>
              <w:t>广东天鸿经济技术开发有限公司</w:t>
            </w:r>
          </w:p>
        </w:tc>
        <w:tc>
          <w:tcPr>
            <w:tcW w:w="8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6"/>
              <w:jc w:val="right"/>
              <w:rPr>
                <w:rFonts w:ascii="Times New Roman" w:hAnsi="Times New Roman" w:cs="Times New Roman" w:eastAsia="Times New Roman" w:hint="default"/>
                <w:sz w:val="15"/>
                <w:szCs w:val="15"/>
              </w:rPr>
            </w:pPr>
            <w:r>
              <w:rPr>
                <w:rFonts w:ascii="Times New Roman"/>
                <w:spacing w:val="-1"/>
                <w:sz w:val="15"/>
              </w:rPr>
              <w:t>15,095,137.50</w:t>
            </w:r>
          </w:p>
        </w:tc>
        <w:tc>
          <w:tcPr>
            <w:tcW w:w="12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6"/>
              <w:jc w:val="right"/>
              <w:rPr>
                <w:rFonts w:ascii="Times New Roman" w:hAnsi="Times New Roman" w:cs="Times New Roman" w:eastAsia="Times New Roman" w:hint="default"/>
                <w:sz w:val="15"/>
                <w:szCs w:val="15"/>
              </w:rPr>
            </w:pPr>
            <w:r>
              <w:rPr>
                <w:rFonts w:ascii="Times New Roman"/>
                <w:spacing w:val="-1"/>
                <w:sz w:val="15"/>
              </w:rPr>
              <w:t>15,095,137.50</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-15,095,137.50</w:t>
            </w:r>
          </w:p>
        </w:tc>
        <w:tc>
          <w:tcPr>
            <w:tcW w:w="12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85"/>
              <w:jc w:val="right"/>
              <w:rPr>
                <w:rFonts w:ascii="Times New Roman" w:hAnsi="Times New Roman" w:cs="Times New Roman" w:eastAsia="Times New Roman" w:hint="default"/>
                <w:sz w:val="15"/>
                <w:szCs w:val="15"/>
              </w:rPr>
            </w:pPr>
            <w:r>
              <w:rPr>
                <w:rFonts w:ascii="Times New Roman"/>
                <w:sz w:val="15"/>
              </w:rPr>
              <w:t>-</w:t>
            </w:r>
          </w:p>
        </w:tc>
        <w:tc>
          <w:tcPr>
            <w:tcW w:w="1130" w:type="dxa"/>
            <w:tcBorders>
              <w:top w:val="single" w:sz="8" w:space="0" w:color="000000"/>
              <w:left w:val="single" w:sz="8" w:space="0" w:color="000000"/>
              <w:bottom w:val="single" w:sz="8" w:space="0" w:color="000000"/>
              <w:right w:val="single" w:sz="8" w:space="0" w:color="000000"/>
            </w:tcBorders>
          </w:tcPr>
          <w:p>
            <w:pPr/>
          </w:p>
        </w:tc>
        <w:tc>
          <w:tcPr>
            <w:tcW w:w="1271" w:type="dxa"/>
            <w:tcBorders>
              <w:top w:val="single" w:sz="8" w:space="0" w:color="000000"/>
              <w:left w:val="single" w:sz="8" w:space="0" w:color="000000"/>
              <w:bottom w:val="single" w:sz="8" w:space="0" w:color="000000"/>
              <w:right w:val="single" w:sz="8" w:space="0" w:color="000000"/>
            </w:tcBorders>
          </w:tcPr>
          <w:p>
            <w:pPr/>
          </w:p>
        </w:tc>
        <w:tc>
          <w:tcPr>
            <w:tcW w:w="1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713" w:right="0"/>
              <w:jc w:val="left"/>
              <w:rPr>
                <w:rFonts w:ascii="Times New Roman" w:hAnsi="Times New Roman" w:cs="Times New Roman" w:eastAsia="Times New Roman" w:hint="default"/>
                <w:sz w:val="15"/>
                <w:szCs w:val="15"/>
              </w:rPr>
            </w:pPr>
            <w:r>
              <w:rPr>
                <w:rFonts w:ascii="Times New Roman"/>
                <w:sz w:val="15"/>
              </w:rPr>
              <w:t>-</w:t>
            </w:r>
          </w:p>
        </w:tc>
        <w:tc>
          <w:tcPr>
            <w:tcW w:w="10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659" w:right="0"/>
              <w:jc w:val="lef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96"/>
              <w:jc w:val="right"/>
              <w:rPr>
                <w:rFonts w:ascii="Times New Roman" w:hAnsi="Times New Roman" w:cs="Times New Roman" w:eastAsia="Times New Roman" w:hint="default"/>
                <w:sz w:val="15"/>
                <w:szCs w:val="15"/>
              </w:rPr>
            </w:pPr>
            <w:r>
              <w:rPr>
                <w:rFonts w:ascii="Times New Roman"/>
                <w:sz w:val="15"/>
              </w:rPr>
              <w:t>-</w:t>
            </w:r>
          </w:p>
        </w:tc>
      </w:tr>
      <w:tr>
        <w:trPr>
          <w:trHeight w:val="521" w:hRule="exact"/>
        </w:trPr>
        <w:tc>
          <w:tcPr>
            <w:tcW w:w="2372"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22"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846"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6"/>
              <w:jc w:val="right"/>
              <w:rPr>
                <w:rFonts w:ascii="Times New Roman" w:hAnsi="Times New Roman" w:cs="Times New Roman" w:eastAsia="Times New Roman" w:hint="default"/>
                <w:sz w:val="15"/>
                <w:szCs w:val="15"/>
              </w:rPr>
            </w:pPr>
            <w:r>
              <w:rPr>
                <w:rFonts w:ascii="Times New Roman"/>
                <w:spacing w:val="-1"/>
                <w:sz w:val="15"/>
              </w:rPr>
              <w:t>32,361,562.65</w:t>
            </w:r>
          </w:p>
        </w:tc>
        <w:tc>
          <w:tcPr>
            <w:tcW w:w="12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6"/>
              <w:jc w:val="right"/>
              <w:rPr>
                <w:rFonts w:ascii="Times New Roman" w:hAnsi="Times New Roman" w:cs="Times New Roman" w:eastAsia="Times New Roman" w:hint="default"/>
                <w:sz w:val="15"/>
                <w:szCs w:val="15"/>
              </w:rPr>
            </w:pPr>
            <w:r>
              <w:rPr>
                <w:rFonts w:ascii="Times New Roman"/>
                <w:spacing w:val="-1"/>
                <w:sz w:val="15"/>
              </w:rPr>
              <w:t>32,646,939.95</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-17,133,389.00</w:t>
            </w:r>
          </w:p>
        </w:tc>
        <w:tc>
          <w:tcPr>
            <w:tcW w:w="12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6"/>
              <w:jc w:val="right"/>
              <w:rPr>
                <w:rFonts w:ascii="Times New Roman" w:hAnsi="Times New Roman" w:cs="Times New Roman" w:eastAsia="Times New Roman" w:hint="default"/>
                <w:sz w:val="15"/>
                <w:szCs w:val="15"/>
              </w:rPr>
            </w:pPr>
            <w:r>
              <w:rPr>
                <w:rFonts w:ascii="Times New Roman"/>
                <w:spacing w:val="-1"/>
                <w:sz w:val="15"/>
              </w:rPr>
              <w:t>15,513,550.95</w:t>
            </w:r>
          </w:p>
        </w:tc>
        <w:tc>
          <w:tcPr>
            <w:tcW w:w="1130" w:type="dxa"/>
            <w:tcBorders>
              <w:top w:val="single" w:sz="8" w:space="0" w:color="000000"/>
              <w:left w:val="single" w:sz="8" w:space="0" w:color="000000"/>
              <w:bottom w:val="single" w:sz="8" w:space="0" w:color="000000"/>
              <w:right w:val="single" w:sz="8" w:space="0" w:color="000000"/>
            </w:tcBorders>
          </w:tcPr>
          <w:p>
            <w:pPr/>
          </w:p>
        </w:tc>
        <w:tc>
          <w:tcPr>
            <w:tcW w:w="1271" w:type="dxa"/>
            <w:tcBorders>
              <w:top w:val="single" w:sz="8" w:space="0" w:color="000000"/>
              <w:left w:val="single" w:sz="8" w:space="0" w:color="000000"/>
              <w:bottom w:val="single" w:sz="8" w:space="0" w:color="000000"/>
              <w:right w:val="single" w:sz="8" w:space="0" w:color="000000"/>
            </w:tcBorders>
          </w:tcPr>
          <w:p>
            <w:pPr/>
          </w:p>
        </w:tc>
        <w:tc>
          <w:tcPr>
            <w:tcW w:w="1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38"/>
              <w:jc w:val="right"/>
              <w:rPr>
                <w:rFonts w:ascii="Times New Roman" w:hAnsi="Times New Roman" w:cs="Times New Roman" w:eastAsia="Times New Roman" w:hint="default"/>
                <w:sz w:val="15"/>
                <w:szCs w:val="15"/>
              </w:rPr>
            </w:pPr>
            <w:r>
              <w:rPr>
                <w:rFonts w:ascii="Times New Roman"/>
                <w:spacing w:val="-1"/>
                <w:sz w:val="15"/>
              </w:rPr>
              <w:t>14,013,550.95</w:t>
            </w:r>
          </w:p>
        </w:tc>
        <w:tc>
          <w:tcPr>
            <w:tcW w:w="10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659" w:right="0"/>
              <w:jc w:val="lef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96"/>
              <w:jc w:val="right"/>
              <w:rPr>
                <w:rFonts w:ascii="Times New Roman" w:hAnsi="Times New Roman" w:cs="Times New Roman" w:eastAsia="Times New Roman" w:hint="default"/>
                <w:sz w:val="15"/>
                <w:szCs w:val="15"/>
              </w:rPr>
            </w:pPr>
            <w:r>
              <w:rPr>
                <w:rFonts w:ascii="Times New Roman"/>
                <w:sz w:val="15"/>
              </w:rPr>
              <w:t>-</w:t>
            </w:r>
          </w:p>
        </w:tc>
      </w:tr>
      <w:tr>
        <w:trPr>
          <w:trHeight w:val="521" w:hRule="exact"/>
        </w:trPr>
        <w:tc>
          <w:tcPr>
            <w:tcW w:w="2372"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22"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846"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6"/>
              <w:jc w:val="right"/>
              <w:rPr>
                <w:rFonts w:ascii="Times New Roman" w:hAnsi="Times New Roman" w:cs="Times New Roman" w:eastAsia="Times New Roman" w:hint="default"/>
                <w:sz w:val="15"/>
                <w:szCs w:val="15"/>
              </w:rPr>
            </w:pPr>
            <w:r>
              <w:rPr>
                <w:rFonts w:ascii="Times New Roman"/>
                <w:spacing w:val="-1"/>
                <w:sz w:val="15"/>
              </w:rPr>
              <w:t>94,452,312.65</w:t>
            </w:r>
          </w:p>
        </w:tc>
        <w:tc>
          <w:tcPr>
            <w:tcW w:w="12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6"/>
              <w:jc w:val="right"/>
              <w:rPr>
                <w:rFonts w:ascii="Times New Roman" w:hAnsi="Times New Roman" w:cs="Times New Roman" w:eastAsia="Times New Roman" w:hint="default"/>
                <w:sz w:val="15"/>
                <w:szCs w:val="15"/>
              </w:rPr>
            </w:pPr>
            <w:r>
              <w:rPr>
                <w:rFonts w:ascii="Times New Roman"/>
                <w:spacing w:val="-1"/>
                <w:sz w:val="15"/>
              </w:rPr>
              <w:t>78,900,708.12</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-11,310,406.73</w:t>
            </w:r>
          </w:p>
        </w:tc>
        <w:tc>
          <w:tcPr>
            <w:tcW w:w="12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6"/>
              <w:jc w:val="right"/>
              <w:rPr>
                <w:rFonts w:ascii="Times New Roman" w:hAnsi="Times New Roman" w:cs="Times New Roman" w:eastAsia="Times New Roman" w:hint="default"/>
                <w:sz w:val="15"/>
                <w:szCs w:val="15"/>
              </w:rPr>
            </w:pPr>
            <w:r>
              <w:rPr>
                <w:rFonts w:ascii="Times New Roman"/>
                <w:spacing w:val="-1"/>
                <w:sz w:val="15"/>
              </w:rPr>
              <w:t>67,590,301.39</w:t>
            </w:r>
          </w:p>
        </w:tc>
        <w:tc>
          <w:tcPr>
            <w:tcW w:w="1130" w:type="dxa"/>
            <w:tcBorders>
              <w:top w:val="single" w:sz="8" w:space="0" w:color="000000"/>
              <w:left w:val="single" w:sz="8" w:space="0" w:color="000000"/>
              <w:bottom w:val="single" w:sz="8" w:space="0" w:color="000000"/>
              <w:right w:val="single" w:sz="8" w:space="0" w:color="000000"/>
            </w:tcBorders>
          </w:tcPr>
          <w:p>
            <w:pPr/>
          </w:p>
        </w:tc>
        <w:tc>
          <w:tcPr>
            <w:tcW w:w="1271" w:type="dxa"/>
            <w:tcBorders>
              <w:top w:val="single" w:sz="8" w:space="0" w:color="000000"/>
              <w:left w:val="single" w:sz="8" w:space="0" w:color="000000"/>
              <w:bottom w:val="single" w:sz="8" w:space="0" w:color="000000"/>
              <w:right w:val="single" w:sz="8" w:space="0" w:color="000000"/>
            </w:tcBorders>
          </w:tcPr>
          <w:p>
            <w:pPr/>
          </w:p>
        </w:tc>
        <w:tc>
          <w:tcPr>
            <w:tcW w:w="1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38"/>
              <w:jc w:val="right"/>
              <w:rPr>
                <w:rFonts w:ascii="Times New Roman" w:hAnsi="Times New Roman" w:cs="Times New Roman" w:eastAsia="Times New Roman" w:hint="default"/>
                <w:sz w:val="15"/>
                <w:szCs w:val="15"/>
              </w:rPr>
            </w:pPr>
            <w:r>
              <w:rPr>
                <w:rFonts w:ascii="Times New Roman"/>
                <w:spacing w:val="-1"/>
                <w:sz w:val="15"/>
              </w:rPr>
              <w:t>21,515,963.98</w:t>
            </w:r>
          </w:p>
        </w:tc>
        <w:tc>
          <w:tcPr>
            <w:tcW w:w="10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6"/>
              <w:jc w:val="right"/>
              <w:rPr>
                <w:rFonts w:ascii="Times New Roman" w:hAnsi="Times New Roman" w:cs="Times New Roman" w:eastAsia="Times New Roman" w:hint="default"/>
                <w:sz w:val="15"/>
                <w:szCs w:val="15"/>
              </w:rPr>
            </w:pPr>
            <w:r>
              <w:rPr>
                <w:rFonts w:ascii="Times New Roman"/>
                <w:spacing w:val="-1"/>
                <w:sz w:val="15"/>
              </w:rPr>
              <w:t>7,502,413.03</w:t>
            </w:r>
          </w:p>
        </w:tc>
        <w:tc>
          <w:tcPr>
            <w:tcW w:w="1134"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8"/>
              <w:jc w:val="right"/>
              <w:rPr>
                <w:rFonts w:ascii="Times New Roman" w:hAnsi="Times New Roman" w:cs="Times New Roman" w:eastAsia="Times New Roman" w:hint="default"/>
                <w:sz w:val="15"/>
                <w:szCs w:val="15"/>
              </w:rPr>
            </w:pPr>
            <w:r>
              <w:rPr>
                <w:rFonts w:ascii="Times New Roman"/>
                <w:spacing w:val="-1"/>
                <w:sz w:val="15"/>
              </w:rPr>
              <w:t>257,643.79</w:t>
            </w:r>
          </w:p>
        </w:tc>
      </w:tr>
    </w:tbl>
    <w:p>
      <w:pPr>
        <w:spacing w:after="0" w:line="240" w:lineRule="auto"/>
        <w:jc w:val="right"/>
        <w:rPr>
          <w:rFonts w:ascii="Times New Roman" w:hAnsi="Times New Roman" w:cs="Times New Roman" w:eastAsia="Times New Roman" w:hint="default"/>
          <w:sz w:val="15"/>
          <w:szCs w:val="15"/>
        </w:rPr>
        <w:sectPr>
          <w:pgSz w:w="16840" w:h="11900" w:orient="landscape"/>
          <w:pgMar w:header="0" w:footer="954" w:top="1060" w:bottom="1140" w:left="1620" w:right="1100"/>
        </w:sectPr>
      </w:pPr>
    </w:p>
    <w:p>
      <w:pPr>
        <w:spacing w:before="6"/>
        <w:ind w:left="250" w:right="14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sz w:val="21"/>
          <w:szCs w:val="21"/>
        </w:rPr>
        <w:t>、投资性房地产</w:t>
      </w:r>
    </w:p>
    <w:p>
      <w:pPr>
        <w:spacing w:line="240" w:lineRule="auto" w:before="0"/>
        <w:rPr>
          <w:rFonts w:ascii="宋体" w:hAnsi="宋体" w:cs="宋体" w:eastAsia="宋体" w:hint="default"/>
          <w:sz w:val="16"/>
          <w:szCs w:val="16"/>
        </w:rPr>
      </w:pPr>
    </w:p>
    <w:p>
      <w:pPr>
        <w:pStyle w:val="BodyText"/>
        <w:spacing w:line="240" w:lineRule="auto"/>
        <w:ind w:left="250" w:right="142"/>
        <w:jc w:val="left"/>
      </w:pPr>
      <w:r>
        <w:rPr/>
        <w:t>（</w:t>
      </w:r>
      <w:r>
        <w:rPr>
          <w:rFonts w:ascii="Times New Roman" w:hAnsi="Times New Roman" w:cs="Times New Roman" w:eastAsia="Times New Roman" w:hint="default"/>
        </w:rPr>
        <w:t>1</w:t>
      </w:r>
      <w:r>
        <w:rPr/>
        <w:t>）按成本计量的投资性房地产</w:t>
      </w:r>
    </w:p>
    <w:p>
      <w:pPr>
        <w:spacing w:line="240" w:lineRule="auto" w:before="3"/>
        <w:rPr>
          <w:rFonts w:ascii="宋体" w:hAnsi="宋体" w:cs="宋体" w:eastAsia="宋体" w:hint="default"/>
          <w:sz w:val="13"/>
          <w:szCs w:val="13"/>
        </w:rPr>
      </w:pPr>
    </w:p>
    <w:p>
      <w:pPr>
        <w:pStyle w:val="BodyText"/>
        <w:tabs>
          <w:tab w:pos="1049" w:val="left" w:leader="none"/>
        </w:tabs>
        <w:spacing w:line="240" w:lineRule="auto" w:before="35"/>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840"/>
        <w:gridCol w:w="1501"/>
        <w:gridCol w:w="1502"/>
        <w:gridCol w:w="1501"/>
        <w:gridCol w:w="1502"/>
      </w:tblGrid>
      <w:tr>
        <w:trPr>
          <w:trHeight w:val="520" w:hRule="exact"/>
        </w:trPr>
        <w:tc>
          <w:tcPr>
            <w:tcW w:w="28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tabs>
                <w:tab w:pos="473" w:val="left" w:leader="none"/>
              </w:tabs>
              <w:spacing w:line="240" w:lineRule="auto"/>
              <w:ind w:left="2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0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21" w:hRule="exact"/>
        </w:trPr>
        <w:tc>
          <w:tcPr>
            <w:tcW w:w="28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01" w:type="dxa"/>
            <w:tcBorders>
              <w:top w:val="single" w:sz="8" w:space="0" w:color="000000"/>
              <w:left w:val="single" w:sz="8" w:space="0" w:color="000000"/>
              <w:bottom w:val="single" w:sz="8" w:space="0" w:color="000000"/>
              <w:right w:val="single" w:sz="8" w:space="0" w:color="000000"/>
            </w:tcBorders>
          </w:tcPr>
          <w:p>
            <w:pPr/>
          </w:p>
        </w:tc>
        <w:tc>
          <w:tcPr>
            <w:tcW w:w="1502" w:type="dxa"/>
            <w:tcBorders>
              <w:top w:val="single" w:sz="8" w:space="0" w:color="000000"/>
              <w:left w:val="single" w:sz="8" w:space="0" w:color="000000"/>
              <w:bottom w:val="single" w:sz="8" w:space="0" w:color="000000"/>
              <w:right w:val="single" w:sz="8" w:space="0" w:color="000000"/>
            </w:tcBorders>
          </w:tcPr>
          <w:p>
            <w:pPr/>
          </w:p>
        </w:tc>
        <w:tc>
          <w:tcPr>
            <w:tcW w:w="1501" w:type="dxa"/>
            <w:tcBorders>
              <w:top w:val="single" w:sz="8" w:space="0" w:color="000000"/>
              <w:left w:val="single" w:sz="8" w:space="0" w:color="000000"/>
              <w:bottom w:val="single" w:sz="8" w:space="0" w:color="000000"/>
              <w:right w:val="single" w:sz="8" w:space="0" w:color="000000"/>
            </w:tcBorders>
          </w:tcPr>
          <w:p>
            <w:pPr/>
          </w:p>
        </w:tc>
        <w:tc>
          <w:tcPr>
            <w:tcW w:w="1502" w:type="dxa"/>
            <w:tcBorders>
              <w:top w:val="single" w:sz="8" w:space="0" w:color="000000"/>
              <w:left w:val="single" w:sz="8" w:space="0" w:color="000000"/>
              <w:bottom w:val="single" w:sz="8" w:space="0" w:color="000000"/>
              <w:right w:val="nil" w:sz="6" w:space="0" w:color="auto"/>
            </w:tcBorders>
          </w:tcPr>
          <w:p>
            <w:pPr/>
          </w:p>
        </w:tc>
      </w:tr>
      <w:tr>
        <w:trPr>
          <w:trHeight w:val="520" w:hRule="exact"/>
        </w:trPr>
        <w:tc>
          <w:tcPr>
            <w:tcW w:w="28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5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577,153,628.01</w:t>
            </w:r>
          </w:p>
        </w:tc>
        <w:tc>
          <w:tcPr>
            <w:tcW w:w="15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130,684,194.72</w:t>
            </w:r>
          </w:p>
        </w:tc>
        <w:tc>
          <w:tcPr>
            <w:tcW w:w="15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27,455,623.48</w:t>
            </w:r>
          </w:p>
        </w:tc>
        <w:tc>
          <w:tcPr>
            <w:tcW w:w="150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680,382,199.25</w:t>
            </w:r>
          </w:p>
        </w:tc>
      </w:tr>
      <w:tr>
        <w:trPr>
          <w:trHeight w:val="520" w:hRule="exact"/>
        </w:trPr>
        <w:tc>
          <w:tcPr>
            <w:tcW w:w="28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5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15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24"/>
              <w:jc w:val="right"/>
              <w:rPr>
                <w:rFonts w:ascii="Times New Roman" w:hAnsi="Times New Roman" w:cs="Times New Roman" w:eastAsia="Times New Roman" w:hint="default"/>
                <w:sz w:val="18"/>
                <w:szCs w:val="18"/>
              </w:rPr>
            </w:pPr>
            <w:r>
              <w:rPr>
                <w:rFonts w:ascii="Times New Roman"/>
                <w:sz w:val="18"/>
              </w:rPr>
              <w:t>-</w:t>
            </w:r>
          </w:p>
        </w:tc>
        <w:tc>
          <w:tcPr>
            <w:tcW w:w="15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150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34"/>
              <w:jc w:val="right"/>
              <w:rPr>
                <w:rFonts w:ascii="Times New Roman" w:hAnsi="Times New Roman" w:cs="Times New Roman" w:eastAsia="Times New Roman" w:hint="default"/>
                <w:sz w:val="18"/>
                <w:szCs w:val="18"/>
              </w:rPr>
            </w:pPr>
            <w:r>
              <w:rPr>
                <w:rFonts w:ascii="Times New Roman"/>
                <w:sz w:val="18"/>
              </w:rPr>
              <w:t>-</w:t>
            </w:r>
          </w:p>
        </w:tc>
      </w:tr>
      <w:tr>
        <w:trPr>
          <w:trHeight w:val="521" w:hRule="exact"/>
        </w:trPr>
        <w:tc>
          <w:tcPr>
            <w:tcW w:w="28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501" w:type="dxa"/>
            <w:tcBorders>
              <w:top w:val="single" w:sz="8" w:space="0" w:color="000000"/>
              <w:left w:val="single" w:sz="8" w:space="0" w:color="000000"/>
              <w:bottom w:val="single" w:sz="8" w:space="0" w:color="000000"/>
              <w:right w:val="single" w:sz="8" w:space="0" w:color="000000"/>
            </w:tcBorders>
          </w:tcPr>
          <w:p>
            <w:pPr/>
          </w:p>
        </w:tc>
        <w:tc>
          <w:tcPr>
            <w:tcW w:w="1502" w:type="dxa"/>
            <w:tcBorders>
              <w:top w:val="single" w:sz="8" w:space="0" w:color="000000"/>
              <w:left w:val="single" w:sz="8" w:space="0" w:color="000000"/>
              <w:bottom w:val="single" w:sz="8" w:space="0" w:color="000000"/>
              <w:right w:val="single" w:sz="8" w:space="0" w:color="000000"/>
            </w:tcBorders>
          </w:tcPr>
          <w:p>
            <w:pPr/>
          </w:p>
        </w:tc>
        <w:tc>
          <w:tcPr>
            <w:tcW w:w="1501" w:type="dxa"/>
            <w:tcBorders>
              <w:top w:val="single" w:sz="8" w:space="0" w:color="000000"/>
              <w:left w:val="single" w:sz="8" w:space="0" w:color="000000"/>
              <w:bottom w:val="single" w:sz="8" w:space="0" w:color="000000"/>
              <w:right w:val="single" w:sz="8" w:space="0" w:color="000000"/>
            </w:tcBorders>
          </w:tcPr>
          <w:p>
            <w:pPr/>
          </w:p>
        </w:tc>
        <w:tc>
          <w:tcPr>
            <w:tcW w:w="1502" w:type="dxa"/>
            <w:tcBorders>
              <w:top w:val="single" w:sz="8" w:space="0" w:color="000000"/>
              <w:left w:val="single" w:sz="8" w:space="0" w:color="000000"/>
              <w:bottom w:val="single" w:sz="8" w:space="0" w:color="000000"/>
              <w:right w:val="nil" w:sz="6" w:space="0" w:color="auto"/>
            </w:tcBorders>
          </w:tcPr>
          <w:p>
            <w:pPr/>
          </w:p>
        </w:tc>
      </w:tr>
      <w:tr>
        <w:trPr>
          <w:trHeight w:val="520" w:hRule="exact"/>
        </w:trPr>
        <w:tc>
          <w:tcPr>
            <w:tcW w:w="28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5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114,317,925.76</w:t>
            </w:r>
          </w:p>
        </w:tc>
        <w:tc>
          <w:tcPr>
            <w:tcW w:w="15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13,906,636.11</w:t>
            </w:r>
          </w:p>
        </w:tc>
        <w:tc>
          <w:tcPr>
            <w:tcW w:w="15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16,466,768.09</w:t>
            </w:r>
          </w:p>
        </w:tc>
        <w:tc>
          <w:tcPr>
            <w:tcW w:w="150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111,757,793.78</w:t>
            </w:r>
          </w:p>
        </w:tc>
      </w:tr>
      <w:tr>
        <w:trPr>
          <w:trHeight w:val="520" w:hRule="exact"/>
        </w:trPr>
        <w:tc>
          <w:tcPr>
            <w:tcW w:w="28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5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15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24"/>
              <w:jc w:val="right"/>
              <w:rPr>
                <w:rFonts w:ascii="Times New Roman" w:hAnsi="Times New Roman" w:cs="Times New Roman" w:eastAsia="Times New Roman" w:hint="default"/>
                <w:sz w:val="18"/>
                <w:szCs w:val="18"/>
              </w:rPr>
            </w:pPr>
            <w:r>
              <w:rPr>
                <w:rFonts w:ascii="Times New Roman"/>
                <w:sz w:val="18"/>
              </w:rPr>
              <w:t>-</w:t>
            </w:r>
          </w:p>
        </w:tc>
        <w:tc>
          <w:tcPr>
            <w:tcW w:w="15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150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34"/>
              <w:jc w:val="right"/>
              <w:rPr>
                <w:rFonts w:ascii="Times New Roman" w:hAnsi="Times New Roman" w:cs="Times New Roman" w:eastAsia="Times New Roman" w:hint="default"/>
                <w:sz w:val="18"/>
                <w:szCs w:val="18"/>
              </w:rPr>
            </w:pPr>
            <w:r>
              <w:rPr>
                <w:rFonts w:ascii="Times New Roman"/>
                <w:sz w:val="18"/>
              </w:rPr>
              <w:t>-</w:t>
            </w:r>
          </w:p>
        </w:tc>
      </w:tr>
      <w:tr>
        <w:trPr>
          <w:trHeight w:val="521" w:hRule="exact"/>
        </w:trPr>
        <w:tc>
          <w:tcPr>
            <w:tcW w:w="28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三、投资性房地产账面净值</w:t>
            </w:r>
          </w:p>
        </w:tc>
        <w:tc>
          <w:tcPr>
            <w:tcW w:w="1501" w:type="dxa"/>
            <w:tcBorders>
              <w:top w:val="single" w:sz="8" w:space="0" w:color="000000"/>
              <w:left w:val="single" w:sz="8" w:space="0" w:color="000000"/>
              <w:bottom w:val="single" w:sz="8" w:space="0" w:color="000000"/>
              <w:right w:val="single" w:sz="8" w:space="0" w:color="000000"/>
            </w:tcBorders>
          </w:tcPr>
          <w:p>
            <w:pPr/>
          </w:p>
        </w:tc>
        <w:tc>
          <w:tcPr>
            <w:tcW w:w="1502" w:type="dxa"/>
            <w:tcBorders>
              <w:top w:val="single" w:sz="8" w:space="0" w:color="000000"/>
              <w:left w:val="single" w:sz="8" w:space="0" w:color="000000"/>
              <w:bottom w:val="single" w:sz="8" w:space="0" w:color="000000"/>
              <w:right w:val="single" w:sz="8" w:space="0" w:color="000000"/>
            </w:tcBorders>
          </w:tcPr>
          <w:p>
            <w:pPr/>
          </w:p>
        </w:tc>
        <w:tc>
          <w:tcPr>
            <w:tcW w:w="1501" w:type="dxa"/>
            <w:tcBorders>
              <w:top w:val="single" w:sz="8" w:space="0" w:color="000000"/>
              <w:left w:val="single" w:sz="8" w:space="0" w:color="000000"/>
              <w:bottom w:val="single" w:sz="8" w:space="0" w:color="000000"/>
              <w:right w:val="single" w:sz="8" w:space="0" w:color="000000"/>
            </w:tcBorders>
          </w:tcPr>
          <w:p>
            <w:pPr/>
          </w:p>
        </w:tc>
        <w:tc>
          <w:tcPr>
            <w:tcW w:w="1502" w:type="dxa"/>
            <w:tcBorders>
              <w:top w:val="single" w:sz="8" w:space="0" w:color="000000"/>
              <w:left w:val="single" w:sz="8" w:space="0" w:color="000000"/>
              <w:bottom w:val="single" w:sz="8" w:space="0" w:color="000000"/>
              <w:right w:val="nil" w:sz="6" w:space="0" w:color="auto"/>
            </w:tcBorders>
          </w:tcPr>
          <w:p>
            <w:pPr/>
          </w:p>
        </w:tc>
      </w:tr>
      <w:tr>
        <w:trPr>
          <w:trHeight w:val="520" w:hRule="exact"/>
        </w:trPr>
        <w:tc>
          <w:tcPr>
            <w:tcW w:w="28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5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462,835,702.25</w:t>
            </w:r>
          </w:p>
        </w:tc>
        <w:tc>
          <w:tcPr>
            <w:tcW w:w="15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116,777,558.61</w:t>
            </w:r>
          </w:p>
        </w:tc>
        <w:tc>
          <w:tcPr>
            <w:tcW w:w="15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10,988,855.39</w:t>
            </w:r>
          </w:p>
        </w:tc>
        <w:tc>
          <w:tcPr>
            <w:tcW w:w="150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568,624,405.47</w:t>
            </w:r>
          </w:p>
        </w:tc>
      </w:tr>
      <w:tr>
        <w:trPr>
          <w:trHeight w:val="520" w:hRule="exact"/>
        </w:trPr>
        <w:tc>
          <w:tcPr>
            <w:tcW w:w="28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5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15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24"/>
              <w:jc w:val="right"/>
              <w:rPr>
                <w:rFonts w:ascii="Times New Roman" w:hAnsi="Times New Roman" w:cs="Times New Roman" w:eastAsia="Times New Roman" w:hint="default"/>
                <w:sz w:val="18"/>
                <w:szCs w:val="18"/>
              </w:rPr>
            </w:pPr>
            <w:r>
              <w:rPr>
                <w:rFonts w:ascii="Times New Roman"/>
                <w:sz w:val="18"/>
              </w:rPr>
              <w:t>-</w:t>
            </w:r>
          </w:p>
        </w:tc>
        <w:tc>
          <w:tcPr>
            <w:tcW w:w="15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150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34"/>
              <w:jc w:val="right"/>
              <w:rPr>
                <w:rFonts w:ascii="Times New Roman" w:hAnsi="Times New Roman" w:cs="Times New Roman" w:eastAsia="Times New Roman" w:hint="default"/>
                <w:sz w:val="18"/>
                <w:szCs w:val="18"/>
              </w:rPr>
            </w:pPr>
            <w:r>
              <w:rPr>
                <w:rFonts w:ascii="Times New Roman"/>
                <w:sz w:val="18"/>
              </w:rPr>
              <w:t>-</w:t>
            </w:r>
          </w:p>
        </w:tc>
      </w:tr>
      <w:tr>
        <w:trPr>
          <w:trHeight w:val="521" w:hRule="exact"/>
        </w:trPr>
        <w:tc>
          <w:tcPr>
            <w:tcW w:w="28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四、投资性房地产减值准备</w:t>
            </w:r>
          </w:p>
        </w:tc>
        <w:tc>
          <w:tcPr>
            <w:tcW w:w="1501" w:type="dxa"/>
            <w:tcBorders>
              <w:top w:val="single" w:sz="8" w:space="0" w:color="000000"/>
              <w:left w:val="single" w:sz="8" w:space="0" w:color="000000"/>
              <w:bottom w:val="single" w:sz="8" w:space="0" w:color="000000"/>
              <w:right w:val="single" w:sz="8" w:space="0" w:color="000000"/>
            </w:tcBorders>
          </w:tcPr>
          <w:p>
            <w:pPr/>
          </w:p>
        </w:tc>
        <w:tc>
          <w:tcPr>
            <w:tcW w:w="1502" w:type="dxa"/>
            <w:tcBorders>
              <w:top w:val="single" w:sz="8" w:space="0" w:color="000000"/>
              <w:left w:val="single" w:sz="8" w:space="0" w:color="000000"/>
              <w:bottom w:val="single" w:sz="8" w:space="0" w:color="000000"/>
              <w:right w:val="single" w:sz="8" w:space="0" w:color="000000"/>
            </w:tcBorders>
          </w:tcPr>
          <w:p>
            <w:pPr/>
          </w:p>
        </w:tc>
        <w:tc>
          <w:tcPr>
            <w:tcW w:w="1501" w:type="dxa"/>
            <w:tcBorders>
              <w:top w:val="single" w:sz="8" w:space="0" w:color="000000"/>
              <w:left w:val="single" w:sz="8" w:space="0" w:color="000000"/>
              <w:bottom w:val="single" w:sz="8" w:space="0" w:color="000000"/>
              <w:right w:val="single" w:sz="8" w:space="0" w:color="000000"/>
            </w:tcBorders>
          </w:tcPr>
          <w:p>
            <w:pPr/>
          </w:p>
        </w:tc>
        <w:tc>
          <w:tcPr>
            <w:tcW w:w="1502" w:type="dxa"/>
            <w:tcBorders>
              <w:top w:val="single" w:sz="8" w:space="0" w:color="000000"/>
              <w:left w:val="single" w:sz="8" w:space="0" w:color="000000"/>
              <w:bottom w:val="single" w:sz="8" w:space="0" w:color="000000"/>
              <w:right w:val="nil" w:sz="6" w:space="0" w:color="auto"/>
            </w:tcBorders>
          </w:tcPr>
          <w:p>
            <w:pPr/>
          </w:p>
        </w:tc>
      </w:tr>
      <w:tr>
        <w:trPr>
          <w:trHeight w:val="520" w:hRule="exact"/>
        </w:trPr>
        <w:tc>
          <w:tcPr>
            <w:tcW w:w="28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5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21,480,000.00</w:t>
            </w:r>
          </w:p>
        </w:tc>
        <w:tc>
          <w:tcPr>
            <w:tcW w:w="1502" w:type="dxa"/>
            <w:tcBorders>
              <w:top w:val="single" w:sz="8" w:space="0" w:color="000000"/>
              <w:left w:val="single" w:sz="8" w:space="0" w:color="000000"/>
              <w:bottom w:val="single" w:sz="8" w:space="0" w:color="000000"/>
              <w:right w:val="single" w:sz="8" w:space="0" w:color="000000"/>
            </w:tcBorders>
          </w:tcPr>
          <w:p>
            <w:pPr/>
          </w:p>
        </w:tc>
        <w:tc>
          <w:tcPr>
            <w:tcW w:w="1501" w:type="dxa"/>
            <w:tcBorders>
              <w:top w:val="single" w:sz="8" w:space="0" w:color="000000"/>
              <w:left w:val="single" w:sz="8" w:space="0" w:color="000000"/>
              <w:bottom w:val="single" w:sz="8" w:space="0" w:color="000000"/>
              <w:right w:val="single" w:sz="8" w:space="0" w:color="000000"/>
            </w:tcBorders>
          </w:tcPr>
          <w:p>
            <w:pPr/>
          </w:p>
        </w:tc>
        <w:tc>
          <w:tcPr>
            <w:tcW w:w="150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21,480,000.00</w:t>
            </w:r>
          </w:p>
        </w:tc>
      </w:tr>
      <w:tr>
        <w:trPr>
          <w:trHeight w:val="520" w:hRule="exact"/>
        </w:trPr>
        <w:tc>
          <w:tcPr>
            <w:tcW w:w="28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5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15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24"/>
              <w:jc w:val="right"/>
              <w:rPr>
                <w:rFonts w:ascii="Times New Roman" w:hAnsi="Times New Roman" w:cs="Times New Roman" w:eastAsia="Times New Roman" w:hint="default"/>
                <w:sz w:val="18"/>
                <w:szCs w:val="18"/>
              </w:rPr>
            </w:pPr>
            <w:r>
              <w:rPr>
                <w:rFonts w:ascii="Times New Roman"/>
                <w:sz w:val="18"/>
              </w:rPr>
              <w:t>-</w:t>
            </w:r>
          </w:p>
        </w:tc>
        <w:tc>
          <w:tcPr>
            <w:tcW w:w="15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150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34"/>
              <w:jc w:val="right"/>
              <w:rPr>
                <w:rFonts w:ascii="Times New Roman" w:hAnsi="Times New Roman" w:cs="Times New Roman" w:eastAsia="Times New Roman" w:hint="default"/>
                <w:sz w:val="18"/>
                <w:szCs w:val="18"/>
              </w:rPr>
            </w:pPr>
            <w:r>
              <w:rPr>
                <w:rFonts w:ascii="Times New Roman"/>
                <w:sz w:val="18"/>
              </w:rPr>
              <w:t>-</w:t>
            </w:r>
          </w:p>
        </w:tc>
      </w:tr>
      <w:tr>
        <w:trPr>
          <w:trHeight w:val="521" w:hRule="exact"/>
        </w:trPr>
        <w:tc>
          <w:tcPr>
            <w:tcW w:w="28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五、投资性房地产账面价值</w:t>
            </w:r>
          </w:p>
        </w:tc>
        <w:tc>
          <w:tcPr>
            <w:tcW w:w="1501" w:type="dxa"/>
            <w:tcBorders>
              <w:top w:val="single" w:sz="8" w:space="0" w:color="000000"/>
              <w:left w:val="single" w:sz="8" w:space="0" w:color="000000"/>
              <w:bottom w:val="single" w:sz="8" w:space="0" w:color="000000"/>
              <w:right w:val="single" w:sz="8" w:space="0" w:color="000000"/>
            </w:tcBorders>
          </w:tcPr>
          <w:p>
            <w:pPr/>
          </w:p>
        </w:tc>
        <w:tc>
          <w:tcPr>
            <w:tcW w:w="1502" w:type="dxa"/>
            <w:tcBorders>
              <w:top w:val="single" w:sz="8" w:space="0" w:color="000000"/>
              <w:left w:val="single" w:sz="8" w:space="0" w:color="000000"/>
              <w:bottom w:val="single" w:sz="8" w:space="0" w:color="000000"/>
              <w:right w:val="single" w:sz="8" w:space="0" w:color="000000"/>
            </w:tcBorders>
          </w:tcPr>
          <w:p>
            <w:pPr/>
          </w:p>
        </w:tc>
        <w:tc>
          <w:tcPr>
            <w:tcW w:w="1501" w:type="dxa"/>
            <w:tcBorders>
              <w:top w:val="single" w:sz="8" w:space="0" w:color="000000"/>
              <w:left w:val="single" w:sz="8" w:space="0" w:color="000000"/>
              <w:bottom w:val="single" w:sz="8" w:space="0" w:color="000000"/>
              <w:right w:val="single" w:sz="8" w:space="0" w:color="000000"/>
            </w:tcBorders>
          </w:tcPr>
          <w:p>
            <w:pPr/>
          </w:p>
        </w:tc>
        <w:tc>
          <w:tcPr>
            <w:tcW w:w="1502" w:type="dxa"/>
            <w:tcBorders>
              <w:top w:val="single" w:sz="8" w:space="0" w:color="000000"/>
              <w:left w:val="single" w:sz="8" w:space="0" w:color="000000"/>
              <w:bottom w:val="single" w:sz="8" w:space="0" w:color="000000"/>
              <w:right w:val="nil" w:sz="6" w:space="0" w:color="auto"/>
            </w:tcBorders>
          </w:tcPr>
          <w:p>
            <w:pPr/>
          </w:p>
        </w:tc>
      </w:tr>
      <w:tr>
        <w:trPr>
          <w:trHeight w:val="520" w:hRule="exact"/>
        </w:trPr>
        <w:tc>
          <w:tcPr>
            <w:tcW w:w="28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5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441,355,702.25</w:t>
            </w:r>
          </w:p>
        </w:tc>
        <w:tc>
          <w:tcPr>
            <w:tcW w:w="15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116,777,558.61</w:t>
            </w:r>
          </w:p>
        </w:tc>
        <w:tc>
          <w:tcPr>
            <w:tcW w:w="15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10,988,855.39</w:t>
            </w:r>
          </w:p>
        </w:tc>
        <w:tc>
          <w:tcPr>
            <w:tcW w:w="150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547,144,405.47</w:t>
            </w:r>
          </w:p>
        </w:tc>
      </w:tr>
      <w:tr>
        <w:trPr>
          <w:trHeight w:val="521" w:hRule="exact"/>
        </w:trPr>
        <w:tc>
          <w:tcPr>
            <w:tcW w:w="28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5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15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24"/>
              <w:jc w:val="right"/>
              <w:rPr>
                <w:rFonts w:ascii="Times New Roman" w:hAnsi="Times New Roman" w:cs="Times New Roman" w:eastAsia="Times New Roman" w:hint="default"/>
                <w:sz w:val="18"/>
                <w:szCs w:val="18"/>
              </w:rPr>
            </w:pPr>
            <w:r>
              <w:rPr>
                <w:rFonts w:ascii="Times New Roman"/>
                <w:sz w:val="18"/>
              </w:rPr>
              <w:t>-</w:t>
            </w:r>
          </w:p>
        </w:tc>
        <w:tc>
          <w:tcPr>
            <w:tcW w:w="15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150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34"/>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12"/>
          <w:szCs w:val="12"/>
        </w:rPr>
      </w:pPr>
    </w:p>
    <w:p>
      <w:pPr>
        <w:pStyle w:val="BodyText"/>
        <w:spacing w:line="240" w:lineRule="auto" w:before="35"/>
        <w:ind w:left="250" w:right="0"/>
        <w:jc w:val="left"/>
      </w:pPr>
      <w:r>
        <w:rPr/>
        <w:t>投资性房地产本期计提折旧 </w:t>
      </w:r>
      <w:r>
        <w:rPr>
          <w:rFonts w:ascii="Times New Roman" w:hAnsi="Times New Roman" w:cs="Times New Roman" w:eastAsia="Times New Roman" w:hint="default"/>
        </w:rPr>
        <w:t>13,906,636.11</w:t>
      </w:r>
      <w:r>
        <w:rPr>
          <w:rFonts w:ascii="Times New Roman" w:hAnsi="Times New Roman" w:cs="Times New Roman" w:eastAsia="Times New Roman" w:hint="default"/>
          <w:spacing w:val="-9"/>
        </w:rPr>
        <w:t> </w:t>
      </w:r>
      <w:r>
        <w:rPr/>
        <w:t>元，本期末未出现计提投资性房地产减值准备情况。</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pStyle w:val="BodyText"/>
        <w:spacing w:line="240" w:lineRule="auto"/>
        <w:ind w:left="206" w:right="142"/>
        <w:jc w:val="left"/>
      </w:pPr>
      <w:r>
        <w:rPr/>
        <w:t>（</w:t>
      </w:r>
      <w:r>
        <w:rPr>
          <w:rFonts w:ascii="Times New Roman" w:hAnsi="Times New Roman" w:cs="Times New Roman" w:eastAsia="Times New Roman" w:hint="default"/>
        </w:rPr>
        <w:t>2</w:t>
      </w:r>
      <w:r>
        <w:rPr/>
        <w:t>）所有权受限的投资性房地产</w:t>
      </w:r>
    </w:p>
    <w:p>
      <w:pPr>
        <w:spacing w:line="240" w:lineRule="auto" w:before="0"/>
        <w:rPr>
          <w:rFonts w:ascii="宋体" w:hAnsi="宋体" w:cs="宋体" w:eastAsia="宋体" w:hint="default"/>
          <w:sz w:val="16"/>
          <w:szCs w:val="16"/>
        </w:rPr>
      </w:pPr>
    </w:p>
    <w:p>
      <w:pPr>
        <w:pStyle w:val="BodyText"/>
        <w:spacing w:line="240" w:lineRule="auto"/>
        <w:ind w:left="670" w:right="142"/>
        <w:jc w:val="left"/>
        <w:rPr>
          <w:rFonts w:ascii="Times New Roman" w:hAnsi="Times New Roman" w:cs="Times New Roman" w:eastAsia="Times New Roman" w:hint="default"/>
        </w:rPr>
      </w:pPr>
      <w:r>
        <w:rPr/>
        <w:t>截止</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日，本集团用于银行贷款抵押的投资性房地产原值为</w:t>
      </w:r>
      <w:r>
        <w:rPr>
          <w:spacing w:val="-57"/>
        </w:rPr>
        <w:t> </w:t>
      </w:r>
      <w:r>
        <w:rPr>
          <w:rFonts w:ascii="Times New Roman" w:hAnsi="Times New Roman" w:cs="Times New Roman" w:eastAsia="Times New Roman" w:hint="default"/>
        </w:rPr>
        <w:t>329,115,636.11</w:t>
      </w:r>
    </w:p>
    <w:p>
      <w:pPr>
        <w:spacing w:line="240" w:lineRule="auto" w:before="3"/>
        <w:rPr>
          <w:rFonts w:ascii="Times New Roman" w:hAnsi="Times New Roman" w:cs="Times New Roman" w:eastAsia="Times New Roman" w:hint="default"/>
          <w:sz w:val="18"/>
          <w:szCs w:val="18"/>
        </w:rPr>
      </w:pPr>
    </w:p>
    <w:p>
      <w:pPr>
        <w:pStyle w:val="BodyText"/>
        <w:spacing w:line="240" w:lineRule="auto"/>
        <w:ind w:left="250" w:right="142"/>
        <w:jc w:val="left"/>
      </w:pPr>
      <w:r>
        <w:rPr/>
        <w:t>元，净值为</w:t>
      </w:r>
      <w:r>
        <w:rPr>
          <w:spacing w:val="-56"/>
        </w:rPr>
        <w:t> </w:t>
      </w:r>
      <w:r>
        <w:rPr>
          <w:rFonts w:ascii="Times New Roman" w:hAnsi="Times New Roman" w:cs="Times New Roman" w:eastAsia="Times New Roman" w:hint="default"/>
        </w:rPr>
        <w:t>251,123,852.02</w:t>
      </w:r>
      <w:r>
        <w:rPr>
          <w:rFonts w:ascii="Times New Roman" w:hAnsi="Times New Roman" w:cs="Times New Roman" w:eastAsia="Times New Roman" w:hint="default"/>
          <w:spacing w:val="-3"/>
        </w:rPr>
        <w:t> </w:t>
      </w:r>
      <w:r>
        <w:rPr/>
        <w:t>元。</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spacing w:before="0"/>
        <w:ind w:left="250" w:right="14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sz w:val="21"/>
          <w:szCs w:val="21"/>
        </w:rPr>
        <w:t>、固定资产</w:t>
      </w:r>
    </w:p>
    <w:p>
      <w:pPr>
        <w:spacing w:line="240" w:lineRule="auto" w:before="0"/>
        <w:rPr>
          <w:rFonts w:ascii="宋体" w:hAnsi="宋体" w:cs="宋体" w:eastAsia="宋体" w:hint="default"/>
          <w:sz w:val="16"/>
          <w:szCs w:val="16"/>
        </w:rPr>
      </w:pPr>
    </w:p>
    <w:p>
      <w:pPr>
        <w:pStyle w:val="BodyText"/>
        <w:spacing w:line="240" w:lineRule="auto"/>
        <w:ind w:left="250" w:right="142"/>
        <w:jc w:val="left"/>
      </w:pPr>
      <w:r>
        <w:rPr/>
        <w:t>（</w:t>
      </w:r>
      <w:r>
        <w:rPr>
          <w:rFonts w:ascii="Times New Roman" w:hAnsi="Times New Roman" w:cs="Times New Roman" w:eastAsia="Times New Roman" w:hint="default"/>
        </w:rPr>
        <w:t>1</w:t>
      </w:r>
      <w:r>
        <w:rPr/>
        <w:t>）固定资产情况</w:t>
      </w:r>
    </w:p>
    <w:p>
      <w:pPr>
        <w:spacing w:after="0" w:line="240" w:lineRule="auto"/>
        <w:jc w:val="left"/>
        <w:sectPr>
          <w:footerReference w:type="default" r:id="rId18"/>
          <w:pgSz w:w="11900" w:h="16840"/>
          <w:pgMar w:footer="982" w:header="0" w:top="1320" w:bottom="1180" w:left="1620" w:right="1180"/>
          <w:pgNumType w:start="48"/>
        </w:sectPr>
      </w:pPr>
    </w:p>
    <w:p>
      <w:pPr>
        <w:pStyle w:val="BodyText"/>
        <w:tabs>
          <w:tab w:pos="1049" w:val="left" w:leader="none"/>
        </w:tabs>
        <w:spacing w:line="240" w:lineRule="auto" w:before="7"/>
        <w:ind w:left="0" w:right="230"/>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892"/>
        <w:gridCol w:w="1488"/>
        <w:gridCol w:w="1489"/>
        <w:gridCol w:w="1489"/>
        <w:gridCol w:w="1489"/>
      </w:tblGrid>
      <w:tr>
        <w:trPr>
          <w:trHeight w:val="540" w:hRule="exact"/>
        </w:trPr>
        <w:tc>
          <w:tcPr>
            <w:tcW w:w="289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40" w:hRule="exact"/>
        </w:trPr>
        <w:tc>
          <w:tcPr>
            <w:tcW w:w="289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b/>
                <w:spacing w:val="-1"/>
                <w:sz w:val="18"/>
              </w:rPr>
              <w:t>387,773,706.49</w:t>
            </w:r>
            <w:r>
              <w:rPr>
                <w:rFonts w:ascii="Times New Roman"/>
                <w:spacing w:val="-1"/>
                <w:sz w:val="18"/>
              </w:rPr>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b/>
                <w:spacing w:val="-1"/>
                <w:sz w:val="18"/>
              </w:rPr>
              <w:t>20,109,625.15</w:t>
            </w:r>
            <w:r>
              <w:rPr>
                <w:rFonts w:ascii="Times New Roman"/>
                <w:spacing w:val="-1"/>
                <w:sz w:val="18"/>
              </w:rPr>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b/>
                <w:spacing w:val="-1"/>
                <w:sz w:val="18"/>
              </w:rPr>
              <w:t>63,833,705.85</w:t>
            </w:r>
            <w:r>
              <w:rPr>
                <w:rFonts w:ascii="Times New Roman"/>
                <w:spacing w:val="-1"/>
                <w:sz w:val="18"/>
              </w:rPr>
            </w:r>
          </w:p>
        </w:tc>
        <w:tc>
          <w:tcPr>
            <w:tcW w:w="14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b/>
                <w:spacing w:val="-1"/>
                <w:sz w:val="18"/>
              </w:rPr>
              <w:t>344,049,625.79</w:t>
            </w:r>
            <w:r>
              <w:rPr>
                <w:rFonts w:ascii="Times New Roman"/>
                <w:spacing w:val="-1"/>
                <w:sz w:val="18"/>
              </w:rPr>
            </w:r>
          </w:p>
        </w:tc>
      </w:tr>
      <w:tr>
        <w:trPr>
          <w:trHeight w:val="540" w:hRule="exact"/>
        </w:trPr>
        <w:tc>
          <w:tcPr>
            <w:tcW w:w="289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219,119,156.00</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c>
          <w:tcPr>
            <w:tcW w:w="14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219,119,156.00</w:t>
            </w:r>
          </w:p>
        </w:tc>
      </w:tr>
      <w:tr>
        <w:trPr>
          <w:trHeight w:val="540" w:hRule="exact"/>
        </w:trPr>
        <w:tc>
          <w:tcPr>
            <w:tcW w:w="289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14,229,978.16</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2,290.00</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1,249,679.00</w:t>
            </w:r>
          </w:p>
        </w:tc>
        <w:tc>
          <w:tcPr>
            <w:tcW w:w="14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12,982,589.16</w:t>
            </w:r>
          </w:p>
        </w:tc>
      </w:tr>
      <w:tr>
        <w:trPr>
          <w:trHeight w:val="540" w:hRule="exact"/>
        </w:trPr>
        <w:tc>
          <w:tcPr>
            <w:tcW w:w="289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122,337,091.15</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19,127,667.14</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58,381,929.08</w:t>
            </w:r>
          </w:p>
        </w:tc>
        <w:tc>
          <w:tcPr>
            <w:tcW w:w="14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83,082,829.21</w:t>
            </w:r>
          </w:p>
        </w:tc>
      </w:tr>
      <w:tr>
        <w:trPr>
          <w:trHeight w:val="540" w:hRule="exact"/>
        </w:trPr>
        <w:tc>
          <w:tcPr>
            <w:tcW w:w="289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30,238,099.98</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979,668.01</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2,352,716.57</w:t>
            </w:r>
          </w:p>
        </w:tc>
        <w:tc>
          <w:tcPr>
            <w:tcW w:w="14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28,865,051.42</w:t>
            </w:r>
          </w:p>
        </w:tc>
      </w:tr>
      <w:tr>
        <w:trPr>
          <w:trHeight w:val="540" w:hRule="exact"/>
        </w:trPr>
        <w:tc>
          <w:tcPr>
            <w:tcW w:w="289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1,849,381.20</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1,849,381.20</w:t>
            </w:r>
          </w:p>
        </w:tc>
        <w:tc>
          <w:tcPr>
            <w:tcW w:w="14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32"/>
              <w:jc w:val="right"/>
              <w:rPr>
                <w:rFonts w:ascii="Times New Roman" w:hAnsi="Times New Roman" w:cs="Times New Roman" w:eastAsia="Times New Roman" w:hint="default"/>
                <w:sz w:val="18"/>
                <w:szCs w:val="18"/>
              </w:rPr>
            </w:pPr>
            <w:r>
              <w:rPr>
                <w:rFonts w:ascii="Times New Roman"/>
                <w:sz w:val="18"/>
              </w:rPr>
              <w:t>-</w:t>
            </w:r>
          </w:p>
        </w:tc>
      </w:tr>
      <w:tr>
        <w:trPr>
          <w:trHeight w:val="540" w:hRule="exact"/>
        </w:trPr>
        <w:tc>
          <w:tcPr>
            <w:tcW w:w="289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b/>
                <w:spacing w:val="-1"/>
                <w:sz w:val="18"/>
              </w:rPr>
              <w:t>139,137,513.87</w:t>
            </w:r>
            <w:r>
              <w:rPr>
                <w:rFonts w:ascii="Times New Roman"/>
                <w:spacing w:val="-1"/>
                <w:sz w:val="18"/>
              </w:rPr>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b/>
                <w:spacing w:val="-1"/>
                <w:sz w:val="18"/>
              </w:rPr>
              <w:t>27,405,587.86</w:t>
            </w:r>
            <w:r>
              <w:rPr>
                <w:rFonts w:ascii="Times New Roman"/>
                <w:spacing w:val="-1"/>
                <w:sz w:val="18"/>
              </w:rPr>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b/>
                <w:spacing w:val="-1"/>
                <w:sz w:val="18"/>
              </w:rPr>
              <w:t>40,731,511.73</w:t>
            </w:r>
            <w:r>
              <w:rPr>
                <w:rFonts w:ascii="Times New Roman"/>
                <w:spacing w:val="-1"/>
                <w:sz w:val="18"/>
              </w:rPr>
            </w:r>
          </w:p>
        </w:tc>
        <w:tc>
          <w:tcPr>
            <w:tcW w:w="14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b/>
                <w:spacing w:val="-1"/>
                <w:sz w:val="18"/>
              </w:rPr>
              <w:t>125,811,590.00</w:t>
            </w:r>
            <w:r>
              <w:rPr>
                <w:rFonts w:ascii="Times New Roman"/>
                <w:spacing w:val="-1"/>
                <w:sz w:val="18"/>
              </w:rPr>
            </w:r>
          </w:p>
        </w:tc>
      </w:tr>
      <w:tr>
        <w:trPr>
          <w:trHeight w:val="540" w:hRule="exact"/>
        </w:trPr>
        <w:tc>
          <w:tcPr>
            <w:tcW w:w="289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58,982,728.23</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9,904,050.91</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953,839.00</w:t>
            </w:r>
          </w:p>
        </w:tc>
        <w:tc>
          <w:tcPr>
            <w:tcW w:w="14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67,932,940.14</w:t>
            </w:r>
          </w:p>
        </w:tc>
      </w:tr>
      <w:tr>
        <w:trPr>
          <w:trHeight w:val="540" w:hRule="exact"/>
        </w:trPr>
        <w:tc>
          <w:tcPr>
            <w:tcW w:w="289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7,234,816.73</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1,157,612.44</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1,187,195.05</w:t>
            </w:r>
          </w:p>
        </w:tc>
        <w:tc>
          <w:tcPr>
            <w:tcW w:w="14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7,205,234.12</w:t>
            </w:r>
          </w:p>
        </w:tc>
      </w:tr>
      <w:tr>
        <w:trPr>
          <w:trHeight w:val="540" w:hRule="exact"/>
        </w:trPr>
        <w:tc>
          <w:tcPr>
            <w:tcW w:w="289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57,755,582.10</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13,444,720.67</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34,955,599.25</w:t>
            </w:r>
          </w:p>
        </w:tc>
        <w:tc>
          <w:tcPr>
            <w:tcW w:w="14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36,244,703.52</w:t>
            </w:r>
          </w:p>
        </w:tc>
      </w:tr>
      <w:tr>
        <w:trPr>
          <w:trHeight w:val="540" w:hRule="exact"/>
        </w:trPr>
        <w:tc>
          <w:tcPr>
            <w:tcW w:w="289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13,429,043.62</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2,899,203.84</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1,899,535.24</w:t>
            </w:r>
          </w:p>
        </w:tc>
        <w:tc>
          <w:tcPr>
            <w:tcW w:w="14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14,428,712.22</w:t>
            </w:r>
          </w:p>
        </w:tc>
      </w:tr>
      <w:tr>
        <w:trPr>
          <w:trHeight w:val="540" w:hRule="exact"/>
        </w:trPr>
        <w:tc>
          <w:tcPr>
            <w:tcW w:w="289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1,735,343.19</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1,735,343.19</w:t>
            </w:r>
          </w:p>
        </w:tc>
        <w:tc>
          <w:tcPr>
            <w:tcW w:w="14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32"/>
              <w:jc w:val="right"/>
              <w:rPr>
                <w:rFonts w:ascii="Times New Roman" w:hAnsi="Times New Roman" w:cs="Times New Roman" w:eastAsia="Times New Roman" w:hint="default"/>
                <w:sz w:val="18"/>
                <w:szCs w:val="18"/>
              </w:rPr>
            </w:pPr>
            <w:r>
              <w:rPr>
                <w:rFonts w:ascii="Times New Roman"/>
                <w:sz w:val="18"/>
              </w:rPr>
              <w:t>-</w:t>
            </w:r>
          </w:p>
        </w:tc>
      </w:tr>
      <w:tr>
        <w:trPr>
          <w:trHeight w:val="540" w:hRule="exact"/>
        </w:trPr>
        <w:tc>
          <w:tcPr>
            <w:tcW w:w="289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b/>
                <w:spacing w:val="-1"/>
                <w:sz w:val="18"/>
              </w:rPr>
              <w:t>248,636,192.62</w:t>
            </w:r>
            <w:r>
              <w:rPr>
                <w:rFonts w:ascii="Times New Roman"/>
                <w:spacing w:val="-1"/>
                <w:sz w:val="18"/>
              </w:rPr>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b/>
                <w:spacing w:val="-1"/>
                <w:sz w:val="18"/>
              </w:rPr>
              <w:t>-7,295,962.71</w:t>
            </w:r>
            <w:r>
              <w:rPr>
                <w:rFonts w:ascii="Times New Roman"/>
                <w:spacing w:val="-1"/>
                <w:sz w:val="18"/>
              </w:rPr>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b/>
                <w:spacing w:val="-1"/>
                <w:sz w:val="18"/>
              </w:rPr>
              <w:t>23,102,194.12</w:t>
            </w:r>
            <w:r>
              <w:rPr>
                <w:rFonts w:ascii="Times New Roman"/>
                <w:spacing w:val="-1"/>
                <w:sz w:val="18"/>
              </w:rPr>
            </w:r>
          </w:p>
        </w:tc>
        <w:tc>
          <w:tcPr>
            <w:tcW w:w="14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b/>
                <w:spacing w:val="-1"/>
                <w:sz w:val="18"/>
              </w:rPr>
              <w:t>218,238,035.79</w:t>
            </w:r>
            <w:r>
              <w:rPr>
                <w:rFonts w:ascii="Times New Roman"/>
                <w:spacing w:val="-1"/>
                <w:sz w:val="18"/>
              </w:rPr>
            </w:r>
          </w:p>
        </w:tc>
      </w:tr>
      <w:tr>
        <w:trPr>
          <w:trHeight w:val="540" w:hRule="exact"/>
        </w:trPr>
        <w:tc>
          <w:tcPr>
            <w:tcW w:w="289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160,136,427.77</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-9,904,050.91</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-953,839.00</w:t>
            </w:r>
          </w:p>
        </w:tc>
        <w:tc>
          <w:tcPr>
            <w:tcW w:w="14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151,186,215.86</w:t>
            </w:r>
          </w:p>
        </w:tc>
      </w:tr>
      <w:tr>
        <w:trPr>
          <w:trHeight w:val="540" w:hRule="exact"/>
        </w:trPr>
        <w:tc>
          <w:tcPr>
            <w:tcW w:w="289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6,995,161.43</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-1,155,322.44</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62,483.95</w:t>
            </w:r>
          </w:p>
        </w:tc>
        <w:tc>
          <w:tcPr>
            <w:tcW w:w="14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5,777,355.04</w:t>
            </w:r>
          </w:p>
        </w:tc>
      </w:tr>
      <w:tr>
        <w:trPr>
          <w:trHeight w:val="540" w:hRule="exact"/>
        </w:trPr>
        <w:tc>
          <w:tcPr>
            <w:tcW w:w="289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64,581,509.05</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5,682,946.47</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23,426,329.83</w:t>
            </w:r>
          </w:p>
        </w:tc>
        <w:tc>
          <w:tcPr>
            <w:tcW w:w="14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46,838,125.69</w:t>
            </w:r>
          </w:p>
        </w:tc>
      </w:tr>
      <w:tr>
        <w:trPr>
          <w:trHeight w:val="540" w:hRule="exact"/>
        </w:trPr>
        <w:tc>
          <w:tcPr>
            <w:tcW w:w="289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16,809,056.36</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-1,919,535.83</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453,181.33</w:t>
            </w:r>
          </w:p>
        </w:tc>
        <w:tc>
          <w:tcPr>
            <w:tcW w:w="14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14,436,339.20</w:t>
            </w:r>
          </w:p>
        </w:tc>
      </w:tr>
      <w:tr>
        <w:trPr>
          <w:trHeight w:val="540" w:hRule="exact"/>
        </w:trPr>
        <w:tc>
          <w:tcPr>
            <w:tcW w:w="289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114,038.01</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114,038.01</w:t>
            </w:r>
          </w:p>
        </w:tc>
        <w:tc>
          <w:tcPr>
            <w:tcW w:w="14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r>
      <w:tr>
        <w:trPr>
          <w:trHeight w:val="540" w:hRule="exact"/>
        </w:trPr>
        <w:tc>
          <w:tcPr>
            <w:tcW w:w="289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b/>
                <w:spacing w:val="-1"/>
                <w:sz w:val="18"/>
              </w:rPr>
              <w:t>14,913,429.33</w:t>
            </w:r>
            <w:r>
              <w:rPr>
                <w:rFonts w:ascii="Times New Roman"/>
                <w:spacing w:val="-1"/>
                <w:sz w:val="18"/>
              </w:rPr>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b/>
                <w:sz w:val="18"/>
              </w:rPr>
              <w:t>48,801.60</w:t>
            </w:r>
            <w:r>
              <w:rPr>
                <w:rFonts w:ascii="Times New Roman"/>
                <w:sz w:val="18"/>
              </w:rPr>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b/>
                <w:spacing w:val="-1"/>
                <w:sz w:val="18"/>
              </w:rPr>
              <w:t>14,962,230.93</w:t>
            </w:r>
            <w:r>
              <w:rPr>
                <w:rFonts w:ascii="Times New Roman"/>
                <w:spacing w:val="-1"/>
                <w:sz w:val="18"/>
              </w:rPr>
            </w:r>
          </w:p>
        </w:tc>
      </w:tr>
      <w:tr>
        <w:trPr>
          <w:trHeight w:val="540" w:hRule="exact"/>
        </w:trPr>
        <w:tc>
          <w:tcPr>
            <w:tcW w:w="289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6,100,000.00</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c>
          <w:tcPr>
            <w:tcW w:w="14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6,100,000.00</w:t>
            </w:r>
          </w:p>
        </w:tc>
      </w:tr>
      <w:tr>
        <w:trPr>
          <w:trHeight w:val="540" w:hRule="exact"/>
        </w:trPr>
        <w:tc>
          <w:tcPr>
            <w:tcW w:w="289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20"/>
              <w:jc w:val="right"/>
              <w:rPr>
                <w:rFonts w:ascii="Times New Roman" w:hAnsi="Times New Roman" w:cs="Times New Roman" w:eastAsia="Times New Roman" w:hint="default"/>
                <w:sz w:val="18"/>
                <w:szCs w:val="18"/>
              </w:rPr>
            </w:pPr>
            <w:r>
              <w:rPr>
                <w:rFonts w:ascii="Times New Roman"/>
                <w:sz w:val="18"/>
              </w:rPr>
              <w:t>-</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c>
          <w:tcPr>
            <w:tcW w:w="14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r>
      <w:tr>
        <w:trPr>
          <w:trHeight w:val="540" w:hRule="exact"/>
        </w:trPr>
        <w:tc>
          <w:tcPr>
            <w:tcW w:w="289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813,429.33</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48,801.60</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c>
          <w:tcPr>
            <w:tcW w:w="14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862,230.93</w:t>
            </w:r>
          </w:p>
        </w:tc>
      </w:tr>
      <w:tr>
        <w:trPr>
          <w:trHeight w:val="540" w:hRule="exact"/>
        </w:trPr>
        <w:tc>
          <w:tcPr>
            <w:tcW w:w="289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8,000,000.00</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c>
          <w:tcPr>
            <w:tcW w:w="14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541" w:hRule="exact"/>
        </w:trPr>
        <w:tc>
          <w:tcPr>
            <w:tcW w:w="289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20"/>
              <w:jc w:val="right"/>
              <w:rPr>
                <w:rFonts w:ascii="Times New Roman" w:hAnsi="Times New Roman" w:cs="Times New Roman" w:eastAsia="Times New Roman" w:hint="default"/>
                <w:sz w:val="18"/>
                <w:szCs w:val="18"/>
              </w:rPr>
            </w:pPr>
            <w:r>
              <w:rPr>
                <w:rFonts w:ascii="Times New Roman"/>
                <w:sz w:val="18"/>
              </w:rPr>
              <w:t>-</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c>
          <w:tcPr>
            <w:tcW w:w="14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00" w:h="16840"/>
          <w:pgMar w:header="0" w:footer="982" w:top="1340" w:bottom="1180" w:left="1620" w:right="1180"/>
        </w:sectPr>
      </w:pPr>
    </w:p>
    <w:p>
      <w:pPr>
        <w:spacing w:line="240" w:lineRule="auto" w:before="9"/>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2892"/>
        <w:gridCol w:w="1488"/>
        <w:gridCol w:w="1489"/>
        <w:gridCol w:w="1489"/>
        <w:gridCol w:w="1489"/>
      </w:tblGrid>
      <w:tr>
        <w:trPr>
          <w:trHeight w:val="540" w:hRule="exact"/>
        </w:trPr>
        <w:tc>
          <w:tcPr>
            <w:tcW w:w="289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70" w:hRule="exact"/>
        </w:trPr>
        <w:tc>
          <w:tcPr>
            <w:tcW w:w="289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b/>
                <w:spacing w:val="-1"/>
                <w:sz w:val="18"/>
              </w:rPr>
              <w:t>233,722,763.29</w:t>
            </w:r>
            <w:r>
              <w:rPr>
                <w:rFonts w:ascii="Times New Roman"/>
                <w:spacing w:val="-1"/>
                <w:sz w:val="18"/>
              </w:rPr>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b/>
                <w:spacing w:val="-1"/>
                <w:sz w:val="18"/>
              </w:rPr>
              <w:t>-7,344,764.31</w:t>
            </w:r>
            <w:r>
              <w:rPr>
                <w:rFonts w:ascii="Times New Roman"/>
                <w:spacing w:val="-1"/>
                <w:sz w:val="18"/>
              </w:rPr>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b/>
                <w:spacing w:val="-1"/>
                <w:sz w:val="18"/>
              </w:rPr>
              <w:t>23,102,194.12</w:t>
            </w:r>
            <w:r>
              <w:rPr>
                <w:rFonts w:ascii="Times New Roman"/>
                <w:spacing w:val="-1"/>
                <w:sz w:val="18"/>
              </w:rPr>
            </w:r>
          </w:p>
        </w:tc>
        <w:tc>
          <w:tcPr>
            <w:tcW w:w="14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b/>
                <w:spacing w:val="-1"/>
                <w:sz w:val="18"/>
              </w:rPr>
              <w:t>203,275,804.86</w:t>
            </w:r>
            <w:r>
              <w:rPr>
                <w:rFonts w:ascii="Times New Roman"/>
                <w:spacing w:val="-1"/>
                <w:sz w:val="18"/>
              </w:rPr>
            </w:r>
          </w:p>
        </w:tc>
      </w:tr>
      <w:tr>
        <w:trPr>
          <w:trHeight w:val="469" w:hRule="exact"/>
        </w:trPr>
        <w:tc>
          <w:tcPr>
            <w:tcW w:w="289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154,036,427.77</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-9,904,050.91</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-953,839.00</w:t>
            </w:r>
          </w:p>
        </w:tc>
        <w:tc>
          <w:tcPr>
            <w:tcW w:w="14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145,086,215.86</w:t>
            </w:r>
          </w:p>
        </w:tc>
      </w:tr>
      <w:tr>
        <w:trPr>
          <w:trHeight w:val="470" w:hRule="exact"/>
        </w:trPr>
        <w:tc>
          <w:tcPr>
            <w:tcW w:w="289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6,995,161.43</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-1,155,322.44</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62,483.95</w:t>
            </w:r>
          </w:p>
        </w:tc>
        <w:tc>
          <w:tcPr>
            <w:tcW w:w="14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5,777,355.04</w:t>
            </w:r>
          </w:p>
        </w:tc>
      </w:tr>
      <w:tr>
        <w:trPr>
          <w:trHeight w:val="470" w:hRule="exact"/>
        </w:trPr>
        <w:tc>
          <w:tcPr>
            <w:tcW w:w="289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63,768,079.72</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5,634,144.87</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23,426,329.83</w:t>
            </w:r>
          </w:p>
        </w:tc>
        <w:tc>
          <w:tcPr>
            <w:tcW w:w="14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45,975,894.76</w:t>
            </w:r>
          </w:p>
        </w:tc>
      </w:tr>
      <w:tr>
        <w:trPr>
          <w:trHeight w:val="469" w:hRule="exact"/>
        </w:trPr>
        <w:tc>
          <w:tcPr>
            <w:tcW w:w="289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8,809,056.36</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-1,919,535.83</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453,181.33</w:t>
            </w:r>
          </w:p>
        </w:tc>
        <w:tc>
          <w:tcPr>
            <w:tcW w:w="14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6,436,339.20</w:t>
            </w:r>
          </w:p>
        </w:tc>
      </w:tr>
      <w:tr>
        <w:trPr>
          <w:trHeight w:val="472" w:hRule="exact"/>
        </w:trPr>
        <w:tc>
          <w:tcPr>
            <w:tcW w:w="289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114,038.01</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c>
          <w:tcPr>
            <w:tcW w:w="1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114,038.01</w:t>
            </w:r>
          </w:p>
        </w:tc>
        <w:tc>
          <w:tcPr>
            <w:tcW w:w="14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8"/>
          <w:szCs w:val="8"/>
        </w:rPr>
      </w:pPr>
    </w:p>
    <w:p>
      <w:pPr>
        <w:pStyle w:val="BodyText"/>
        <w:spacing w:line="240" w:lineRule="auto" w:before="35"/>
        <w:ind w:left="671" w:right="142"/>
        <w:jc w:val="left"/>
      </w:pPr>
      <w:r>
        <w:rPr/>
        <w:t>固定资产本期计提折旧 </w:t>
      </w:r>
      <w:r>
        <w:rPr>
          <w:rFonts w:ascii="Times New Roman" w:hAnsi="Times New Roman" w:cs="Times New Roman" w:eastAsia="Times New Roman" w:hint="default"/>
        </w:rPr>
        <w:t>27,405,587.86 </w:t>
      </w:r>
      <w:r>
        <w:rPr/>
        <w:t>元，本期无在建工程转入固定资产的情况</w:t>
      </w:r>
      <w:r>
        <w:rPr>
          <w:spacing w:val="-64"/>
        </w:rPr>
        <w:t> </w:t>
      </w:r>
      <w:r>
        <w:rPr/>
        <w:t>。</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4"/>
          <w:szCs w:val="24"/>
        </w:rPr>
      </w:pPr>
    </w:p>
    <w:p>
      <w:pPr>
        <w:pStyle w:val="BodyText"/>
        <w:spacing w:line="240" w:lineRule="auto"/>
        <w:ind w:left="250" w:right="142"/>
        <w:jc w:val="left"/>
      </w:pPr>
      <w:r>
        <w:rPr/>
        <w:t>（</w:t>
      </w:r>
      <w:r>
        <w:rPr>
          <w:rFonts w:ascii="Times New Roman" w:hAnsi="Times New Roman" w:cs="Times New Roman" w:eastAsia="Times New Roman" w:hint="default"/>
        </w:rPr>
        <w:t>2</w:t>
      </w:r>
      <w:r>
        <w:rPr/>
        <w:t>）暂时闲置的固定资产情况</w:t>
      </w:r>
    </w:p>
    <w:p>
      <w:pPr>
        <w:pStyle w:val="BodyText"/>
        <w:tabs>
          <w:tab w:pos="1049" w:val="left" w:leader="none"/>
        </w:tabs>
        <w:spacing w:line="240" w:lineRule="auto" w:before="159"/>
        <w:ind w:left="0" w:right="230"/>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188"/>
        <w:gridCol w:w="1666"/>
        <w:gridCol w:w="1667"/>
        <w:gridCol w:w="1666"/>
        <w:gridCol w:w="1662"/>
      </w:tblGrid>
      <w:tr>
        <w:trPr>
          <w:trHeight w:val="460" w:hRule="exact"/>
        </w:trPr>
        <w:tc>
          <w:tcPr>
            <w:tcW w:w="2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账面净值</w:t>
            </w:r>
          </w:p>
        </w:tc>
      </w:tr>
      <w:tr>
        <w:trPr>
          <w:trHeight w:val="461" w:hRule="exact"/>
        </w:trPr>
        <w:tc>
          <w:tcPr>
            <w:tcW w:w="2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17" w:right="0"/>
              <w:jc w:val="left"/>
              <w:rPr>
                <w:rFonts w:ascii="Times New Roman" w:hAnsi="Times New Roman" w:cs="Times New Roman" w:eastAsia="Times New Roman" w:hint="default"/>
                <w:sz w:val="18"/>
                <w:szCs w:val="18"/>
              </w:rPr>
            </w:pPr>
            <w:r>
              <w:rPr>
                <w:rFonts w:ascii="Times New Roman"/>
                <w:sz w:val="18"/>
              </w:rPr>
              <w:t>13,047,861.00</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07" w:right="0"/>
              <w:jc w:val="left"/>
              <w:rPr>
                <w:rFonts w:ascii="Times New Roman" w:hAnsi="Times New Roman" w:cs="Times New Roman" w:eastAsia="Times New Roman" w:hint="default"/>
                <w:sz w:val="18"/>
                <w:szCs w:val="18"/>
              </w:rPr>
            </w:pPr>
            <w:r>
              <w:rPr>
                <w:rFonts w:ascii="Times New Roman"/>
                <w:sz w:val="18"/>
              </w:rPr>
              <w:t>4,234,430.05</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07" w:right="0"/>
              <w:jc w:val="left"/>
              <w:rPr>
                <w:rFonts w:ascii="Times New Roman" w:hAnsi="Times New Roman" w:cs="Times New Roman" w:eastAsia="Times New Roman" w:hint="default"/>
                <w:sz w:val="18"/>
                <w:szCs w:val="18"/>
              </w:rPr>
            </w:pPr>
            <w:r>
              <w:rPr>
                <w:rFonts w:ascii="Times New Roman"/>
                <w:sz w:val="18"/>
              </w:rPr>
              <w:t>8,000,000.00</w:t>
            </w:r>
          </w:p>
        </w:tc>
        <w:tc>
          <w:tcPr>
            <w:tcW w:w="1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37" w:right="0"/>
              <w:jc w:val="left"/>
              <w:rPr>
                <w:rFonts w:ascii="Times New Roman" w:hAnsi="Times New Roman" w:cs="Times New Roman" w:eastAsia="Times New Roman" w:hint="default"/>
                <w:sz w:val="18"/>
                <w:szCs w:val="18"/>
              </w:rPr>
            </w:pPr>
            <w:r>
              <w:rPr>
                <w:rFonts w:ascii="Times New Roman"/>
                <w:sz w:val="18"/>
              </w:rPr>
              <w:t>813,430.95</w:t>
            </w:r>
          </w:p>
        </w:tc>
      </w:tr>
    </w:tbl>
    <w:p>
      <w:pPr>
        <w:spacing w:line="240" w:lineRule="auto" w:before="4"/>
        <w:rPr>
          <w:rFonts w:ascii="宋体" w:hAnsi="宋体" w:cs="宋体" w:eastAsia="宋体" w:hint="default"/>
          <w:sz w:val="8"/>
          <w:szCs w:val="8"/>
        </w:rPr>
      </w:pPr>
    </w:p>
    <w:p>
      <w:pPr>
        <w:pStyle w:val="BodyText"/>
        <w:spacing w:line="240" w:lineRule="auto" w:before="35"/>
        <w:ind w:left="670" w:right="142"/>
        <w:jc w:val="left"/>
      </w:pPr>
      <w:r>
        <w:rPr/>
        <w:t>以上闲置的固定资产为子公司福建升通公司设备资产，长期闲置。</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372" w:lineRule="auto"/>
        <w:ind w:left="670" w:right="220" w:hanging="421"/>
        <w:jc w:val="left"/>
      </w:pPr>
      <w:r>
        <w:rPr/>
        <w:t>（</w:t>
      </w:r>
      <w:r>
        <w:rPr>
          <w:rFonts w:ascii="Times New Roman" w:hAnsi="Times New Roman" w:cs="Times New Roman" w:eastAsia="Times New Roman" w:hint="default"/>
        </w:rPr>
        <w:t>3</w:t>
      </w:r>
      <w:r>
        <w:rPr/>
        <w:t>）未办妥产权证书的固定资产情况 本集团子公司深圳市鸿基物流有限公司在经营租入的土地上所建的房屋建筑物，无法办理</w:t>
      </w:r>
    </w:p>
    <w:p>
      <w:pPr>
        <w:pStyle w:val="BodyText"/>
        <w:spacing w:line="240" w:lineRule="auto" w:before="59"/>
        <w:ind w:left="250" w:right="142"/>
        <w:jc w:val="left"/>
      </w:pPr>
      <w:r>
        <w:rPr/>
        <w:t>房产证；该等房屋建筑物期末原值</w:t>
      </w:r>
      <w:r>
        <w:rPr>
          <w:spacing w:val="-59"/>
        </w:rPr>
        <w:t> </w:t>
      </w:r>
      <w:r>
        <w:rPr>
          <w:rFonts w:ascii="Times New Roman" w:hAnsi="Times New Roman" w:cs="Times New Roman" w:eastAsia="Times New Roman" w:hint="default"/>
        </w:rPr>
        <w:t>114,189,901.26</w:t>
      </w:r>
      <w:r>
        <w:rPr>
          <w:rFonts w:ascii="Times New Roman" w:hAnsi="Times New Roman" w:cs="Times New Roman" w:eastAsia="Times New Roman" w:hint="default"/>
          <w:spacing w:val="-6"/>
        </w:rPr>
        <w:t> </w:t>
      </w:r>
      <w:r>
        <w:rPr/>
        <w:t>元，净值为</w:t>
      </w:r>
      <w:r>
        <w:rPr>
          <w:spacing w:val="-59"/>
        </w:rPr>
        <w:t> </w:t>
      </w:r>
      <w:r>
        <w:rPr>
          <w:rFonts w:ascii="Times New Roman" w:hAnsi="Times New Roman" w:cs="Times New Roman" w:eastAsia="Times New Roman" w:hint="default"/>
        </w:rPr>
        <w:t>81,861,836.95</w:t>
      </w:r>
      <w:r>
        <w:rPr>
          <w:rFonts w:ascii="Times New Roman" w:hAnsi="Times New Roman" w:cs="Times New Roman" w:eastAsia="Times New Roman" w:hint="default"/>
          <w:spacing w:val="-5"/>
        </w:rPr>
        <w:t> </w:t>
      </w:r>
      <w:r>
        <w:rPr/>
        <w:t>元。</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4"/>
          <w:szCs w:val="24"/>
        </w:rPr>
      </w:pPr>
    </w:p>
    <w:p>
      <w:pPr>
        <w:pStyle w:val="BodyText"/>
        <w:spacing w:line="240" w:lineRule="auto"/>
        <w:ind w:left="250" w:right="142"/>
        <w:jc w:val="left"/>
      </w:pPr>
      <w:r>
        <w:rPr/>
        <w:t>（</w:t>
      </w:r>
      <w:r>
        <w:rPr>
          <w:rFonts w:ascii="Times New Roman" w:hAnsi="Times New Roman" w:cs="Times New Roman" w:eastAsia="Times New Roman" w:hint="default"/>
        </w:rPr>
        <w:t>4</w:t>
      </w:r>
      <w:r>
        <w:rPr/>
        <w:t>）所有权受限的固定资产</w:t>
      </w:r>
    </w:p>
    <w:p>
      <w:pPr>
        <w:pStyle w:val="BodyText"/>
        <w:spacing w:line="240" w:lineRule="auto" w:before="159"/>
        <w:ind w:left="672" w:right="0"/>
        <w:jc w:val="left"/>
      </w:pPr>
      <w:r>
        <w:rPr/>
        <w:t>截止</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2"/>
        </w:rPr>
        <w:t> </w:t>
      </w:r>
      <w:r>
        <w:rPr>
          <w:rFonts w:ascii="Times New Roman" w:hAnsi="Times New Roman" w:cs="Times New Roman" w:eastAsia="Times New Roman" w:hint="default"/>
        </w:rPr>
        <w:t>31 </w:t>
      </w:r>
      <w:r>
        <w:rPr>
          <w:spacing w:val="-3"/>
        </w:rPr>
        <w:t>日，本集团用于银行贷款抵押的房屋建筑物原值为</w:t>
      </w:r>
      <w:r>
        <w:rPr>
          <w:spacing w:val="-52"/>
        </w:rPr>
        <w:t> </w:t>
      </w:r>
      <w:r>
        <w:rPr>
          <w:rFonts w:ascii="Times New Roman" w:hAnsi="Times New Roman" w:cs="Times New Roman" w:eastAsia="Times New Roman" w:hint="default"/>
        </w:rPr>
        <w:t>48,184,144.64</w:t>
      </w:r>
      <w:r>
        <w:rPr>
          <w:rFonts w:ascii="Times New Roman" w:hAnsi="Times New Roman" w:cs="Times New Roman" w:eastAsia="Times New Roman" w:hint="default"/>
          <w:spacing w:val="2"/>
        </w:rPr>
        <w:t> </w:t>
      </w:r>
      <w:r>
        <w:rPr/>
        <w:t>元，</w:t>
      </w:r>
    </w:p>
    <w:p>
      <w:pPr>
        <w:pStyle w:val="BodyText"/>
        <w:spacing w:line="240" w:lineRule="auto" w:before="159"/>
        <w:ind w:left="250" w:right="142"/>
        <w:jc w:val="left"/>
      </w:pPr>
      <w:r>
        <w:rPr/>
        <w:t>净值为</w:t>
      </w:r>
      <w:r>
        <w:rPr>
          <w:spacing w:val="-59"/>
        </w:rPr>
        <w:t> </w:t>
      </w:r>
      <w:r>
        <w:rPr>
          <w:rFonts w:ascii="Times New Roman" w:hAnsi="Times New Roman" w:cs="Times New Roman" w:eastAsia="Times New Roman" w:hint="default"/>
        </w:rPr>
        <w:t>30,862,592.71</w:t>
      </w:r>
      <w:r>
        <w:rPr>
          <w:rFonts w:ascii="Times New Roman" w:hAnsi="Times New Roman" w:cs="Times New Roman" w:eastAsia="Times New Roman" w:hint="default"/>
          <w:spacing w:val="-6"/>
        </w:rPr>
        <w:t> </w:t>
      </w:r>
      <w:r>
        <w:rPr/>
        <w:t>元。</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4"/>
          <w:szCs w:val="24"/>
        </w:rPr>
      </w:pPr>
    </w:p>
    <w:p>
      <w:pPr>
        <w:spacing w:before="0"/>
        <w:ind w:left="250" w:right="14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sz w:val="21"/>
          <w:szCs w:val="21"/>
        </w:rPr>
        <w:t>、在建工程</w:t>
      </w:r>
    </w:p>
    <w:p>
      <w:pPr>
        <w:pStyle w:val="BodyText"/>
        <w:tabs>
          <w:tab w:pos="1049" w:val="left" w:leader="none"/>
        </w:tabs>
        <w:spacing w:line="240" w:lineRule="auto" w:before="159"/>
        <w:ind w:left="0" w:right="440"/>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088"/>
        <w:gridCol w:w="1123"/>
        <w:gridCol w:w="1124"/>
        <w:gridCol w:w="1060"/>
        <w:gridCol w:w="1169"/>
        <w:gridCol w:w="1116"/>
        <w:gridCol w:w="1168"/>
      </w:tblGrid>
      <w:tr>
        <w:trPr>
          <w:trHeight w:val="469" w:hRule="exact"/>
        </w:trPr>
        <w:tc>
          <w:tcPr>
            <w:tcW w:w="2088" w:type="dxa"/>
            <w:vMerge w:val="restart"/>
            <w:tcBorders>
              <w:top w:val="single" w:sz="8"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7"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2" w:type="dxa"/>
            <w:gridSpan w:val="3"/>
            <w:tcBorders>
              <w:top w:val="single" w:sz="8" w:space="0" w:color="000000"/>
              <w:left w:val="single" w:sz="8" w:space="0" w:color="000000"/>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0" w:hRule="exact"/>
        </w:trPr>
        <w:tc>
          <w:tcPr>
            <w:tcW w:w="2088" w:type="dxa"/>
            <w:vMerge/>
            <w:tcBorders>
              <w:left w:val="nil" w:sz="6" w:space="0" w:color="auto"/>
              <w:bottom w:val="single" w:sz="8" w:space="0" w:color="000000"/>
              <w:right w:val="single" w:sz="8" w:space="0" w:color="000000"/>
            </w:tcBorders>
          </w:tcPr>
          <w:p>
            <w:pPr/>
          </w:p>
        </w:tc>
        <w:tc>
          <w:tcPr>
            <w:tcW w:w="11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58"/>
              <w:jc w:val="right"/>
              <w:rPr>
                <w:rFonts w:ascii="宋体" w:hAnsi="宋体" w:cs="宋体" w:eastAsia="宋体" w:hint="default"/>
                <w:sz w:val="18"/>
                <w:szCs w:val="18"/>
              </w:rPr>
            </w:pPr>
            <w:r>
              <w:rPr>
                <w:rFonts w:ascii="宋体" w:hAnsi="宋体" w:cs="宋体" w:eastAsia="宋体" w:hint="default"/>
                <w:sz w:val="18"/>
                <w:szCs w:val="18"/>
              </w:rPr>
              <w:t>账面净值</w:t>
            </w:r>
          </w:p>
        </w:tc>
        <w:tc>
          <w:tcPr>
            <w:tcW w:w="11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86"/>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116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账面净值</w:t>
            </w:r>
          </w:p>
        </w:tc>
      </w:tr>
      <w:tr>
        <w:trPr>
          <w:trHeight w:val="470" w:hRule="exact"/>
        </w:trPr>
        <w:tc>
          <w:tcPr>
            <w:tcW w:w="208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北山大道综合用地</w:t>
            </w:r>
          </w:p>
        </w:tc>
        <w:tc>
          <w:tcPr>
            <w:tcW w:w="11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130,000.00</w:t>
            </w:r>
          </w:p>
        </w:tc>
        <w:tc>
          <w:tcPr>
            <w:tcW w:w="11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130,000.00</w:t>
            </w:r>
          </w:p>
        </w:tc>
        <w:tc>
          <w:tcPr>
            <w:tcW w:w="10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w:t>
            </w:r>
          </w:p>
        </w:tc>
        <w:tc>
          <w:tcPr>
            <w:tcW w:w="11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130,000.00</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70"/>
              <w:jc w:val="right"/>
              <w:rPr>
                <w:rFonts w:ascii="Times New Roman" w:hAnsi="Times New Roman" w:cs="Times New Roman" w:eastAsia="Times New Roman" w:hint="default"/>
                <w:sz w:val="18"/>
                <w:szCs w:val="18"/>
              </w:rPr>
            </w:pPr>
            <w:r>
              <w:rPr>
                <w:rFonts w:ascii="Times New Roman"/>
                <w:sz w:val="18"/>
              </w:rPr>
              <w:t>-</w:t>
            </w:r>
          </w:p>
        </w:tc>
        <w:tc>
          <w:tcPr>
            <w:tcW w:w="116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130,000.00</w:t>
            </w:r>
          </w:p>
        </w:tc>
      </w:tr>
      <w:tr>
        <w:trPr>
          <w:trHeight w:val="469" w:hRule="exact"/>
        </w:trPr>
        <w:tc>
          <w:tcPr>
            <w:tcW w:w="208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号地二期仓库</w:t>
            </w:r>
          </w:p>
        </w:tc>
        <w:tc>
          <w:tcPr>
            <w:tcW w:w="11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35,800.00</w:t>
            </w:r>
          </w:p>
        </w:tc>
        <w:tc>
          <w:tcPr>
            <w:tcW w:w="11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35,800.00</w:t>
            </w:r>
          </w:p>
        </w:tc>
        <w:tc>
          <w:tcPr>
            <w:tcW w:w="10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w:t>
            </w:r>
          </w:p>
        </w:tc>
        <w:tc>
          <w:tcPr>
            <w:tcW w:w="11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35,800.00</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70"/>
              <w:jc w:val="right"/>
              <w:rPr>
                <w:rFonts w:ascii="Times New Roman" w:hAnsi="Times New Roman" w:cs="Times New Roman" w:eastAsia="Times New Roman" w:hint="default"/>
                <w:sz w:val="18"/>
                <w:szCs w:val="18"/>
              </w:rPr>
            </w:pPr>
            <w:r>
              <w:rPr>
                <w:rFonts w:ascii="Times New Roman"/>
                <w:sz w:val="18"/>
              </w:rPr>
              <w:t>-</w:t>
            </w:r>
          </w:p>
        </w:tc>
        <w:tc>
          <w:tcPr>
            <w:tcW w:w="116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35,800.00</w:t>
            </w:r>
          </w:p>
        </w:tc>
      </w:tr>
      <w:tr>
        <w:trPr>
          <w:trHeight w:val="470" w:hRule="exact"/>
        </w:trPr>
        <w:tc>
          <w:tcPr>
            <w:tcW w:w="208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21" w:right="0"/>
              <w:jc w:val="left"/>
              <w:rPr>
                <w:rFonts w:ascii="Times New Roman" w:hAnsi="Times New Roman" w:cs="Times New Roman" w:eastAsia="Times New Roman" w:hint="default"/>
                <w:sz w:val="18"/>
                <w:szCs w:val="18"/>
              </w:rPr>
            </w:pPr>
            <w:r>
              <w:rPr>
                <w:rFonts w:ascii="Times New Roman"/>
                <w:sz w:val="18"/>
              </w:rPr>
              <w:t>-</w:t>
            </w:r>
          </w:p>
        </w:tc>
        <w:tc>
          <w:tcPr>
            <w:tcW w:w="11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21" w:right="0"/>
              <w:jc w:val="left"/>
              <w:rPr>
                <w:rFonts w:ascii="Times New Roman" w:hAnsi="Times New Roman" w:cs="Times New Roman" w:eastAsia="Times New Roman" w:hint="default"/>
                <w:sz w:val="18"/>
                <w:szCs w:val="18"/>
              </w:rPr>
            </w:pPr>
            <w:r>
              <w:rPr>
                <w:rFonts w:ascii="Times New Roman"/>
                <w:sz w:val="18"/>
              </w:rPr>
              <w:t>-</w:t>
            </w:r>
          </w:p>
        </w:tc>
        <w:tc>
          <w:tcPr>
            <w:tcW w:w="10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w:t>
            </w:r>
          </w:p>
        </w:tc>
        <w:tc>
          <w:tcPr>
            <w:tcW w:w="11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20,000.00</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70"/>
              <w:jc w:val="right"/>
              <w:rPr>
                <w:rFonts w:ascii="Times New Roman" w:hAnsi="Times New Roman" w:cs="Times New Roman" w:eastAsia="Times New Roman" w:hint="default"/>
                <w:sz w:val="18"/>
                <w:szCs w:val="18"/>
              </w:rPr>
            </w:pPr>
            <w:r>
              <w:rPr>
                <w:rFonts w:ascii="Times New Roman"/>
                <w:sz w:val="18"/>
              </w:rPr>
              <w:t>-</w:t>
            </w:r>
          </w:p>
        </w:tc>
        <w:tc>
          <w:tcPr>
            <w:tcW w:w="116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20,000.00</w:t>
            </w:r>
          </w:p>
        </w:tc>
      </w:tr>
      <w:tr>
        <w:trPr>
          <w:trHeight w:val="470" w:hRule="exact"/>
        </w:trPr>
        <w:tc>
          <w:tcPr>
            <w:tcW w:w="208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165,800.00</w:t>
            </w:r>
          </w:p>
        </w:tc>
        <w:tc>
          <w:tcPr>
            <w:tcW w:w="11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165,800.00</w:t>
            </w:r>
          </w:p>
        </w:tc>
        <w:tc>
          <w:tcPr>
            <w:tcW w:w="10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w:t>
            </w:r>
          </w:p>
        </w:tc>
        <w:tc>
          <w:tcPr>
            <w:tcW w:w="11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185,800.00</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70"/>
              <w:jc w:val="right"/>
              <w:rPr>
                <w:rFonts w:ascii="Times New Roman" w:hAnsi="Times New Roman" w:cs="Times New Roman" w:eastAsia="Times New Roman" w:hint="default"/>
                <w:sz w:val="18"/>
                <w:szCs w:val="18"/>
              </w:rPr>
            </w:pPr>
            <w:r>
              <w:rPr>
                <w:rFonts w:ascii="Times New Roman"/>
                <w:sz w:val="18"/>
              </w:rPr>
              <w:t>-</w:t>
            </w:r>
          </w:p>
        </w:tc>
        <w:tc>
          <w:tcPr>
            <w:tcW w:w="116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185,800.00</w:t>
            </w:r>
          </w:p>
        </w:tc>
      </w:tr>
    </w:tbl>
    <w:p>
      <w:pPr>
        <w:spacing w:after="0" w:line="240" w:lineRule="auto"/>
        <w:jc w:val="right"/>
        <w:rPr>
          <w:rFonts w:ascii="Times New Roman" w:hAnsi="Times New Roman" w:cs="Times New Roman" w:eastAsia="Times New Roman" w:hint="default"/>
          <w:sz w:val="18"/>
          <w:szCs w:val="18"/>
        </w:rPr>
        <w:sectPr>
          <w:pgSz w:w="11900" w:h="16840"/>
          <w:pgMar w:header="0" w:footer="982" w:top="1060" w:bottom="1180" w:left="1620" w:right="1180"/>
        </w:sectPr>
      </w:pPr>
    </w:p>
    <w:p>
      <w:pPr>
        <w:pStyle w:val="BodyText"/>
        <w:spacing w:line="240" w:lineRule="auto" w:before="17"/>
        <w:ind w:left="671" w:right="142"/>
        <w:jc w:val="left"/>
      </w:pPr>
      <w:r>
        <w:rPr/>
        <w:t>北山大道综合用地和</w:t>
      </w:r>
      <w:r>
        <w:rPr>
          <w:spacing w:val="-56"/>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t>号地二期仓库工程长期停工，本期全额计提减值准备。</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7"/>
          <w:szCs w:val="27"/>
        </w:rPr>
      </w:pPr>
    </w:p>
    <w:p>
      <w:pPr>
        <w:spacing w:before="0"/>
        <w:ind w:left="250" w:right="14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sz w:val="21"/>
          <w:szCs w:val="21"/>
        </w:rPr>
        <w:t>、无形资产</w:t>
      </w:r>
    </w:p>
    <w:p>
      <w:pPr>
        <w:pStyle w:val="BodyText"/>
        <w:tabs>
          <w:tab w:pos="1049" w:val="left" w:leader="none"/>
        </w:tabs>
        <w:spacing w:line="240" w:lineRule="auto" w:before="178"/>
        <w:ind w:left="0" w:right="23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868"/>
        <w:gridCol w:w="1494"/>
        <w:gridCol w:w="1495"/>
        <w:gridCol w:w="1495"/>
        <w:gridCol w:w="1495"/>
      </w:tblGrid>
      <w:tr>
        <w:trPr>
          <w:trHeight w:val="490" w:hRule="exact"/>
        </w:trPr>
        <w:tc>
          <w:tcPr>
            <w:tcW w:w="28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9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91" w:hRule="exact"/>
        </w:trPr>
        <w:tc>
          <w:tcPr>
            <w:tcW w:w="28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b/>
                <w:spacing w:val="-1"/>
                <w:sz w:val="18"/>
              </w:rPr>
              <w:t>241,105,719.99</w:t>
            </w:r>
            <w:r>
              <w:rPr>
                <w:rFonts w:ascii="Times New Roman"/>
                <w:spacing w:val="-1"/>
                <w:sz w:val="18"/>
              </w:rPr>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b/>
                <w:sz w:val="18"/>
              </w:rPr>
              <w:t>39,000.00</w:t>
            </w:r>
            <w:r>
              <w:rPr>
                <w:rFonts w:ascii="Times New Roman"/>
                <w:sz w:val="18"/>
              </w:rPr>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b/>
                <w:spacing w:val="-1"/>
                <w:sz w:val="18"/>
              </w:rPr>
              <w:t>33,175,361.80</w:t>
            </w:r>
            <w:r>
              <w:rPr>
                <w:rFonts w:ascii="Times New Roman"/>
                <w:spacing w:val="-1"/>
                <w:sz w:val="18"/>
              </w:rPr>
            </w:r>
          </w:p>
        </w:tc>
        <w:tc>
          <w:tcPr>
            <w:tcW w:w="149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b/>
                <w:spacing w:val="-1"/>
                <w:sz w:val="18"/>
              </w:rPr>
              <w:t>207,969,358.19</w:t>
            </w:r>
            <w:r>
              <w:rPr>
                <w:rFonts w:ascii="Times New Roman"/>
                <w:spacing w:val="-1"/>
                <w:sz w:val="18"/>
              </w:rPr>
            </w:r>
          </w:p>
        </w:tc>
      </w:tr>
      <w:tr>
        <w:trPr>
          <w:trHeight w:val="490" w:hRule="exact"/>
        </w:trPr>
        <w:tc>
          <w:tcPr>
            <w:tcW w:w="28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41,769,210.29</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c>
          <w:tcPr>
            <w:tcW w:w="149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41,769,210.29</w:t>
            </w:r>
          </w:p>
        </w:tc>
      </w:tr>
      <w:tr>
        <w:trPr>
          <w:trHeight w:val="490" w:hRule="exact"/>
        </w:trPr>
        <w:tc>
          <w:tcPr>
            <w:tcW w:w="28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出租汽车营运车牌</w:t>
            </w:r>
          </w:p>
        </w:tc>
        <w:tc>
          <w:tcPr>
            <w:tcW w:w="1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198,738,936.70</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33,117,088.80</w:t>
            </w:r>
          </w:p>
        </w:tc>
        <w:tc>
          <w:tcPr>
            <w:tcW w:w="149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165,621,847.90</w:t>
            </w:r>
          </w:p>
        </w:tc>
      </w:tr>
      <w:tr>
        <w:trPr>
          <w:trHeight w:val="491" w:hRule="exact"/>
        </w:trPr>
        <w:tc>
          <w:tcPr>
            <w:tcW w:w="28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597,573.00</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39,000.00</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58,273.00</w:t>
            </w:r>
          </w:p>
        </w:tc>
        <w:tc>
          <w:tcPr>
            <w:tcW w:w="149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578,300.00</w:t>
            </w:r>
          </w:p>
        </w:tc>
      </w:tr>
      <w:tr>
        <w:trPr>
          <w:trHeight w:val="490" w:hRule="exact"/>
        </w:trPr>
        <w:tc>
          <w:tcPr>
            <w:tcW w:w="28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b/>
                <w:spacing w:val="-1"/>
                <w:sz w:val="18"/>
              </w:rPr>
              <w:t>62,257,048.02</w:t>
            </w:r>
            <w:r>
              <w:rPr>
                <w:rFonts w:ascii="Times New Roman"/>
                <w:spacing w:val="-1"/>
                <w:sz w:val="18"/>
              </w:rPr>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b/>
                <w:spacing w:val="-1"/>
                <w:sz w:val="18"/>
              </w:rPr>
              <w:t>10,644,615.50</w:t>
            </w:r>
            <w:r>
              <w:rPr>
                <w:rFonts w:ascii="Times New Roman"/>
                <w:spacing w:val="-1"/>
                <w:sz w:val="18"/>
              </w:rPr>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b/>
                <w:spacing w:val="-1"/>
                <w:sz w:val="18"/>
              </w:rPr>
              <w:t>21,681,618.65</w:t>
            </w:r>
            <w:r>
              <w:rPr>
                <w:rFonts w:ascii="Times New Roman"/>
                <w:spacing w:val="-1"/>
                <w:sz w:val="18"/>
              </w:rPr>
            </w:r>
          </w:p>
        </w:tc>
        <w:tc>
          <w:tcPr>
            <w:tcW w:w="149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b/>
                <w:spacing w:val="-1"/>
                <w:sz w:val="18"/>
              </w:rPr>
              <w:t>51,220,044.87</w:t>
            </w:r>
            <w:r>
              <w:rPr>
                <w:rFonts w:ascii="Times New Roman"/>
                <w:spacing w:val="-1"/>
                <w:sz w:val="18"/>
              </w:rPr>
            </w:r>
          </w:p>
        </w:tc>
      </w:tr>
      <w:tr>
        <w:trPr>
          <w:trHeight w:val="490" w:hRule="exact"/>
        </w:trPr>
        <w:tc>
          <w:tcPr>
            <w:tcW w:w="28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8,628,098.35</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1,542,825.72</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c>
          <w:tcPr>
            <w:tcW w:w="149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10,170,924.07</w:t>
            </w:r>
          </w:p>
        </w:tc>
      </w:tr>
      <w:tr>
        <w:trPr>
          <w:trHeight w:val="491" w:hRule="exact"/>
        </w:trPr>
        <w:tc>
          <w:tcPr>
            <w:tcW w:w="28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出租汽车营运车牌</w:t>
            </w:r>
          </w:p>
        </w:tc>
        <w:tc>
          <w:tcPr>
            <w:tcW w:w="1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53,193,169.92</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9,025,142.52</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21,623,345.65</w:t>
            </w:r>
          </w:p>
        </w:tc>
        <w:tc>
          <w:tcPr>
            <w:tcW w:w="149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40,594,966.79</w:t>
            </w:r>
          </w:p>
        </w:tc>
      </w:tr>
      <w:tr>
        <w:trPr>
          <w:trHeight w:val="490" w:hRule="exact"/>
        </w:trPr>
        <w:tc>
          <w:tcPr>
            <w:tcW w:w="28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435,779.75</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76,647.26</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58,273.00</w:t>
            </w:r>
          </w:p>
        </w:tc>
        <w:tc>
          <w:tcPr>
            <w:tcW w:w="149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454,154.01</w:t>
            </w:r>
          </w:p>
        </w:tc>
      </w:tr>
      <w:tr>
        <w:trPr>
          <w:trHeight w:val="490" w:hRule="exact"/>
        </w:trPr>
        <w:tc>
          <w:tcPr>
            <w:tcW w:w="28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b/>
                <w:spacing w:val="-1"/>
                <w:sz w:val="18"/>
              </w:rPr>
              <w:t>178,848,671.97</w:t>
            </w:r>
            <w:r>
              <w:rPr>
                <w:rFonts w:ascii="Times New Roman"/>
                <w:spacing w:val="-1"/>
                <w:sz w:val="18"/>
              </w:rPr>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b/>
                <w:spacing w:val="-1"/>
                <w:sz w:val="18"/>
              </w:rPr>
              <w:t>-10,605,615.50</w:t>
            </w:r>
            <w:r>
              <w:rPr>
                <w:rFonts w:ascii="Times New Roman"/>
                <w:spacing w:val="-1"/>
                <w:sz w:val="18"/>
              </w:rPr>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b/>
                <w:spacing w:val="-1"/>
                <w:sz w:val="18"/>
              </w:rPr>
              <w:t>11,493,743.15</w:t>
            </w:r>
            <w:r>
              <w:rPr>
                <w:rFonts w:ascii="Times New Roman"/>
                <w:spacing w:val="-1"/>
                <w:sz w:val="18"/>
              </w:rPr>
            </w:r>
          </w:p>
        </w:tc>
        <w:tc>
          <w:tcPr>
            <w:tcW w:w="149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b/>
                <w:spacing w:val="-1"/>
                <w:sz w:val="18"/>
              </w:rPr>
              <w:t>156,749,313.32</w:t>
            </w:r>
            <w:r>
              <w:rPr>
                <w:rFonts w:ascii="Times New Roman"/>
                <w:spacing w:val="-1"/>
                <w:sz w:val="18"/>
              </w:rPr>
            </w:r>
          </w:p>
        </w:tc>
      </w:tr>
      <w:tr>
        <w:trPr>
          <w:trHeight w:val="491" w:hRule="exact"/>
        </w:trPr>
        <w:tc>
          <w:tcPr>
            <w:tcW w:w="28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33,141,111.94</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-1,542,825.72</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c>
          <w:tcPr>
            <w:tcW w:w="149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31,598,286.22</w:t>
            </w:r>
          </w:p>
        </w:tc>
      </w:tr>
      <w:tr>
        <w:trPr>
          <w:trHeight w:val="490" w:hRule="exact"/>
        </w:trPr>
        <w:tc>
          <w:tcPr>
            <w:tcW w:w="28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出租汽车营运车牌</w:t>
            </w:r>
          </w:p>
        </w:tc>
        <w:tc>
          <w:tcPr>
            <w:tcW w:w="1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145,545,766.78</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-9,025,142.52</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11,493,743.15</w:t>
            </w:r>
          </w:p>
        </w:tc>
        <w:tc>
          <w:tcPr>
            <w:tcW w:w="149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pacing w:val="-1"/>
                <w:sz w:val="18"/>
              </w:rPr>
              <w:t>125,026,881.11</w:t>
            </w:r>
          </w:p>
        </w:tc>
      </w:tr>
      <w:tr>
        <w:trPr>
          <w:trHeight w:val="490" w:hRule="exact"/>
        </w:trPr>
        <w:tc>
          <w:tcPr>
            <w:tcW w:w="28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161,793.25</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-37,647.26</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c>
          <w:tcPr>
            <w:tcW w:w="149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124,145.99</w:t>
            </w:r>
          </w:p>
        </w:tc>
      </w:tr>
      <w:tr>
        <w:trPr>
          <w:trHeight w:val="491" w:hRule="exact"/>
        </w:trPr>
        <w:tc>
          <w:tcPr>
            <w:tcW w:w="28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320"/>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9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490" w:hRule="exact"/>
        </w:trPr>
        <w:tc>
          <w:tcPr>
            <w:tcW w:w="28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20"/>
              <w:jc w:val="right"/>
              <w:rPr>
                <w:rFonts w:ascii="Times New Roman" w:hAnsi="Times New Roman" w:cs="Times New Roman" w:eastAsia="Times New Roman" w:hint="default"/>
                <w:sz w:val="18"/>
                <w:szCs w:val="18"/>
              </w:rPr>
            </w:pPr>
            <w:r>
              <w:rPr>
                <w:rFonts w:ascii="Times New Roman"/>
                <w:sz w:val="18"/>
              </w:rPr>
              <w:t>-</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c>
          <w:tcPr>
            <w:tcW w:w="149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r>
      <w:tr>
        <w:trPr>
          <w:trHeight w:val="490" w:hRule="exact"/>
        </w:trPr>
        <w:tc>
          <w:tcPr>
            <w:tcW w:w="28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出租汽车营运车牌</w:t>
            </w:r>
          </w:p>
        </w:tc>
        <w:tc>
          <w:tcPr>
            <w:tcW w:w="1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20"/>
              <w:jc w:val="right"/>
              <w:rPr>
                <w:rFonts w:ascii="Times New Roman" w:hAnsi="Times New Roman" w:cs="Times New Roman" w:eastAsia="Times New Roman" w:hint="default"/>
                <w:sz w:val="18"/>
                <w:szCs w:val="18"/>
              </w:rPr>
            </w:pPr>
            <w:r>
              <w:rPr>
                <w:rFonts w:ascii="Times New Roman"/>
                <w:sz w:val="18"/>
              </w:rPr>
              <w:t>-</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c>
          <w:tcPr>
            <w:tcW w:w="149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r>
      <w:tr>
        <w:trPr>
          <w:trHeight w:val="491" w:hRule="exact"/>
        </w:trPr>
        <w:tc>
          <w:tcPr>
            <w:tcW w:w="28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20"/>
              <w:jc w:val="right"/>
              <w:rPr>
                <w:rFonts w:ascii="Times New Roman" w:hAnsi="Times New Roman" w:cs="Times New Roman" w:eastAsia="Times New Roman" w:hint="default"/>
                <w:sz w:val="18"/>
                <w:szCs w:val="18"/>
              </w:rPr>
            </w:pPr>
            <w:r>
              <w:rPr>
                <w:rFonts w:ascii="Times New Roman"/>
                <w:sz w:val="18"/>
              </w:rPr>
              <w:t>-</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c>
          <w:tcPr>
            <w:tcW w:w="149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r>
      <w:tr>
        <w:trPr>
          <w:trHeight w:val="480" w:hRule="exact"/>
        </w:trPr>
        <w:tc>
          <w:tcPr>
            <w:tcW w:w="28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b/>
                <w:spacing w:val="-1"/>
                <w:sz w:val="18"/>
              </w:rPr>
              <w:t>178,848,671.97</w:t>
            </w:r>
            <w:r>
              <w:rPr>
                <w:rFonts w:ascii="Times New Roman"/>
                <w:spacing w:val="-1"/>
                <w:sz w:val="18"/>
              </w:rPr>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b/>
                <w:spacing w:val="-1"/>
                <w:sz w:val="18"/>
              </w:rPr>
              <w:t>-10,605,615.50</w:t>
            </w:r>
            <w:r>
              <w:rPr>
                <w:rFonts w:ascii="Times New Roman"/>
                <w:spacing w:val="-1"/>
                <w:sz w:val="18"/>
              </w:rPr>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b/>
                <w:spacing w:val="-1"/>
                <w:sz w:val="18"/>
              </w:rPr>
              <w:t>11,493,743.15</w:t>
            </w:r>
            <w:r>
              <w:rPr>
                <w:rFonts w:ascii="Times New Roman"/>
                <w:spacing w:val="-1"/>
                <w:sz w:val="18"/>
              </w:rPr>
            </w:r>
          </w:p>
        </w:tc>
        <w:tc>
          <w:tcPr>
            <w:tcW w:w="149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b/>
                <w:spacing w:val="-1"/>
                <w:sz w:val="18"/>
              </w:rPr>
              <w:t>156,749,313.32</w:t>
            </w:r>
            <w:r>
              <w:rPr>
                <w:rFonts w:ascii="Times New Roman"/>
                <w:spacing w:val="-1"/>
                <w:sz w:val="18"/>
              </w:rPr>
            </w:r>
          </w:p>
        </w:tc>
      </w:tr>
      <w:tr>
        <w:trPr>
          <w:trHeight w:val="480" w:hRule="exact"/>
        </w:trPr>
        <w:tc>
          <w:tcPr>
            <w:tcW w:w="28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33,141,111.94</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-1,542,825.72</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c>
          <w:tcPr>
            <w:tcW w:w="149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31,598,286.22</w:t>
            </w:r>
          </w:p>
        </w:tc>
      </w:tr>
      <w:tr>
        <w:trPr>
          <w:trHeight w:val="480" w:hRule="exact"/>
        </w:trPr>
        <w:tc>
          <w:tcPr>
            <w:tcW w:w="28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出租汽车营运车牌</w:t>
            </w:r>
          </w:p>
        </w:tc>
        <w:tc>
          <w:tcPr>
            <w:tcW w:w="1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145,545,766.78</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-9,025,142.52</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11,493,743.15</w:t>
            </w:r>
          </w:p>
        </w:tc>
        <w:tc>
          <w:tcPr>
            <w:tcW w:w="149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pacing w:val="-1"/>
                <w:sz w:val="18"/>
              </w:rPr>
              <w:t>125,026,881.11</w:t>
            </w:r>
          </w:p>
        </w:tc>
      </w:tr>
      <w:tr>
        <w:trPr>
          <w:trHeight w:val="480" w:hRule="exact"/>
        </w:trPr>
        <w:tc>
          <w:tcPr>
            <w:tcW w:w="28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161,793.25</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-37,647.26</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c>
          <w:tcPr>
            <w:tcW w:w="149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124,145.99</w:t>
            </w:r>
          </w:p>
        </w:tc>
      </w:tr>
    </w:tbl>
    <w:p>
      <w:pPr>
        <w:spacing w:line="240" w:lineRule="auto" w:before="0"/>
        <w:rPr>
          <w:rFonts w:ascii="宋体" w:hAnsi="宋体" w:cs="宋体" w:eastAsia="宋体" w:hint="default"/>
          <w:sz w:val="12"/>
          <w:szCs w:val="12"/>
        </w:rPr>
      </w:pPr>
    </w:p>
    <w:p>
      <w:pPr>
        <w:pStyle w:val="BodyText"/>
        <w:spacing w:line="412" w:lineRule="auto" w:before="35"/>
        <w:ind w:left="671" w:right="219" w:hanging="2"/>
        <w:jc w:val="left"/>
      </w:pPr>
      <w:r>
        <w:rPr/>
        <w:t>无形资产本期摊销额为</w:t>
      </w:r>
      <w:r>
        <w:rPr>
          <w:spacing w:val="-54"/>
        </w:rPr>
        <w:t> </w:t>
      </w:r>
      <w:r>
        <w:rPr>
          <w:rFonts w:ascii="Times New Roman" w:hAnsi="Times New Roman" w:cs="Times New Roman" w:eastAsia="Times New Roman" w:hint="default"/>
        </w:rPr>
        <w:t>10,644,615.50</w:t>
      </w:r>
      <w:r>
        <w:rPr>
          <w:rFonts w:ascii="Times New Roman" w:hAnsi="Times New Roman" w:cs="Times New Roman" w:eastAsia="Times New Roman" w:hint="default"/>
          <w:spacing w:val="-2"/>
        </w:rPr>
        <w:t> </w:t>
      </w:r>
      <w:r>
        <w:rPr/>
        <w:t>元。 本期出租汽车营运车牌原值与累计摊销的减少为本期资产负债表不纳入合并范围内的子公</w:t>
      </w:r>
    </w:p>
    <w:p>
      <w:pPr>
        <w:pStyle w:val="BodyText"/>
        <w:spacing w:line="436" w:lineRule="auto" w:before="74"/>
        <w:ind w:left="250" w:right="220"/>
        <w:jc w:val="left"/>
      </w:pPr>
      <w:r>
        <w:rPr/>
        <w:t>司长沙鸿基运输实业有限公司的出租汽车经营权。本期其他无形资产原值和累计摊销减少是转</w:t>
      </w:r>
      <w:r>
        <w:rPr>
          <w:spacing w:val="-99"/>
        </w:rPr>
        <w:t> </w:t>
      </w:r>
      <w:r>
        <w:rPr>
          <w:spacing w:val="-99"/>
        </w:rPr>
      </w:r>
      <w:r>
        <w:rPr/>
        <w:t>销上期已摊销完的无形资产。</w:t>
      </w:r>
    </w:p>
    <w:p>
      <w:pPr>
        <w:spacing w:after="0" w:line="436" w:lineRule="auto"/>
        <w:jc w:val="left"/>
        <w:sectPr>
          <w:pgSz w:w="11900" w:h="16840"/>
          <w:pgMar w:header="0" w:footer="982" w:top="1260" w:bottom="1180" w:left="1620" w:right="1180"/>
        </w:sectPr>
      </w:pPr>
    </w:p>
    <w:p>
      <w:pPr>
        <w:pStyle w:val="BodyText"/>
        <w:spacing w:line="240" w:lineRule="auto" w:before="7"/>
        <w:ind w:left="0" w:right="231"/>
        <w:jc w:val="right"/>
      </w:pPr>
      <w:r>
        <w:rPr/>
        <w:t>截止</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9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spacing w:val="-99"/>
        </w:rPr>
        <w:t>，</w:t>
      </w:r>
      <w:r>
        <w:rPr/>
        <w:t>本集团以自有出租汽车营运车牌中的</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rFonts w:ascii="Times New Roman" w:hAnsi="Times New Roman" w:cs="Times New Roman" w:eastAsia="Times New Roman" w:hint="default"/>
        </w:rPr>
        <w:t>6 </w:t>
      </w:r>
      <w:r>
        <w:rPr>
          <w:spacing w:val="-2"/>
        </w:rPr>
        <w:t>个</w:t>
      </w:r>
      <w:r>
        <w:rPr/>
        <w:t>车牌用于银行贷款质</w:t>
      </w:r>
    </w:p>
    <w:p>
      <w:pPr>
        <w:pStyle w:val="BodyText"/>
        <w:spacing w:line="240" w:lineRule="auto" w:before="169"/>
        <w:ind w:left="250" w:right="142"/>
        <w:jc w:val="left"/>
        <w:rPr>
          <w:sz w:val="20"/>
          <w:szCs w:val="20"/>
        </w:rPr>
      </w:pPr>
      <w:r>
        <w:rPr/>
        <w:t>押，该无形资产原值为</w:t>
      </w:r>
      <w:r>
        <w:rPr>
          <w:spacing w:val="-58"/>
        </w:rPr>
        <w:t> </w:t>
      </w:r>
      <w:r>
        <w:rPr>
          <w:rFonts w:ascii="Times New Roman" w:hAnsi="Times New Roman" w:cs="Times New Roman" w:eastAsia="Times New Roman" w:hint="default"/>
        </w:rPr>
        <w:t>24,654,006.90</w:t>
      </w:r>
      <w:r>
        <w:rPr>
          <w:rFonts w:ascii="Times New Roman" w:hAnsi="Times New Roman" w:cs="Times New Roman" w:eastAsia="Times New Roman" w:hint="default"/>
          <w:spacing w:val="-6"/>
        </w:rPr>
        <w:t> </w:t>
      </w:r>
      <w:r>
        <w:rPr/>
        <w:t>元，净值为人民币</w:t>
      </w:r>
      <w:r>
        <w:rPr>
          <w:spacing w:val="-58"/>
        </w:rPr>
        <w:t> </w:t>
      </w:r>
      <w:r>
        <w:rPr>
          <w:rFonts w:ascii="Times New Roman" w:hAnsi="Times New Roman" w:cs="Times New Roman" w:eastAsia="Times New Roman" w:hint="default"/>
        </w:rPr>
        <w:t>16,484,901.31</w:t>
      </w:r>
      <w:r>
        <w:rPr>
          <w:rFonts w:ascii="Times New Roman" w:hAnsi="Times New Roman" w:cs="Times New Roman" w:eastAsia="Times New Roman" w:hint="default"/>
          <w:spacing w:val="-4"/>
        </w:rPr>
        <w:t> </w:t>
      </w:r>
      <w:r>
        <w:rPr>
          <w:sz w:val="20"/>
          <w:szCs w:val="20"/>
        </w:rPr>
        <w:t>元。</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spacing w:before="0"/>
        <w:ind w:left="250" w:right="14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sz w:val="21"/>
          <w:szCs w:val="21"/>
        </w:rPr>
        <w:t>、商誉</w:t>
      </w:r>
    </w:p>
    <w:p>
      <w:pPr>
        <w:pStyle w:val="BodyText"/>
        <w:tabs>
          <w:tab w:pos="1049" w:val="left" w:leader="none"/>
        </w:tabs>
        <w:spacing w:line="240" w:lineRule="auto" w:before="169"/>
        <w:ind w:left="0" w:right="23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795"/>
        <w:gridCol w:w="1230"/>
        <w:gridCol w:w="1180"/>
        <w:gridCol w:w="1183"/>
        <w:gridCol w:w="1230"/>
        <w:gridCol w:w="1230"/>
      </w:tblGrid>
      <w:tr>
        <w:trPr>
          <w:trHeight w:val="469" w:hRule="exact"/>
        </w:trPr>
        <w:tc>
          <w:tcPr>
            <w:tcW w:w="2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被投资单位名称或形成商誉的事项</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9"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83"/>
              <w:jc w:val="right"/>
              <w:rPr>
                <w:rFonts w:ascii="宋体" w:hAnsi="宋体" w:cs="宋体" w:eastAsia="宋体" w:hint="default"/>
                <w:sz w:val="15"/>
                <w:szCs w:val="15"/>
              </w:rPr>
            </w:pPr>
            <w:r>
              <w:rPr>
                <w:rFonts w:ascii="宋体" w:hAnsi="宋体" w:cs="宋体" w:eastAsia="宋体" w:hint="default"/>
                <w:sz w:val="15"/>
                <w:szCs w:val="15"/>
              </w:rPr>
              <w:t>本期增加</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84"/>
              <w:jc w:val="right"/>
              <w:rPr>
                <w:rFonts w:ascii="宋体" w:hAnsi="宋体" w:cs="宋体" w:eastAsia="宋体" w:hint="default"/>
                <w:sz w:val="15"/>
                <w:szCs w:val="15"/>
              </w:rPr>
            </w:pPr>
            <w:r>
              <w:rPr>
                <w:rFonts w:ascii="宋体" w:hAnsi="宋体" w:cs="宋体" w:eastAsia="宋体" w:hint="default"/>
                <w:sz w:val="15"/>
                <w:szCs w:val="15"/>
              </w:rPr>
              <w:t>本期减少</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9"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2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9" w:right="0"/>
              <w:jc w:val="left"/>
              <w:rPr>
                <w:rFonts w:ascii="宋体" w:hAnsi="宋体" w:cs="宋体" w:eastAsia="宋体" w:hint="default"/>
                <w:sz w:val="15"/>
                <w:szCs w:val="15"/>
              </w:rPr>
            </w:pPr>
            <w:r>
              <w:rPr>
                <w:rFonts w:ascii="宋体" w:hAnsi="宋体" w:cs="宋体" w:eastAsia="宋体" w:hint="default"/>
                <w:sz w:val="15"/>
                <w:szCs w:val="15"/>
              </w:rPr>
              <w:t>期末减值准备</w:t>
            </w:r>
          </w:p>
        </w:tc>
      </w:tr>
      <w:tr>
        <w:trPr>
          <w:trHeight w:val="470" w:hRule="exact"/>
        </w:trPr>
        <w:tc>
          <w:tcPr>
            <w:tcW w:w="2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收购物流及金鸿基形成的商誉</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253" w:right="0"/>
              <w:jc w:val="left"/>
              <w:rPr>
                <w:rFonts w:ascii="Times New Roman" w:hAnsi="Times New Roman" w:cs="Times New Roman" w:eastAsia="Times New Roman" w:hint="default"/>
                <w:sz w:val="15"/>
                <w:szCs w:val="15"/>
              </w:rPr>
            </w:pPr>
            <w:r>
              <w:rPr>
                <w:rFonts w:ascii="Times New Roman"/>
                <w:sz w:val="15"/>
              </w:rPr>
              <w:t>33,645,531.86</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239"/>
              <w:jc w:val="right"/>
              <w:rPr>
                <w:rFonts w:ascii="Times New Roman" w:hAnsi="Times New Roman" w:cs="Times New Roman" w:eastAsia="Times New Roman" w:hint="default"/>
                <w:sz w:val="15"/>
                <w:szCs w:val="15"/>
              </w:rPr>
            </w:pPr>
            <w:r>
              <w:rPr>
                <w:rFonts w:ascii="Times New Roman"/>
                <w:sz w:val="15"/>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243"/>
              <w:jc w:val="right"/>
              <w:rPr>
                <w:rFonts w:ascii="Times New Roman" w:hAnsi="Times New Roman" w:cs="Times New Roman" w:eastAsia="Times New Roman" w:hint="default"/>
                <w:sz w:val="15"/>
                <w:szCs w:val="15"/>
              </w:rPr>
            </w:pPr>
            <w:r>
              <w:rPr>
                <w:rFonts w:ascii="Times New Roman"/>
                <w:sz w:val="15"/>
              </w:rPr>
              <w:t>-</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101"/>
              <w:jc w:val="right"/>
              <w:rPr>
                <w:rFonts w:ascii="Times New Roman" w:hAnsi="Times New Roman" w:cs="Times New Roman" w:eastAsia="Times New Roman" w:hint="default"/>
                <w:sz w:val="15"/>
                <w:szCs w:val="15"/>
              </w:rPr>
            </w:pPr>
            <w:r>
              <w:rPr>
                <w:rFonts w:ascii="Times New Roman"/>
                <w:spacing w:val="-1"/>
                <w:sz w:val="15"/>
              </w:rPr>
              <w:t>33,645,531.86</w:t>
            </w:r>
          </w:p>
        </w:tc>
        <w:tc>
          <w:tcPr>
            <w:tcW w:w="123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106"/>
              <w:jc w:val="right"/>
              <w:rPr>
                <w:rFonts w:ascii="Times New Roman" w:hAnsi="Times New Roman" w:cs="Times New Roman" w:eastAsia="Times New Roman" w:hint="default"/>
                <w:sz w:val="15"/>
                <w:szCs w:val="15"/>
              </w:rPr>
            </w:pPr>
            <w:r>
              <w:rPr>
                <w:rFonts w:ascii="Times New Roman"/>
                <w:spacing w:val="-1"/>
                <w:sz w:val="15"/>
              </w:rPr>
              <w:t>33,645,531.86</w:t>
            </w:r>
          </w:p>
        </w:tc>
      </w:tr>
      <w:tr>
        <w:trPr>
          <w:trHeight w:val="470" w:hRule="exact"/>
        </w:trPr>
        <w:tc>
          <w:tcPr>
            <w:tcW w:w="2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tabs>
                <w:tab w:pos="616" w:val="left" w:leader="none"/>
              </w:tabs>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合</w:t>
              <w:tab/>
              <w:t>计</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253" w:right="0"/>
              <w:jc w:val="left"/>
              <w:rPr>
                <w:rFonts w:ascii="Times New Roman" w:hAnsi="Times New Roman" w:cs="Times New Roman" w:eastAsia="Times New Roman" w:hint="default"/>
                <w:sz w:val="15"/>
                <w:szCs w:val="15"/>
              </w:rPr>
            </w:pPr>
            <w:r>
              <w:rPr>
                <w:rFonts w:ascii="Times New Roman"/>
                <w:sz w:val="15"/>
              </w:rPr>
              <w:t>33,645,531.86</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239"/>
              <w:jc w:val="right"/>
              <w:rPr>
                <w:rFonts w:ascii="Times New Roman" w:hAnsi="Times New Roman" w:cs="Times New Roman" w:eastAsia="Times New Roman" w:hint="default"/>
                <w:sz w:val="15"/>
                <w:szCs w:val="15"/>
              </w:rPr>
            </w:pPr>
            <w:r>
              <w:rPr>
                <w:rFonts w:ascii="Times New Roman"/>
                <w:sz w:val="15"/>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243"/>
              <w:jc w:val="right"/>
              <w:rPr>
                <w:rFonts w:ascii="Times New Roman" w:hAnsi="Times New Roman" w:cs="Times New Roman" w:eastAsia="Times New Roman" w:hint="default"/>
                <w:sz w:val="15"/>
                <w:szCs w:val="15"/>
              </w:rPr>
            </w:pPr>
            <w:r>
              <w:rPr>
                <w:rFonts w:ascii="Times New Roman"/>
                <w:sz w:val="15"/>
              </w:rPr>
              <w:t>-</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101"/>
              <w:jc w:val="right"/>
              <w:rPr>
                <w:rFonts w:ascii="Times New Roman" w:hAnsi="Times New Roman" w:cs="Times New Roman" w:eastAsia="Times New Roman" w:hint="default"/>
                <w:sz w:val="15"/>
                <w:szCs w:val="15"/>
              </w:rPr>
            </w:pPr>
            <w:r>
              <w:rPr>
                <w:rFonts w:ascii="Times New Roman"/>
                <w:spacing w:val="-1"/>
                <w:sz w:val="15"/>
              </w:rPr>
              <w:t>33,645,531.86</w:t>
            </w:r>
          </w:p>
        </w:tc>
        <w:tc>
          <w:tcPr>
            <w:tcW w:w="123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106"/>
              <w:jc w:val="right"/>
              <w:rPr>
                <w:rFonts w:ascii="Times New Roman" w:hAnsi="Times New Roman" w:cs="Times New Roman" w:eastAsia="Times New Roman" w:hint="default"/>
                <w:sz w:val="15"/>
                <w:szCs w:val="15"/>
              </w:rPr>
            </w:pPr>
            <w:r>
              <w:rPr>
                <w:rFonts w:ascii="Times New Roman"/>
                <w:spacing w:val="-1"/>
                <w:sz w:val="15"/>
              </w:rPr>
              <w:t>33,645,531.86</w:t>
            </w:r>
          </w:p>
        </w:tc>
      </w:tr>
    </w:tbl>
    <w:p>
      <w:pPr>
        <w:spacing w:line="240" w:lineRule="auto" w:before="0"/>
        <w:rPr>
          <w:rFonts w:ascii="宋体" w:hAnsi="宋体" w:cs="宋体" w:eastAsia="宋体" w:hint="default"/>
          <w:sz w:val="9"/>
          <w:szCs w:val="9"/>
        </w:rPr>
      </w:pPr>
    </w:p>
    <w:p>
      <w:pPr>
        <w:pStyle w:val="BodyText"/>
        <w:spacing w:line="400" w:lineRule="auto" w:before="35"/>
        <w:ind w:left="250" w:right="227" w:firstLine="435"/>
        <w:jc w:val="both"/>
      </w:pPr>
      <w:r>
        <w:rPr>
          <w:spacing w:val="5"/>
        </w:rPr>
        <w:t>对物流公司及其子公司金鸿基集装箱堆场有限公司商誉提取减值准备的原因是本公司拟</w:t>
      </w:r>
      <w:r>
        <w:rPr/>
        <w:t> 处置该等公司。按预计处置能收回的现金与投资成本进行比较测试，对该等商誉全额提取减值</w:t>
      </w:r>
      <w:r>
        <w:rPr>
          <w:spacing w:val="-99"/>
        </w:rPr>
        <w:t> </w:t>
      </w:r>
      <w:r>
        <w:rPr>
          <w:spacing w:val="-99"/>
        </w:rPr>
      </w:r>
      <w:r>
        <w:rPr/>
        <w:t>准备。</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before="0"/>
        <w:ind w:left="250" w:right="14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sz w:val="21"/>
          <w:szCs w:val="21"/>
        </w:rPr>
        <w:t>、长期待摊费用</w:t>
      </w:r>
    </w:p>
    <w:p>
      <w:pPr>
        <w:pStyle w:val="BodyText"/>
        <w:tabs>
          <w:tab w:pos="1049" w:val="left" w:leader="none"/>
        </w:tabs>
        <w:spacing w:line="240" w:lineRule="auto" w:before="170"/>
        <w:ind w:left="0" w:right="230"/>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832"/>
        <w:gridCol w:w="1126"/>
        <w:gridCol w:w="1127"/>
        <w:gridCol w:w="1126"/>
        <w:gridCol w:w="1080"/>
        <w:gridCol w:w="1126"/>
        <w:gridCol w:w="1432"/>
      </w:tblGrid>
      <w:tr>
        <w:trPr>
          <w:trHeight w:val="480" w:hRule="exact"/>
        </w:trPr>
        <w:tc>
          <w:tcPr>
            <w:tcW w:w="18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27" w:right="0"/>
              <w:jc w:val="left"/>
              <w:rPr>
                <w:rFonts w:ascii="宋体" w:hAnsi="宋体" w:cs="宋体" w:eastAsia="宋体" w:hint="default"/>
                <w:sz w:val="15"/>
                <w:szCs w:val="15"/>
              </w:rPr>
            </w:pPr>
            <w:r>
              <w:rPr>
                <w:rFonts w:ascii="宋体" w:hAnsi="宋体" w:cs="宋体" w:eastAsia="宋体" w:hint="default"/>
                <w:sz w:val="15"/>
                <w:szCs w:val="15"/>
              </w:rPr>
              <w:t>期初额</w:t>
            </w:r>
          </w:p>
        </w:tc>
        <w:tc>
          <w:tcPr>
            <w:tcW w:w="1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本期增加额</w:t>
            </w:r>
          </w:p>
        </w:tc>
        <w:tc>
          <w:tcPr>
            <w:tcW w:w="1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本期摊销额</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55"/>
              <w:jc w:val="right"/>
              <w:rPr>
                <w:rFonts w:ascii="宋体" w:hAnsi="宋体" w:cs="宋体" w:eastAsia="宋体" w:hint="default"/>
                <w:sz w:val="15"/>
                <w:szCs w:val="15"/>
              </w:rPr>
            </w:pPr>
            <w:r>
              <w:rPr>
                <w:rFonts w:ascii="宋体" w:hAnsi="宋体" w:cs="宋体" w:eastAsia="宋体" w:hint="default"/>
                <w:sz w:val="15"/>
                <w:szCs w:val="15"/>
              </w:rPr>
              <w:t>其他减少额</w:t>
            </w:r>
          </w:p>
        </w:tc>
        <w:tc>
          <w:tcPr>
            <w:tcW w:w="1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27" w:right="0"/>
              <w:jc w:val="left"/>
              <w:rPr>
                <w:rFonts w:ascii="宋体" w:hAnsi="宋体" w:cs="宋体" w:eastAsia="宋体" w:hint="default"/>
                <w:sz w:val="15"/>
                <w:szCs w:val="15"/>
              </w:rPr>
            </w:pPr>
            <w:r>
              <w:rPr>
                <w:rFonts w:ascii="宋体" w:hAnsi="宋体" w:cs="宋体" w:eastAsia="宋体" w:hint="default"/>
                <w:sz w:val="15"/>
                <w:szCs w:val="15"/>
              </w:rPr>
              <w:t>期末额</w:t>
            </w:r>
          </w:p>
        </w:tc>
        <w:tc>
          <w:tcPr>
            <w:tcW w:w="14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81" w:right="0"/>
              <w:jc w:val="left"/>
              <w:rPr>
                <w:rFonts w:ascii="宋体" w:hAnsi="宋体" w:cs="宋体" w:eastAsia="宋体" w:hint="default"/>
                <w:sz w:val="15"/>
                <w:szCs w:val="15"/>
              </w:rPr>
            </w:pPr>
            <w:r>
              <w:rPr>
                <w:rFonts w:ascii="宋体" w:hAnsi="宋体" w:cs="宋体" w:eastAsia="宋体" w:hint="default"/>
                <w:sz w:val="15"/>
                <w:szCs w:val="15"/>
              </w:rPr>
              <w:t>其他减少的原因</w:t>
            </w:r>
          </w:p>
        </w:tc>
      </w:tr>
      <w:tr>
        <w:trPr>
          <w:trHeight w:val="480" w:hRule="exact"/>
        </w:trPr>
        <w:tc>
          <w:tcPr>
            <w:tcW w:w="18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租入固定资产改良支出</w:t>
            </w:r>
          </w:p>
        </w:tc>
        <w:tc>
          <w:tcPr>
            <w:tcW w:w="1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97"/>
              <w:jc w:val="right"/>
              <w:rPr>
                <w:rFonts w:ascii="Times New Roman" w:hAnsi="Times New Roman" w:cs="Times New Roman" w:eastAsia="Times New Roman" w:hint="default"/>
                <w:sz w:val="15"/>
                <w:szCs w:val="15"/>
              </w:rPr>
            </w:pPr>
            <w:r>
              <w:rPr>
                <w:rFonts w:ascii="Times New Roman"/>
                <w:spacing w:val="-1"/>
                <w:sz w:val="15"/>
              </w:rPr>
              <w:t>7,739,084.48</w:t>
            </w:r>
          </w:p>
        </w:tc>
        <w:tc>
          <w:tcPr>
            <w:tcW w:w="1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98"/>
              <w:jc w:val="right"/>
              <w:rPr>
                <w:rFonts w:ascii="Times New Roman" w:hAnsi="Times New Roman" w:cs="Times New Roman" w:eastAsia="Times New Roman" w:hint="default"/>
                <w:sz w:val="15"/>
                <w:szCs w:val="15"/>
              </w:rPr>
            </w:pPr>
            <w:r>
              <w:rPr>
                <w:rFonts w:ascii="Times New Roman"/>
                <w:spacing w:val="-1"/>
                <w:sz w:val="15"/>
              </w:rPr>
              <w:t>655,359.14</w:t>
            </w:r>
          </w:p>
        </w:tc>
        <w:tc>
          <w:tcPr>
            <w:tcW w:w="1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97"/>
              <w:jc w:val="right"/>
              <w:rPr>
                <w:rFonts w:ascii="Times New Roman" w:hAnsi="Times New Roman" w:cs="Times New Roman" w:eastAsia="Times New Roman" w:hint="default"/>
                <w:sz w:val="15"/>
                <w:szCs w:val="15"/>
              </w:rPr>
            </w:pPr>
            <w:r>
              <w:rPr>
                <w:rFonts w:ascii="Times New Roman"/>
                <w:spacing w:val="-1"/>
                <w:sz w:val="15"/>
              </w:rPr>
              <w:t>5,454,899.40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238"/>
              <w:jc w:val="right"/>
              <w:rPr>
                <w:rFonts w:ascii="Times New Roman" w:hAnsi="Times New Roman" w:cs="Times New Roman" w:eastAsia="Times New Roman" w:hint="default"/>
                <w:sz w:val="15"/>
                <w:szCs w:val="15"/>
              </w:rPr>
            </w:pPr>
            <w:r>
              <w:rPr>
                <w:rFonts w:ascii="Times New Roman"/>
                <w:sz w:val="15"/>
              </w:rPr>
              <w:t>-</w:t>
            </w:r>
          </w:p>
        </w:tc>
        <w:tc>
          <w:tcPr>
            <w:tcW w:w="1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97"/>
              <w:jc w:val="right"/>
              <w:rPr>
                <w:rFonts w:ascii="Times New Roman" w:hAnsi="Times New Roman" w:cs="Times New Roman" w:eastAsia="Times New Roman" w:hint="default"/>
                <w:sz w:val="15"/>
                <w:szCs w:val="15"/>
              </w:rPr>
            </w:pPr>
            <w:r>
              <w:rPr>
                <w:rFonts w:ascii="Times New Roman"/>
                <w:spacing w:val="-1"/>
                <w:sz w:val="15"/>
              </w:rPr>
              <w:t>2,939,544.22</w:t>
            </w:r>
          </w:p>
        </w:tc>
        <w:tc>
          <w:tcPr>
            <w:tcW w:w="1432" w:type="dxa"/>
            <w:tcBorders>
              <w:top w:val="single" w:sz="8" w:space="0" w:color="000000"/>
              <w:left w:val="single" w:sz="8" w:space="0" w:color="000000"/>
              <w:bottom w:val="single" w:sz="8" w:space="0" w:color="000000"/>
              <w:right w:val="nil" w:sz="6" w:space="0" w:color="auto"/>
            </w:tcBorders>
          </w:tcPr>
          <w:p>
            <w:pPr/>
          </w:p>
        </w:tc>
      </w:tr>
      <w:tr>
        <w:trPr>
          <w:trHeight w:val="480" w:hRule="exact"/>
        </w:trPr>
        <w:tc>
          <w:tcPr>
            <w:tcW w:w="18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97"/>
              <w:jc w:val="right"/>
              <w:rPr>
                <w:rFonts w:ascii="Times New Roman" w:hAnsi="Times New Roman" w:cs="Times New Roman" w:eastAsia="Times New Roman" w:hint="default"/>
                <w:sz w:val="15"/>
                <w:szCs w:val="15"/>
              </w:rPr>
            </w:pPr>
            <w:r>
              <w:rPr>
                <w:rFonts w:ascii="Times New Roman"/>
                <w:spacing w:val="-1"/>
                <w:sz w:val="15"/>
              </w:rPr>
              <w:t>1,064,852.61</w:t>
            </w:r>
          </w:p>
        </w:tc>
        <w:tc>
          <w:tcPr>
            <w:tcW w:w="1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285"/>
              <w:jc w:val="right"/>
              <w:rPr>
                <w:rFonts w:ascii="Times New Roman" w:hAnsi="Times New Roman" w:cs="Times New Roman" w:eastAsia="Times New Roman" w:hint="default"/>
                <w:sz w:val="15"/>
                <w:szCs w:val="15"/>
              </w:rPr>
            </w:pPr>
            <w:r>
              <w:rPr>
                <w:rFonts w:ascii="Times New Roman"/>
                <w:sz w:val="15"/>
              </w:rPr>
              <w:t>-</w:t>
            </w:r>
          </w:p>
        </w:tc>
        <w:tc>
          <w:tcPr>
            <w:tcW w:w="1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98"/>
              <w:jc w:val="right"/>
              <w:rPr>
                <w:rFonts w:ascii="Times New Roman" w:hAnsi="Times New Roman" w:cs="Times New Roman" w:eastAsia="Times New Roman" w:hint="default"/>
                <w:sz w:val="15"/>
                <w:szCs w:val="15"/>
              </w:rPr>
            </w:pPr>
            <w:r>
              <w:rPr>
                <w:rFonts w:ascii="Times New Roman"/>
                <w:spacing w:val="-1"/>
                <w:sz w:val="15"/>
              </w:rPr>
              <w:t>327,097.51</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238"/>
              <w:jc w:val="right"/>
              <w:rPr>
                <w:rFonts w:ascii="Times New Roman" w:hAnsi="Times New Roman" w:cs="Times New Roman" w:eastAsia="Times New Roman" w:hint="default"/>
                <w:sz w:val="15"/>
                <w:szCs w:val="15"/>
              </w:rPr>
            </w:pPr>
            <w:r>
              <w:rPr>
                <w:rFonts w:ascii="Times New Roman"/>
                <w:sz w:val="15"/>
              </w:rPr>
              <w:t>-</w:t>
            </w:r>
          </w:p>
        </w:tc>
        <w:tc>
          <w:tcPr>
            <w:tcW w:w="1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96"/>
              <w:jc w:val="right"/>
              <w:rPr>
                <w:rFonts w:ascii="Times New Roman" w:hAnsi="Times New Roman" w:cs="Times New Roman" w:eastAsia="Times New Roman" w:hint="default"/>
                <w:sz w:val="15"/>
                <w:szCs w:val="15"/>
              </w:rPr>
            </w:pPr>
            <w:r>
              <w:rPr>
                <w:rFonts w:ascii="Times New Roman"/>
                <w:spacing w:val="-1"/>
                <w:sz w:val="15"/>
              </w:rPr>
              <w:t>737,755.10</w:t>
            </w:r>
          </w:p>
        </w:tc>
        <w:tc>
          <w:tcPr>
            <w:tcW w:w="1432" w:type="dxa"/>
            <w:tcBorders>
              <w:top w:val="single" w:sz="8" w:space="0" w:color="000000"/>
              <w:left w:val="single" w:sz="8" w:space="0" w:color="000000"/>
              <w:bottom w:val="single" w:sz="8" w:space="0" w:color="000000"/>
              <w:right w:val="nil" w:sz="6" w:space="0" w:color="auto"/>
            </w:tcBorders>
          </w:tcPr>
          <w:p>
            <w:pPr/>
          </w:p>
        </w:tc>
      </w:tr>
      <w:tr>
        <w:trPr>
          <w:trHeight w:val="481" w:hRule="exact"/>
        </w:trPr>
        <w:tc>
          <w:tcPr>
            <w:tcW w:w="18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97"/>
              <w:jc w:val="right"/>
              <w:rPr>
                <w:rFonts w:ascii="Times New Roman" w:hAnsi="Times New Roman" w:cs="Times New Roman" w:eastAsia="Times New Roman" w:hint="default"/>
                <w:sz w:val="15"/>
                <w:szCs w:val="15"/>
              </w:rPr>
            </w:pPr>
            <w:r>
              <w:rPr>
                <w:rFonts w:ascii="Times New Roman"/>
                <w:spacing w:val="-1"/>
                <w:sz w:val="15"/>
              </w:rPr>
              <w:t>8,803,937.09</w:t>
            </w:r>
          </w:p>
        </w:tc>
        <w:tc>
          <w:tcPr>
            <w:tcW w:w="1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98"/>
              <w:jc w:val="right"/>
              <w:rPr>
                <w:rFonts w:ascii="Times New Roman" w:hAnsi="Times New Roman" w:cs="Times New Roman" w:eastAsia="Times New Roman" w:hint="default"/>
                <w:sz w:val="15"/>
                <w:szCs w:val="15"/>
              </w:rPr>
            </w:pPr>
            <w:r>
              <w:rPr>
                <w:rFonts w:ascii="Times New Roman"/>
                <w:spacing w:val="-1"/>
                <w:sz w:val="15"/>
              </w:rPr>
              <w:t>655,359.14</w:t>
            </w:r>
          </w:p>
        </w:tc>
        <w:tc>
          <w:tcPr>
            <w:tcW w:w="1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97"/>
              <w:jc w:val="right"/>
              <w:rPr>
                <w:rFonts w:ascii="Times New Roman" w:hAnsi="Times New Roman" w:cs="Times New Roman" w:eastAsia="Times New Roman" w:hint="default"/>
                <w:sz w:val="15"/>
                <w:szCs w:val="15"/>
              </w:rPr>
            </w:pPr>
            <w:r>
              <w:rPr>
                <w:rFonts w:ascii="Times New Roman"/>
                <w:spacing w:val="-1"/>
                <w:sz w:val="15"/>
              </w:rPr>
              <w:t>5,781,996.91</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238"/>
              <w:jc w:val="right"/>
              <w:rPr>
                <w:rFonts w:ascii="Times New Roman" w:hAnsi="Times New Roman" w:cs="Times New Roman" w:eastAsia="Times New Roman" w:hint="default"/>
                <w:sz w:val="15"/>
                <w:szCs w:val="15"/>
              </w:rPr>
            </w:pPr>
            <w:r>
              <w:rPr>
                <w:rFonts w:ascii="Times New Roman"/>
                <w:sz w:val="15"/>
              </w:rPr>
              <w:t>-</w:t>
            </w:r>
          </w:p>
        </w:tc>
        <w:tc>
          <w:tcPr>
            <w:tcW w:w="1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97"/>
              <w:jc w:val="right"/>
              <w:rPr>
                <w:rFonts w:ascii="Times New Roman" w:hAnsi="Times New Roman" w:cs="Times New Roman" w:eastAsia="Times New Roman" w:hint="default"/>
                <w:sz w:val="15"/>
                <w:szCs w:val="15"/>
              </w:rPr>
            </w:pPr>
            <w:r>
              <w:rPr>
                <w:rFonts w:ascii="Times New Roman"/>
                <w:spacing w:val="-1"/>
                <w:sz w:val="15"/>
              </w:rPr>
              <w:t>3,677,299.32</w:t>
            </w:r>
          </w:p>
        </w:tc>
        <w:tc>
          <w:tcPr>
            <w:tcW w:w="1432" w:type="dxa"/>
            <w:tcBorders>
              <w:top w:val="single" w:sz="8" w:space="0" w:color="000000"/>
              <w:left w:val="single" w:sz="8" w:space="0" w:color="000000"/>
              <w:bottom w:val="single" w:sz="8"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left="250" w:right="142"/>
        <w:jc w:val="left"/>
      </w:pPr>
      <w:r>
        <w:rPr>
          <w:rFonts w:ascii="Times New Roman" w:hAnsi="Times New Roman" w:cs="Times New Roman" w:eastAsia="Times New Roman" w:hint="default"/>
          <w:b/>
          <w:bCs/>
        </w:rPr>
        <w:t>16</w:t>
      </w:r>
      <w:r>
        <w:rPr/>
        <w:t>、递延所得税资产</w:t>
      </w:r>
      <w:r>
        <w:rPr>
          <w:rFonts w:ascii="Times New Roman" w:hAnsi="Times New Roman" w:cs="Times New Roman" w:eastAsia="Times New Roman" w:hint="default"/>
          <w:b/>
          <w:bCs/>
        </w:rPr>
        <w:t>/</w:t>
      </w:r>
      <w:r>
        <w:rPr/>
        <w:t>递延所得税负债</w:t>
      </w:r>
    </w:p>
    <w:p>
      <w:pPr>
        <w:pStyle w:val="BodyText"/>
        <w:spacing w:line="240" w:lineRule="auto" w:before="169"/>
        <w:ind w:left="250" w:right="142"/>
        <w:jc w:val="left"/>
      </w:pPr>
      <w:r>
        <w:rPr/>
        <w:t>（</w:t>
      </w:r>
      <w:r>
        <w:rPr>
          <w:rFonts w:ascii="Times New Roman" w:hAnsi="Times New Roman" w:cs="Times New Roman" w:eastAsia="Times New Roman" w:hint="default"/>
        </w:rPr>
        <w:t>1</w:t>
      </w:r>
      <w:r>
        <w:rPr/>
        <w:t>）已确认的递延所得税资产和递延所得税负债</w:t>
      </w:r>
    </w:p>
    <w:p>
      <w:pPr>
        <w:spacing w:line="240" w:lineRule="auto" w:before="4"/>
        <w:rPr>
          <w:rFonts w:ascii="宋体" w:hAnsi="宋体" w:cs="宋体" w:eastAsia="宋体" w:hint="default"/>
          <w:sz w:val="10"/>
          <w:szCs w:val="10"/>
        </w:rPr>
      </w:pPr>
    </w:p>
    <w:p>
      <w:pPr>
        <w:pStyle w:val="BodyText"/>
        <w:tabs>
          <w:tab w:pos="1049" w:val="left" w:leader="none"/>
        </w:tabs>
        <w:spacing w:line="240" w:lineRule="auto" w:before="35"/>
        <w:ind w:left="0" w:right="229"/>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5248"/>
        <w:gridCol w:w="1874"/>
        <w:gridCol w:w="1726"/>
      </w:tblGrid>
      <w:tr>
        <w:trPr>
          <w:trHeight w:val="480" w:hRule="exact"/>
        </w:trPr>
        <w:tc>
          <w:tcPr>
            <w:tcW w:w="5248" w:type="dxa"/>
            <w:tcBorders>
              <w:top w:val="single" w:sz="8" w:space="0" w:color="000000"/>
              <w:left w:val="nil" w:sz="6" w:space="0" w:color="auto"/>
              <w:bottom w:val="single" w:sz="8" w:space="0" w:color="000000"/>
              <w:right w:val="single" w:sz="8" w:space="0" w:color="000000"/>
            </w:tcBorders>
          </w:tcPr>
          <w:p>
            <w:pPr>
              <w:pStyle w:val="TableParagraph"/>
              <w:tabs>
                <w:tab w:pos="443" w:val="left" w:leader="none"/>
              </w:tabs>
              <w:spacing w:line="240" w:lineRule="auto" w:before="154"/>
              <w:ind w:left="2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left="61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7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54"/>
              <w:ind w:left="537"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80" w:hRule="exact"/>
        </w:trPr>
        <w:tc>
          <w:tcPr>
            <w:tcW w:w="52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54"/>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74" w:type="dxa"/>
            <w:tcBorders>
              <w:top w:val="single" w:sz="8" w:space="0" w:color="000000"/>
              <w:left w:val="single" w:sz="8" w:space="0" w:color="000000"/>
              <w:bottom w:val="single" w:sz="8" w:space="0" w:color="000000"/>
              <w:right w:val="single" w:sz="8" w:space="0" w:color="000000"/>
            </w:tcBorders>
          </w:tcPr>
          <w:p>
            <w:pPr/>
          </w:p>
        </w:tc>
        <w:tc>
          <w:tcPr>
            <w:tcW w:w="1726" w:type="dxa"/>
            <w:tcBorders>
              <w:top w:val="single" w:sz="8" w:space="0" w:color="000000"/>
              <w:left w:val="single" w:sz="8" w:space="0" w:color="000000"/>
              <w:bottom w:val="single" w:sz="8" w:space="0" w:color="000000"/>
              <w:right w:val="nil" w:sz="6" w:space="0" w:color="auto"/>
            </w:tcBorders>
          </w:tcPr>
          <w:p>
            <w:pPr/>
          </w:p>
        </w:tc>
      </w:tr>
      <w:tr>
        <w:trPr>
          <w:trHeight w:val="480" w:hRule="exact"/>
        </w:trPr>
        <w:tc>
          <w:tcPr>
            <w:tcW w:w="52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54"/>
              <w:ind w:left="122"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8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24,000,405.08</w:t>
            </w:r>
          </w:p>
        </w:tc>
        <w:tc>
          <w:tcPr>
            <w:tcW w:w="17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32,325,050.62</w:t>
            </w:r>
          </w:p>
        </w:tc>
      </w:tr>
      <w:tr>
        <w:trPr>
          <w:trHeight w:val="480" w:hRule="exact"/>
        </w:trPr>
        <w:tc>
          <w:tcPr>
            <w:tcW w:w="52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54"/>
              <w:ind w:left="12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8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36,400,033.21</w:t>
            </w:r>
          </w:p>
        </w:tc>
        <w:tc>
          <w:tcPr>
            <w:tcW w:w="17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29,533,000.46</w:t>
            </w:r>
          </w:p>
        </w:tc>
      </w:tr>
      <w:tr>
        <w:trPr>
          <w:trHeight w:val="480" w:hRule="exact"/>
        </w:trPr>
        <w:tc>
          <w:tcPr>
            <w:tcW w:w="5248" w:type="dxa"/>
            <w:tcBorders>
              <w:top w:val="single" w:sz="8" w:space="0" w:color="000000"/>
              <w:left w:val="nil" w:sz="6" w:space="0" w:color="auto"/>
              <w:bottom w:val="single" w:sz="8" w:space="0" w:color="000000"/>
              <w:right w:val="single" w:sz="8" w:space="0" w:color="000000"/>
            </w:tcBorders>
          </w:tcPr>
          <w:p>
            <w:pPr>
              <w:pStyle w:val="TableParagraph"/>
              <w:tabs>
                <w:tab w:pos="542" w:val="left" w:leader="none"/>
              </w:tabs>
              <w:spacing w:line="240" w:lineRule="auto" w:before="154"/>
              <w:ind w:left="12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60,400,438.29</w:t>
            </w:r>
          </w:p>
        </w:tc>
        <w:tc>
          <w:tcPr>
            <w:tcW w:w="17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61,858,051.08</w:t>
            </w:r>
          </w:p>
        </w:tc>
      </w:tr>
      <w:tr>
        <w:trPr>
          <w:trHeight w:val="480" w:hRule="exact"/>
        </w:trPr>
        <w:tc>
          <w:tcPr>
            <w:tcW w:w="52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54"/>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74" w:type="dxa"/>
            <w:tcBorders>
              <w:top w:val="single" w:sz="8" w:space="0" w:color="000000"/>
              <w:left w:val="single" w:sz="8" w:space="0" w:color="000000"/>
              <w:bottom w:val="single" w:sz="8" w:space="0" w:color="000000"/>
              <w:right w:val="single" w:sz="8" w:space="0" w:color="000000"/>
            </w:tcBorders>
          </w:tcPr>
          <w:p>
            <w:pPr/>
          </w:p>
        </w:tc>
        <w:tc>
          <w:tcPr>
            <w:tcW w:w="1726" w:type="dxa"/>
            <w:tcBorders>
              <w:top w:val="single" w:sz="8" w:space="0" w:color="000000"/>
              <w:left w:val="single" w:sz="8" w:space="0" w:color="000000"/>
              <w:bottom w:val="single" w:sz="8" w:space="0" w:color="000000"/>
              <w:right w:val="nil" w:sz="6" w:space="0" w:color="auto"/>
            </w:tcBorders>
          </w:tcPr>
          <w:p>
            <w:pPr/>
          </w:p>
        </w:tc>
      </w:tr>
      <w:tr>
        <w:trPr>
          <w:trHeight w:val="480" w:hRule="exact"/>
        </w:trPr>
        <w:tc>
          <w:tcPr>
            <w:tcW w:w="52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54"/>
              <w:ind w:left="122" w:right="0"/>
              <w:jc w:val="left"/>
              <w:rPr>
                <w:rFonts w:ascii="宋体" w:hAnsi="宋体" w:cs="宋体" w:eastAsia="宋体" w:hint="default"/>
                <w:sz w:val="21"/>
                <w:szCs w:val="21"/>
              </w:rPr>
            </w:pPr>
            <w:r>
              <w:rPr>
                <w:rFonts w:ascii="宋体" w:hAnsi="宋体" w:cs="宋体" w:eastAsia="宋体" w:hint="default"/>
                <w:sz w:val="21"/>
                <w:szCs w:val="21"/>
              </w:rPr>
              <w:t>计入资本公积的可供出售金融资产公允价值变动</w:t>
            </w:r>
          </w:p>
        </w:tc>
        <w:tc>
          <w:tcPr>
            <w:tcW w:w="18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8,161,169.27</w:t>
            </w:r>
          </w:p>
        </w:tc>
        <w:tc>
          <w:tcPr>
            <w:tcW w:w="17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3,948,800.00</w:t>
            </w:r>
          </w:p>
        </w:tc>
      </w:tr>
      <w:tr>
        <w:trPr>
          <w:trHeight w:val="481" w:hRule="exact"/>
        </w:trPr>
        <w:tc>
          <w:tcPr>
            <w:tcW w:w="52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54"/>
              <w:ind w:left="1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8,161,169.27</w:t>
            </w:r>
          </w:p>
        </w:tc>
        <w:tc>
          <w:tcPr>
            <w:tcW w:w="17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3,948,800.00</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982" w:top="1280" w:bottom="1180" w:left="1620" w:right="1180"/>
        </w:sectPr>
      </w:pPr>
    </w:p>
    <w:p>
      <w:pPr>
        <w:spacing w:line="240" w:lineRule="auto" w:before="3"/>
        <w:rPr>
          <w:rFonts w:ascii="宋体" w:hAnsi="宋体" w:cs="宋体" w:eastAsia="宋体" w:hint="default"/>
          <w:sz w:val="16"/>
          <w:szCs w:val="16"/>
        </w:rPr>
      </w:pPr>
    </w:p>
    <w:p>
      <w:pPr>
        <w:pStyle w:val="BodyText"/>
        <w:spacing w:line="240" w:lineRule="auto" w:before="35"/>
        <w:ind w:left="250" w:right="142"/>
        <w:jc w:val="left"/>
      </w:pPr>
      <w:r>
        <w:rPr/>
        <w:t>（</w:t>
      </w:r>
      <w:r>
        <w:rPr>
          <w:rFonts w:ascii="Times New Roman" w:hAnsi="Times New Roman" w:cs="Times New Roman" w:eastAsia="Times New Roman" w:hint="default"/>
        </w:rPr>
        <w:t>2</w:t>
      </w:r>
      <w:r>
        <w:rPr/>
        <w:t>）未确认递延所得税资产明细</w:t>
      </w:r>
    </w:p>
    <w:p>
      <w:pPr>
        <w:spacing w:line="240" w:lineRule="auto" w:before="11"/>
        <w:rPr>
          <w:rFonts w:ascii="宋体" w:hAnsi="宋体" w:cs="宋体" w:eastAsia="宋体" w:hint="default"/>
          <w:sz w:val="14"/>
          <w:szCs w:val="14"/>
        </w:rPr>
      </w:pPr>
    </w:p>
    <w:p>
      <w:pPr>
        <w:pStyle w:val="BodyText"/>
        <w:tabs>
          <w:tab w:pos="1049" w:val="left" w:leader="none"/>
        </w:tabs>
        <w:spacing w:line="240" w:lineRule="auto" w:before="35"/>
        <w:ind w:left="0" w:right="231"/>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675"/>
        <w:gridCol w:w="3120"/>
        <w:gridCol w:w="3053"/>
      </w:tblGrid>
      <w:tr>
        <w:trPr>
          <w:trHeight w:val="540" w:hRule="exact"/>
        </w:trPr>
        <w:tc>
          <w:tcPr>
            <w:tcW w:w="26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tabs>
                <w:tab w:pos="443" w:val="left" w:leader="none"/>
              </w:tabs>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5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40" w:hRule="exact"/>
        </w:trPr>
        <w:tc>
          <w:tcPr>
            <w:tcW w:w="26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14,564,795.69</w:t>
            </w:r>
            <w:r>
              <w:rPr>
                <w:rFonts w:ascii="Times New Roman"/>
                <w:sz w:val="21"/>
              </w:rPr>
            </w:r>
          </w:p>
        </w:tc>
        <w:tc>
          <w:tcPr>
            <w:tcW w:w="305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11,790,779.30</w:t>
            </w:r>
            <w:r>
              <w:rPr>
                <w:rFonts w:ascii="Times New Roman"/>
                <w:sz w:val="21"/>
              </w:rPr>
            </w:r>
          </w:p>
        </w:tc>
      </w:tr>
      <w:tr>
        <w:trPr>
          <w:trHeight w:val="540" w:hRule="exact"/>
        </w:trPr>
        <w:tc>
          <w:tcPr>
            <w:tcW w:w="26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44,187,454.86</w:t>
            </w:r>
            <w:r>
              <w:rPr>
                <w:rFonts w:ascii="Times New Roman"/>
                <w:sz w:val="21"/>
              </w:rPr>
            </w:r>
          </w:p>
        </w:tc>
        <w:tc>
          <w:tcPr>
            <w:tcW w:w="305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38,122,579.57</w:t>
            </w:r>
            <w:r>
              <w:rPr>
                <w:rFonts w:ascii="Times New Roman"/>
                <w:sz w:val="21"/>
              </w:rPr>
            </w:r>
          </w:p>
        </w:tc>
      </w:tr>
      <w:tr>
        <w:trPr>
          <w:trHeight w:val="541" w:hRule="exact"/>
        </w:trPr>
        <w:tc>
          <w:tcPr>
            <w:tcW w:w="26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58,752,250.55</w:t>
            </w:r>
            <w:r>
              <w:rPr>
                <w:rFonts w:ascii="Times New Roman"/>
                <w:sz w:val="21"/>
              </w:rPr>
            </w:r>
          </w:p>
        </w:tc>
        <w:tc>
          <w:tcPr>
            <w:tcW w:w="305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49,913,358.87</w:t>
            </w:r>
            <w:r>
              <w:rPr>
                <w:rFonts w:ascii="Times New Roman"/>
                <w:sz w:val="21"/>
              </w:rPr>
            </w:r>
          </w:p>
        </w:tc>
      </w:tr>
    </w:tbl>
    <w:p>
      <w:pPr>
        <w:spacing w:line="240" w:lineRule="auto" w:before="8"/>
        <w:rPr>
          <w:rFonts w:ascii="宋体" w:hAnsi="宋体" w:cs="宋体" w:eastAsia="宋体" w:hint="default"/>
          <w:sz w:val="13"/>
          <w:szCs w:val="13"/>
        </w:rPr>
      </w:pPr>
    </w:p>
    <w:p>
      <w:pPr>
        <w:pStyle w:val="BodyText"/>
        <w:spacing w:line="453" w:lineRule="auto" w:before="35"/>
        <w:ind w:left="250" w:right="0" w:firstLine="315"/>
        <w:jc w:val="left"/>
      </w:pPr>
      <w:r>
        <w:rPr>
          <w:spacing w:val="-3"/>
        </w:rPr>
        <w:t>可抵扣暂时性差异及可抵扣亏损系本公司之子公司发生，该等子公司连续亏损且未来经营前</w:t>
      </w:r>
      <w:r>
        <w:rPr/>
        <w:t> </w:t>
      </w:r>
      <w:r>
        <w:rPr>
          <w:spacing w:val="-3"/>
        </w:rPr>
        <w:t>景不明，其未来能否获得足够的应纳税所得额具有不确定性，因此没有确认为递延所得税资产。</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240" w:lineRule="auto"/>
        <w:ind w:left="250" w:right="142"/>
        <w:jc w:val="left"/>
      </w:pPr>
      <w:r>
        <w:rPr/>
        <w:t>（</w:t>
      </w:r>
      <w:r>
        <w:rPr>
          <w:rFonts w:ascii="Times New Roman" w:hAnsi="Times New Roman" w:cs="Times New Roman" w:eastAsia="Times New Roman" w:hint="default"/>
        </w:rPr>
        <w:t>3</w:t>
      </w:r>
      <w:r>
        <w:rPr/>
        <w:t>）未确认递延所得税资产的可抵扣亏损将于以下年度到期</w:t>
      </w:r>
    </w:p>
    <w:p>
      <w:pPr>
        <w:spacing w:line="240" w:lineRule="auto" w:before="6"/>
        <w:rPr>
          <w:rFonts w:ascii="宋体" w:hAnsi="宋体" w:cs="宋体" w:eastAsia="宋体" w:hint="default"/>
          <w:sz w:val="17"/>
          <w:szCs w:val="17"/>
        </w:rPr>
      </w:pPr>
    </w:p>
    <w:p>
      <w:pPr>
        <w:pStyle w:val="BodyText"/>
        <w:tabs>
          <w:tab w:pos="1049" w:val="left" w:leader="none"/>
        </w:tabs>
        <w:spacing w:line="240" w:lineRule="auto"/>
        <w:ind w:left="0" w:right="23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943"/>
        <w:gridCol w:w="2208"/>
        <w:gridCol w:w="2209"/>
        <w:gridCol w:w="2488"/>
      </w:tblGrid>
      <w:tr>
        <w:trPr>
          <w:trHeight w:val="540" w:hRule="exact"/>
        </w:trPr>
        <w:tc>
          <w:tcPr>
            <w:tcW w:w="194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年份</w:t>
            </w:r>
          </w:p>
        </w:tc>
        <w:tc>
          <w:tcPr>
            <w:tcW w:w="22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831"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83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4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94"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40" w:hRule="exact"/>
        </w:trPr>
        <w:tc>
          <w:tcPr>
            <w:tcW w:w="194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471"/>
              <w:jc w:val="right"/>
              <w:rPr>
                <w:rFonts w:ascii="Times New Roman" w:hAnsi="Times New Roman" w:cs="Times New Roman" w:eastAsia="Times New Roman" w:hint="default"/>
                <w:sz w:val="21"/>
                <w:szCs w:val="21"/>
              </w:rPr>
            </w:pPr>
            <w:r>
              <w:rPr>
                <w:rFonts w:ascii="Times New Roman"/>
                <w:sz w:val="21"/>
              </w:rPr>
              <w:t>-</w:t>
            </w:r>
          </w:p>
        </w:tc>
        <w:tc>
          <w:tcPr>
            <w:tcW w:w="2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472"/>
              <w:jc w:val="right"/>
              <w:rPr>
                <w:rFonts w:ascii="Times New Roman" w:hAnsi="Times New Roman" w:cs="Times New Roman" w:eastAsia="Times New Roman" w:hint="default"/>
                <w:sz w:val="21"/>
                <w:szCs w:val="21"/>
              </w:rPr>
            </w:pPr>
            <w:r>
              <w:rPr>
                <w:rFonts w:ascii="Times New Roman"/>
                <w:sz w:val="21"/>
              </w:rPr>
              <w:t>-</w:t>
            </w:r>
          </w:p>
        </w:tc>
        <w:tc>
          <w:tcPr>
            <w:tcW w:w="24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813" w:right="0"/>
              <w:jc w:val="left"/>
              <w:rPr>
                <w:rFonts w:ascii="宋体" w:hAnsi="宋体" w:cs="宋体" w:eastAsia="宋体" w:hint="default"/>
                <w:sz w:val="21"/>
                <w:szCs w:val="21"/>
              </w:rPr>
            </w:pPr>
            <w:r>
              <w:rPr>
                <w:rFonts w:ascii="宋体" w:hAnsi="宋体" w:cs="宋体" w:eastAsia="宋体" w:hint="default"/>
                <w:sz w:val="21"/>
                <w:szCs w:val="21"/>
              </w:rPr>
              <w:t>尚待确定</w:t>
            </w:r>
          </w:p>
        </w:tc>
      </w:tr>
      <w:tr>
        <w:trPr>
          <w:trHeight w:val="540" w:hRule="exact"/>
        </w:trPr>
        <w:tc>
          <w:tcPr>
            <w:tcW w:w="194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09"/>
              <w:jc w:val="right"/>
              <w:rPr>
                <w:rFonts w:ascii="Times New Roman" w:hAnsi="Times New Roman" w:cs="Times New Roman" w:eastAsia="Times New Roman" w:hint="default"/>
                <w:sz w:val="21"/>
                <w:szCs w:val="21"/>
              </w:rPr>
            </w:pPr>
            <w:r>
              <w:rPr>
                <w:rFonts w:ascii="Times New Roman"/>
                <w:spacing w:val="-1"/>
                <w:sz w:val="21"/>
              </w:rPr>
              <w:t>30,277,488.13</w:t>
            </w:r>
          </w:p>
        </w:tc>
        <w:tc>
          <w:tcPr>
            <w:tcW w:w="2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0"/>
              <w:jc w:val="right"/>
              <w:rPr>
                <w:rFonts w:ascii="Times New Roman" w:hAnsi="Times New Roman" w:cs="Times New Roman" w:eastAsia="Times New Roman" w:hint="default"/>
                <w:sz w:val="21"/>
                <w:szCs w:val="21"/>
              </w:rPr>
            </w:pPr>
            <w:r>
              <w:rPr>
                <w:rFonts w:ascii="Times New Roman"/>
                <w:spacing w:val="-1"/>
                <w:sz w:val="21"/>
              </w:rPr>
              <w:t>30,277,488.13</w:t>
            </w:r>
          </w:p>
        </w:tc>
        <w:tc>
          <w:tcPr>
            <w:tcW w:w="2488" w:type="dxa"/>
            <w:tcBorders>
              <w:top w:val="single" w:sz="8" w:space="0" w:color="000000"/>
              <w:left w:val="single" w:sz="8" w:space="0" w:color="000000"/>
              <w:bottom w:val="single" w:sz="8" w:space="0" w:color="000000"/>
              <w:right w:val="nil" w:sz="6" w:space="0" w:color="auto"/>
            </w:tcBorders>
          </w:tcPr>
          <w:p>
            <w:pPr/>
          </w:p>
        </w:tc>
      </w:tr>
      <w:tr>
        <w:trPr>
          <w:trHeight w:val="540" w:hRule="exact"/>
        </w:trPr>
        <w:tc>
          <w:tcPr>
            <w:tcW w:w="194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09"/>
              <w:jc w:val="right"/>
              <w:rPr>
                <w:rFonts w:ascii="Times New Roman" w:hAnsi="Times New Roman" w:cs="Times New Roman" w:eastAsia="Times New Roman" w:hint="default"/>
                <w:sz w:val="21"/>
                <w:szCs w:val="21"/>
              </w:rPr>
            </w:pPr>
            <w:r>
              <w:rPr>
                <w:rFonts w:ascii="Times New Roman"/>
                <w:spacing w:val="-1"/>
                <w:sz w:val="21"/>
              </w:rPr>
              <w:t>28,714,348.66</w:t>
            </w:r>
          </w:p>
        </w:tc>
        <w:tc>
          <w:tcPr>
            <w:tcW w:w="2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0"/>
              <w:jc w:val="right"/>
              <w:rPr>
                <w:rFonts w:ascii="Times New Roman" w:hAnsi="Times New Roman" w:cs="Times New Roman" w:eastAsia="Times New Roman" w:hint="default"/>
                <w:sz w:val="21"/>
                <w:szCs w:val="21"/>
              </w:rPr>
            </w:pPr>
            <w:r>
              <w:rPr>
                <w:rFonts w:ascii="Times New Roman"/>
                <w:spacing w:val="-1"/>
                <w:sz w:val="21"/>
              </w:rPr>
              <w:t>28,855,487.17</w:t>
            </w:r>
          </w:p>
        </w:tc>
        <w:tc>
          <w:tcPr>
            <w:tcW w:w="2488" w:type="dxa"/>
            <w:tcBorders>
              <w:top w:val="single" w:sz="8" w:space="0" w:color="000000"/>
              <w:left w:val="single" w:sz="8" w:space="0" w:color="000000"/>
              <w:bottom w:val="single" w:sz="8" w:space="0" w:color="000000"/>
              <w:right w:val="nil" w:sz="6" w:space="0" w:color="auto"/>
            </w:tcBorders>
          </w:tcPr>
          <w:p>
            <w:pPr/>
          </w:p>
        </w:tc>
      </w:tr>
      <w:tr>
        <w:trPr>
          <w:trHeight w:val="540" w:hRule="exact"/>
        </w:trPr>
        <w:tc>
          <w:tcPr>
            <w:tcW w:w="194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09"/>
              <w:jc w:val="right"/>
              <w:rPr>
                <w:rFonts w:ascii="Times New Roman" w:hAnsi="Times New Roman" w:cs="Times New Roman" w:eastAsia="Times New Roman" w:hint="default"/>
                <w:sz w:val="21"/>
                <w:szCs w:val="21"/>
              </w:rPr>
            </w:pPr>
            <w:r>
              <w:rPr>
                <w:rFonts w:ascii="Times New Roman"/>
                <w:spacing w:val="-1"/>
                <w:sz w:val="21"/>
              </w:rPr>
              <w:t>93,357,342.96</w:t>
            </w:r>
          </w:p>
        </w:tc>
        <w:tc>
          <w:tcPr>
            <w:tcW w:w="2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0"/>
              <w:jc w:val="right"/>
              <w:rPr>
                <w:rFonts w:ascii="Times New Roman" w:hAnsi="Times New Roman" w:cs="Times New Roman" w:eastAsia="Times New Roman" w:hint="default"/>
                <w:sz w:val="21"/>
                <w:szCs w:val="21"/>
              </w:rPr>
            </w:pPr>
            <w:r>
              <w:rPr>
                <w:rFonts w:ascii="Times New Roman"/>
                <w:spacing w:val="-1"/>
                <w:sz w:val="21"/>
              </w:rPr>
              <w:t>93,357,342.96</w:t>
            </w:r>
          </w:p>
        </w:tc>
        <w:tc>
          <w:tcPr>
            <w:tcW w:w="2488" w:type="dxa"/>
            <w:tcBorders>
              <w:top w:val="single" w:sz="8" w:space="0" w:color="000000"/>
              <w:left w:val="single" w:sz="8" w:space="0" w:color="000000"/>
              <w:bottom w:val="single" w:sz="8" w:space="0" w:color="000000"/>
              <w:right w:val="nil" w:sz="6" w:space="0" w:color="auto"/>
            </w:tcBorders>
          </w:tcPr>
          <w:p>
            <w:pPr/>
          </w:p>
        </w:tc>
      </w:tr>
      <w:tr>
        <w:trPr>
          <w:trHeight w:val="540" w:hRule="exact"/>
        </w:trPr>
        <w:tc>
          <w:tcPr>
            <w:tcW w:w="194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0"/>
              <w:jc w:val="right"/>
              <w:rPr>
                <w:rFonts w:ascii="Times New Roman" w:hAnsi="Times New Roman" w:cs="Times New Roman" w:eastAsia="Times New Roman" w:hint="default"/>
                <w:sz w:val="21"/>
                <w:szCs w:val="21"/>
              </w:rPr>
            </w:pPr>
            <w:r>
              <w:rPr>
                <w:rFonts w:ascii="Times New Roman"/>
                <w:spacing w:val="-1"/>
                <w:sz w:val="21"/>
              </w:rPr>
              <w:t>24,400,639.68</w:t>
            </w:r>
          </w:p>
        </w:tc>
        <w:tc>
          <w:tcPr>
            <w:tcW w:w="2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473"/>
              <w:jc w:val="right"/>
              <w:rPr>
                <w:rFonts w:ascii="Times New Roman" w:hAnsi="Times New Roman" w:cs="Times New Roman" w:eastAsia="Times New Roman" w:hint="default"/>
                <w:sz w:val="21"/>
                <w:szCs w:val="21"/>
              </w:rPr>
            </w:pPr>
            <w:r>
              <w:rPr>
                <w:rFonts w:ascii="Times New Roman"/>
                <w:sz w:val="21"/>
              </w:rPr>
              <w:t>-</w:t>
            </w:r>
          </w:p>
        </w:tc>
        <w:tc>
          <w:tcPr>
            <w:tcW w:w="2488" w:type="dxa"/>
            <w:tcBorders>
              <w:top w:val="single" w:sz="8" w:space="0" w:color="000000"/>
              <w:left w:val="single" w:sz="8" w:space="0" w:color="000000"/>
              <w:bottom w:val="single" w:sz="8" w:space="0" w:color="000000"/>
              <w:right w:val="nil" w:sz="6" w:space="0" w:color="auto"/>
            </w:tcBorders>
          </w:tcPr>
          <w:p>
            <w:pPr/>
          </w:p>
        </w:tc>
      </w:tr>
      <w:tr>
        <w:trPr>
          <w:trHeight w:val="540" w:hRule="exact"/>
        </w:trPr>
        <w:tc>
          <w:tcPr>
            <w:tcW w:w="194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0"/>
              <w:jc w:val="right"/>
              <w:rPr>
                <w:rFonts w:ascii="Times New Roman" w:hAnsi="Times New Roman" w:cs="Times New Roman" w:eastAsia="Times New Roman" w:hint="default"/>
                <w:sz w:val="21"/>
                <w:szCs w:val="21"/>
              </w:rPr>
            </w:pPr>
            <w:r>
              <w:rPr>
                <w:rFonts w:ascii="Times New Roman"/>
                <w:spacing w:val="-1"/>
                <w:sz w:val="21"/>
              </w:rPr>
              <w:t>176,749,819.43</w:t>
            </w:r>
          </w:p>
        </w:tc>
        <w:tc>
          <w:tcPr>
            <w:tcW w:w="2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3"/>
              <w:jc w:val="right"/>
              <w:rPr>
                <w:rFonts w:ascii="Times New Roman" w:hAnsi="Times New Roman" w:cs="Times New Roman" w:eastAsia="Times New Roman" w:hint="default"/>
                <w:sz w:val="21"/>
                <w:szCs w:val="21"/>
              </w:rPr>
            </w:pPr>
            <w:r>
              <w:rPr>
                <w:rFonts w:ascii="Times New Roman"/>
                <w:spacing w:val="-1"/>
                <w:sz w:val="21"/>
              </w:rPr>
              <w:t>152,490,318.26</w:t>
            </w:r>
          </w:p>
        </w:tc>
        <w:tc>
          <w:tcPr>
            <w:tcW w:w="2488" w:type="dxa"/>
            <w:tcBorders>
              <w:top w:val="single" w:sz="8" w:space="0" w:color="000000"/>
              <w:left w:val="single" w:sz="8" w:space="0" w:color="000000"/>
              <w:bottom w:val="single" w:sz="8"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250" w:right="142"/>
        <w:jc w:val="left"/>
      </w:pPr>
      <w:r>
        <w:rPr/>
        <w:t>（</w:t>
      </w:r>
      <w:r>
        <w:rPr>
          <w:rFonts w:ascii="Times New Roman" w:hAnsi="Times New Roman" w:cs="Times New Roman" w:eastAsia="Times New Roman" w:hint="default"/>
        </w:rPr>
        <w:t>4</w:t>
      </w:r>
      <w:r>
        <w:rPr/>
        <w:t>）引起暂时性差异的资产或负债项目对应的暂时性差异</w:t>
      </w:r>
    </w:p>
    <w:p>
      <w:pPr>
        <w:spacing w:line="240" w:lineRule="auto" w:before="11"/>
        <w:rPr>
          <w:rFonts w:ascii="宋体" w:hAnsi="宋体" w:cs="宋体" w:eastAsia="宋体" w:hint="default"/>
          <w:sz w:val="14"/>
          <w:szCs w:val="14"/>
        </w:rPr>
      </w:pPr>
    </w:p>
    <w:p>
      <w:pPr>
        <w:pStyle w:val="BodyText"/>
        <w:tabs>
          <w:tab w:pos="1049" w:val="left" w:leader="none"/>
        </w:tabs>
        <w:spacing w:line="240" w:lineRule="auto" w:before="35"/>
        <w:ind w:left="0" w:right="231"/>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5645"/>
        <w:gridCol w:w="3203"/>
      </w:tblGrid>
      <w:tr>
        <w:trPr>
          <w:trHeight w:val="540" w:hRule="exact"/>
        </w:trPr>
        <w:tc>
          <w:tcPr>
            <w:tcW w:w="564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856" w:right="0"/>
              <w:jc w:val="left"/>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540" w:hRule="exact"/>
        </w:trPr>
        <w:tc>
          <w:tcPr>
            <w:tcW w:w="564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计提的资产减值准备</w:t>
            </w:r>
          </w:p>
        </w:tc>
        <w:tc>
          <w:tcPr>
            <w:tcW w:w="32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95,195,068.77</w:t>
            </w:r>
          </w:p>
        </w:tc>
      </w:tr>
      <w:tr>
        <w:trPr>
          <w:trHeight w:val="540" w:hRule="exact"/>
        </w:trPr>
        <w:tc>
          <w:tcPr>
            <w:tcW w:w="564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可弥补亏损</w:t>
            </w:r>
          </w:p>
        </w:tc>
        <w:tc>
          <w:tcPr>
            <w:tcW w:w="32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145,600,132.84</w:t>
            </w:r>
          </w:p>
        </w:tc>
      </w:tr>
      <w:tr>
        <w:trPr>
          <w:trHeight w:val="541" w:hRule="exact"/>
        </w:trPr>
        <w:tc>
          <w:tcPr>
            <w:tcW w:w="564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240,795,201.61</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982" w:top="1600" w:bottom="1180" w:left="1620" w:right="1180"/>
        </w:sectPr>
      </w:pPr>
    </w:p>
    <w:p>
      <w:pPr>
        <w:pStyle w:val="BodyText"/>
        <w:spacing w:line="240" w:lineRule="auto" w:before="7"/>
        <w:ind w:left="270" w:right="220"/>
        <w:jc w:val="left"/>
      </w:pPr>
      <w:r>
        <w:rPr>
          <w:rFonts w:ascii="Times New Roman" w:hAnsi="Times New Roman" w:cs="Times New Roman" w:eastAsia="Times New Roman" w:hint="default"/>
          <w:b/>
          <w:bCs/>
        </w:rPr>
        <w:t>17</w:t>
      </w:r>
      <w:r>
        <w:rPr/>
        <w:t>、资产减值准备明细</w:t>
      </w:r>
    </w:p>
    <w:p>
      <w:pPr>
        <w:spacing w:line="240" w:lineRule="auto" w:before="3"/>
        <w:rPr>
          <w:rFonts w:ascii="宋体" w:hAnsi="宋体" w:cs="宋体" w:eastAsia="宋体" w:hint="default"/>
          <w:sz w:val="10"/>
          <w:szCs w:val="10"/>
        </w:rPr>
      </w:pPr>
    </w:p>
    <w:p>
      <w:pPr>
        <w:pStyle w:val="BodyText"/>
        <w:tabs>
          <w:tab w:pos="1049" w:val="left" w:leader="none"/>
        </w:tabs>
        <w:spacing w:line="240" w:lineRule="auto" w:before="35"/>
        <w:ind w:left="0" w:right="44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2072"/>
        <w:gridCol w:w="1366"/>
        <w:gridCol w:w="1363"/>
        <w:gridCol w:w="1364"/>
        <w:gridCol w:w="1366"/>
        <w:gridCol w:w="1319"/>
      </w:tblGrid>
      <w:tr>
        <w:trPr>
          <w:trHeight w:val="480" w:hRule="exact"/>
        </w:trPr>
        <w:tc>
          <w:tcPr>
            <w:tcW w:w="2072" w:type="dxa"/>
            <w:vMerge w:val="restart"/>
            <w:tcBorders>
              <w:top w:val="single" w:sz="8"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4"/>
              <w:ind w:left="2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366"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4"/>
              <w:ind w:left="221" w:right="0"/>
              <w:jc w:val="left"/>
              <w:rPr>
                <w:rFonts w:ascii="宋体" w:hAnsi="宋体" w:cs="宋体" w:eastAsia="宋体" w:hint="default"/>
                <w:sz w:val="15"/>
                <w:szCs w:val="15"/>
              </w:rPr>
            </w:pPr>
            <w:r>
              <w:rPr>
                <w:rFonts w:ascii="宋体" w:hAnsi="宋体" w:cs="宋体" w:eastAsia="宋体" w:hint="default"/>
                <w:sz w:val="15"/>
                <w:szCs w:val="15"/>
              </w:rPr>
              <w:t>期初账面余额</w:t>
            </w:r>
          </w:p>
        </w:tc>
        <w:tc>
          <w:tcPr>
            <w:tcW w:w="1363"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4"/>
              <w:ind w:left="372"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2730"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本期减少</w:t>
            </w:r>
          </w:p>
        </w:tc>
        <w:tc>
          <w:tcPr>
            <w:tcW w:w="1319" w:type="dxa"/>
            <w:vMerge w:val="restart"/>
            <w:tcBorders>
              <w:top w:val="single" w:sz="8" w:space="0" w:color="000000"/>
              <w:left w:val="single" w:sz="8"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4"/>
              <w:ind w:left="199" w:right="0"/>
              <w:jc w:val="left"/>
              <w:rPr>
                <w:rFonts w:ascii="宋体" w:hAnsi="宋体" w:cs="宋体" w:eastAsia="宋体" w:hint="default"/>
                <w:sz w:val="15"/>
                <w:szCs w:val="15"/>
              </w:rPr>
            </w:pPr>
            <w:r>
              <w:rPr>
                <w:rFonts w:ascii="宋体" w:hAnsi="宋体" w:cs="宋体" w:eastAsia="宋体" w:hint="default"/>
                <w:sz w:val="15"/>
                <w:szCs w:val="15"/>
              </w:rPr>
              <w:t>期末账面余额</w:t>
            </w:r>
          </w:p>
        </w:tc>
      </w:tr>
      <w:tr>
        <w:trPr>
          <w:trHeight w:val="480" w:hRule="exact"/>
        </w:trPr>
        <w:tc>
          <w:tcPr>
            <w:tcW w:w="2072" w:type="dxa"/>
            <w:vMerge/>
            <w:tcBorders>
              <w:left w:val="nil" w:sz="6" w:space="0" w:color="auto"/>
              <w:bottom w:val="single" w:sz="8" w:space="0" w:color="000000"/>
              <w:right w:val="single" w:sz="8" w:space="0" w:color="000000"/>
            </w:tcBorders>
          </w:tcPr>
          <w:p>
            <w:pPr/>
          </w:p>
        </w:tc>
        <w:tc>
          <w:tcPr>
            <w:tcW w:w="1366" w:type="dxa"/>
            <w:vMerge/>
            <w:tcBorders>
              <w:left w:val="single" w:sz="8" w:space="0" w:color="000000"/>
              <w:bottom w:val="single" w:sz="8" w:space="0" w:color="000000"/>
              <w:right w:val="single" w:sz="8" w:space="0" w:color="000000"/>
            </w:tcBorders>
          </w:tcPr>
          <w:p>
            <w:pPr/>
          </w:p>
        </w:tc>
        <w:tc>
          <w:tcPr>
            <w:tcW w:w="1363" w:type="dxa"/>
            <w:vMerge/>
            <w:tcBorders>
              <w:left w:val="single" w:sz="8" w:space="0" w:color="000000"/>
              <w:bottom w:val="single" w:sz="8" w:space="0" w:color="000000"/>
              <w:right w:val="single" w:sz="8" w:space="0" w:color="000000"/>
            </w:tcBorders>
          </w:tcPr>
          <w:p>
            <w:pP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转回</w:t>
            </w:r>
          </w:p>
        </w:tc>
        <w:tc>
          <w:tcPr>
            <w:tcW w:w="1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转销</w:t>
            </w:r>
          </w:p>
        </w:tc>
        <w:tc>
          <w:tcPr>
            <w:tcW w:w="1319" w:type="dxa"/>
            <w:vMerge/>
            <w:tcBorders>
              <w:left w:val="single" w:sz="8" w:space="0" w:color="000000"/>
              <w:bottom w:val="single" w:sz="8" w:space="0" w:color="000000"/>
              <w:right w:val="nil" w:sz="6" w:space="0" w:color="auto"/>
            </w:tcBorders>
          </w:tcPr>
          <w:p>
            <w:pPr/>
          </w:p>
        </w:tc>
      </w:tr>
      <w:tr>
        <w:trPr>
          <w:trHeight w:val="480" w:hRule="exact"/>
        </w:trPr>
        <w:tc>
          <w:tcPr>
            <w:tcW w:w="20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一、坏账准备</w:t>
            </w:r>
          </w:p>
        </w:tc>
        <w:tc>
          <w:tcPr>
            <w:tcW w:w="1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161"/>
              <w:jc w:val="right"/>
              <w:rPr>
                <w:rFonts w:ascii="Times New Roman" w:hAnsi="Times New Roman" w:cs="Times New Roman" w:eastAsia="Times New Roman" w:hint="default"/>
                <w:sz w:val="15"/>
                <w:szCs w:val="15"/>
              </w:rPr>
            </w:pPr>
            <w:r>
              <w:rPr>
                <w:rFonts w:ascii="Times New Roman"/>
                <w:spacing w:val="-1"/>
                <w:sz w:val="15"/>
              </w:rPr>
              <w:t>302,889,341.99</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157"/>
              <w:jc w:val="right"/>
              <w:rPr>
                <w:rFonts w:ascii="Times New Roman" w:hAnsi="Times New Roman" w:cs="Times New Roman" w:eastAsia="Times New Roman" w:hint="default"/>
                <w:sz w:val="15"/>
                <w:szCs w:val="15"/>
              </w:rPr>
            </w:pPr>
            <w:r>
              <w:rPr>
                <w:rFonts w:ascii="Times New Roman"/>
                <w:spacing w:val="-1"/>
                <w:sz w:val="15"/>
              </w:rPr>
              <w:t>26,226,980.02</w:t>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160"/>
              <w:jc w:val="right"/>
              <w:rPr>
                <w:rFonts w:ascii="Times New Roman" w:hAnsi="Times New Roman" w:cs="Times New Roman" w:eastAsia="Times New Roman" w:hint="default"/>
                <w:sz w:val="15"/>
                <w:szCs w:val="15"/>
              </w:rPr>
            </w:pPr>
            <w:r>
              <w:rPr>
                <w:rFonts w:ascii="Times New Roman"/>
                <w:spacing w:val="-1"/>
                <w:sz w:val="15"/>
              </w:rPr>
              <w:t>108,744,662.00</w:t>
            </w:r>
          </w:p>
        </w:tc>
        <w:tc>
          <w:tcPr>
            <w:tcW w:w="1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161"/>
              <w:jc w:val="right"/>
              <w:rPr>
                <w:rFonts w:ascii="Times New Roman" w:hAnsi="Times New Roman" w:cs="Times New Roman" w:eastAsia="Times New Roman" w:hint="default"/>
                <w:sz w:val="15"/>
                <w:szCs w:val="15"/>
              </w:rPr>
            </w:pPr>
            <w:r>
              <w:rPr>
                <w:rFonts w:ascii="Times New Roman"/>
                <w:spacing w:val="-1"/>
                <w:sz w:val="15"/>
              </w:rPr>
              <w:t>31,599,593.88</w:t>
            </w:r>
          </w:p>
        </w:tc>
        <w:tc>
          <w:tcPr>
            <w:tcW w:w="1319"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124"/>
              <w:jc w:val="right"/>
              <w:rPr>
                <w:rFonts w:ascii="Times New Roman" w:hAnsi="Times New Roman" w:cs="Times New Roman" w:eastAsia="Times New Roman" w:hint="default"/>
                <w:sz w:val="15"/>
                <w:szCs w:val="15"/>
              </w:rPr>
            </w:pPr>
            <w:r>
              <w:rPr>
                <w:rFonts w:ascii="Times New Roman"/>
                <w:spacing w:val="-1"/>
                <w:sz w:val="15"/>
              </w:rPr>
              <w:t>188,772,066.13</w:t>
            </w:r>
          </w:p>
        </w:tc>
      </w:tr>
      <w:tr>
        <w:trPr>
          <w:trHeight w:val="480" w:hRule="exact"/>
        </w:trPr>
        <w:tc>
          <w:tcPr>
            <w:tcW w:w="20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二、存货跌价准备</w:t>
            </w:r>
          </w:p>
        </w:tc>
        <w:tc>
          <w:tcPr>
            <w:tcW w:w="1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161"/>
              <w:jc w:val="right"/>
              <w:rPr>
                <w:rFonts w:ascii="Times New Roman" w:hAnsi="Times New Roman" w:cs="Times New Roman" w:eastAsia="Times New Roman" w:hint="default"/>
                <w:sz w:val="15"/>
                <w:szCs w:val="15"/>
              </w:rPr>
            </w:pPr>
            <w:r>
              <w:rPr>
                <w:rFonts w:ascii="Times New Roman"/>
                <w:spacing w:val="-1"/>
                <w:sz w:val="15"/>
              </w:rPr>
              <w:t>4,477,875.93</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346"/>
              <w:jc w:val="right"/>
              <w:rPr>
                <w:rFonts w:ascii="Times New Roman" w:hAnsi="Times New Roman" w:cs="Times New Roman" w:eastAsia="Times New Roman" w:hint="default"/>
                <w:sz w:val="15"/>
                <w:szCs w:val="15"/>
              </w:rPr>
            </w:pPr>
            <w:r>
              <w:rPr>
                <w:rFonts w:ascii="Times New Roman"/>
                <w:sz w:val="15"/>
              </w:rPr>
              <w:t>-</w:t>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347"/>
              <w:jc w:val="right"/>
              <w:rPr>
                <w:rFonts w:ascii="Times New Roman" w:hAnsi="Times New Roman" w:cs="Times New Roman" w:eastAsia="Times New Roman" w:hint="default"/>
                <w:sz w:val="15"/>
                <w:szCs w:val="15"/>
              </w:rPr>
            </w:pPr>
            <w:r>
              <w:rPr>
                <w:rFonts w:ascii="Times New Roman"/>
                <w:sz w:val="15"/>
              </w:rPr>
              <w:t>-</w:t>
            </w:r>
          </w:p>
        </w:tc>
        <w:tc>
          <w:tcPr>
            <w:tcW w:w="1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348"/>
              <w:jc w:val="right"/>
              <w:rPr>
                <w:rFonts w:ascii="Times New Roman" w:hAnsi="Times New Roman" w:cs="Times New Roman" w:eastAsia="Times New Roman" w:hint="default"/>
                <w:sz w:val="15"/>
                <w:szCs w:val="15"/>
              </w:rPr>
            </w:pPr>
            <w:r>
              <w:rPr>
                <w:rFonts w:ascii="Times New Roman"/>
                <w:sz w:val="15"/>
              </w:rPr>
              <w:t>-</w:t>
            </w:r>
          </w:p>
        </w:tc>
        <w:tc>
          <w:tcPr>
            <w:tcW w:w="1319"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124"/>
              <w:jc w:val="right"/>
              <w:rPr>
                <w:rFonts w:ascii="Times New Roman" w:hAnsi="Times New Roman" w:cs="Times New Roman" w:eastAsia="Times New Roman" w:hint="default"/>
                <w:sz w:val="15"/>
                <w:szCs w:val="15"/>
              </w:rPr>
            </w:pPr>
            <w:r>
              <w:rPr>
                <w:rFonts w:ascii="Times New Roman"/>
                <w:spacing w:val="-1"/>
                <w:sz w:val="15"/>
              </w:rPr>
              <w:t>4,477,875.93</w:t>
            </w:r>
          </w:p>
        </w:tc>
      </w:tr>
      <w:tr>
        <w:trPr>
          <w:trHeight w:val="480" w:hRule="exact"/>
        </w:trPr>
        <w:tc>
          <w:tcPr>
            <w:tcW w:w="20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三、长期股权投资减值准备</w:t>
            </w:r>
          </w:p>
        </w:tc>
        <w:tc>
          <w:tcPr>
            <w:tcW w:w="1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161"/>
              <w:jc w:val="right"/>
              <w:rPr>
                <w:rFonts w:ascii="Times New Roman" w:hAnsi="Times New Roman" w:cs="Times New Roman" w:eastAsia="Times New Roman" w:hint="default"/>
                <w:sz w:val="15"/>
                <w:szCs w:val="15"/>
              </w:rPr>
            </w:pPr>
            <w:r>
              <w:rPr>
                <w:rFonts w:ascii="Times New Roman"/>
                <w:spacing w:val="-1"/>
                <w:sz w:val="15"/>
              </w:rPr>
              <w:t>29,108,688.45</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159"/>
              <w:jc w:val="right"/>
              <w:rPr>
                <w:rFonts w:ascii="Times New Roman" w:hAnsi="Times New Roman" w:cs="Times New Roman" w:eastAsia="Times New Roman" w:hint="default"/>
                <w:sz w:val="15"/>
                <w:szCs w:val="15"/>
              </w:rPr>
            </w:pPr>
            <w:r>
              <w:rPr>
                <w:rFonts w:ascii="Times New Roman"/>
                <w:spacing w:val="-1"/>
                <w:sz w:val="15"/>
              </w:rPr>
              <w:t>7,502,413.03</w:t>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347"/>
              <w:jc w:val="right"/>
              <w:rPr>
                <w:rFonts w:ascii="Times New Roman" w:hAnsi="Times New Roman" w:cs="Times New Roman" w:eastAsia="Times New Roman" w:hint="default"/>
                <w:sz w:val="15"/>
                <w:szCs w:val="15"/>
              </w:rPr>
            </w:pPr>
            <w:r>
              <w:rPr>
                <w:rFonts w:ascii="Times New Roman"/>
                <w:sz w:val="15"/>
              </w:rPr>
              <w:t>-</w:t>
            </w:r>
          </w:p>
        </w:tc>
        <w:tc>
          <w:tcPr>
            <w:tcW w:w="1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159"/>
              <w:jc w:val="right"/>
              <w:rPr>
                <w:rFonts w:ascii="Times New Roman" w:hAnsi="Times New Roman" w:cs="Times New Roman" w:eastAsia="Times New Roman" w:hint="default"/>
                <w:sz w:val="15"/>
                <w:szCs w:val="15"/>
              </w:rPr>
            </w:pPr>
            <w:r>
              <w:rPr>
                <w:rFonts w:ascii="Times New Roman"/>
                <w:spacing w:val="-1"/>
                <w:sz w:val="15"/>
              </w:rPr>
              <w:t>15,095,137.50</w:t>
            </w:r>
          </w:p>
        </w:tc>
        <w:tc>
          <w:tcPr>
            <w:tcW w:w="1319"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122"/>
              <w:jc w:val="right"/>
              <w:rPr>
                <w:rFonts w:ascii="Times New Roman" w:hAnsi="Times New Roman" w:cs="Times New Roman" w:eastAsia="Times New Roman" w:hint="default"/>
                <w:sz w:val="15"/>
                <w:szCs w:val="15"/>
              </w:rPr>
            </w:pPr>
            <w:r>
              <w:rPr>
                <w:rFonts w:ascii="Times New Roman"/>
                <w:spacing w:val="-1"/>
                <w:sz w:val="15"/>
              </w:rPr>
              <w:t>21,515,963.98</w:t>
            </w:r>
          </w:p>
        </w:tc>
      </w:tr>
      <w:tr>
        <w:trPr>
          <w:trHeight w:val="480" w:hRule="exact"/>
        </w:trPr>
        <w:tc>
          <w:tcPr>
            <w:tcW w:w="20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四、投资性房地产减值准备</w:t>
            </w:r>
          </w:p>
        </w:tc>
        <w:tc>
          <w:tcPr>
            <w:tcW w:w="1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160"/>
              <w:jc w:val="right"/>
              <w:rPr>
                <w:rFonts w:ascii="Times New Roman" w:hAnsi="Times New Roman" w:cs="Times New Roman" w:eastAsia="Times New Roman" w:hint="default"/>
                <w:sz w:val="15"/>
                <w:szCs w:val="15"/>
              </w:rPr>
            </w:pPr>
            <w:r>
              <w:rPr>
                <w:rFonts w:ascii="Times New Roman"/>
                <w:spacing w:val="-1"/>
                <w:sz w:val="15"/>
              </w:rPr>
              <w:t>21,480,000.00</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346"/>
              <w:jc w:val="right"/>
              <w:rPr>
                <w:rFonts w:ascii="Times New Roman" w:hAnsi="Times New Roman" w:cs="Times New Roman" w:eastAsia="Times New Roman" w:hint="default"/>
                <w:sz w:val="15"/>
                <w:szCs w:val="15"/>
              </w:rPr>
            </w:pPr>
            <w:r>
              <w:rPr>
                <w:rFonts w:ascii="Times New Roman"/>
                <w:sz w:val="15"/>
              </w:rPr>
              <w:t>-</w:t>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347"/>
              <w:jc w:val="right"/>
              <w:rPr>
                <w:rFonts w:ascii="Times New Roman" w:hAnsi="Times New Roman" w:cs="Times New Roman" w:eastAsia="Times New Roman" w:hint="default"/>
                <w:sz w:val="15"/>
                <w:szCs w:val="15"/>
              </w:rPr>
            </w:pPr>
            <w:r>
              <w:rPr>
                <w:rFonts w:ascii="Times New Roman"/>
                <w:sz w:val="15"/>
              </w:rPr>
              <w:t>-</w:t>
            </w:r>
          </w:p>
        </w:tc>
        <w:tc>
          <w:tcPr>
            <w:tcW w:w="1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348"/>
              <w:jc w:val="right"/>
              <w:rPr>
                <w:rFonts w:ascii="Times New Roman" w:hAnsi="Times New Roman" w:cs="Times New Roman" w:eastAsia="Times New Roman" w:hint="default"/>
                <w:sz w:val="15"/>
                <w:szCs w:val="15"/>
              </w:rPr>
            </w:pPr>
            <w:r>
              <w:rPr>
                <w:rFonts w:ascii="Times New Roman"/>
                <w:sz w:val="15"/>
              </w:rPr>
              <w:t>-</w:t>
            </w:r>
          </w:p>
        </w:tc>
        <w:tc>
          <w:tcPr>
            <w:tcW w:w="1319"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122"/>
              <w:jc w:val="right"/>
              <w:rPr>
                <w:rFonts w:ascii="Times New Roman" w:hAnsi="Times New Roman" w:cs="Times New Roman" w:eastAsia="Times New Roman" w:hint="default"/>
                <w:sz w:val="15"/>
                <w:szCs w:val="15"/>
              </w:rPr>
            </w:pPr>
            <w:r>
              <w:rPr>
                <w:rFonts w:ascii="Times New Roman"/>
                <w:spacing w:val="-1"/>
                <w:sz w:val="15"/>
              </w:rPr>
              <w:t>21,480,000.00</w:t>
            </w:r>
          </w:p>
        </w:tc>
      </w:tr>
      <w:tr>
        <w:trPr>
          <w:trHeight w:val="480" w:hRule="exact"/>
        </w:trPr>
        <w:tc>
          <w:tcPr>
            <w:tcW w:w="20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五、固定资产减值准备</w:t>
            </w:r>
          </w:p>
        </w:tc>
        <w:tc>
          <w:tcPr>
            <w:tcW w:w="1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160"/>
              <w:jc w:val="right"/>
              <w:rPr>
                <w:rFonts w:ascii="Times New Roman" w:hAnsi="Times New Roman" w:cs="Times New Roman" w:eastAsia="Times New Roman" w:hint="default"/>
                <w:sz w:val="15"/>
                <w:szCs w:val="15"/>
              </w:rPr>
            </w:pPr>
            <w:r>
              <w:rPr>
                <w:rFonts w:ascii="Times New Roman"/>
                <w:spacing w:val="-1"/>
                <w:sz w:val="15"/>
              </w:rPr>
              <w:t>14,913,429.33</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159"/>
              <w:jc w:val="right"/>
              <w:rPr>
                <w:rFonts w:ascii="Times New Roman" w:hAnsi="Times New Roman" w:cs="Times New Roman" w:eastAsia="Times New Roman" w:hint="default"/>
                <w:sz w:val="15"/>
                <w:szCs w:val="15"/>
              </w:rPr>
            </w:pPr>
            <w:r>
              <w:rPr>
                <w:rFonts w:ascii="Times New Roman"/>
                <w:spacing w:val="-1"/>
                <w:sz w:val="15"/>
              </w:rPr>
              <w:t>48,801.60</w:t>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347"/>
              <w:jc w:val="right"/>
              <w:rPr>
                <w:rFonts w:ascii="Times New Roman" w:hAnsi="Times New Roman" w:cs="Times New Roman" w:eastAsia="Times New Roman" w:hint="default"/>
                <w:sz w:val="15"/>
                <w:szCs w:val="15"/>
              </w:rPr>
            </w:pPr>
            <w:r>
              <w:rPr>
                <w:rFonts w:ascii="Times New Roman"/>
                <w:sz w:val="15"/>
              </w:rPr>
              <w:t>-</w:t>
            </w:r>
          </w:p>
        </w:tc>
        <w:tc>
          <w:tcPr>
            <w:tcW w:w="1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348"/>
              <w:jc w:val="right"/>
              <w:rPr>
                <w:rFonts w:ascii="Times New Roman" w:hAnsi="Times New Roman" w:cs="Times New Roman" w:eastAsia="Times New Roman" w:hint="default"/>
                <w:sz w:val="15"/>
                <w:szCs w:val="15"/>
              </w:rPr>
            </w:pPr>
            <w:r>
              <w:rPr>
                <w:rFonts w:ascii="Times New Roman"/>
                <w:sz w:val="15"/>
              </w:rPr>
              <w:t>-</w:t>
            </w:r>
          </w:p>
        </w:tc>
        <w:tc>
          <w:tcPr>
            <w:tcW w:w="1319"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122"/>
              <w:jc w:val="right"/>
              <w:rPr>
                <w:rFonts w:ascii="Times New Roman" w:hAnsi="Times New Roman" w:cs="Times New Roman" w:eastAsia="Times New Roman" w:hint="default"/>
                <w:sz w:val="15"/>
                <w:szCs w:val="15"/>
              </w:rPr>
            </w:pPr>
            <w:r>
              <w:rPr>
                <w:rFonts w:ascii="Times New Roman"/>
                <w:spacing w:val="-1"/>
                <w:sz w:val="15"/>
              </w:rPr>
              <w:t>14,962,230.93</w:t>
            </w:r>
          </w:p>
        </w:tc>
      </w:tr>
      <w:tr>
        <w:trPr>
          <w:trHeight w:val="480" w:hRule="exact"/>
        </w:trPr>
        <w:tc>
          <w:tcPr>
            <w:tcW w:w="20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六、在建工程减值准备</w:t>
            </w:r>
          </w:p>
        </w:tc>
        <w:tc>
          <w:tcPr>
            <w:tcW w:w="1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348"/>
              <w:jc w:val="right"/>
              <w:rPr>
                <w:rFonts w:ascii="Times New Roman" w:hAnsi="Times New Roman" w:cs="Times New Roman" w:eastAsia="Times New Roman" w:hint="default"/>
                <w:sz w:val="15"/>
                <w:szCs w:val="15"/>
              </w:rPr>
            </w:pPr>
            <w:r>
              <w:rPr>
                <w:rFonts w:ascii="Times New Roman"/>
                <w:sz w:val="15"/>
              </w:rPr>
              <w:t>-</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159"/>
              <w:jc w:val="right"/>
              <w:rPr>
                <w:rFonts w:ascii="Times New Roman" w:hAnsi="Times New Roman" w:cs="Times New Roman" w:eastAsia="Times New Roman" w:hint="default"/>
                <w:sz w:val="15"/>
                <w:szCs w:val="15"/>
              </w:rPr>
            </w:pPr>
            <w:r>
              <w:rPr>
                <w:rFonts w:ascii="Times New Roman"/>
                <w:spacing w:val="-1"/>
                <w:sz w:val="15"/>
              </w:rPr>
              <w:t>165,800.00</w:t>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347"/>
              <w:jc w:val="right"/>
              <w:rPr>
                <w:rFonts w:ascii="Times New Roman" w:hAnsi="Times New Roman" w:cs="Times New Roman" w:eastAsia="Times New Roman" w:hint="default"/>
                <w:sz w:val="15"/>
                <w:szCs w:val="15"/>
              </w:rPr>
            </w:pPr>
            <w:r>
              <w:rPr>
                <w:rFonts w:ascii="Times New Roman"/>
                <w:sz w:val="15"/>
              </w:rPr>
              <w:t>-</w:t>
            </w:r>
          </w:p>
        </w:tc>
        <w:tc>
          <w:tcPr>
            <w:tcW w:w="1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348"/>
              <w:jc w:val="right"/>
              <w:rPr>
                <w:rFonts w:ascii="Times New Roman" w:hAnsi="Times New Roman" w:cs="Times New Roman" w:eastAsia="Times New Roman" w:hint="default"/>
                <w:sz w:val="15"/>
                <w:szCs w:val="15"/>
              </w:rPr>
            </w:pPr>
            <w:r>
              <w:rPr>
                <w:rFonts w:ascii="Times New Roman"/>
                <w:sz w:val="15"/>
              </w:rPr>
              <w:t>-</w:t>
            </w:r>
          </w:p>
        </w:tc>
        <w:tc>
          <w:tcPr>
            <w:tcW w:w="1319"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124"/>
              <w:jc w:val="right"/>
              <w:rPr>
                <w:rFonts w:ascii="Times New Roman" w:hAnsi="Times New Roman" w:cs="Times New Roman" w:eastAsia="Times New Roman" w:hint="default"/>
                <w:sz w:val="15"/>
                <w:szCs w:val="15"/>
              </w:rPr>
            </w:pPr>
            <w:r>
              <w:rPr>
                <w:rFonts w:ascii="Times New Roman"/>
                <w:spacing w:val="-1"/>
                <w:sz w:val="15"/>
              </w:rPr>
              <w:t>165,800.00</w:t>
            </w:r>
          </w:p>
        </w:tc>
      </w:tr>
      <w:tr>
        <w:trPr>
          <w:trHeight w:val="480" w:hRule="exact"/>
        </w:trPr>
        <w:tc>
          <w:tcPr>
            <w:tcW w:w="20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七、商誉减值准备</w:t>
            </w:r>
          </w:p>
        </w:tc>
        <w:tc>
          <w:tcPr>
            <w:tcW w:w="1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161"/>
              <w:jc w:val="right"/>
              <w:rPr>
                <w:rFonts w:ascii="Times New Roman" w:hAnsi="Times New Roman" w:cs="Times New Roman" w:eastAsia="Times New Roman" w:hint="default"/>
                <w:sz w:val="15"/>
                <w:szCs w:val="15"/>
              </w:rPr>
            </w:pPr>
            <w:r>
              <w:rPr>
                <w:rFonts w:ascii="Times New Roman"/>
                <w:spacing w:val="-1"/>
                <w:sz w:val="15"/>
              </w:rPr>
              <w:t>1,807,170.93</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157"/>
              <w:jc w:val="right"/>
              <w:rPr>
                <w:rFonts w:ascii="Times New Roman" w:hAnsi="Times New Roman" w:cs="Times New Roman" w:eastAsia="Times New Roman" w:hint="default"/>
                <w:sz w:val="15"/>
                <w:szCs w:val="15"/>
              </w:rPr>
            </w:pPr>
            <w:r>
              <w:rPr>
                <w:rFonts w:ascii="Times New Roman"/>
                <w:spacing w:val="-1"/>
                <w:sz w:val="15"/>
              </w:rPr>
              <w:t>31,838,360.93</w:t>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347"/>
              <w:jc w:val="right"/>
              <w:rPr>
                <w:rFonts w:ascii="Times New Roman" w:hAnsi="Times New Roman" w:cs="Times New Roman" w:eastAsia="Times New Roman" w:hint="default"/>
                <w:sz w:val="15"/>
                <w:szCs w:val="15"/>
              </w:rPr>
            </w:pPr>
            <w:r>
              <w:rPr>
                <w:rFonts w:ascii="Times New Roman"/>
                <w:sz w:val="15"/>
              </w:rPr>
              <w:t>-</w:t>
            </w:r>
          </w:p>
        </w:tc>
        <w:tc>
          <w:tcPr>
            <w:tcW w:w="1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348"/>
              <w:jc w:val="right"/>
              <w:rPr>
                <w:rFonts w:ascii="Times New Roman" w:hAnsi="Times New Roman" w:cs="Times New Roman" w:eastAsia="Times New Roman" w:hint="default"/>
                <w:sz w:val="15"/>
                <w:szCs w:val="15"/>
              </w:rPr>
            </w:pPr>
            <w:r>
              <w:rPr>
                <w:rFonts w:ascii="Times New Roman"/>
                <w:sz w:val="15"/>
              </w:rPr>
              <w:t>-</w:t>
            </w:r>
          </w:p>
        </w:tc>
        <w:tc>
          <w:tcPr>
            <w:tcW w:w="1319"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122"/>
              <w:jc w:val="right"/>
              <w:rPr>
                <w:rFonts w:ascii="Times New Roman" w:hAnsi="Times New Roman" w:cs="Times New Roman" w:eastAsia="Times New Roman" w:hint="default"/>
                <w:sz w:val="15"/>
                <w:szCs w:val="15"/>
              </w:rPr>
            </w:pPr>
            <w:r>
              <w:rPr>
                <w:rFonts w:ascii="Times New Roman"/>
                <w:spacing w:val="-1"/>
                <w:sz w:val="15"/>
              </w:rPr>
              <w:t>33,645,531.86</w:t>
            </w:r>
          </w:p>
        </w:tc>
      </w:tr>
      <w:tr>
        <w:trPr>
          <w:trHeight w:val="480" w:hRule="exact"/>
        </w:trPr>
        <w:tc>
          <w:tcPr>
            <w:tcW w:w="20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161"/>
              <w:jc w:val="right"/>
              <w:rPr>
                <w:rFonts w:ascii="Times New Roman" w:hAnsi="Times New Roman" w:cs="Times New Roman" w:eastAsia="Times New Roman" w:hint="default"/>
                <w:sz w:val="15"/>
                <w:szCs w:val="15"/>
              </w:rPr>
            </w:pPr>
            <w:r>
              <w:rPr>
                <w:rFonts w:ascii="Times New Roman"/>
                <w:spacing w:val="-1"/>
                <w:sz w:val="15"/>
              </w:rPr>
              <w:t>374,676,506.63</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157"/>
              <w:jc w:val="right"/>
              <w:rPr>
                <w:rFonts w:ascii="Times New Roman" w:hAnsi="Times New Roman" w:cs="Times New Roman" w:eastAsia="Times New Roman" w:hint="default"/>
                <w:sz w:val="15"/>
                <w:szCs w:val="15"/>
              </w:rPr>
            </w:pPr>
            <w:r>
              <w:rPr>
                <w:rFonts w:ascii="Times New Roman"/>
                <w:spacing w:val="-1"/>
                <w:sz w:val="15"/>
              </w:rPr>
              <w:t>65,782,355.58</w:t>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160"/>
              <w:jc w:val="right"/>
              <w:rPr>
                <w:rFonts w:ascii="Times New Roman" w:hAnsi="Times New Roman" w:cs="Times New Roman" w:eastAsia="Times New Roman" w:hint="default"/>
                <w:sz w:val="15"/>
                <w:szCs w:val="15"/>
              </w:rPr>
            </w:pPr>
            <w:r>
              <w:rPr>
                <w:rFonts w:ascii="Times New Roman"/>
                <w:spacing w:val="-1"/>
                <w:sz w:val="15"/>
              </w:rPr>
              <w:t>108,744,662.00</w:t>
            </w:r>
          </w:p>
        </w:tc>
        <w:tc>
          <w:tcPr>
            <w:tcW w:w="1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161"/>
              <w:jc w:val="right"/>
              <w:rPr>
                <w:rFonts w:ascii="Times New Roman" w:hAnsi="Times New Roman" w:cs="Times New Roman" w:eastAsia="Times New Roman" w:hint="default"/>
                <w:sz w:val="15"/>
                <w:szCs w:val="15"/>
              </w:rPr>
            </w:pPr>
            <w:r>
              <w:rPr>
                <w:rFonts w:ascii="Times New Roman"/>
                <w:spacing w:val="-1"/>
                <w:sz w:val="15"/>
              </w:rPr>
              <w:t>46,694,731.38</w:t>
            </w:r>
          </w:p>
        </w:tc>
        <w:tc>
          <w:tcPr>
            <w:tcW w:w="1319"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124"/>
              <w:jc w:val="right"/>
              <w:rPr>
                <w:rFonts w:ascii="Times New Roman" w:hAnsi="Times New Roman" w:cs="Times New Roman" w:eastAsia="Times New Roman" w:hint="default"/>
                <w:sz w:val="15"/>
                <w:szCs w:val="15"/>
              </w:rPr>
            </w:pPr>
            <w:r>
              <w:rPr>
                <w:rFonts w:ascii="Times New Roman"/>
                <w:spacing w:val="-1"/>
                <w:sz w:val="15"/>
              </w:rPr>
              <w:t>285,019,468.83</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240" w:lineRule="auto" w:before="35"/>
        <w:ind w:left="270" w:right="220"/>
        <w:jc w:val="left"/>
      </w:pPr>
      <w:r>
        <w:rPr>
          <w:rFonts w:ascii="Times New Roman" w:hAnsi="Times New Roman" w:cs="Times New Roman" w:eastAsia="Times New Roman" w:hint="default"/>
          <w:b/>
          <w:bCs/>
        </w:rPr>
        <w:t>18</w:t>
      </w:r>
      <w:r>
        <w:rPr/>
        <w:t>、其他非流动资产</w:t>
      </w:r>
    </w:p>
    <w:p>
      <w:pPr>
        <w:spacing w:line="240" w:lineRule="auto" w:before="3"/>
        <w:rPr>
          <w:rFonts w:ascii="宋体" w:hAnsi="宋体" w:cs="宋体" w:eastAsia="宋体" w:hint="default"/>
          <w:sz w:val="10"/>
          <w:szCs w:val="10"/>
        </w:rPr>
      </w:pPr>
    </w:p>
    <w:p>
      <w:pPr>
        <w:pStyle w:val="BodyText"/>
        <w:tabs>
          <w:tab w:pos="1049" w:val="left" w:leader="none"/>
        </w:tabs>
        <w:spacing w:line="240" w:lineRule="auto" w:before="35"/>
        <w:ind w:left="0" w:right="231"/>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016"/>
        <w:gridCol w:w="2894"/>
        <w:gridCol w:w="2894"/>
      </w:tblGrid>
      <w:tr>
        <w:trPr>
          <w:trHeight w:val="470" w:hRule="exact"/>
        </w:trPr>
        <w:tc>
          <w:tcPr>
            <w:tcW w:w="3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0" w:hRule="exact"/>
        </w:trPr>
        <w:tc>
          <w:tcPr>
            <w:tcW w:w="3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7" w:right="0"/>
              <w:jc w:val="center"/>
              <w:rPr>
                <w:rFonts w:ascii="宋体" w:hAnsi="宋体" w:cs="宋体" w:eastAsia="宋体" w:hint="default"/>
                <w:sz w:val="21"/>
                <w:szCs w:val="21"/>
              </w:rPr>
            </w:pPr>
            <w:r>
              <w:rPr>
                <w:rFonts w:ascii="宋体" w:hAnsi="宋体" w:cs="宋体" w:eastAsia="宋体" w:hint="default"/>
                <w:sz w:val="21"/>
                <w:szCs w:val="21"/>
              </w:rPr>
              <w:t>原制度下长期股权投资差额转入</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756" w:right="0"/>
              <w:jc w:val="left"/>
              <w:rPr>
                <w:rFonts w:ascii="Times New Roman" w:hAnsi="Times New Roman" w:cs="Times New Roman" w:eastAsia="Times New Roman" w:hint="default"/>
                <w:sz w:val="21"/>
                <w:szCs w:val="21"/>
              </w:rPr>
            </w:pPr>
            <w:r>
              <w:rPr>
                <w:rFonts w:ascii="Times New Roman"/>
                <w:sz w:val="21"/>
              </w:rPr>
              <w:t>1,849,717.20</w:t>
            </w:r>
          </w:p>
        </w:tc>
        <w:tc>
          <w:tcPr>
            <w:tcW w:w="2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757" w:right="0"/>
              <w:jc w:val="left"/>
              <w:rPr>
                <w:rFonts w:ascii="Times New Roman" w:hAnsi="Times New Roman" w:cs="Times New Roman" w:eastAsia="Times New Roman" w:hint="default"/>
                <w:sz w:val="21"/>
                <w:szCs w:val="21"/>
              </w:rPr>
            </w:pPr>
            <w:r>
              <w:rPr>
                <w:rFonts w:ascii="Times New Roman"/>
                <w:sz w:val="21"/>
              </w:rPr>
              <w:t>3,593,671.85</w:t>
            </w:r>
          </w:p>
        </w:tc>
      </w:tr>
    </w:tbl>
    <w:p>
      <w:pPr>
        <w:spacing w:line="240" w:lineRule="auto" w:before="0"/>
        <w:rPr>
          <w:rFonts w:ascii="宋体" w:hAnsi="宋体" w:cs="宋体" w:eastAsia="宋体" w:hint="default"/>
          <w:sz w:val="9"/>
          <w:szCs w:val="9"/>
        </w:rPr>
      </w:pPr>
    </w:p>
    <w:p>
      <w:pPr>
        <w:pStyle w:val="BodyText"/>
        <w:spacing w:line="240" w:lineRule="auto" w:before="35"/>
        <w:ind w:left="690" w:right="220"/>
        <w:jc w:val="left"/>
      </w:pPr>
      <w:r>
        <w:rPr/>
        <w:t>其他非流动资产为原制度下长期股权投资差额转入，按原剩余摊销期限逐年分摊。</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before="0"/>
        <w:ind w:left="270" w:right="2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sz w:val="21"/>
          <w:szCs w:val="21"/>
        </w:rPr>
        <w:t>、短期借款</w:t>
      </w:r>
    </w:p>
    <w:p>
      <w:pPr>
        <w:pStyle w:val="BodyText"/>
        <w:tabs>
          <w:tab w:pos="1049" w:val="left" w:leader="none"/>
        </w:tabs>
        <w:spacing w:line="240" w:lineRule="auto" w:before="169"/>
        <w:ind w:left="0" w:right="230"/>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221" w:type="dxa"/>
        <w:tblLayout w:type="fixed"/>
        <w:tblCellMar>
          <w:top w:w="0" w:type="dxa"/>
          <w:left w:w="0" w:type="dxa"/>
          <w:bottom w:w="0" w:type="dxa"/>
          <w:right w:w="0" w:type="dxa"/>
        </w:tblCellMar>
        <w:tblLook w:val="01E0"/>
      </w:tblPr>
      <w:tblGrid>
        <w:gridCol w:w="3439"/>
        <w:gridCol w:w="2627"/>
        <w:gridCol w:w="2626"/>
      </w:tblGrid>
      <w:tr>
        <w:trPr>
          <w:trHeight w:val="470" w:hRule="exact"/>
        </w:trPr>
        <w:tc>
          <w:tcPr>
            <w:tcW w:w="3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0" w:hRule="exact"/>
        </w:trPr>
        <w:tc>
          <w:tcPr>
            <w:tcW w:w="3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44"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82"/>
              <w:jc w:val="right"/>
              <w:rPr>
                <w:rFonts w:ascii="Times New Roman" w:hAnsi="Times New Roman" w:cs="Times New Roman" w:eastAsia="Times New Roman" w:hint="default"/>
                <w:sz w:val="21"/>
                <w:szCs w:val="21"/>
              </w:rPr>
            </w:pPr>
            <w:r>
              <w:rPr>
                <w:rFonts w:ascii="Times New Roman"/>
                <w:spacing w:val="-1"/>
                <w:sz w:val="21"/>
              </w:rPr>
              <w:t>74,100,000.00</w:t>
            </w:r>
          </w:p>
        </w:tc>
        <w:tc>
          <w:tcPr>
            <w:tcW w:w="2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17"/>
              <w:jc w:val="right"/>
              <w:rPr>
                <w:rFonts w:ascii="Times New Roman" w:hAnsi="Times New Roman" w:cs="Times New Roman" w:eastAsia="Times New Roman" w:hint="default"/>
                <w:sz w:val="21"/>
                <w:szCs w:val="21"/>
              </w:rPr>
            </w:pPr>
            <w:r>
              <w:rPr>
                <w:rFonts w:ascii="Times New Roman"/>
                <w:spacing w:val="-1"/>
                <w:sz w:val="21"/>
              </w:rPr>
              <w:t>89,100,000.00</w:t>
            </w:r>
          </w:p>
        </w:tc>
      </w:tr>
      <w:tr>
        <w:trPr>
          <w:trHeight w:val="469" w:hRule="exact"/>
        </w:trPr>
        <w:tc>
          <w:tcPr>
            <w:tcW w:w="3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44"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83"/>
              <w:jc w:val="right"/>
              <w:rPr>
                <w:rFonts w:ascii="Times New Roman" w:hAnsi="Times New Roman" w:cs="Times New Roman" w:eastAsia="Times New Roman" w:hint="default"/>
                <w:sz w:val="21"/>
                <w:szCs w:val="21"/>
              </w:rPr>
            </w:pPr>
            <w:r>
              <w:rPr>
                <w:rFonts w:ascii="Times New Roman"/>
                <w:spacing w:val="-1"/>
                <w:sz w:val="21"/>
              </w:rPr>
              <w:t>255,300,000.00</w:t>
            </w:r>
          </w:p>
        </w:tc>
        <w:tc>
          <w:tcPr>
            <w:tcW w:w="2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18"/>
              <w:jc w:val="right"/>
              <w:rPr>
                <w:rFonts w:ascii="Times New Roman" w:hAnsi="Times New Roman" w:cs="Times New Roman" w:eastAsia="Times New Roman" w:hint="default"/>
                <w:sz w:val="21"/>
                <w:szCs w:val="21"/>
              </w:rPr>
            </w:pPr>
            <w:r>
              <w:rPr>
                <w:rFonts w:ascii="Times New Roman"/>
                <w:spacing w:val="-1"/>
                <w:sz w:val="21"/>
              </w:rPr>
              <w:t>209,109,950.00</w:t>
            </w:r>
          </w:p>
        </w:tc>
      </w:tr>
      <w:tr>
        <w:trPr>
          <w:trHeight w:val="470" w:hRule="exact"/>
        </w:trPr>
        <w:tc>
          <w:tcPr>
            <w:tcW w:w="3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4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44"/>
              <w:jc w:val="right"/>
              <w:rPr>
                <w:rFonts w:ascii="Times New Roman" w:hAnsi="Times New Roman" w:cs="Times New Roman" w:eastAsia="Times New Roman" w:hint="default"/>
                <w:sz w:val="21"/>
                <w:szCs w:val="21"/>
              </w:rPr>
            </w:pPr>
            <w:r>
              <w:rPr>
                <w:rFonts w:ascii="Times New Roman"/>
                <w:sz w:val="21"/>
              </w:rPr>
              <w:t>-</w:t>
            </w:r>
          </w:p>
        </w:tc>
        <w:tc>
          <w:tcPr>
            <w:tcW w:w="2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17"/>
              <w:jc w:val="right"/>
              <w:rPr>
                <w:rFonts w:ascii="Times New Roman" w:hAnsi="Times New Roman" w:cs="Times New Roman" w:eastAsia="Times New Roman" w:hint="default"/>
                <w:sz w:val="21"/>
                <w:szCs w:val="21"/>
              </w:rPr>
            </w:pPr>
            <w:r>
              <w:rPr>
                <w:rFonts w:ascii="Times New Roman"/>
                <w:spacing w:val="-1"/>
                <w:sz w:val="21"/>
              </w:rPr>
              <w:t>65,500,000.00</w:t>
            </w:r>
          </w:p>
        </w:tc>
      </w:tr>
      <w:tr>
        <w:trPr>
          <w:trHeight w:val="470" w:hRule="exact"/>
        </w:trPr>
        <w:tc>
          <w:tcPr>
            <w:tcW w:w="3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44" w:right="0"/>
              <w:jc w:val="left"/>
              <w:rPr>
                <w:rFonts w:ascii="宋体" w:hAnsi="宋体" w:cs="宋体" w:eastAsia="宋体" w:hint="default"/>
                <w:sz w:val="21"/>
                <w:szCs w:val="21"/>
              </w:rPr>
            </w:pPr>
            <w:r>
              <w:rPr>
                <w:rFonts w:ascii="宋体" w:hAnsi="宋体" w:cs="宋体" w:eastAsia="宋体" w:hint="default"/>
                <w:sz w:val="21"/>
                <w:szCs w:val="21"/>
              </w:rPr>
              <w:t>以上两种或两种以上条件取得的借款</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83"/>
              <w:jc w:val="right"/>
              <w:rPr>
                <w:rFonts w:ascii="Times New Roman" w:hAnsi="Times New Roman" w:cs="Times New Roman" w:eastAsia="Times New Roman" w:hint="default"/>
                <w:sz w:val="21"/>
                <w:szCs w:val="21"/>
              </w:rPr>
            </w:pPr>
            <w:r>
              <w:rPr>
                <w:rFonts w:ascii="Times New Roman"/>
                <w:spacing w:val="-1"/>
                <w:sz w:val="21"/>
              </w:rPr>
              <w:t>25,000,000.00</w:t>
            </w:r>
          </w:p>
        </w:tc>
        <w:tc>
          <w:tcPr>
            <w:tcW w:w="2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80"/>
              <w:jc w:val="right"/>
              <w:rPr>
                <w:rFonts w:ascii="Times New Roman" w:hAnsi="Times New Roman" w:cs="Times New Roman" w:eastAsia="Times New Roman" w:hint="default"/>
                <w:sz w:val="21"/>
                <w:szCs w:val="21"/>
              </w:rPr>
            </w:pPr>
            <w:r>
              <w:rPr>
                <w:rFonts w:ascii="Times New Roman"/>
                <w:sz w:val="21"/>
              </w:rPr>
              <w:t>-</w:t>
            </w:r>
          </w:p>
        </w:tc>
      </w:tr>
      <w:tr>
        <w:trPr>
          <w:trHeight w:val="470" w:hRule="exact"/>
        </w:trPr>
        <w:tc>
          <w:tcPr>
            <w:tcW w:w="3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4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83"/>
              <w:jc w:val="right"/>
              <w:rPr>
                <w:rFonts w:ascii="Times New Roman" w:hAnsi="Times New Roman" w:cs="Times New Roman" w:eastAsia="Times New Roman" w:hint="default"/>
                <w:sz w:val="21"/>
                <w:szCs w:val="21"/>
              </w:rPr>
            </w:pPr>
            <w:r>
              <w:rPr>
                <w:rFonts w:ascii="Times New Roman"/>
                <w:spacing w:val="-1"/>
                <w:sz w:val="21"/>
              </w:rPr>
              <w:t>354,400,000.00</w:t>
            </w:r>
          </w:p>
        </w:tc>
        <w:tc>
          <w:tcPr>
            <w:tcW w:w="2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18"/>
              <w:jc w:val="right"/>
              <w:rPr>
                <w:rFonts w:ascii="Times New Roman" w:hAnsi="Times New Roman" w:cs="Times New Roman" w:eastAsia="Times New Roman" w:hint="default"/>
                <w:sz w:val="21"/>
                <w:szCs w:val="21"/>
              </w:rPr>
            </w:pPr>
            <w:r>
              <w:rPr>
                <w:rFonts w:ascii="Times New Roman"/>
                <w:spacing w:val="-1"/>
                <w:sz w:val="21"/>
              </w:rPr>
              <w:t>363,709,950.00</w:t>
            </w:r>
          </w:p>
        </w:tc>
      </w:tr>
    </w:tbl>
    <w:p>
      <w:pPr>
        <w:spacing w:line="240" w:lineRule="auto" w:before="0"/>
        <w:rPr>
          <w:rFonts w:ascii="宋体" w:hAnsi="宋体" w:cs="宋体" w:eastAsia="宋体" w:hint="default"/>
          <w:sz w:val="9"/>
          <w:szCs w:val="9"/>
        </w:rPr>
      </w:pPr>
    </w:p>
    <w:p>
      <w:pPr>
        <w:pStyle w:val="BodyText"/>
        <w:spacing w:line="400" w:lineRule="auto" w:before="35"/>
        <w:ind w:left="270" w:right="220" w:firstLine="420"/>
        <w:jc w:val="left"/>
      </w:pPr>
      <w:r>
        <w:rPr/>
        <w:t>以上质押借款以本集团的无形资产和持有子公司的股权作为质押，以上抵押借款以本集团 的固定资产、投资性房地产、存货作为抵押。</w:t>
      </w:r>
    </w:p>
    <w:p>
      <w:pPr>
        <w:pStyle w:val="BodyText"/>
        <w:spacing w:line="240" w:lineRule="auto" w:before="44"/>
        <w:ind w:left="690" w:right="220"/>
        <w:jc w:val="left"/>
      </w:pPr>
      <w:r>
        <w:rPr/>
        <w:t>截止</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日本集团无已到期未偿还的短期借款。</w:t>
      </w:r>
    </w:p>
    <w:p>
      <w:pPr>
        <w:spacing w:after="0" w:line="240" w:lineRule="auto"/>
        <w:jc w:val="left"/>
        <w:sectPr>
          <w:pgSz w:w="11900" w:h="16840"/>
          <w:pgMar w:header="0" w:footer="982" w:top="1280" w:bottom="1180" w:left="1600" w:right="1180"/>
        </w:sectPr>
      </w:pPr>
    </w:p>
    <w:p>
      <w:pPr>
        <w:spacing w:before="6"/>
        <w:ind w:left="230" w:right="2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sz w:val="21"/>
          <w:szCs w:val="21"/>
        </w:rPr>
        <w:t>、应付账款</w:t>
      </w:r>
    </w:p>
    <w:p>
      <w:pPr>
        <w:spacing w:line="240" w:lineRule="auto" w:before="4"/>
        <w:rPr>
          <w:rFonts w:ascii="宋体" w:hAnsi="宋体" w:cs="宋体" w:eastAsia="宋体" w:hint="default"/>
          <w:sz w:val="13"/>
          <w:szCs w:val="13"/>
        </w:rPr>
      </w:pPr>
    </w:p>
    <w:p>
      <w:pPr>
        <w:pStyle w:val="BodyText"/>
        <w:tabs>
          <w:tab w:pos="1049" w:val="left" w:leader="none"/>
        </w:tabs>
        <w:spacing w:line="240" w:lineRule="auto" w:before="35"/>
        <w:ind w:left="0" w:right="230"/>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50"/>
        <w:gridCol w:w="2948"/>
        <w:gridCol w:w="2950"/>
      </w:tblGrid>
      <w:tr>
        <w:trPr>
          <w:trHeight w:val="510" w:hRule="exact"/>
        </w:trPr>
        <w:tc>
          <w:tcPr>
            <w:tcW w:w="2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0" w:hRule="exact"/>
        </w:trPr>
        <w:tc>
          <w:tcPr>
            <w:tcW w:w="2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7"/>
              <w:jc w:val="right"/>
              <w:rPr>
                <w:rFonts w:ascii="宋体" w:hAnsi="宋体" w:cs="宋体" w:eastAsia="宋体" w:hint="default"/>
                <w:sz w:val="21"/>
                <w:szCs w:val="21"/>
              </w:rPr>
            </w:pPr>
            <w:r>
              <w:rPr>
                <w:rFonts w:ascii="宋体" w:hAnsi="宋体" w:cs="宋体" w:eastAsia="宋体" w:hint="default"/>
                <w:spacing w:val="-1"/>
                <w:sz w:val="21"/>
                <w:szCs w:val="21"/>
              </w:rPr>
              <w:t>应付及暂估工程款</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90,788,711.85</w:t>
            </w:r>
          </w:p>
        </w:tc>
        <w:tc>
          <w:tcPr>
            <w:tcW w:w="29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130,158,623.85</w:t>
            </w:r>
          </w:p>
        </w:tc>
      </w:tr>
      <w:tr>
        <w:trPr>
          <w:trHeight w:val="510" w:hRule="exact"/>
        </w:trPr>
        <w:tc>
          <w:tcPr>
            <w:tcW w:w="2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应付采购款</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3,153,967.22</w:t>
            </w:r>
          </w:p>
        </w:tc>
        <w:tc>
          <w:tcPr>
            <w:tcW w:w="29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3,314,473.30</w:t>
            </w:r>
          </w:p>
        </w:tc>
      </w:tr>
      <w:tr>
        <w:trPr>
          <w:trHeight w:val="510" w:hRule="exact"/>
        </w:trPr>
        <w:tc>
          <w:tcPr>
            <w:tcW w:w="2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7"/>
              <w:jc w:val="right"/>
              <w:rPr>
                <w:rFonts w:ascii="宋体" w:hAnsi="宋体" w:cs="宋体" w:eastAsia="宋体" w:hint="default"/>
                <w:sz w:val="21"/>
                <w:szCs w:val="21"/>
              </w:rPr>
            </w:pPr>
            <w:r>
              <w:rPr>
                <w:rFonts w:ascii="宋体" w:hAnsi="宋体" w:cs="宋体" w:eastAsia="宋体" w:hint="default"/>
                <w:spacing w:val="-1"/>
                <w:sz w:val="21"/>
                <w:szCs w:val="21"/>
              </w:rPr>
              <w:t>应付地租及回报款</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63"/>
              <w:jc w:val="right"/>
              <w:rPr>
                <w:rFonts w:ascii="Times New Roman" w:hAnsi="Times New Roman" w:cs="Times New Roman" w:eastAsia="Times New Roman" w:hint="default"/>
                <w:sz w:val="21"/>
                <w:szCs w:val="21"/>
              </w:rPr>
            </w:pPr>
            <w:r>
              <w:rPr>
                <w:rFonts w:ascii="Times New Roman"/>
                <w:sz w:val="21"/>
              </w:rPr>
              <w:t>-</w:t>
            </w:r>
          </w:p>
        </w:tc>
        <w:tc>
          <w:tcPr>
            <w:tcW w:w="29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2,556,273.00</w:t>
            </w:r>
          </w:p>
        </w:tc>
      </w:tr>
      <w:tr>
        <w:trPr>
          <w:trHeight w:val="510" w:hRule="exact"/>
        </w:trPr>
        <w:tc>
          <w:tcPr>
            <w:tcW w:w="2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3,718,527.83</w:t>
            </w:r>
          </w:p>
        </w:tc>
        <w:tc>
          <w:tcPr>
            <w:tcW w:w="29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5,047,538.54</w:t>
            </w:r>
          </w:p>
        </w:tc>
      </w:tr>
      <w:tr>
        <w:trPr>
          <w:trHeight w:val="511" w:hRule="exact"/>
        </w:trPr>
        <w:tc>
          <w:tcPr>
            <w:tcW w:w="2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97,661,206.90</w:t>
            </w:r>
          </w:p>
        </w:tc>
        <w:tc>
          <w:tcPr>
            <w:tcW w:w="29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141,076,908.69</w:t>
            </w:r>
          </w:p>
        </w:tc>
      </w:tr>
    </w:tbl>
    <w:p>
      <w:pPr>
        <w:spacing w:line="240" w:lineRule="auto" w:before="0"/>
        <w:rPr>
          <w:rFonts w:ascii="宋体" w:hAnsi="宋体" w:cs="宋体" w:eastAsia="宋体" w:hint="default"/>
          <w:sz w:val="12"/>
          <w:szCs w:val="12"/>
        </w:rPr>
      </w:pPr>
    </w:p>
    <w:p>
      <w:pPr>
        <w:pStyle w:val="BodyText"/>
        <w:spacing w:line="412" w:lineRule="auto" w:before="35"/>
        <w:ind w:left="230" w:right="217" w:firstLine="419"/>
        <w:jc w:val="left"/>
      </w:pPr>
      <w:r>
        <w:rPr/>
        <w:t>期末应付账款余额中，无应付持有公司 </w:t>
      </w:r>
      <w:r>
        <w:rPr>
          <w:rFonts w:ascii="Times New Roman" w:hAnsi="Times New Roman" w:cs="Times New Roman" w:eastAsia="Times New Roman" w:hint="default"/>
        </w:rPr>
        <w:t>5%(</w:t>
      </w:r>
      <w:r>
        <w:rPr/>
        <w:t>含</w:t>
      </w:r>
      <w:r>
        <w:rPr>
          <w:spacing w:val="-66"/>
        </w:rPr>
        <w:t> </w:t>
      </w:r>
      <w:r>
        <w:rPr>
          <w:rFonts w:ascii="Times New Roman" w:hAnsi="Times New Roman" w:cs="Times New Roman" w:eastAsia="Times New Roman" w:hint="default"/>
        </w:rPr>
        <w:t>5%)</w:t>
      </w:r>
      <w:r>
        <w:rPr/>
        <w:t>以上表决权股份的股东单位及关联方的 款项。</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0"/>
        <w:ind w:left="230" w:right="2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sz w:val="21"/>
          <w:szCs w:val="21"/>
        </w:rPr>
        <w:t>、预收款项</w:t>
      </w:r>
    </w:p>
    <w:p>
      <w:pPr>
        <w:spacing w:line="240" w:lineRule="auto" w:before="12"/>
        <w:rPr>
          <w:rFonts w:ascii="宋体" w:hAnsi="宋体" w:cs="宋体" w:eastAsia="宋体" w:hint="default"/>
          <w:sz w:val="15"/>
          <w:szCs w:val="15"/>
        </w:rPr>
      </w:pPr>
    </w:p>
    <w:p>
      <w:pPr>
        <w:pStyle w:val="BodyText"/>
        <w:tabs>
          <w:tab w:pos="1049" w:val="left" w:leader="none"/>
        </w:tabs>
        <w:spacing w:line="240" w:lineRule="auto"/>
        <w:ind w:left="0" w:right="34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58"/>
        <w:gridCol w:w="2990"/>
        <w:gridCol w:w="2899"/>
      </w:tblGrid>
      <w:tr>
        <w:trPr>
          <w:trHeight w:val="510"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0"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西安鸿基紫韵预收楼款</w:t>
            </w:r>
          </w:p>
        </w:tc>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3"/>
              <w:jc w:val="right"/>
              <w:rPr>
                <w:rFonts w:ascii="Times New Roman" w:hAnsi="Times New Roman" w:cs="Times New Roman" w:eastAsia="Times New Roman" w:hint="default"/>
                <w:sz w:val="21"/>
                <w:szCs w:val="21"/>
              </w:rPr>
            </w:pPr>
            <w:r>
              <w:rPr>
                <w:rFonts w:ascii="Times New Roman"/>
                <w:spacing w:val="-1"/>
                <w:sz w:val="21"/>
              </w:rPr>
              <w:t>415,494,220.00</w:t>
            </w:r>
          </w:p>
        </w:tc>
        <w:tc>
          <w:tcPr>
            <w:tcW w:w="2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407"/>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西安鸿基新城预收楼款</w:t>
            </w:r>
          </w:p>
        </w:tc>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2"/>
              <w:jc w:val="right"/>
              <w:rPr>
                <w:rFonts w:ascii="Times New Roman" w:hAnsi="Times New Roman" w:cs="Times New Roman" w:eastAsia="Times New Roman" w:hint="default"/>
                <w:sz w:val="21"/>
                <w:szCs w:val="21"/>
              </w:rPr>
            </w:pPr>
            <w:r>
              <w:rPr>
                <w:rFonts w:ascii="Times New Roman"/>
                <w:spacing w:val="-1"/>
                <w:sz w:val="21"/>
              </w:rPr>
              <w:t>276,449,137.00</w:t>
            </w:r>
          </w:p>
        </w:tc>
        <w:tc>
          <w:tcPr>
            <w:tcW w:w="2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44"/>
              <w:jc w:val="right"/>
              <w:rPr>
                <w:rFonts w:ascii="Times New Roman" w:hAnsi="Times New Roman" w:cs="Times New Roman" w:eastAsia="Times New Roman" w:hint="default"/>
                <w:sz w:val="21"/>
                <w:szCs w:val="21"/>
              </w:rPr>
            </w:pPr>
            <w:r>
              <w:rPr>
                <w:rFonts w:ascii="Times New Roman"/>
                <w:spacing w:val="-1"/>
                <w:sz w:val="21"/>
              </w:rPr>
              <w:t>5,033,923.00</w:t>
            </w:r>
          </w:p>
        </w:tc>
      </w:tr>
      <w:tr>
        <w:trPr>
          <w:trHeight w:val="510"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其他预收楼款及订金</w:t>
            </w:r>
          </w:p>
        </w:tc>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493"/>
              <w:jc w:val="right"/>
              <w:rPr>
                <w:rFonts w:ascii="Times New Roman" w:hAnsi="Times New Roman" w:cs="Times New Roman" w:eastAsia="Times New Roman" w:hint="default"/>
                <w:sz w:val="21"/>
                <w:szCs w:val="21"/>
              </w:rPr>
            </w:pPr>
            <w:r>
              <w:rPr>
                <w:rFonts w:ascii="Times New Roman"/>
                <w:sz w:val="21"/>
              </w:rPr>
              <w:t>-</w:t>
            </w:r>
          </w:p>
        </w:tc>
        <w:tc>
          <w:tcPr>
            <w:tcW w:w="2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45"/>
              <w:jc w:val="right"/>
              <w:rPr>
                <w:rFonts w:ascii="Times New Roman" w:hAnsi="Times New Roman" w:cs="Times New Roman" w:eastAsia="Times New Roman" w:hint="default"/>
                <w:sz w:val="21"/>
                <w:szCs w:val="21"/>
              </w:rPr>
            </w:pPr>
            <w:r>
              <w:rPr>
                <w:rFonts w:ascii="Times New Roman"/>
                <w:spacing w:val="-1"/>
                <w:sz w:val="21"/>
              </w:rPr>
              <w:t>19,430,000.00</w:t>
            </w:r>
          </w:p>
        </w:tc>
      </w:tr>
      <w:tr>
        <w:trPr>
          <w:trHeight w:val="510"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预收出租车管理费</w:t>
            </w:r>
          </w:p>
        </w:tc>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0"/>
              <w:jc w:val="right"/>
              <w:rPr>
                <w:rFonts w:ascii="Times New Roman" w:hAnsi="Times New Roman" w:cs="Times New Roman" w:eastAsia="Times New Roman" w:hint="default"/>
                <w:sz w:val="21"/>
                <w:szCs w:val="21"/>
              </w:rPr>
            </w:pPr>
            <w:r>
              <w:rPr>
                <w:rFonts w:ascii="Times New Roman"/>
                <w:spacing w:val="-1"/>
                <w:sz w:val="21"/>
              </w:rPr>
              <w:t>3,006,689.22</w:t>
            </w:r>
          </w:p>
        </w:tc>
        <w:tc>
          <w:tcPr>
            <w:tcW w:w="2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44"/>
              <w:jc w:val="right"/>
              <w:rPr>
                <w:rFonts w:ascii="Times New Roman" w:hAnsi="Times New Roman" w:cs="Times New Roman" w:eastAsia="Times New Roman" w:hint="default"/>
                <w:sz w:val="21"/>
                <w:szCs w:val="21"/>
              </w:rPr>
            </w:pPr>
            <w:r>
              <w:rPr>
                <w:rFonts w:ascii="Times New Roman"/>
                <w:spacing w:val="-1"/>
                <w:sz w:val="21"/>
              </w:rPr>
              <w:t>721,044.00</w:t>
            </w:r>
          </w:p>
        </w:tc>
      </w:tr>
      <w:tr>
        <w:trPr>
          <w:trHeight w:val="510"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0"/>
              <w:jc w:val="right"/>
              <w:rPr>
                <w:rFonts w:ascii="Times New Roman" w:hAnsi="Times New Roman" w:cs="Times New Roman" w:eastAsia="Times New Roman" w:hint="default"/>
                <w:sz w:val="21"/>
                <w:szCs w:val="21"/>
              </w:rPr>
            </w:pPr>
            <w:r>
              <w:rPr>
                <w:rFonts w:ascii="Times New Roman"/>
                <w:spacing w:val="-1"/>
                <w:sz w:val="21"/>
              </w:rPr>
              <w:t>1,841,714.75</w:t>
            </w:r>
          </w:p>
        </w:tc>
        <w:tc>
          <w:tcPr>
            <w:tcW w:w="2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44"/>
              <w:jc w:val="right"/>
              <w:rPr>
                <w:rFonts w:ascii="Times New Roman" w:hAnsi="Times New Roman" w:cs="Times New Roman" w:eastAsia="Times New Roman" w:hint="default"/>
                <w:sz w:val="21"/>
                <w:szCs w:val="21"/>
              </w:rPr>
            </w:pPr>
            <w:r>
              <w:rPr>
                <w:rFonts w:ascii="Times New Roman"/>
                <w:spacing w:val="-1"/>
                <w:sz w:val="21"/>
              </w:rPr>
              <w:t>4,861,178.69</w:t>
            </w:r>
          </w:p>
        </w:tc>
      </w:tr>
      <w:tr>
        <w:trPr>
          <w:trHeight w:val="510"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2"/>
              <w:jc w:val="right"/>
              <w:rPr>
                <w:rFonts w:ascii="Times New Roman" w:hAnsi="Times New Roman" w:cs="Times New Roman" w:eastAsia="Times New Roman" w:hint="default"/>
                <w:sz w:val="21"/>
                <w:szCs w:val="21"/>
              </w:rPr>
            </w:pPr>
            <w:r>
              <w:rPr>
                <w:rFonts w:ascii="Times New Roman"/>
                <w:spacing w:val="-1"/>
                <w:sz w:val="21"/>
              </w:rPr>
              <w:t>696,791,760.97</w:t>
            </w:r>
          </w:p>
        </w:tc>
        <w:tc>
          <w:tcPr>
            <w:tcW w:w="2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44"/>
              <w:jc w:val="right"/>
              <w:rPr>
                <w:rFonts w:ascii="Times New Roman" w:hAnsi="Times New Roman" w:cs="Times New Roman" w:eastAsia="Times New Roman" w:hint="default"/>
                <w:sz w:val="21"/>
                <w:szCs w:val="21"/>
              </w:rPr>
            </w:pPr>
            <w:r>
              <w:rPr>
                <w:rFonts w:ascii="Times New Roman"/>
                <w:spacing w:val="-1"/>
                <w:sz w:val="21"/>
              </w:rPr>
              <w:t>30,046,145.69</w:t>
            </w:r>
          </w:p>
        </w:tc>
      </w:tr>
    </w:tbl>
    <w:p>
      <w:pPr>
        <w:spacing w:line="240" w:lineRule="auto" w:before="0"/>
        <w:rPr>
          <w:rFonts w:ascii="宋体" w:hAnsi="宋体" w:cs="宋体" w:eastAsia="宋体" w:hint="default"/>
          <w:sz w:val="12"/>
          <w:szCs w:val="12"/>
        </w:rPr>
      </w:pPr>
    </w:p>
    <w:p>
      <w:pPr>
        <w:pStyle w:val="BodyText"/>
        <w:spacing w:line="412" w:lineRule="auto" w:before="35"/>
        <w:ind w:left="230" w:right="217" w:firstLine="419"/>
        <w:jc w:val="left"/>
      </w:pPr>
      <w:r>
        <w:rPr/>
        <w:t>期末预收款项余额中，无预收持有公司 </w:t>
      </w:r>
      <w:r>
        <w:rPr>
          <w:rFonts w:ascii="Times New Roman" w:hAnsi="Times New Roman" w:cs="Times New Roman" w:eastAsia="Times New Roman" w:hint="default"/>
        </w:rPr>
        <w:t>5%(</w:t>
      </w:r>
      <w:r>
        <w:rPr/>
        <w:t>含</w:t>
      </w:r>
      <w:r>
        <w:rPr>
          <w:spacing w:val="-66"/>
        </w:rPr>
        <w:t> </w:t>
      </w:r>
      <w:r>
        <w:rPr>
          <w:rFonts w:ascii="Times New Roman" w:hAnsi="Times New Roman" w:cs="Times New Roman" w:eastAsia="Times New Roman" w:hint="default"/>
        </w:rPr>
        <w:t>5%)</w:t>
      </w:r>
      <w:r>
        <w:rPr/>
        <w:t>以上表决权股份的股东单位及关联方的 款项。</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0"/>
        <w:ind w:left="230" w:right="2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sz w:val="21"/>
          <w:szCs w:val="21"/>
        </w:rPr>
        <w:t>、应付职工薪酬</w:t>
      </w:r>
    </w:p>
    <w:p>
      <w:pPr>
        <w:spacing w:line="240" w:lineRule="auto" w:before="0"/>
        <w:rPr>
          <w:rFonts w:ascii="宋体" w:hAnsi="宋体" w:cs="宋体" w:eastAsia="宋体" w:hint="default"/>
          <w:sz w:val="16"/>
          <w:szCs w:val="16"/>
        </w:rPr>
      </w:pPr>
    </w:p>
    <w:p>
      <w:pPr>
        <w:pStyle w:val="BodyText"/>
        <w:tabs>
          <w:tab w:pos="1048" w:val="left" w:leader="none"/>
        </w:tabs>
        <w:spacing w:line="240" w:lineRule="auto"/>
        <w:ind w:left="0" w:right="229"/>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18"/>
        <w:gridCol w:w="1507"/>
        <w:gridCol w:w="1508"/>
        <w:gridCol w:w="1507"/>
        <w:gridCol w:w="1507"/>
      </w:tblGrid>
      <w:tr>
        <w:trPr>
          <w:trHeight w:val="510"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10"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14,878,723.21</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114,072,173.46</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112,120,290.10</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16,830,606.57</w:t>
            </w:r>
          </w:p>
        </w:tc>
      </w:tr>
      <w:tr>
        <w:trPr>
          <w:trHeight w:val="510"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10"/>
              <w:jc w:val="right"/>
              <w:rPr>
                <w:rFonts w:ascii="Times New Roman" w:hAnsi="Times New Roman" w:cs="Times New Roman" w:eastAsia="Times New Roman" w:hint="default"/>
                <w:sz w:val="18"/>
                <w:szCs w:val="18"/>
              </w:rPr>
            </w:pPr>
            <w:r>
              <w:rPr>
                <w:rFonts w:ascii="Times New Roman"/>
                <w:sz w:val="18"/>
              </w:rPr>
              <w:t>-</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6,978,952.14</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6,978,952.14</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15"/>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00" w:h="16840"/>
          <w:pgMar w:header="0" w:footer="982" w:top="1320" w:bottom="1180" w:left="1640" w:right="1180"/>
        </w:sectPr>
      </w:pPr>
    </w:p>
    <w:p>
      <w:pPr>
        <w:spacing w:line="240" w:lineRule="auto" w:before="9"/>
        <w:rPr>
          <w:rFonts w:ascii="宋体" w:hAnsi="宋体" w:cs="宋体" w:eastAsia="宋体" w:hint="default"/>
          <w:sz w:val="5"/>
          <w:szCs w:val="5"/>
        </w:rPr>
      </w:pPr>
    </w:p>
    <w:tbl>
      <w:tblPr>
        <w:tblW w:w="0" w:type="auto"/>
        <w:jc w:val="left"/>
        <w:tblInd w:w="143" w:type="dxa"/>
        <w:tblLayout w:type="fixed"/>
        <w:tblCellMar>
          <w:top w:w="0" w:type="dxa"/>
          <w:left w:w="0" w:type="dxa"/>
          <w:bottom w:w="0" w:type="dxa"/>
          <w:right w:w="0" w:type="dxa"/>
        </w:tblCellMar>
        <w:tblLook w:val="01E0"/>
      </w:tblPr>
      <w:tblGrid>
        <w:gridCol w:w="2818"/>
        <w:gridCol w:w="1507"/>
        <w:gridCol w:w="1508"/>
        <w:gridCol w:w="1507"/>
        <w:gridCol w:w="1507"/>
      </w:tblGrid>
      <w:tr>
        <w:trPr>
          <w:trHeight w:val="510"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30"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76,691.65</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15,494,642.81</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15,371,621.66</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199,712.80</w:t>
            </w:r>
          </w:p>
        </w:tc>
      </w:tr>
      <w:tr>
        <w:trPr>
          <w:trHeight w:val="529"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医疗保险费</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33,402.09</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3,028,024.97</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2,959,471.74</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101,955.32</w:t>
            </w:r>
          </w:p>
        </w:tc>
      </w:tr>
      <w:tr>
        <w:trPr>
          <w:trHeight w:val="530"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38,709.36</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11,591,007.24</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11,541,214.07</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88,502.53</w:t>
            </w:r>
          </w:p>
        </w:tc>
      </w:tr>
      <w:tr>
        <w:trPr>
          <w:trHeight w:val="530"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失业保险费</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1,868.94</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197,810.10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196,574.03</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3,105.01</w:t>
            </w:r>
          </w:p>
        </w:tc>
      </w:tr>
      <w:tr>
        <w:trPr>
          <w:trHeight w:val="529"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工伤保险费</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1,777.74</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353,296.84</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351,391.06</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3,683.52</w:t>
            </w:r>
          </w:p>
        </w:tc>
      </w:tr>
      <w:tr>
        <w:trPr>
          <w:trHeight w:val="530"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生育保险费</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933.52</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324,503.66</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322,970.76</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2,466.42</w:t>
            </w:r>
          </w:p>
        </w:tc>
      </w:tr>
      <w:tr>
        <w:trPr>
          <w:trHeight w:val="530"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42,780.00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905,471.43</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907,171.43</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41,080.00</w:t>
            </w:r>
          </w:p>
        </w:tc>
      </w:tr>
      <w:tr>
        <w:trPr>
          <w:trHeight w:val="529"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1,199,924.34</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1,097,348.56</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1,576,513.00</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720,759.90</w:t>
            </w:r>
          </w:p>
        </w:tc>
      </w:tr>
      <w:tr>
        <w:trPr>
          <w:trHeight w:val="530"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六、因解除劳动关系给予的补偿</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157,230.00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1,001,881.13</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1,022,797.18</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136,313.95</w:t>
            </w:r>
          </w:p>
        </w:tc>
      </w:tr>
      <w:tr>
        <w:trPr>
          <w:trHeight w:val="530"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2,088,552.53</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1,337,393.37</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1,094,925.16</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2,331,020.74</w:t>
            </w:r>
          </w:p>
        </w:tc>
      </w:tr>
      <w:tr>
        <w:trPr>
          <w:trHeight w:val="530"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18,443,901.73</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140,887,862.90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139,072,270.67</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20,259,493.96</w:t>
            </w:r>
          </w:p>
        </w:tc>
      </w:tr>
    </w:tbl>
    <w:p>
      <w:pPr>
        <w:spacing w:line="240" w:lineRule="auto" w:before="8"/>
        <w:rPr>
          <w:rFonts w:ascii="宋体" w:hAnsi="宋体" w:cs="宋体" w:eastAsia="宋体" w:hint="default"/>
          <w:sz w:val="13"/>
          <w:szCs w:val="13"/>
        </w:rPr>
      </w:pPr>
    </w:p>
    <w:p>
      <w:pPr>
        <w:pStyle w:val="BodyText"/>
        <w:spacing w:line="240" w:lineRule="auto" w:before="35"/>
        <w:ind w:left="270" w:right="220"/>
        <w:jc w:val="left"/>
      </w:pPr>
      <w:r>
        <w:rPr/>
        <w:t>应付职工薪酬中无属于拖欠性质的金额。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before="0"/>
        <w:ind w:left="270" w:right="2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sz w:val="21"/>
          <w:szCs w:val="21"/>
        </w:rPr>
        <w:t>、应交税费</w:t>
      </w:r>
    </w:p>
    <w:p>
      <w:pPr>
        <w:spacing w:line="240" w:lineRule="auto" w:before="12"/>
        <w:rPr>
          <w:rFonts w:ascii="宋体" w:hAnsi="宋体" w:cs="宋体" w:eastAsia="宋体" w:hint="default"/>
          <w:sz w:val="14"/>
          <w:szCs w:val="14"/>
        </w:rPr>
      </w:pPr>
    </w:p>
    <w:p>
      <w:pPr>
        <w:pStyle w:val="BodyText"/>
        <w:tabs>
          <w:tab w:pos="1049" w:val="left" w:leader="none"/>
        </w:tabs>
        <w:spacing w:line="240" w:lineRule="auto" w:before="35"/>
        <w:ind w:left="0" w:right="230"/>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018"/>
        <w:gridCol w:w="2892"/>
        <w:gridCol w:w="2894"/>
      </w:tblGrid>
      <w:tr>
        <w:trPr>
          <w:trHeight w:val="530" w:hRule="exact"/>
        </w:trPr>
        <w:tc>
          <w:tcPr>
            <w:tcW w:w="3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29" w:hRule="exact"/>
        </w:trPr>
        <w:tc>
          <w:tcPr>
            <w:tcW w:w="3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-2,655,537.19</w:t>
            </w:r>
          </w:p>
        </w:tc>
        <w:tc>
          <w:tcPr>
            <w:tcW w:w="2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-290,206.60</w:t>
            </w:r>
          </w:p>
        </w:tc>
      </w:tr>
      <w:tr>
        <w:trPr>
          <w:trHeight w:val="530" w:hRule="exact"/>
        </w:trPr>
        <w:tc>
          <w:tcPr>
            <w:tcW w:w="3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-6,615,695.92</w:t>
            </w:r>
          </w:p>
        </w:tc>
        <w:tc>
          <w:tcPr>
            <w:tcW w:w="2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13,719,302.37</w:t>
            </w:r>
          </w:p>
        </w:tc>
      </w:tr>
      <w:tr>
        <w:trPr>
          <w:trHeight w:val="530" w:hRule="exact"/>
        </w:trPr>
        <w:tc>
          <w:tcPr>
            <w:tcW w:w="3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4,619,401.60</w:t>
            </w:r>
          </w:p>
        </w:tc>
        <w:tc>
          <w:tcPr>
            <w:tcW w:w="2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965,532.18</w:t>
            </w:r>
          </w:p>
        </w:tc>
      </w:tr>
      <w:tr>
        <w:trPr>
          <w:trHeight w:val="529" w:hRule="exact"/>
        </w:trPr>
        <w:tc>
          <w:tcPr>
            <w:tcW w:w="3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28,767,851.47</w:t>
            </w:r>
          </w:p>
        </w:tc>
        <w:tc>
          <w:tcPr>
            <w:tcW w:w="2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408,620.56</w:t>
            </w:r>
          </w:p>
        </w:tc>
      </w:tr>
      <w:tr>
        <w:trPr>
          <w:trHeight w:val="530" w:hRule="exact"/>
        </w:trPr>
        <w:tc>
          <w:tcPr>
            <w:tcW w:w="3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-1,172,348.36</w:t>
            </w:r>
          </w:p>
        </w:tc>
        <w:tc>
          <w:tcPr>
            <w:tcW w:w="2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0"/>
              <w:jc w:val="right"/>
              <w:rPr>
                <w:rFonts w:ascii="Times New Roman" w:hAnsi="Times New Roman" w:cs="Times New Roman" w:eastAsia="Times New Roman" w:hint="default"/>
                <w:sz w:val="21"/>
                <w:szCs w:val="21"/>
              </w:rPr>
            </w:pPr>
            <w:r>
              <w:rPr>
                <w:rFonts w:ascii="Times New Roman"/>
                <w:spacing w:val="-1"/>
                <w:sz w:val="21"/>
              </w:rPr>
              <w:t>155,890.59</w:t>
            </w:r>
            <w:r>
              <w:rPr>
                <w:rFonts w:ascii="Times New Roman"/>
                <w:sz w:val="21"/>
              </w:rPr>
            </w:r>
          </w:p>
        </w:tc>
      </w:tr>
      <w:tr>
        <w:trPr>
          <w:trHeight w:val="530" w:hRule="exact"/>
        </w:trPr>
        <w:tc>
          <w:tcPr>
            <w:tcW w:w="3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其他税费</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1,194,019.97</w:t>
            </w:r>
          </w:p>
        </w:tc>
        <w:tc>
          <w:tcPr>
            <w:tcW w:w="2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3,497,073.53</w:t>
            </w:r>
          </w:p>
        </w:tc>
      </w:tr>
      <w:tr>
        <w:trPr>
          <w:trHeight w:val="529" w:hRule="exact"/>
        </w:trPr>
        <w:tc>
          <w:tcPr>
            <w:tcW w:w="3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2"/>
                <w:sz w:val="21"/>
              </w:rPr>
              <w:t>211,171.53</w:t>
            </w:r>
          </w:p>
        </w:tc>
        <w:tc>
          <w:tcPr>
            <w:tcW w:w="2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244,107.86</w:t>
            </w:r>
          </w:p>
        </w:tc>
      </w:tr>
      <w:tr>
        <w:trPr>
          <w:trHeight w:val="530" w:hRule="exact"/>
        </w:trPr>
        <w:tc>
          <w:tcPr>
            <w:tcW w:w="3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24,348,863.10</w:t>
            </w:r>
          </w:p>
        </w:tc>
        <w:tc>
          <w:tcPr>
            <w:tcW w:w="2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18,700,320.49</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982" w:top="1060" w:bottom="1180" w:left="1600" w:right="1180"/>
        </w:sectPr>
      </w:pPr>
    </w:p>
    <w:p>
      <w:pPr>
        <w:spacing w:before="7"/>
        <w:ind w:left="230" w:right="2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sz w:val="21"/>
          <w:szCs w:val="21"/>
        </w:rPr>
        <w:t>、应付利息</w:t>
      </w:r>
    </w:p>
    <w:p>
      <w:pPr>
        <w:spacing w:line="240" w:lineRule="auto" w:before="5"/>
        <w:rPr>
          <w:rFonts w:ascii="宋体" w:hAnsi="宋体" w:cs="宋体" w:eastAsia="宋体" w:hint="default"/>
          <w:sz w:val="16"/>
          <w:szCs w:val="16"/>
        </w:rPr>
      </w:pPr>
    </w:p>
    <w:p>
      <w:pPr>
        <w:pStyle w:val="BodyText"/>
        <w:tabs>
          <w:tab w:pos="1049" w:val="left" w:leader="none"/>
        </w:tabs>
        <w:spacing w:line="240" w:lineRule="auto" w:before="35"/>
        <w:ind w:left="0" w:right="230"/>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84"/>
        <w:gridCol w:w="2692"/>
        <w:gridCol w:w="2772"/>
      </w:tblGrid>
      <w:tr>
        <w:trPr>
          <w:trHeight w:val="550" w:hRule="exact"/>
        </w:trPr>
        <w:tc>
          <w:tcPr>
            <w:tcW w:w="33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tabs>
                <w:tab w:pos="421" w:val="left" w:leader="none"/>
              </w:tabs>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1" w:hRule="exact"/>
        </w:trPr>
        <w:tc>
          <w:tcPr>
            <w:tcW w:w="33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1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633" w:right="0"/>
              <w:jc w:val="left"/>
              <w:rPr>
                <w:rFonts w:ascii="Times New Roman" w:hAnsi="Times New Roman" w:cs="Times New Roman" w:eastAsia="Times New Roman" w:hint="default"/>
                <w:sz w:val="21"/>
                <w:szCs w:val="21"/>
              </w:rPr>
            </w:pPr>
            <w:r>
              <w:rPr>
                <w:rFonts w:ascii="Times New Roman"/>
                <w:sz w:val="21"/>
              </w:rPr>
              <w:t>960,933.70</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694" w:right="0"/>
              <w:jc w:val="left"/>
              <w:rPr>
                <w:rFonts w:ascii="Times New Roman" w:hAnsi="Times New Roman" w:cs="Times New Roman" w:eastAsia="Times New Roman" w:hint="default"/>
                <w:sz w:val="21"/>
                <w:szCs w:val="21"/>
              </w:rPr>
            </w:pPr>
            <w:r>
              <w:rPr>
                <w:rFonts w:ascii="Times New Roman"/>
                <w:sz w:val="21"/>
              </w:rPr>
              <w:t>972,578.93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5"/>
        <w:ind w:left="230" w:right="2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sz w:val="21"/>
          <w:szCs w:val="21"/>
        </w:rPr>
        <w:t>、应付股利</w:t>
      </w:r>
    </w:p>
    <w:p>
      <w:pPr>
        <w:spacing w:line="240" w:lineRule="auto" w:before="5"/>
        <w:rPr>
          <w:rFonts w:ascii="宋体" w:hAnsi="宋体" w:cs="宋体" w:eastAsia="宋体" w:hint="default"/>
          <w:sz w:val="16"/>
          <w:szCs w:val="16"/>
        </w:rPr>
      </w:pPr>
    </w:p>
    <w:p>
      <w:pPr>
        <w:pStyle w:val="BodyText"/>
        <w:tabs>
          <w:tab w:pos="1049" w:val="left" w:leader="none"/>
        </w:tabs>
        <w:spacing w:line="240" w:lineRule="auto" w:before="35"/>
        <w:ind w:left="0" w:right="230"/>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07"/>
        <w:gridCol w:w="2693"/>
        <w:gridCol w:w="2694"/>
      </w:tblGrid>
      <w:tr>
        <w:trPr>
          <w:trHeight w:val="550" w:hRule="exact"/>
        </w:trPr>
        <w:tc>
          <w:tcPr>
            <w:tcW w:w="33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1" w:hRule="exact"/>
        </w:trPr>
        <w:tc>
          <w:tcPr>
            <w:tcW w:w="33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原募集法人股东未领取的股利</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554" w:right="0"/>
              <w:jc w:val="left"/>
              <w:rPr>
                <w:rFonts w:ascii="Times New Roman" w:hAnsi="Times New Roman" w:cs="Times New Roman" w:eastAsia="Times New Roman" w:hint="default"/>
                <w:sz w:val="21"/>
                <w:szCs w:val="21"/>
              </w:rPr>
            </w:pPr>
            <w:r>
              <w:rPr>
                <w:rFonts w:ascii="Times New Roman"/>
                <w:sz w:val="21"/>
              </w:rPr>
              <w:t>1,786,039.81</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555" w:right="0"/>
              <w:jc w:val="left"/>
              <w:rPr>
                <w:rFonts w:ascii="Times New Roman" w:hAnsi="Times New Roman" w:cs="Times New Roman" w:eastAsia="Times New Roman" w:hint="default"/>
                <w:sz w:val="21"/>
                <w:szCs w:val="21"/>
              </w:rPr>
            </w:pPr>
            <w:r>
              <w:rPr>
                <w:rFonts w:ascii="Times New Roman"/>
                <w:sz w:val="21"/>
              </w:rPr>
              <w:t>1,786,039.81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5"/>
        <w:ind w:left="230" w:right="2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sz w:val="21"/>
          <w:szCs w:val="21"/>
        </w:rPr>
        <w:t>、其他应付款</w:t>
      </w:r>
    </w:p>
    <w:p>
      <w:pPr>
        <w:spacing w:line="240" w:lineRule="auto" w:before="1"/>
        <w:rPr>
          <w:rFonts w:ascii="宋体" w:hAnsi="宋体" w:cs="宋体" w:eastAsia="宋体" w:hint="default"/>
          <w:sz w:val="19"/>
          <w:szCs w:val="19"/>
        </w:rPr>
      </w:pPr>
    </w:p>
    <w:p>
      <w:pPr>
        <w:pStyle w:val="BodyText"/>
        <w:tabs>
          <w:tab w:pos="6486" w:val="left" w:leader="none"/>
          <w:tab w:pos="7536" w:val="left" w:leader="none"/>
        </w:tabs>
        <w:spacing w:line="240" w:lineRule="auto"/>
        <w:ind w:left="230" w:right="217"/>
        <w:jc w:val="left"/>
      </w:pPr>
      <w:r>
        <w:rPr>
          <w:spacing w:val="-1"/>
        </w:rPr>
        <w:t>（</w:t>
      </w:r>
      <w:r>
        <w:rPr>
          <w:rFonts w:ascii="Times New Roman" w:hAnsi="Times New Roman" w:cs="Times New Roman" w:eastAsia="Times New Roman" w:hint="default"/>
          <w:spacing w:val="-1"/>
        </w:rPr>
        <w:t>1</w:t>
      </w:r>
      <w:r>
        <w:rPr>
          <w:spacing w:val="-1"/>
        </w:rPr>
        <w:t>）其他应付款</w:t>
        <w:tab/>
      </w:r>
      <w:r>
        <w:rPr/>
        <w:t>单位：元</w:t>
        <w:tab/>
        <w:t>币种：人民币</w:t>
      </w:r>
    </w:p>
    <w:tbl>
      <w:tblPr>
        <w:tblW w:w="0" w:type="auto"/>
        <w:jc w:val="left"/>
        <w:tblInd w:w="103" w:type="dxa"/>
        <w:tblLayout w:type="fixed"/>
        <w:tblCellMar>
          <w:top w:w="0" w:type="dxa"/>
          <w:left w:w="0" w:type="dxa"/>
          <w:bottom w:w="0" w:type="dxa"/>
          <w:right w:w="0" w:type="dxa"/>
        </w:tblCellMar>
        <w:tblLook w:val="01E0"/>
      </w:tblPr>
      <w:tblGrid>
        <w:gridCol w:w="3384"/>
        <w:gridCol w:w="2693"/>
        <w:gridCol w:w="2693"/>
      </w:tblGrid>
      <w:tr>
        <w:trPr>
          <w:trHeight w:val="550" w:hRule="exact"/>
        </w:trPr>
        <w:tc>
          <w:tcPr>
            <w:tcW w:w="33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469"/>
              <w:jc w:val="right"/>
              <w:rPr>
                <w:rFonts w:ascii="宋体" w:hAnsi="宋体" w:cs="宋体" w:eastAsia="宋体" w:hint="default"/>
                <w:sz w:val="21"/>
                <w:szCs w:val="21"/>
              </w:rPr>
            </w:pPr>
            <w:r>
              <w:rPr>
                <w:rFonts w:ascii="宋体" w:hAnsi="宋体" w:cs="宋体" w:eastAsia="宋体" w:hint="default"/>
                <w:sz w:val="21"/>
                <w:szCs w:val="21"/>
              </w:rPr>
              <w:t>项目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1" w:hRule="exact"/>
        </w:trPr>
        <w:tc>
          <w:tcPr>
            <w:tcW w:w="33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60,696,764.73</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218,094,956.20</w:t>
            </w:r>
          </w:p>
        </w:tc>
      </w:tr>
      <w:tr>
        <w:trPr>
          <w:trHeight w:val="550" w:hRule="exact"/>
        </w:trPr>
        <w:tc>
          <w:tcPr>
            <w:tcW w:w="33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31,880,444.96</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31,029,636.56</w:t>
            </w:r>
          </w:p>
        </w:tc>
      </w:tr>
      <w:tr>
        <w:trPr>
          <w:trHeight w:val="550" w:hRule="exact"/>
        </w:trPr>
        <w:tc>
          <w:tcPr>
            <w:tcW w:w="33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预提税费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10,380,270.47</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730,000.00</w:t>
            </w:r>
          </w:p>
        </w:tc>
      </w:tr>
      <w:tr>
        <w:trPr>
          <w:trHeight w:val="551" w:hRule="exact"/>
        </w:trPr>
        <w:tc>
          <w:tcPr>
            <w:tcW w:w="33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购房意向金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9,890,679.73</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69,210,124.03</w:t>
            </w:r>
          </w:p>
        </w:tc>
      </w:tr>
      <w:tr>
        <w:trPr>
          <w:trHeight w:val="550" w:hRule="exact"/>
        </w:trPr>
        <w:tc>
          <w:tcPr>
            <w:tcW w:w="33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代收代付款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30,795,707.55</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29,953,745.85</w:t>
            </w:r>
          </w:p>
        </w:tc>
      </w:tr>
      <w:tr>
        <w:trPr>
          <w:trHeight w:val="550" w:hRule="exact"/>
        </w:trPr>
        <w:tc>
          <w:tcPr>
            <w:tcW w:w="33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21,219,231.32</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10,338,867.07</w:t>
            </w:r>
          </w:p>
        </w:tc>
      </w:tr>
      <w:tr>
        <w:trPr>
          <w:trHeight w:val="551" w:hRule="exact"/>
        </w:trPr>
        <w:tc>
          <w:tcPr>
            <w:tcW w:w="33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469"/>
              <w:jc w:val="right"/>
              <w:rPr>
                <w:rFonts w:ascii="宋体" w:hAnsi="宋体" w:cs="宋体" w:eastAsia="宋体" w:hint="default"/>
                <w:sz w:val="21"/>
                <w:szCs w:val="21"/>
              </w:rPr>
            </w:pPr>
            <w:r>
              <w:rPr>
                <w:rFonts w:ascii="宋体" w:hAnsi="宋体" w:cs="宋体" w:eastAsia="宋体" w:hint="default"/>
                <w:sz w:val="21"/>
                <w:szCs w:val="21"/>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164,863,098.76</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359,357,329.71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before="35"/>
        <w:ind w:left="230" w:right="217"/>
        <w:jc w:val="left"/>
      </w:pPr>
      <w:r>
        <w:rPr/>
        <w:t>（</w:t>
      </w:r>
      <w:r>
        <w:rPr>
          <w:rFonts w:ascii="Times New Roman" w:hAnsi="Times New Roman" w:cs="Times New Roman" w:eastAsia="Times New Roman" w:hint="default"/>
        </w:rPr>
        <w:t>2</w:t>
      </w:r>
      <w:r>
        <w:rPr/>
        <w:t>）期末其他应付款中应付持有公司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以上表决权股份的股东单位或关联方情况</w:t>
      </w:r>
    </w:p>
    <w:p>
      <w:pPr>
        <w:spacing w:line="240" w:lineRule="auto" w:before="1"/>
        <w:rPr>
          <w:rFonts w:ascii="宋体" w:hAnsi="宋体" w:cs="宋体" w:eastAsia="宋体" w:hint="default"/>
          <w:sz w:val="19"/>
          <w:szCs w:val="19"/>
        </w:rPr>
      </w:pPr>
    </w:p>
    <w:p>
      <w:pPr>
        <w:pStyle w:val="BodyText"/>
        <w:tabs>
          <w:tab w:pos="1049" w:val="left" w:leader="none"/>
        </w:tabs>
        <w:spacing w:line="240" w:lineRule="auto"/>
        <w:ind w:left="0" w:right="229"/>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07"/>
        <w:gridCol w:w="2693"/>
        <w:gridCol w:w="2694"/>
      </w:tblGrid>
      <w:tr>
        <w:trPr>
          <w:trHeight w:val="550" w:hRule="exact"/>
        </w:trPr>
        <w:tc>
          <w:tcPr>
            <w:tcW w:w="33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1" w:hRule="exact"/>
        </w:trPr>
        <w:tc>
          <w:tcPr>
            <w:tcW w:w="33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深圳市东鸿信投资发展有限公司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449" w:right="0"/>
              <w:jc w:val="left"/>
              <w:rPr>
                <w:rFonts w:ascii="Times New Roman" w:hAnsi="Times New Roman" w:cs="Times New Roman" w:eastAsia="Times New Roman" w:hint="default"/>
                <w:sz w:val="21"/>
                <w:szCs w:val="21"/>
              </w:rPr>
            </w:pPr>
            <w:r>
              <w:rPr>
                <w:rFonts w:ascii="Times New Roman"/>
                <w:sz w:val="21"/>
              </w:rPr>
              <w:t>15,962,168.40</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450" w:right="0"/>
              <w:jc w:val="left"/>
              <w:rPr>
                <w:rFonts w:ascii="Times New Roman" w:hAnsi="Times New Roman" w:cs="Times New Roman" w:eastAsia="Times New Roman" w:hint="default"/>
                <w:sz w:val="21"/>
                <w:szCs w:val="21"/>
              </w:rPr>
            </w:pPr>
            <w:r>
              <w:rPr>
                <w:rFonts w:ascii="Times New Roman"/>
                <w:sz w:val="21"/>
              </w:rPr>
              <w:t>10,454,799.49</w:t>
            </w:r>
          </w:p>
        </w:tc>
      </w:tr>
    </w:tbl>
    <w:p>
      <w:pPr>
        <w:spacing w:after="0" w:line="240" w:lineRule="auto"/>
        <w:jc w:val="left"/>
        <w:rPr>
          <w:rFonts w:ascii="Times New Roman" w:hAnsi="Times New Roman" w:cs="Times New Roman" w:eastAsia="Times New Roman" w:hint="default"/>
          <w:sz w:val="21"/>
          <w:szCs w:val="21"/>
        </w:rPr>
        <w:sectPr>
          <w:pgSz w:w="11900" w:h="16840"/>
          <w:pgMar w:header="0" w:footer="982" w:top="1360" w:bottom="1180" w:left="1640" w:right="1180"/>
        </w:sectPr>
      </w:pPr>
    </w:p>
    <w:p>
      <w:pPr>
        <w:spacing w:before="7"/>
        <w:ind w:left="40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sz w:val="21"/>
          <w:szCs w:val="21"/>
        </w:rPr>
        <w:t>、</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
          <w:sz w:val="21"/>
          <w:szCs w:val="21"/>
        </w:rPr>
        <w:t> </w:t>
      </w:r>
      <w:r>
        <w:rPr>
          <w:rFonts w:ascii="宋体" w:hAnsi="宋体" w:cs="宋体" w:eastAsia="宋体" w:hint="default"/>
          <w:sz w:val="21"/>
          <w:szCs w:val="21"/>
        </w:rPr>
        <w:t>年内到期的非流动负债</w:t>
      </w:r>
    </w:p>
    <w:p>
      <w:pPr>
        <w:spacing w:line="240" w:lineRule="auto" w:before="10"/>
        <w:rPr>
          <w:rFonts w:ascii="宋体" w:hAnsi="宋体" w:cs="宋体" w:eastAsia="宋体" w:hint="default"/>
          <w:sz w:val="11"/>
          <w:szCs w:val="11"/>
        </w:rPr>
      </w:pPr>
    </w:p>
    <w:p>
      <w:pPr>
        <w:pStyle w:val="BodyText"/>
        <w:tabs>
          <w:tab w:pos="1049" w:val="left" w:leader="none"/>
        </w:tabs>
        <w:spacing w:line="240" w:lineRule="auto" w:before="35"/>
        <w:ind w:left="0" w:right="230"/>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71" w:type="dxa"/>
        <w:tblLayout w:type="fixed"/>
        <w:tblCellMar>
          <w:top w:w="0" w:type="dxa"/>
          <w:left w:w="0" w:type="dxa"/>
          <w:bottom w:w="0" w:type="dxa"/>
          <w:right w:w="0" w:type="dxa"/>
        </w:tblCellMar>
        <w:tblLook w:val="01E0"/>
      </w:tblPr>
      <w:tblGrid>
        <w:gridCol w:w="2845"/>
        <w:gridCol w:w="2947"/>
        <w:gridCol w:w="2947"/>
      </w:tblGrid>
      <w:tr>
        <w:trPr>
          <w:trHeight w:val="490" w:hRule="exact"/>
        </w:trPr>
        <w:tc>
          <w:tcPr>
            <w:tcW w:w="2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3"/>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1" w:hRule="exact"/>
        </w:trPr>
        <w:tc>
          <w:tcPr>
            <w:tcW w:w="2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年内到期的长期借款</w:t>
            </w:r>
          </w:p>
        </w:tc>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27" w:right="0"/>
              <w:jc w:val="left"/>
              <w:rPr>
                <w:rFonts w:ascii="Times New Roman" w:hAnsi="Times New Roman" w:cs="Times New Roman" w:eastAsia="Times New Roman" w:hint="default"/>
                <w:sz w:val="21"/>
                <w:szCs w:val="21"/>
              </w:rPr>
            </w:pPr>
            <w:r>
              <w:rPr>
                <w:rFonts w:ascii="Times New Roman"/>
                <w:sz w:val="21"/>
              </w:rPr>
              <w:t>30,000,000.00</w:t>
            </w:r>
          </w:p>
        </w:tc>
        <w:tc>
          <w:tcPr>
            <w:tcW w:w="2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27" w:right="0"/>
              <w:jc w:val="left"/>
              <w:rPr>
                <w:rFonts w:ascii="Times New Roman" w:hAnsi="Times New Roman" w:cs="Times New Roman" w:eastAsia="Times New Roman" w:hint="default"/>
                <w:sz w:val="21"/>
                <w:szCs w:val="21"/>
              </w:rPr>
            </w:pPr>
            <w:r>
              <w:rPr>
                <w:rFonts w:ascii="Times New Roman"/>
                <w:sz w:val="21"/>
              </w:rPr>
              <w:t>78,200,257.10</w:t>
            </w:r>
          </w:p>
        </w:tc>
      </w:tr>
    </w:tbl>
    <w:p>
      <w:pPr>
        <w:spacing w:line="240" w:lineRule="auto" w:before="7"/>
        <w:rPr>
          <w:rFonts w:ascii="宋体" w:hAnsi="宋体" w:cs="宋体" w:eastAsia="宋体" w:hint="default"/>
          <w:sz w:val="10"/>
          <w:szCs w:val="10"/>
        </w:rPr>
      </w:pPr>
    </w:p>
    <w:p>
      <w:pPr>
        <w:pStyle w:val="BodyText"/>
        <w:spacing w:line="240" w:lineRule="auto" w:before="35"/>
        <w:ind w:left="0" w:right="228"/>
        <w:jc w:val="right"/>
      </w:pPr>
      <w:r>
        <w:rPr>
          <w:rFonts w:ascii="Times New Roman" w:hAnsi="Times New Roman" w:cs="Times New Roman" w:eastAsia="Times New Roman" w:hint="default"/>
        </w:rPr>
        <w:t>1 </w:t>
      </w:r>
      <w:r>
        <w:rPr>
          <w:rFonts w:ascii="Times New Roman" w:hAnsi="Times New Roman" w:cs="Times New Roman" w:eastAsia="Times New Roman" w:hint="default"/>
          <w:spacing w:val="5"/>
        </w:rPr>
        <w:t> </w:t>
      </w:r>
      <w:r>
        <w:rPr/>
        <w:t>年内到期的长期借款是本公司向中国建设银行深圳市分行布吉支行的借款，该笔借款的</w:t>
      </w:r>
    </w:p>
    <w:p>
      <w:pPr>
        <w:pStyle w:val="BodyText"/>
        <w:spacing w:line="396" w:lineRule="auto" w:before="189"/>
        <w:ind w:right="0"/>
        <w:jc w:val="left"/>
      </w:pPr>
      <w:r>
        <w:rPr/>
        <w:t>期限为</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日至</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日，利率按基准利率上浮</w:t>
      </w:r>
      <w:r>
        <w:rPr>
          <w:spacing w:val="-55"/>
        </w:rPr>
        <w:t> </w:t>
      </w:r>
      <w:r>
        <w:rPr>
          <w:rFonts w:ascii="Times New Roman" w:hAnsi="Times New Roman" w:cs="Times New Roman" w:eastAsia="Times New Roman" w:hint="default"/>
        </w:rPr>
        <w:t>10%</w:t>
      </w:r>
      <w:r>
        <w:rPr/>
        <w:t>，该等借款为保证及 抵押借款。</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before="0"/>
        <w:ind w:left="19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sz w:val="21"/>
          <w:szCs w:val="21"/>
        </w:rPr>
        <w:t>、长期借款</w:t>
      </w:r>
    </w:p>
    <w:p>
      <w:pPr>
        <w:pStyle w:val="BodyText"/>
        <w:spacing w:line="240" w:lineRule="auto" w:before="189"/>
        <w:ind w:right="0"/>
        <w:jc w:val="left"/>
      </w:pPr>
      <w:r>
        <w:rPr/>
        <w:t>（</w:t>
      </w:r>
      <w:r>
        <w:rPr>
          <w:rFonts w:ascii="Times New Roman" w:hAnsi="Times New Roman" w:cs="Times New Roman" w:eastAsia="Times New Roman" w:hint="default"/>
        </w:rPr>
        <w:t>1</w:t>
      </w:r>
      <w:r>
        <w:rPr/>
        <w:t>）长期借款分类</w:t>
      </w:r>
    </w:p>
    <w:p>
      <w:pPr>
        <w:pStyle w:val="BodyText"/>
        <w:tabs>
          <w:tab w:pos="1049" w:val="left" w:leader="none"/>
        </w:tabs>
        <w:spacing w:line="240" w:lineRule="auto" w:before="189"/>
        <w:ind w:left="0" w:right="230"/>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41" w:type="dxa"/>
        <w:tblLayout w:type="fixed"/>
        <w:tblCellMar>
          <w:top w:w="0" w:type="dxa"/>
          <w:left w:w="0" w:type="dxa"/>
          <w:bottom w:w="0" w:type="dxa"/>
          <w:right w:w="0" w:type="dxa"/>
        </w:tblCellMar>
        <w:tblLook w:val="01E0"/>
      </w:tblPr>
      <w:tblGrid>
        <w:gridCol w:w="3448"/>
        <w:gridCol w:w="2551"/>
        <w:gridCol w:w="2693"/>
      </w:tblGrid>
      <w:tr>
        <w:trPr>
          <w:trHeight w:val="490" w:hRule="exact"/>
        </w:trPr>
        <w:tc>
          <w:tcPr>
            <w:tcW w:w="3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1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3"/>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1" w:hRule="exact"/>
        </w:trPr>
        <w:tc>
          <w:tcPr>
            <w:tcW w:w="3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44"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91"/>
              <w:jc w:val="right"/>
              <w:rPr>
                <w:rFonts w:ascii="Times New Roman" w:hAnsi="Times New Roman" w:cs="Times New Roman" w:eastAsia="Times New Roman" w:hint="default"/>
                <w:sz w:val="21"/>
                <w:szCs w:val="21"/>
              </w:rPr>
            </w:pPr>
            <w:r>
              <w:rPr>
                <w:rFonts w:ascii="Times New Roman"/>
                <w:sz w:val="21"/>
              </w:rPr>
              <w:t>-</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38"/>
              <w:jc w:val="right"/>
              <w:rPr>
                <w:rFonts w:ascii="Times New Roman" w:hAnsi="Times New Roman" w:cs="Times New Roman" w:eastAsia="Times New Roman" w:hint="default"/>
                <w:sz w:val="21"/>
                <w:szCs w:val="21"/>
              </w:rPr>
            </w:pPr>
            <w:r>
              <w:rPr>
                <w:rFonts w:ascii="Times New Roman"/>
                <w:sz w:val="21"/>
              </w:rPr>
              <w:t>-</w:t>
            </w:r>
          </w:p>
        </w:tc>
      </w:tr>
      <w:tr>
        <w:trPr>
          <w:trHeight w:val="490" w:hRule="exact"/>
        </w:trPr>
        <w:tc>
          <w:tcPr>
            <w:tcW w:w="3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44"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21"/>
                <w:szCs w:val="21"/>
              </w:rPr>
            </w:pPr>
            <w:r>
              <w:rPr>
                <w:rFonts w:ascii="Times New Roman"/>
                <w:spacing w:val="-1"/>
                <w:sz w:val="21"/>
              </w:rPr>
              <w:t>120,000,000.00</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7"/>
              <w:jc w:val="right"/>
              <w:rPr>
                <w:rFonts w:ascii="Times New Roman" w:hAnsi="Times New Roman" w:cs="Times New Roman" w:eastAsia="Times New Roman" w:hint="default"/>
                <w:sz w:val="21"/>
                <w:szCs w:val="21"/>
              </w:rPr>
            </w:pPr>
            <w:r>
              <w:rPr>
                <w:rFonts w:ascii="Times New Roman"/>
                <w:spacing w:val="-1"/>
                <w:sz w:val="21"/>
              </w:rPr>
              <w:t>100,000,000.00</w:t>
            </w:r>
          </w:p>
        </w:tc>
      </w:tr>
      <w:tr>
        <w:trPr>
          <w:trHeight w:val="490" w:hRule="exact"/>
        </w:trPr>
        <w:tc>
          <w:tcPr>
            <w:tcW w:w="3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4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91"/>
              <w:jc w:val="right"/>
              <w:rPr>
                <w:rFonts w:ascii="Times New Roman" w:hAnsi="Times New Roman" w:cs="Times New Roman" w:eastAsia="Times New Roman" w:hint="default"/>
                <w:sz w:val="21"/>
                <w:szCs w:val="21"/>
              </w:rPr>
            </w:pPr>
            <w:r>
              <w:rPr>
                <w:rFonts w:ascii="Times New Roman"/>
                <w:sz w:val="21"/>
              </w:rPr>
              <w:t>-</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38"/>
              <w:jc w:val="right"/>
              <w:rPr>
                <w:rFonts w:ascii="Times New Roman" w:hAnsi="Times New Roman" w:cs="Times New Roman" w:eastAsia="Times New Roman" w:hint="default"/>
                <w:sz w:val="21"/>
                <w:szCs w:val="21"/>
              </w:rPr>
            </w:pPr>
            <w:r>
              <w:rPr>
                <w:rFonts w:ascii="Times New Roman"/>
                <w:sz w:val="21"/>
              </w:rPr>
              <w:t>-</w:t>
            </w:r>
          </w:p>
        </w:tc>
      </w:tr>
      <w:tr>
        <w:trPr>
          <w:trHeight w:val="491" w:hRule="exact"/>
        </w:trPr>
        <w:tc>
          <w:tcPr>
            <w:tcW w:w="3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44" w:right="0"/>
              <w:jc w:val="left"/>
              <w:rPr>
                <w:rFonts w:ascii="宋体" w:hAnsi="宋体" w:cs="宋体" w:eastAsia="宋体" w:hint="default"/>
                <w:sz w:val="21"/>
                <w:szCs w:val="21"/>
              </w:rPr>
            </w:pPr>
            <w:r>
              <w:rPr>
                <w:rFonts w:ascii="宋体" w:hAnsi="宋体" w:cs="宋体" w:eastAsia="宋体" w:hint="default"/>
                <w:sz w:val="21"/>
                <w:szCs w:val="21"/>
              </w:rPr>
              <w:t>以上两种或两种以上条件取得的借款</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21"/>
                <w:szCs w:val="21"/>
              </w:rPr>
            </w:pPr>
            <w:r>
              <w:rPr>
                <w:rFonts w:ascii="Times New Roman"/>
                <w:spacing w:val="-1"/>
                <w:sz w:val="21"/>
              </w:rPr>
              <w:t>220,000,000.00</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7"/>
              <w:jc w:val="right"/>
              <w:rPr>
                <w:rFonts w:ascii="Times New Roman" w:hAnsi="Times New Roman" w:cs="Times New Roman" w:eastAsia="Times New Roman" w:hint="default"/>
                <w:sz w:val="21"/>
                <w:szCs w:val="21"/>
              </w:rPr>
            </w:pPr>
            <w:r>
              <w:rPr>
                <w:rFonts w:ascii="Times New Roman"/>
                <w:spacing w:val="-1"/>
                <w:sz w:val="21"/>
              </w:rPr>
              <w:t>188,349,755.97</w:t>
            </w:r>
          </w:p>
        </w:tc>
      </w:tr>
      <w:tr>
        <w:trPr>
          <w:trHeight w:val="490" w:hRule="exact"/>
        </w:trPr>
        <w:tc>
          <w:tcPr>
            <w:tcW w:w="3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4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21"/>
                <w:szCs w:val="21"/>
              </w:rPr>
            </w:pPr>
            <w:r>
              <w:rPr>
                <w:rFonts w:ascii="Times New Roman"/>
                <w:spacing w:val="-1"/>
                <w:sz w:val="21"/>
              </w:rPr>
              <w:t>340,000,000.00</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7"/>
              <w:jc w:val="right"/>
              <w:rPr>
                <w:rFonts w:ascii="Times New Roman" w:hAnsi="Times New Roman" w:cs="Times New Roman" w:eastAsia="Times New Roman" w:hint="default"/>
                <w:sz w:val="21"/>
                <w:szCs w:val="21"/>
              </w:rPr>
            </w:pPr>
            <w:r>
              <w:rPr>
                <w:rFonts w:ascii="Times New Roman"/>
                <w:spacing w:val="-1"/>
                <w:sz w:val="21"/>
              </w:rPr>
              <w:t>288,349,755.97</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before="35"/>
        <w:ind w:right="0"/>
        <w:jc w:val="left"/>
      </w:pPr>
      <w:r>
        <w:rPr/>
        <w:t>（</w:t>
      </w:r>
      <w:r>
        <w:rPr>
          <w:rFonts w:ascii="Times New Roman" w:hAnsi="Times New Roman" w:cs="Times New Roman" w:eastAsia="Times New Roman" w:hint="default"/>
        </w:rPr>
        <w:t>2</w:t>
      </w:r>
      <w:r>
        <w:rPr/>
        <w:t>）金额前五名的长期借款</w:t>
      </w:r>
    </w:p>
    <w:p>
      <w:pPr>
        <w:spacing w:line="240" w:lineRule="auto" w:before="10"/>
        <w:rPr>
          <w:rFonts w:ascii="宋体" w:hAnsi="宋体" w:cs="宋体" w:eastAsia="宋体" w:hint="default"/>
          <w:sz w:val="11"/>
          <w:szCs w:val="11"/>
        </w:rPr>
      </w:pPr>
    </w:p>
    <w:p>
      <w:pPr>
        <w:pStyle w:val="BodyText"/>
        <w:tabs>
          <w:tab w:pos="1049" w:val="left" w:leader="none"/>
        </w:tabs>
        <w:spacing w:line="240" w:lineRule="auto" w:before="35"/>
        <w:ind w:left="0" w:right="231"/>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41" w:type="dxa"/>
        <w:tblLayout w:type="fixed"/>
        <w:tblCellMar>
          <w:top w:w="0" w:type="dxa"/>
          <w:left w:w="0" w:type="dxa"/>
          <w:bottom w:w="0" w:type="dxa"/>
          <w:right w:w="0" w:type="dxa"/>
        </w:tblCellMar>
        <w:tblLook w:val="01E0"/>
      </w:tblPr>
      <w:tblGrid>
        <w:gridCol w:w="1355"/>
        <w:gridCol w:w="958"/>
        <w:gridCol w:w="852"/>
        <w:gridCol w:w="588"/>
        <w:gridCol w:w="828"/>
        <w:gridCol w:w="1050"/>
        <w:gridCol w:w="1079"/>
        <w:gridCol w:w="809"/>
        <w:gridCol w:w="1174"/>
      </w:tblGrid>
      <w:tr>
        <w:trPr>
          <w:trHeight w:val="491" w:hRule="exact"/>
        </w:trPr>
        <w:tc>
          <w:tcPr>
            <w:tcW w:w="135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384" w:right="0"/>
              <w:jc w:val="left"/>
              <w:rPr>
                <w:rFonts w:ascii="宋体" w:hAnsi="宋体" w:cs="宋体" w:eastAsia="宋体" w:hint="default"/>
                <w:sz w:val="15"/>
                <w:szCs w:val="15"/>
              </w:rPr>
            </w:pPr>
            <w:r>
              <w:rPr>
                <w:rFonts w:ascii="宋体" w:hAnsi="宋体" w:cs="宋体" w:eastAsia="宋体" w:hint="default"/>
                <w:sz w:val="15"/>
                <w:szCs w:val="15"/>
              </w:rPr>
              <w:t>贷款单位</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98" w:right="0"/>
              <w:jc w:val="left"/>
              <w:rPr>
                <w:rFonts w:ascii="宋体" w:hAnsi="宋体" w:cs="宋体" w:eastAsia="宋体" w:hint="default"/>
                <w:sz w:val="15"/>
                <w:szCs w:val="15"/>
              </w:rPr>
            </w:pPr>
            <w:r>
              <w:rPr>
                <w:rFonts w:ascii="宋体" w:hAnsi="宋体" w:cs="宋体" w:eastAsia="宋体" w:hint="default"/>
                <w:sz w:val="15"/>
                <w:szCs w:val="15"/>
              </w:rPr>
              <w:t>借款起始日</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45" w:right="0"/>
              <w:jc w:val="left"/>
              <w:rPr>
                <w:rFonts w:ascii="宋体" w:hAnsi="宋体" w:cs="宋体" w:eastAsia="宋体" w:hint="default"/>
                <w:sz w:val="15"/>
                <w:szCs w:val="15"/>
              </w:rPr>
            </w:pPr>
            <w:r>
              <w:rPr>
                <w:rFonts w:ascii="宋体" w:hAnsi="宋体" w:cs="宋体" w:eastAsia="宋体" w:hint="default"/>
                <w:sz w:val="15"/>
                <w:szCs w:val="15"/>
              </w:rPr>
              <w:t>借款终止日</w:t>
            </w: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139" w:right="0"/>
              <w:jc w:val="left"/>
              <w:rPr>
                <w:rFonts w:ascii="宋体" w:hAnsi="宋体" w:cs="宋体" w:eastAsia="宋体" w:hint="default"/>
                <w:sz w:val="15"/>
                <w:szCs w:val="15"/>
              </w:rPr>
            </w:pPr>
            <w:r>
              <w:rPr>
                <w:rFonts w:ascii="宋体" w:hAnsi="宋体" w:cs="宋体" w:eastAsia="宋体" w:hint="default"/>
                <w:sz w:val="15"/>
                <w:szCs w:val="15"/>
              </w:rPr>
              <w:t>币种</w:t>
            </w:r>
          </w:p>
        </w:tc>
        <w:tc>
          <w:tcPr>
            <w:tcW w:w="8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46" w:right="0"/>
              <w:jc w:val="left"/>
              <w:rPr>
                <w:rFonts w:ascii="宋体" w:hAnsi="宋体" w:cs="宋体" w:eastAsia="宋体" w:hint="default"/>
                <w:sz w:val="15"/>
                <w:szCs w:val="15"/>
              </w:rPr>
            </w:pPr>
            <w:r>
              <w:rPr>
                <w:rFonts w:ascii="宋体" w:hAnsi="宋体" w:cs="宋体" w:eastAsia="宋体" w:hint="default"/>
                <w:sz w:val="15"/>
                <w:szCs w:val="15"/>
              </w:rPr>
              <w:t>利率（</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21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期末数</w:t>
            </w:r>
          </w:p>
        </w:tc>
        <w:tc>
          <w:tcPr>
            <w:tcW w:w="198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4"/>
              <w:jc w:val="center"/>
              <w:rPr>
                <w:rFonts w:ascii="宋体" w:hAnsi="宋体" w:cs="宋体" w:eastAsia="宋体" w:hint="default"/>
                <w:sz w:val="15"/>
                <w:szCs w:val="15"/>
              </w:rPr>
            </w:pPr>
            <w:r>
              <w:rPr>
                <w:rFonts w:ascii="宋体" w:hAnsi="宋体" w:cs="宋体" w:eastAsia="宋体" w:hint="default"/>
                <w:sz w:val="15"/>
                <w:szCs w:val="15"/>
              </w:rPr>
              <w:t>期初数</w:t>
            </w:r>
          </w:p>
        </w:tc>
      </w:tr>
      <w:tr>
        <w:trPr>
          <w:trHeight w:val="490" w:hRule="exact"/>
        </w:trPr>
        <w:tc>
          <w:tcPr>
            <w:tcW w:w="1355" w:type="dxa"/>
            <w:vMerge/>
            <w:tcBorders>
              <w:left w:val="nil" w:sz="6" w:space="0" w:color="auto"/>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828" w:type="dxa"/>
            <w:vMerge/>
            <w:tcBorders>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8"/>
              <w:jc w:val="right"/>
              <w:rPr>
                <w:rFonts w:ascii="宋体" w:hAnsi="宋体" w:cs="宋体" w:eastAsia="宋体" w:hint="default"/>
                <w:sz w:val="15"/>
                <w:szCs w:val="15"/>
              </w:rPr>
            </w:pPr>
            <w:r>
              <w:rPr>
                <w:rFonts w:ascii="宋体" w:hAnsi="宋体" w:cs="宋体" w:eastAsia="宋体" w:hint="default"/>
                <w:sz w:val="15"/>
                <w:szCs w:val="15"/>
              </w:rPr>
              <w:t>外币金额</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本币金额</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9" w:right="0"/>
              <w:jc w:val="left"/>
              <w:rPr>
                <w:rFonts w:ascii="宋体" w:hAnsi="宋体" w:cs="宋体" w:eastAsia="宋体" w:hint="default"/>
                <w:sz w:val="15"/>
                <w:szCs w:val="15"/>
              </w:rPr>
            </w:pPr>
            <w:r>
              <w:rPr>
                <w:rFonts w:ascii="宋体" w:hAnsi="宋体" w:cs="宋体" w:eastAsia="宋体" w:hint="default"/>
                <w:sz w:val="15"/>
                <w:szCs w:val="15"/>
              </w:rPr>
              <w:t>外币金额</w:t>
            </w:r>
          </w:p>
        </w:tc>
        <w:tc>
          <w:tcPr>
            <w:tcW w:w="1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80" w:right="0"/>
              <w:jc w:val="left"/>
              <w:rPr>
                <w:rFonts w:ascii="宋体" w:hAnsi="宋体" w:cs="宋体" w:eastAsia="宋体" w:hint="default"/>
                <w:sz w:val="15"/>
                <w:szCs w:val="15"/>
              </w:rPr>
            </w:pPr>
            <w:r>
              <w:rPr>
                <w:rFonts w:ascii="宋体" w:hAnsi="宋体" w:cs="宋体" w:eastAsia="宋体" w:hint="default"/>
                <w:sz w:val="15"/>
                <w:szCs w:val="15"/>
              </w:rPr>
              <w:t>本币金额</w:t>
            </w:r>
          </w:p>
        </w:tc>
      </w:tr>
      <w:tr>
        <w:trPr>
          <w:trHeight w:val="640" w:hRule="exact"/>
        </w:trPr>
        <w:tc>
          <w:tcPr>
            <w:tcW w:w="1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4" w:right="23"/>
              <w:jc w:val="left"/>
              <w:rPr>
                <w:rFonts w:ascii="宋体" w:hAnsi="宋体" w:cs="宋体" w:eastAsia="宋体" w:hint="default"/>
                <w:sz w:val="15"/>
                <w:szCs w:val="15"/>
              </w:rPr>
            </w:pPr>
            <w:r>
              <w:rPr>
                <w:rFonts w:ascii="宋体" w:hAnsi="宋体" w:cs="宋体" w:eastAsia="宋体" w:hint="default"/>
                <w:spacing w:val="9"/>
                <w:sz w:val="15"/>
                <w:szCs w:val="15"/>
              </w:rPr>
              <w:t>建行西安高新技术</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产业开发区支行</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2009.02.24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2012.02.23</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RMB</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5.9400%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225"/>
              <w:jc w:val="right"/>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70" w:right="0"/>
              <w:jc w:val="center"/>
              <w:rPr>
                <w:rFonts w:ascii="Times New Roman" w:hAnsi="Times New Roman" w:cs="Times New Roman" w:eastAsia="Times New Roman" w:hint="default"/>
                <w:sz w:val="15"/>
                <w:szCs w:val="15"/>
              </w:rPr>
            </w:pPr>
            <w:r>
              <w:rPr>
                <w:rFonts w:ascii="Times New Roman"/>
                <w:sz w:val="15"/>
              </w:rPr>
              <w:t>90,000,000.00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509" w:right="0"/>
              <w:jc w:val="left"/>
              <w:rPr>
                <w:rFonts w:ascii="Times New Roman" w:hAnsi="Times New Roman" w:cs="Times New Roman" w:eastAsia="Times New Roman" w:hint="default"/>
                <w:sz w:val="15"/>
                <w:szCs w:val="15"/>
              </w:rPr>
            </w:pPr>
            <w:r>
              <w:rPr>
                <w:rFonts w:ascii="Times New Roman"/>
                <w:sz w:val="15"/>
              </w:rPr>
              <w:t>-</w:t>
            </w:r>
          </w:p>
        </w:tc>
        <w:tc>
          <w:tcPr>
            <w:tcW w:w="117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762" w:right="0"/>
              <w:jc w:val="left"/>
              <w:rPr>
                <w:rFonts w:ascii="Times New Roman" w:hAnsi="Times New Roman" w:cs="Times New Roman" w:eastAsia="Times New Roman" w:hint="default"/>
                <w:sz w:val="15"/>
                <w:szCs w:val="15"/>
              </w:rPr>
            </w:pPr>
            <w:r>
              <w:rPr>
                <w:rFonts w:ascii="Times New Roman"/>
                <w:sz w:val="15"/>
              </w:rPr>
              <w:t>-</w:t>
            </w:r>
          </w:p>
        </w:tc>
      </w:tr>
      <w:tr>
        <w:trPr>
          <w:trHeight w:val="638" w:hRule="exact"/>
        </w:trPr>
        <w:tc>
          <w:tcPr>
            <w:tcW w:w="1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4" w:right="23"/>
              <w:jc w:val="left"/>
              <w:rPr>
                <w:rFonts w:ascii="宋体" w:hAnsi="宋体" w:cs="宋体" w:eastAsia="宋体" w:hint="default"/>
                <w:sz w:val="15"/>
                <w:szCs w:val="15"/>
              </w:rPr>
            </w:pPr>
            <w:r>
              <w:rPr>
                <w:rFonts w:ascii="宋体" w:hAnsi="宋体" w:cs="宋体" w:eastAsia="宋体" w:hint="default"/>
                <w:spacing w:val="9"/>
                <w:sz w:val="15"/>
                <w:szCs w:val="15"/>
              </w:rPr>
              <w:t>工行陕西分行西安</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南大街支行</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2008.09.03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2011.06.25</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RMB</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5.6700%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225"/>
              <w:jc w:val="right"/>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70" w:right="0"/>
              <w:jc w:val="center"/>
              <w:rPr>
                <w:rFonts w:ascii="Times New Roman" w:hAnsi="Times New Roman" w:cs="Times New Roman" w:eastAsia="Times New Roman" w:hint="default"/>
                <w:sz w:val="15"/>
                <w:szCs w:val="15"/>
              </w:rPr>
            </w:pPr>
            <w:r>
              <w:rPr>
                <w:rFonts w:ascii="Times New Roman"/>
                <w:sz w:val="15"/>
              </w:rPr>
              <w:t>50,000,000.00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509" w:right="0"/>
              <w:jc w:val="left"/>
              <w:rPr>
                <w:rFonts w:ascii="Times New Roman" w:hAnsi="Times New Roman" w:cs="Times New Roman" w:eastAsia="Times New Roman" w:hint="default"/>
                <w:sz w:val="15"/>
                <w:szCs w:val="15"/>
              </w:rPr>
            </w:pPr>
            <w:r>
              <w:rPr>
                <w:rFonts w:ascii="Times New Roman"/>
                <w:sz w:val="15"/>
              </w:rPr>
              <w:t>-</w:t>
            </w:r>
          </w:p>
        </w:tc>
        <w:tc>
          <w:tcPr>
            <w:tcW w:w="117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66"/>
              <w:jc w:val="right"/>
              <w:rPr>
                <w:rFonts w:ascii="Times New Roman" w:hAnsi="Times New Roman" w:cs="Times New Roman" w:eastAsia="Times New Roman" w:hint="default"/>
                <w:sz w:val="15"/>
                <w:szCs w:val="15"/>
              </w:rPr>
            </w:pPr>
            <w:r>
              <w:rPr>
                <w:rFonts w:ascii="Times New Roman"/>
                <w:spacing w:val="-1"/>
                <w:sz w:val="15"/>
              </w:rPr>
              <w:t>50,000,000.00</w:t>
            </w:r>
          </w:p>
        </w:tc>
      </w:tr>
      <w:tr>
        <w:trPr>
          <w:trHeight w:val="640" w:hRule="exact"/>
        </w:trPr>
        <w:tc>
          <w:tcPr>
            <w:tcW w:w="1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4" w:right="23"/>
              <w:jc w:val="left"/>
              <w:rPr>
                <w:rFonts w:ascii="宋体" w:hAnsi="宋体" w:cs="宋体" w:eastAsia="宋体" w:hint="default"/>
                <w:sz w:val="15"/>
                <w:szCs w:val="15"/>
              </w:rPr>
            </w:pPr>
            <w:r>
              <w:rPr>
                <w:rFonts w:ascii="宋体" w:hAnsi="宋体" w:cs="宋体" w:eastAsia="宋体" w:hint="default"/>
                <w:spacing w:val="9"/>
                <w:sz w:val="15"/>
                <w:szCs w:val="15"/>
              </w:rPr>
              <w:t>工行陕西分行西安</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南大街支行</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2008.09.03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2011.08.25</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RMB</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5.6700%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225"/>
              <w:jc w:val="right"/>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70" w:right="0"/>
              <w:jc w:val="center"/>
              <w:rPr>
                <w:rFonts w:ascii="Times New Roman" w:hAnsi="Times New Roman" w:cs="Times New Roman" w:eastAsia="Times New Roman" w:hint="default"/>
                <w:sz w:val="15"/>
                <w:szCs w:val="15"/>
              </w:rPr>
            </w:pPr>
            <w:r>
              <w:rPr>
                <w:rFonts w:ascii="Times New Roman"/>
                <w:sz w:val="15"/>
              </w:rPr>
              <w:t>50,000,000.00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509" w:right="0"/>
              <w:jc w:val="left"/>
              <w:rPr>
                <w:rFonts w:ascii="Times New Roman" w:hAnsi="Times New Roman" w:cs="Times New Roman" w:eastAsia="Times New Roman" w:hint="default"/>
                <w:sz w:val="15"/>
                <w:szCs w:val="15"/>
              </w:rPr>
            </w:pPr>
            <w:r>
              <w:rPr>
                <w:rFonts w:ascii="Times New Roman"/>
                <w:sz w:val="15"/>
              </w:rPr>
              <w:t>-</w:t>
            </w:r>
          </w:p>
        </w:tc>
        <w:tc>
          <w:tcPr>
            <w:tcW w:w="117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66"/>
              <w:jc w:val="right"/>
              <w:rPr>
                <w:rFonts w:ascii="Times New Roman" w:hAnsi="Times New Roman" w:cs="Times New Roman" w:eastAsia="Times New Roman" w:hint="default"/>
                <w:sz w:val="15"/>
                <w:szCs w:val="15"/>
              </w:rPr>
            </w:pPr>
            <w:r>
              <w:rPr>
                <w:rFonts w:ascii="Times New Roman"/>
                <w:spacing w:val="-1"/>
                <w:sz w:val="15"/>
              </w:rPr>
              <w:t>50,000,000.00</w:t>
            </w:r>
          </w:p>
        </w:tc>
      </w:tr>
      <w:tr>
        <w:trPr>
          <w:trHeight w:val="638" w:hRule="exact"/>
        </w:trPr>
        <w:tc>
          <w:tcPr>
            <w:tcW w:w="1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4" w:right="23"/>
              <w:jc w:val="left"/>
              <w:rPr>
                <w:rFonts w:ascii="宋体" w:hAnsi="宋体" w:cs="宋体" w:eastAsia="宋体" w:hint="default"/>
                <w:sz w:val="15"/>
                <w:szCs w:val="15"/>
              </w:rPr>
            </w:pPr>
            <w:r>
              <w:rPr>
                <w:rFonts w:ascii="宋体" w:hAnsi="宋体" w:cs="宋体" w:eastAsia="宋体" w:hint="default"/>
                <w:spacing w:val="9"/>
                <w:sz w:val="15"/>
                <w:szCs w:val="15"/>
              </w:rPr>
              <w:t>工行陕西分行西安</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南大街支行</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2009.03.30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2011.07.25</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RMB</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5.6700%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225"/>
              <w:jc w:val="right"/>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70" w:right="0"/>
              <w:jc w:val="center"/>
              <w:rPr>
                <w:rFonts w:ascii="Times New Roman" w:hAnsi="Times New Roman" w:cs="Times New Roman" w:eastAsia="Times New Roman" w:hint="default"/>
                <w:sz w:val="15"/>
                <w:szCs w:val="15"/>
              </w:rPr>
            </w:pPr>
            <w:r>
              <w:rPr>
                <w:rFonts w:ascii="Times New Roman"/>
                <w:sz w:val="15"/>
              </w:rPr>
              <w:t>40,000,000.00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509" w:right="0"/>
              <w:jc w:val="left"/>
              <w:rPr>
                <w:rFonts w:ascii="Times New Roman" w:hAnsi="Times New Roman" w:cs="Times New Roman" w:eastAsia="Times New Roman" w:hint="default"/>
                <w:sz w:val="15"/>
                <w:szCs w:val="15"/>
              </w:rPr>
            </w:pPr>
            <w:r>
              <w:rPr>
                <w:rFonts w:ascii="Times New Roman"/>
                <w:sz w:val="15"/>
              </w:rPr>
              <w:t>-</w:t>
            </w:r>
          </w:p>
        </w:tc>
        <w:tc>
          <w:tcPr>
            <w:tcW w:w="117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763" w:right="0"/>
              <w:jc w:val="left"/>
              <w:rPr>
                <w:rFonts w:ascii="Times New Roman" w:hAnsi="Times New Roman" w:cs="Times New Roman" w:eastAsia="Times New Roman" w:hint="default"/>
                <w:sz w:val="15"/>
                <w:szCs w:val="15"/>
              </w:rPr>
            </w:pPr>
            <w:r>
              <w:rPr>
                <w:rFonts w:ascii="Times New Roman"/>
                <w:sz w:val="15"/>
              </w:rPr>
              <w:t>-</w:t>
            </w:r>
          </w:p>
        </w:tc>
      </w:tr>
      <w:tr>
        <w:trPr>
          <w:trHeight w:val="640" w:hRule="exact"/>
        </w:trPr>
        <w:tc>
          <w:tcPr>
            <w:tcW w:w="1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4" w:right="23"/>
              <w:jc w:val="left"/>
              <w:rPr>
                <w:rFonts w:ascii="宋体" w:hAnsi="宋体" w:cs="宋体" w:eastAsia="宋体" w:hint="default"/>
                <w:sz w:val="15"/>
                <w:szCs w:val="15"/>
              </w:rPr>
            </w:pPr>
            <w:r>
              <w:rPr>
                <w:rFonts w:ascii="宋体" w:hAnsi="宋体" w:cs="宋体" w:eastAsia="宋体" w:hint="default"/>
                <w:spacing w:val="9"/>
                <w:sz w:val="15"/>
                <w:szCs w:val="15"/>
              </w:rPr>
              <w:t>工行陕西分行西安</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南大街支行</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2009.03.30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2011.04.25</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RMB</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5.6700%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225"/>
              <w:jc w:val="right"/>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70" w:right="0"/>
              <w:jc w:val="center"/>
              <w:rPr>
                <w:rFonts w:ascii="Times New Roman" w:hAnsi="Times New Roman" w:cs="Times New Roman" w:eastAsia="Times New Roman" w:hint="default"/>
                <w:sz w:val="15"/>
                <w:szCs w:val="15"/>
              </w:rPr>
            </w:pPr>
            <w:r>
              <w:rPr>
                <w:rFonts w:ascii="Times New Roman"/>
                <w:sz w:val="15"/>
              </w:rPr>
              <w:t>30,000,000.00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509" w:right="0"/>
              <w:jc w:val="left"/>
              <w:rPr>
                <w:rFonts w:ascii="Times New Roman" w:hAnsi="Times New Roman" w:cs="Times New Roman" w:eastAsia="Times New Roman" w:hint="default"/>
                <w:sz w:val="15"/>
                <w:szCs w:val="15"/>
              </w:rPr>
            </w:pPr>
            <w:r>
              <w:rPr>
                <w:rFonts w:ascii="Times New Roman"/>
                <w:sz w:val="15"/>
              </w:rPr>
              <w:t>-</w:t>
            </w:r>
          </w:p>
        </w:tc>
        <w:tc>
          <w:tcPr>
            <w:tcW w:w="117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763" w:right="0"/>
              <w:jc w:val="left"/>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135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44"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95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
              <w:jc w:val="center"/>
              <w:rPr>
                <w:rFonts w:ascii="Times New Roman" w:hAnsi="Times New Roman" w:cs="Times New Roman" w:eastAsia="Times New Roman" w:hint="default"/>
                <w:sz w:val="15"/>
                <w:szCs w:val="15"/>
              </w:rPr>
            </w:pPr>
            <w:r>
              <w:rPr>
                <w:rFonts w:ascii="Times New Roman"/>
                <w:sz w:val="15"/>
              </w:rPr>
              <w:t>260,000,000.00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66"/>
              <w:jc w:val="right"/>
              <w:rPr>
                <w:rFonts w:ascii="Times New Roman" w:hAnsi="Times New Roman" w:cs="Times New Roman" w:eastAsia="Times New Roman" w:hint="default"/>
                <w:sz w:val="15"/>
                <w:szCs w:val="15"/>
              </w:rPr>
            </w:pPr>
            <w:r>
              <w:rPr>
                <w:rFonts w:ascii="Times New Roman"/>
                <w:spacing w:val="-1"/>
                <w:sz w:val="15"/>
              </w:rPr>
              <w:t>100,000,000.00</w:t>
            </w:r>
          </w:p>
        </w:tc>
      </w:tr>
    </w:tbl>
    <w:p>
      <w:pPr>
        <w:spacing w:after="0" w:line="240" w:lineRule="auto"/>
        <w:jc w:val="right"/>
        <w:rPr>
          <w:rFonts w:ascii="Times New Roman" w:hAnsi="Times New Roman" w:cs="Times New Roman" w:eastAsia="Times New Roman" w:hint="default"/>
          <w:sz w:val="15"/>
          <w:szCs w:val="15"/>
        </w:rPr>
        <w:sectPr>
          <w:pgSz w:w="11900" w:h="16840"/>
          <w:pgMar w:header="0" w:footer="982" w:top="1300" w:bottom="1180" w:left="1680" w:right="1180"/>
        </w:sectPr>
      </w:pPr>
    </w:p>
    <w:p>
      <w:pPr>
        <w:spacing w:before="6"/>
        <w:ind w:left="270" w:right="2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sz w:val="21"/>
          <w:szCs w:val="21"/>
        </w:rPr>
        <w:t>、长期应付款</w:t>
      </w:r>
    </w:p>
    <w:p>
      <w:pPr>
        <w:spacing w:line="240" w:lineRule="auto" w:before="0"/>
        <w:rPr>
          <w:rFonts w:ascii="宋体" w:hAnsi="宋体" w:cs="宋体" w:eastAsia="宋体" w:hint="default"/>
          <w:sz w:val="16"/>
          <w:szCs w:val="16"/>
        </w:rPr>
      </w:pPr>
    </w:p>
    <w:p>
      <w:pPr>
        <w:pStyle w:val="BodyText"/>
        <w:spacing w:line="412" w:lineRule="auto"/>
        <w:ind w:left="270" w:right="284" w:firstLine="421"/>
        <w:jc w:val="left"/>
      </w:pPr>
      <w:r>
        <w:rPr/>
        <w:t>长期应付款期末余额人民币</w:t>
      </w:r>
      <w:r>
        <w:rPr>
          <w:spacing w:val="-50"/>
        </w:rPr>
        <w:t> </w:t>
      </w:r>
      <w:r>
        <w:rPr>
          <w:rFonts w:ascii="Times New Roman" w:hAnsi="Times New Roman" w:cs="Times New Roman" w:eastAsia="Times New Roman" w:hint="default"/>
        </w:rPr>
        <w:t>63,463,500.00</w:t>
      </w:r>
      <w:r>
        <w:rPr>
          <w:rFonts w:ascii="Times New Roman" w:hAnsi="Times New Roman" w:cs="Times New Roman" w:eastAsia="Times New Roman" w:hint="default"/>
          <w:spacing w:val="3"/>
        </w:rPr>
        <w:t> </w:t>
      </w:r>
      <w:r>
        <w:rPr>
          <w:spacing w:val="-3"/>
        </w:rPr>
        <w:t>元，系子公司迅达运输公司按租车合同规定向承</w:t>
      </w:r>
      <w:r>
        <w:rPr/>
        <w:t> 包出租车司机收取的保证金，待合同期满后根据合同规定退还司机。</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ind w:left="270" w:right="284"/>
        <w:jc w:val="left"/>
      </w:pPr>
      <w:r>
        <w:rPr>
          <w:rFonts w:ascii="Times New Roman" w:hAnsi="Times New Roman" w:cs="Times New Roman" w:eastAsia="Times New Roman" w:hint="default"/>
          <w:b/>
          <w:bCs/>
        </w:rPr>
        <w:t>30</w:t>
      </w:r>
      <w:r>
        <w:rPr/>
        <w:t>、其他非流动负债</w:t>
      </w:r>
    </w:p>
    <w:p>
      <w:pPr>
        <w:spacing w:line="240" w:lineRule="auto" w:before="12"/>
        <w:rPr>
          <w:rFonts w:ascii="宋体" w:hAnsi="宋体" w:cs="宋体" w:eastAsia="宋体" w:hint="default"/>
          <w:sz w:val="15"/>
          <w:szCs w:val="15"/>
        </w:rPr>
      </w:pPr>
    </w:p>
    <w:p>
      <w:pPr>
        <w:pStyle w:val="BodyText"/>
        <w:tabs>
          <w:tab w:pos="1049" w:val="left" w:leader="none"/>
        </w:tabs>
        <w:spacing w:line="240" w:lineRule="auto"/>
        <w:ind w:left="0" w:right="29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460"/>
        <w:gridCol w:w="2885"/>
        <w:gridCol w:w="2600"/>
      </w:tblGrid>
      <w:tr>
        <w:trPr>
          <w:trHeight w:val="510" w:hRule="exact"/>
        </w:trPr>
        <w:tc>
          <w:tcPr>
            <w:tcW w:w="3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544"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10" w:hRule="exact"/>
        </w:trPr>
        <w:tc>
          <w:tcPr>
            <w:tcW w:w="3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出租汽车承包租金</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563" w:right="0"/>
              <w:jc w:val="left"/>
              <w:rPr>
                <w:rFonts w:ascii="Times New Roman" w:hAnsi="Times New Roman" w:cs="Times New Roman" w:eastAsia="Times New Roman" w:hint="default"/>
                <w:sz w:val="21"/>
                <w:szCs w:val="21"/>
              </w:rPr>
            </w:pPr>
            <w:r>
              <w:rPr>
                <w:rFonts w:ascii="Times New Roman"/>
                <w:sz w:val="21"/>
              </w:rPr>
              <w:t>12,765,165.15</w:t>
            </w:r>
          </w:p>
        </w:tc>
        <w:tc>
          <w:tcPr>
            <w:tcW w:w="2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81" w:right="0"/>
              <w:jc w:val="left"/>
              <w:rPr>
                <w:rFonts w:ascii="Times New Roman" w:hAnsi="Times New Roman" w:cs="Times New Roman" w:eastAsia="Times New Roman" w:hint="default"/>
                <w:sz w:val="21"/>
                <w:szCs w:val="21"/>
              </w:rPr>
            </w:pPr>
            <w:r>
              <w:rPr>
                <w:rFonts w:ascii="Times New Roman"/>
                <w:sz w:val="21"/>
              </w:rPr>
              <w:t>30,329,473.22</w:t>
            </w:r>
          </w:p>
        </w:tc>
      </w:tr>
    </w:tbl>
    <w:p>
      <w:pPr>
        <w:spacing w:line="240" w:lineRule="auto" w:before="0"/>
        <w:rPr>
          <w:rFonts w:ascii="宋体" w:hAnsi="宋体" w:cs="宋体" w:eastAsia="宋体" w:hint="default"/>
          <w:sz w:val="12"/>
          <w:szCs w:val="12"/>
        </w:rPr>
      </w:pPr>
    </w:p>
    <w:p>
      <w:pPr>
        <w:pStyle w:val="BodyText"/>
        <w:spacing w:line="436" w:lineRule="auto" w:before="35"/>
        <w:ind w:left="270" w:right="285" w:firstLine="435"/>
        <w:jc w:val="left"/>
      </w:pPr>
      <w:r>
        <w:rPr>
          <w:spacing w:val="5"/>
        </w:rPr>
        <w:t>其他非流动负债系子公司西安鸿基运输有限公司按出租车合同规定向承包出租车司机收</w:t>
      </w:r>
      <w:r>
        <w:rPr/>
        <w:t> 取的承包租赁金，于合同期内分期结转收入。</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spacing w:before="0"/>
        <w:ind w:left="270" w:right="2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sz w:val="21"/>
          <w:szCs w:val="21"/>
        </w:rPr>
        <w:t>、股本</w:t>
      </w:r>
    </w:p>
    <w:p>
      <w:pPr>
        <w:spacing w:line="240" w:lineRule="auto" w:before="2"/>
        <w:rPr>
          <w:rFonts w:ascii="宋体" w:hAnsi="宋体" w:cs="宋体" w:eastAsia="宋体" w:hint="default"/>
          <w:sz w:val="19"/>
          <w:szCs w:val="19"/>
        </w:rPr>
      </w:pPr>
    </w:p>
    <w:p>
      <w:pPr>
        <w:pStyle w:val="BodyText"/>
        <w:tabs>
          <w:tab w:pos="1049" w:val="left" w:leader="none"/>
        </w:tabs>
        <w:spacing w:line="240" w:lineRule="auto"/>
        <w:ind w:left="0" w:right="290"/>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962"/>
        <w:gridCol w:w="1756"/>
        <w:gridCol w:w="956"/>
        <w:gridCol w:w="797"/>
        <w:gridCol w:w="1145"/>
        <w:gridCol w:w="810"/>
        <w:gridCol w:w="806"/>
        <w:gridCol w:w="1615"/>
      </w:tblGrid>
      <w:tr>
        <w:trPr>
          <w:trHeight w:val="550" w:hRule="exact"/>
        </w:trPr>
        <w:tc>
          <w:tcPr>
            <w:tcW w:w="962" w:type="dxa"/>
            <w:vMerge w:val="restart"/>
            <w:tcBorders>
              <w:top w:val="single" w:sz="4" w:space="0" w:color="000000"/>
              <w:left w:val="nil" w:sz="6" w:space="0" w:color="auto"/>
              <w:right w:val="single" w:sz="4" w:space="0" w:color="000000"/>
            </w:tcBorders>
          </w:tcPr>
          <w:p>
            <w:pPr/>
          </w:p>
        </w:tc>
        <w:tc>
          <w:tcPr>
            <w:tcW w:w="1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45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300"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p>
        </w:tc>
        <w:tc>
          <w:tcPr>
            <w:tcW w:w="1615"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51" w:hRule="exact"/>
        </w:trPr>
        <w:tc>
          <w:tcPr>
            <w:tcW w:w="962" w:type="dxa"/>
            <w:vMerge/>
            <w:tcBorders>
              <w:left w:val="nil" w:sz="6" w:space="0" w:color="auto"/>
              <w:bottom w:val="single" w:sz="4" w:space="0" w:color="000000"/>
              <w:right w:val="single" w:sz="4" w:space="0" w:color="000000"/>
            </w:tcBorders>
          </w:tcPr>
          <w:p>
            <w:pPr/>
          </w:p>
        </w:tc>
        <w:tc>
          <w:tcPr>
            <w:tcW w:w="1756" w:type="dxa"/>
            <w:vMerge/>
            <w:tcBorders>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15"/>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15" w:type="dxa"/>
            <w:vMerge/>
            <w:tcBorders>
              <w:left w:val="single" w:sz="4" w:space="0" w:color="000000"/>
              <w:bottom w:val="single" w:sz="4" w:space="0" w:color="000000"/>
              <w:right w:val="nil" w:sz="6" w:space="0" w:color="auto"/>
            </w:tcBorders>
          </w:tcPr>
          <w:p>
            <w:pPr/>
          </w:p>
        </w:tc>
      </w:tr>
      <w:tr>
        <w:trPr>
          <w:trHeight w:val="550" w:hRule="exact"/>
        </w:trPr>
        <w:tc>
          <w:tcPr>
            <w:tcW w:w="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469,593,364.00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77" w:right="0"/>
              <w:jc w:val="left"/>
              <w:rPr>
                <w:rFonts w:ascii="Times New Roman" w:hAnsi="Times New Roman" w:cs="Times New Roman" w:eastAsia="Times New Roman" w:hint="default"/>
                <w:sz w:val="18"/>
                <w:szCs w:val="18"/>
              </w:rPr>
            </w:pPr>
            <w:r>
              <w:rPr>
                <w:rFonts w:ascii="Times New Roman"/>
                <w:sz w:val="18"/>
              </w:rPr>
              <w:t>469,593,364.00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270" w:right="2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sz w:val="21"/>
          <w:szCs w:val="21"/>
        </w:rPr>
        <w:t>、资本公积</w:t>
      </w:r>
    </w:p>
    <w:p>
      <w:pPr>
        <w:spacing w:line="240" w:lineRule="auto" w:before="6"/>
        <w:rPr>
          <w:rFonts w:ascii="宋体" w:hAnsi="宋体" w:cs="宋体" w:eastAsia="宋体" w:hint="default"/>
          <w:sz w:val="16"/>
          <w:szCs w:val="16"/>
        </w:rPr>
      </w:pPr>
    </w:p>
    <w:p>
      <w:pPr>
        <w:pStyle w:val="BodyText"/>
        <w:tabs>
          <w:tab w:pos="1049" w:val="left" w:leader="none"/>
        </w:tabs>
        <w:spacing w:line="240" w:lineRule="auto" w:before="35"/>
        <w:ind w:left="0" w:right="290"/>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708"/>
        <w:gridCol w:w="1524"/>
        <w:gridCol w:w="1524"/>
        <w:gridCol w:w="1524"/>
        <w:gridCol w:w="1524"/>
      </w:tblGrid>
      <w:tr>
        <w:trPr>
          <w:trHeight w:val="55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5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292,623,699.06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34"/>
              <w:jc w:val="right"/>
              <w:rPr>
                <w:rFonts w:ascii="Times New Roman" w:hAnsi="Times New Roman" w:cs="Times New Roman" w:eastAsia="Times New Roman" w:hint="default"/>
                <w:sz w:val="18"/>
                <w:szCs w:val="18"/>
              </w:rPr>
            </w:pPr>
            <w:r>
              <w:rPr>
                <w:rFonts w:ascii="Times New Roman"/>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34"/>
              <w:jc w:val="right"/>
              <w:rPr>
                <w:rFonts w:ascii="Times New Roman" w:hAnsi="Times New Roman" w:cs="Times New Roman" w:eastAsia="Times New Roman" w:hint="default"/>
                <w:sz w:val="18"/>
                <w:szCs w:val="18"/>
              </w:rPr>
            </w:pPr>
            <w:r>
              <w:rPr>
                <w:rFonts w:ascii="Times New Roman"/>
                <w:sz w:val="18"/>
              </w:rPr>
              <w:t>-</w:t>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pacing w:val="-1"/>
                <w:sz w:val="18"/>
              </w:rPr>
              <w:t>292,623,699.06</w:t>
            </w:r>
          </w:p>
        </w:tc>
      </w:tr>
      <w:tr>
        <w:trPr>
          <w:trHeight w:val="551"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新准则前资本公积转入</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spacing w:val="-1"/>
                <w:sz w:val="18"/>
              </w:rPr>
              <w:t>176,817,628.11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33"/>
              <w:jc w:val="right"/>
              <w:rPr>
                <w:rFonts w:ascii="Times New Roman" w:hAnsi="Times New Roman" w:cs="Times New Roman" w:eastAsia="Times New Roman" w:hint="default"/>
                <w:sz w:val="18"/>
                <w:szCs w:val="18"/>
              </w:rPr>
            </w:pPr>
            <w:r>
              <w:rPr>
                <w:rFonts w:ascii="Times New Roman"/>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33"/>
              <w:jc w:val="right"/>
              <w:rPr>
                <w:rFonts w:ascii="Times New Roman" w:hAnsi="Times New Roman" w:cs="Times New Roman" w:eastAsia="Times New Roman" w:hint="default"/>
                <w:sz w:val="18"/>
                <w:szCs w:val="18"/>
              </w:rPr>
            </w:pPr>
            <w:r>
              <w:rPr>
                <w:rFonts w:ascii="Times New Roman"/>
                <w:sz w:val="18"/>
              </w:rPr>
              <w:t>-</w:t>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pacing w:val="-1"/>
                <w:sz w:val="18"/>
              </w:rPr>
              <w:t>176,817,628.11</w:t>
            </w:r>
          </w:p>
        </w:tc>
      </w:tr>
      <w:tr>
        <w:trPr>
          <w:trHeight w:val="55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15,795,200.00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28,935,054.68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15,795,200.00</w:t>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pacing w:val="-1"/>
                <w:sz w:val="18"/>
              </w:rPr>
              <w:t>28,935,054.68</w:t>
            </w:r>
          </w:p>
        </w:tc>
      </w:tr>
      <w:tr>
        <w:trPr>
          <w:trHeight w:val="55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z w:val="18"/>
              </w:rPr>
              <w:t>231,821.14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34"/>
              <w:jc w:val="right"/>
              <w:rPr>
                <w:rFonts w:ascii="Times New Roman" w:hAnsi="Times New Roman" w:cs="Times New Roman" w:eastAsia="Times New Roman" w:hint="default"/>
                <w:sz w:val="18"/>
                <w:szCs w:val="18"/>
              </w:rPr>
            </w:pPr>
            <w:r>
              <w:rPr>
                <w:rFonts w:ascii="Times New Roman"/>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34"/>
              <w:jc w:val="right"/>
              <w:rPr>
                <w:rFonts w:ascii="Times New Roman" w:hAnsi="Times New Roman" w:cs="Times New Roman" w:eastAsia="Times New Roman" w:hint="default"/>
                <w:sz w:val="18"/>
                <w:szCs w:val="18"/>
              </w:rPr>
            </w:pPr>
            <w:r>
              <w:rPr>
                <w:rFonts w:ascii="Times New Roman"/>
                <w:sz w:val="18"/>
              </w:rPr>
              <w:t>-</w:t>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z w:val="18"/>
              </w:rPr>
              <w:t>231,821.14</w:t>
            </w:r>
          </w:p>
        </w:tc>
      </w:tr>
      <w:tr>
        <w:trPr>
          <w:trHeight w:val="551"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34"/>
              <w:jc w:val="right"/>
              <w:rPr>
                <w:rFonts w:ascii="Times New Roman" w:hAnsi="Times New Roman" w:cs="Times New Roman" w:eastAsia="Times New Roman" w:hint="default"/>
                <w:sz w:val="18"/>
                <w:szCs w:val="18"/>
              </w:rPr>
            </w:pPr>
            <w:r>
              <w:rPr>
                <w:rFonts w:ascii="Times New Roman"/>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34"/>
              <w:jc w:val="right"/>
              <w:rPr>
                <w:rFonts w:ascii="Times New Roman" w:hAnsi="Times New Roman" w:cs="Times New Roman" w:eastAsia="Times New Roman" w:hint="default"/>
                <w:sz w:val="18"/>
                <w:szCs w:val="18"/>
              </w:rPr>
            </w:pPr>
            <w:r>
              <w:rPr>
                <w:rFonts w:ascii="Times New Roman"/>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34"/>
              <w:jc w:val="right"/>
              <w:rPr>
                <w:rFonts w:ascii="Times New Roman" w:hAnsi="Times New Roman" w:cs="Times New Roman" w:eastAsia="Times New Roman" w:hint="default"/>
                <w:sz w:val="18"/>
                <w:szCs w:val="18"/>
              </w:rPr>
            </w:pPr>
            <w:r>
              <w:rPr>
                <w:rFonts w:ascii="Times New Roman"/>
                <w:sz w:val="18"/>
              </w:rPr>
              <w:t>-</w:t>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38"/>
              <w:jc w:val="right"/>
              <w:rPr>
                <w:rFonts w:ascii="Times New Roman" w:hAnsi="Times New Roman" w:cs="Times New Roman" w:eastAsia="Times New Roman" w:hint="default"/>
                <w:sz w:val="18"/>
                <w:szCs w:val="18"/>
              </w:rPr>
            </w:pPr>
            <w:r>
              <w:rPr>
                <w:rFonts w:ascii="Times New Roman"/>
                <w:sz w:val="18"/>
              </w:rPr>
              <w:t>-</w:t>
            </w:r>
          </w:p>
        </w:tc>
      </w:tr>
      <w:tr>
        <w:trPr>
          <w:trHeight w:val="55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485,468,348.31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28,935,054.68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15,795,200.00</w:t>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pacing w:val="-1"/>
                <w:sz w:val="18"/>
              </w:rPr>
              <w:t>498,608,202.99</w:t>
            </w:r>
          </w:p>
        </w:tc>
      </w:tr>
    </w:tbl>
    <w:p>
      <w:pPr>
        <w:spacing w:after="0" w:line="240" w:lineRule="auto"/>
        <w:jc w:val="right"/>
        <w:rPr>
          <w:rFonts w:ascii="Times New Roman" w:hAnsi="Times New Roman" w:cs="Times New Roman" w:eastAsia="Times New Roman" w:hint="default"/>
          <w:sz w:val="18"/>
          <w:szCs w:val="18"/>
        </w:rPr>
        <w:sectPr>
          <w:pgSz w:w="11900" w:h="16840"/>
          <w:pgMar w:header="0" w:footer="982" w:top="1320" w:bottom="1180" w:left="1600" w:right="1120"/>
        </w:sectPr>
      </w:pPr>
    </w:p>
    <w:p>
      <w:pPr>
        <w:spacing w:before="6"/>
        <w:ind w:left="270" w:right="2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sz w:val="21"/>
          <w:szCs w:val="21"/>
        </w:rPr>
        <w:t>、盈余公积</w:t>
      </w:r>
    </w:p>
    <w:p>
      <w:pPr>
        <w:spacing w:line="240" w:lineRule="auto" w:before="4"/>
        <w:rPr>
          <w:rFonts w:ascii="宋体" w:hAnsi="宋体" w:cs="宋体" w:eastAsia="宋体" w:hint="default"/>
          <w:sz w:val="13"/>
          <w:szCs w:val="13"/>
        </w:rPr>
      </w:pPr>
    </w:p>
    <w:p>
      <w:pPr>
        <w:pStyle w:val="BodyText"/>
        <w:tabs>
          <w:tab w:pos="1049" w:val="left" w:leader="none"/>
        </w:tabs>
        <w:spacing w:line="240" w:lineRule="auto" w:before="35"/>
        <w:ind w:left="0" w:right="230"/>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862"/>
        <w:gridCol w:w="1736"/>
        <w:gridCol w:w="1735"/>
        <w:gridCol w:w="1735"/>
        <w:gridCol w:w="1735"/>
      </w:tblGrid>
      <w:tr>
        <w:trPr>
          <w:trHeight w:val="510"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4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10"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40"/>
              <w:jc w:val="right"/>
              <w:rPr>
                <w:rFonts w:ascii="Times New Roman" w:hAnsi="Times New Roman" w:cs="Times New Roman" w:eastAsia="Times New Roman" w:hint="default"/>
                <w:sz w:val="21"/>
                <w:szCs w:val="21"/>
              </w:rPr>
            </w:pPr>
            <w:r>
              <w:rPr>
                <w:rFonts w:ascii="Times New Roman"/>
                <w:spacing w:val="-1"/>
                <w:sz w:val="21"/>
              </w:rPr>
              <w:t>161,148,975.93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99"/>
              <w:jc w:val="right"/>
              <w:rPr>
                <w:rFonts w:ascii="Times New Roman" w:hAnsi="Times New Roman" w:cs="Times New Roman" w:eastAsia="Times New Roman" w:hint="default"/>
                <w:sz w:val="21"/>
                <w:szCs w:val="21"/>
              </w:rPr>
            </w:pPr>
            <w:r>
              <w:rPr>
                <w:rFonts w:ascii="Times New Roman"/>
                <w:sz w:val="21"/>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99"/>
              <w:jc w:val="right"/>
              <w:rPr>
                <w:rFonts w:ascii="Times New Roman" w:hAnsi="Times New Roman" w:cs="Times New Roman" w:eastAsia="Times New Roman" w:hint="default"/>
                <w:sz w:val="21"/>
                <w:szCs w:val="21"/>
              </w:rPr>
            </w:pPr>
            <w:r>
              <w:rPr>
                <w:rFonts w:ascii="Times New Roman"/>
                <w:sz w:val="21"/>
              </w:rPr>
              <w:t>-</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43"/>
              <w:jc w:val="right"/>
              <w:rPr>
                <w:rFonts w:ascii="Times New Roman" w:hAnsi="Times New Roman" w:cs="Times New Roman" w:eastAsia="Times New Roman" w:hint="default"/>
                <w:sz w:val="21"/>
                <w:szCs w:val="21"/>
              </w:rPr>
            </w:pPr>
            <w:r>
              <w:rPr>
                <w:rFonts w:ascii="Times New Roman"/>
                <w:spacing w:val="-1"/>
                <w:sz w:val="21"/>
              </w:rPr>
              <w:t>161,148,975.93</w:t>
            </w:r>
          </w:p>
        </w:tc>
      </w:tr>
      <w:tr>
        <w:trPr>
          <w:trHeight w:val="510"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9"/>
              <w:jc w:val="right"/>
              <w:rPr>
                <w:rFonts w:ascii="Times New Roman" w:hAnsi="Times New Roman" w:cs="Times New Roman" w:eastAsia="Times New Roman" w:hint="default"/>
                <w:sz w:val="21"/>
                <w:szCs w:val="21"/>
              </w:rPr>
            </w:pPr>
            <w:r>
              <w:rPr>
                <w:rFonts w:ascii="Times New Roman"/>
                <w:spacing w:val="-1"/>
                <w:sz w:val="21"/>
              </w:rPr>
              <w:t>51,281,363.57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99"/>
              <w:jc w:val="right"/>
              <w:rPr>
                <w:rFonts w:ascii="Times New Roman" w:hAnsi="Times New Roman" w:cs="Times New Roman" w:eastAsia="Times New Roman" w:hint="default"/>
                <w:sz w:val="21"/>
                <w:szCs w:val="21"/>
              </w:rPr>
            </w:pPr>
            <w:r>
              <w:rPr>
                <w:rFonts w:ascii="Times New Roman"/>
                <w:sz w:val="21"/>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98"/>
              <w:jc w:val="right"/>
              <w:rPr>
                <w:rFonts w:ascii="Times New Roman" w:hAnsi="Times New Roman" w:cs="Times New Roman" w:eastAsia="Times New Roman" w:hint="default"/>
                <w:sz w:val="21"/>
                <w:szCs w:val="21"/>
              </w:rPr>
            </w:pPr>
            <w:r>
              <w:rPr>
                <w:rFonts w:ascii="Times New Roman"/>
                <w:sz w:val="21"/>
              </w:rPr>
              <w:t>-</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41"/>
              <w:jc w:val="right"/>
              <w:rPr>
                <w:rFonts w:ascii="Times New Roman" w:hAnsi="Times New Roman" w:cs="Times New Roman" w:eastAsia="Times New Roman" w:hint="default"/>
                <w:sz w:val="21"/>
                <w:szCs w:val="21"/>
              </w:rPr>
            </w:pPr>
            <w:r>
              <w:rPr>
                <w:rFonts w:ascii="Times New Roman"/>
                <w:spacing w:val="-1"/>
                <w:sz w:val="21"/>
              </w:rPr>
              <w:t>51,281,363.57</w:t>
            </w:r>
          </w:p>
        </w:tc>
      </w:tr>
      <w:tr>
        <w:trPr>
          <w:trHeight w:val="511"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40"/>
              <w:jc w:val="right"/>
              <w:rPr>
                <w:rFonts w:ascii="Times New Roman" w:hAnsi="Times New Roman" w:cs="Times New Roman" w:eastAsia="Times New Roman" w:hint="default"/>
                <w:sz w:val="21"/>
                <w:szCs w:val="21"/>
              </w:rPr>
            </w:pPr>
            <w:r>
              <w:rPr>
                <w:rFonts w:ascii="Times New Roman"/>
                <w:spacing w:val="-1"/>
                <w:sz w:val="21"/>
              </w:rPr>
              <w:t>212,430,339.50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99"/>
              <w:jc w:val="right"/>
              <w:rPr>
                <w:rFonts w:ascii="Times New Roman" w:hAnsi="Times New Roman" w:cs="Times New Roman" w:eastAsia="Times New Roman" w:hint="default"/>
                <w:sz w:val="21"/>
                <w:szCs w:val="21"/>
              </w:rPr>
            </w:pPr>
            <w:r>
              <w:rPr>
                <w:rFonts w:ascii="Times New Roman"/>
                <w:sz w:val="21"/>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99"/>
              <w:jc w:val="right"/>
              <w:rPr>
                <w:rFonts w:ascii="Times New Roman" w:hAnsi="Times New Roman" w:cs="Times New Roman" w:eastAsia="Times New Roman" w:hint="default"/>
                <w:sz w:val="21"/>
                <w:szCs w:val="21"/>
              </w:rPr>
            </w:pPr>
            <w:r>
              <w:rPr>
                <w:rFonts w:ascii="Times New Roman"/>
                <w:sz w:val="21"/>
              </w:rPr>
              <w:t>-</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43"/>
              <w:jc w:val="right"/>
              <w:rPr>
                <w:rFonts w:ascii="Times New Roman" w:hAnsi="Times New Roman" w:cs="Times New Roman" w:eastAsia="Times New Roman" w:hint="default"/>
                <w:sz w:val="21"/>
                <w:szCs w:val="21"/>
              </w:rPr>
            </w:pPr>
            <w:r>
              <w:rPr>
                <w:rFonts w:ascii="Times New Roman"/>
                <w:spacing w:val="-1"/>
                <w:sz w:val="21"/>
              </w:rPr>
              <w:t>212,430,339.50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8"/>
        <w:ind w:left="270" w:right="2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sz w:val="21"/>
          <w:szCs w:val="21"/>
        </w:rPr>
        <w:t>、未分配利润</w:t>
      </w:r>
    </w:p>
    <w:p>
      <w:pPr>
        <w:spacing w:line="240" w:lineRule="auto" w:before="4"/>
        <w:rPr>
          <w:rFonts w:ascii="宋体" w:hAnsi="宋体" w:cs="宋体" w:eastAsia="宋体" w:hint="default"/>
          <w:sz w:val="13"/>
          <w:szCs w:val="13"/>
        </w:rPr>
      </w:pPr>
    </w:p>
    <w:p>
      <w:pPr>
        <w:pStyle w:val="BodyText"/>
        <w:tabs>
          <w:tab w:pos="1049" w:val="left" w:leader="none"/>
        </w:tabs>
        <w:spacing w:line="240" w:lineRule="auto" w:before="35"/>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4441"/>
        <w:gridCol w:w="2328"/>
        <w:gridCol w:w="2078"/>
      </w:tblGrid>
      <w:tr>
        <w:trPr>
          <w:trHeight w:val="520" w:hRule="exact"/>
        </w:trPr>
        <w:tc>
          <w:tcPr>
            <w:tcW w:w="444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0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520" w:hRule="exact"/>
        </w:trPr>
        <w:tc>
          <w:tcPr>
            <w:tcW w:w="444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调整前上年末未分配利润</w:t>
            </w:r>
          </w:p>
        </w:tc>
        <w:tc>
          <w:tcPr>
            <w:tcW w:w="2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48"/>
              <w:jc w:val="right"/>
              <w:rPr>
                <w:rFonts w:ascii="Times New Roman" w:hAnsi="Times New Roman" w:cs="Times New Roman" w:eastAsia="Times New Roman" w:hint="default"/>
                <w:sz w:val="21"/>
                <w:szCs w:val="21"/>
              </w:rPr>
            </w:pPr>
            <w:r>
              <w:rPr>
                <w:rFonts w:ascii="Times New Roman"/>
                <w:spacing w:val="-1"/>
                <w:sz w:val="21"/>
              </w:rPr>
              <w:t>-343,040,963.43</w:t>
            </w:r>
          </w:p>
        </w:tc>
        <w:tc>
          <w:tcPr>
            <w:tcW w:w="20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
              <w:jc w:val="center"/>
              <w:rPr>
                <w:rFonts w:ascii="Times New Roman" w:hAnsi="Times New Roman" w:cs="Times New Roman" w:eastAsia="Times New Roman" w:hint="default"/>
                <w:sz w:val="21"/>
                <w:szCs w:val="21"/>
              </w:rPr>
            </w:pPr>
            <w:r>
              <w:rPr>
                <w:rFonts w:ascii="Times New Roman"/>
                <w:sz w:val="21"/>
              </w:rPr>
              <w:t>-</w:t>
            </w:r>
          </w:p>
        </w:tc>
      </w:tr>
      <w:tr>
        <w:trPr>
          <w:trHeight w:val="521" w:hRule="exact"/>
        </w:trPr>
        <w:tc>
          <w:tcPr>
            <w:tcW w:w="444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宋体" w:hAnsi="宋体" w:cs="宋体" w:eastAsia="宋体" w:hint="default"/>
                <w:sz w:val="21"/>
                <w:szCs w:val="21"/>
              </w:rPr>
              <w:t>调整年初未分配利润合计数（调增</w:t>
            </w:r>
            <w:r>
              <w:rPr>
                <w:rFonts w:ascii="Times New Roman" w:hAnsi="Times New Roman" w:cs="Times New Roman" w:eastAsia="Times New Roman" w:hint="default"/>
                <w:sz w:val="21"/>
                <w:szCs w:val="21"/>
              </w:rPr>
              <w:t>+</w:t>
            </w:r>
            <w:r>
              <w:rPr>
                <w:rFonts w:ascii="宋体" w:hAnsi="宋体" w:cs="宋体" w:eastAsia="宋体" w:hint="default"/>
                <w:sz w:val="21"/>
                <w:szCs w:val="21"/>
              </w:rPr>
              <w:t>，调减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10"/>
              <w:jc w:val="right"/>
              <w:rPr>
                <w:rFonts w:ascii="Times New Roman" w:hAnsi="Times New Roman" w:cs="Times New Roman" w:eastAsia="Times New Roman" w:hint="default"/>
                <w:sz w:val="21"/>
                <w:szCs w:val="21"/>
              </w:rPr>
            </w:pPr>
            <w:r>
              <w:rPr>
                <w:rFonts w:ascii="Times New Roman"/>
                <w:sz w:val="21"/>
              </w:rPr>
              <w:t>-</w:t>
            </w:r>
          </w:p>
        </w:tc>
        <w:tc>
          <w:tcPr>
            <w:tcW w:w="20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21"/>
                <w:szCs w:val="21"/>
              </w:rPr>
            </w:pPr>
            <w:r>
              <w:rPr>
                <w:rFonts w:ascii="Times New Roman"/>
                <w:sz w:val="21"/>
              </w:rPr>
              <w:t>-</w:t>
            </w:r>
          </w:p>
        </w:tc>
      </w:tr>
      <w:tr>
        <w:trPr>
          <w:trHeight w:val="520" w:hRule="exact"/>
        </w:trPr>
        <w:tc>
          <w:tcPr>
            <w:tcW w:w="444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调整后年初未分配利润</w:t>
            </w:r>
          </w:p>
        </w:tc>
        <w:tc>
          <w:tcPr>
            <w:tcW w:w="2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48"/>
              <w:jc w:val="right"/>
              <w:rPr>
                <w:rFonts w:ascii="Times New Roman" w:hAnsi="Times New Roman" w:cs="Times New Roman" w:eastAsia="Times New Roman" w:hint="default"/>
                <w:sz w:val="21"/>
                <w:szCs w:val="21"/>
              </w:rPr>
            </w:pPr>
            <w:r>
              <w:rPr>
                <w:rFonts w:ascii="Times New Roman"/>
                <w:spacing w:val="-1"/>
                <w:sz w:val="21"/>
              </w:rPr>
              <w:t>-343,040,963.43</w:t>
            </w:r>
          </w:p>
        </w:tc>
        <w:tc>
          <w:tcPr>
            <w:tcW w:w="20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
              <w:jc w:val="center"/>
              <w:rPr>
                <w:rFonts w:ascii="Times New Roman" w:hAnsi="Times New Roman" w:cs="Times New Roman" w:eastAsia="Times New Roman" w:hint="default"/>
                <w:sz w:val="21"/>
                <w:szCs w:val="21"/>
              </w:rPr>
            </w:pPr>
            <w:r>
              <w:rPr>
                <w:rFonts w:ascii="Times New Roman"/>
                <w:sz w:val="21"/>
              </w:rPr>
              <w:t>-</w:t>
            </w:r>
          </w:p>
        </w:tc>
      </w:tr>
      <w:tr>
        <w:trPr>
          <w:trHeight w:val="520" w:hRule="exact"/>
        </w:trPr>
        <w:tc>
          <w:tcPr>
            <w:tcW w:w="444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49"/>
              <w:jc w:val="right"/>
              <w:rPr>
                <w:rFonts w:ascii="Times New Roman" w:hAnsi="Times New Roman" w:cs="Times New Roman" w:eastAsia="Times New Roman" w:hint="default"/>
                <w:sz w:val="21"/>
                <w:szCs w:val="21"/>
              </w:rPr>
            </w:pPr>
            <w:r>
              <w:rPr>
                <w:rFonts w:ascii="Times New Roman"/>
                <w:spacing w:val="-1"/>
                <w:sz w:val="21"/>
              </w:rPr>
              <w:t>64,356,382.89</w:t>
            </w:r>
          </w:p>
        </w:tc>
        <w:tc>
          <w:tcPr>
            <w:tcW w:w="20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
              <w:jc w:val="center"/>
              <w:rPr>
                <w:rFonts w:ascii="Times New Roman" w:hAnsi="Times New Roman" w:cs="Times New Roman" w:eastAsia="Times New Roman" w:hint="default"/>
                <w:sz w:val="21"/>
                <w:szCs w:val="21"/>
              </w:rPr>
            </w:pPr>
            <w:r>
              <w:rPr>
                <w:rFonts w:ascii="Times New Roman"/>
                <w:sz w:val="21"/>
              </w:rPr>
              <w:t>-</w:t>
            </w:r>
          </w:p>
        </w:tc>
      </w:tr>
      <w:tr>
        <w:trPr>
          <w:trHeight w:val="521" w:hRule="exact"/>
        </w:trPr>
        <w:tc>
          <w:tcPr>
            <w:tcW w:w="444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10"/>
              <w:jc w:val="right"/>
              <w:rPr>
                <w:rFonts w:ascii="Times New Roman" w:hAnsi="Times New Roman" w:cs="Times New Roman" w:eastAsia="Times New Roman" w:hint="default"/>
                <w:sz w:val="21"/>
                <w:szCs w:val="21"/>
              </w:rPr>
            </w:pPr>
            <w:r>
              <w:rPr>
                <w:rFonts w:ascii="Times New Roman"/>
                <w:sz w:val="21"/>
              </w:rPr>
              <w:t>-</w:t>
            </w:r>
          </w:p>
        </w:tc>
        <w:tc>
          <w:tcPr>
            <w:tcW w:w="20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21"/>
                <w:szCs w:val="21"/>
              </w:rPr>
            </w:pPr>
            <w:r>
              <w:rPr>
                <w:rFonts w:ascii="Times New Roman"/>
                <w:sz w:val="21"/>
              </w:rPr>
              <w:t>-</w:t>
            </w:r>
          </w:p>
        </w:tc>
      </w:tr>
      <w:tr>
        <w:trPr>
          <w:trHeight w:val="520" w:hRule="exact"/>
        </w:trPr>
        <w:tc>
          <w:tcPr>
            <w:tcW w:w="444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10"/>
              <w:jc w:val="right"/>
              <w:rPr>
                <w:rFonts w:ascii="Times New Roman" w:hAnsi="Times New Roman" w:cs="Times New Roman" w:eastAsia="Times New Roman" w:hint="default"/>
                <w:sz w:val="21"/>
                <w:szCs w:val="21"/>
              </w:rPr>
            </w:pPr>
            <w:r>
              <w:rPr>
                <w:rFonts w:ascii="Times New Roman"/>
                <w:sz w:val="21"/>
              </w:rPr>
              <w:t>-</w:t>
            </w:r>
          </w:p>
        </w:tc>
        <w:tc>
          <w:tcPr>
            <w:tcW w:w="20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21"/>
                <w:szCs w:val="21"/>
              </w:rPr>
            </w:pPr>
            <w:r>
              <w:rPr>
                <w:rFonts w:ascii="Times New Roman"/>
                <w:sz w:val="21"/>
              </w:rPr>
              <w:t>-</w:t>
            </w:r>
          </w:p>
        </w:tc>
      </w:tr>
      <w:tr>
        <w:trPr>
          <w:trHeight w:val="520" w:hRule="exact"/>
        </w:trPr>
        <w:tc>
          <w:tcPr>
            <w:tcW w:w="444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10"/>
              <w:jc w:val="right"/>
              <w:rPr>
                <w:rFonts w:ascii="Times New Roman" w:hAnsi="Times New Roman" w:cs="Times New Roman" w:eastAsia="Times New Roman" w:hint="default"/>
                <w:sz w:val="21"/>
                <w:szCs w:val="21"/>
              </w:rPr>
            </w:pPr>
            <w:r>
              <w:rPr>
                <w:rFonts w:ascii="Times New Roman"/>
                <w:sz w:val="21"/>
              </w:rPr>
              <w:t>-</w:t>
            </w:r>
          </w:p>
        </w:tc>
        <w:tc>
          <w:tcPr>
            <w:tcW w:w="20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21"/>
                <w:szCs w:val="21"/>
              </w:rPr>
            </w:pPr>
            <w:r>
              <w:rPr>
                <w:rFonts w:ascii="Times New Roman"/>
                <w:sz w:val="21"/>
              </w:rPr>
              <w:t>-</w:t>
            </w:r>
          </w:p>
        </w:tc>
      </w:tr>
      <w:tr>
        <w:trPr>
          <w:trHeight w:val="521" w:hRule="exact"/>
        </w:trPr>
        <w:tc>
          <w:tcPr>
            <w:tcW w:w="444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10"/>
              <w:jc w:val="right"/>
              <w:rPr>
                <w:rFonts w:ascii="Times New Roman" w:hAnsi="Times New Roman" w:cs="Times New Roman" w:eastAsia="Times New Roman" w:hint="default"/>
                <w:sz w:val="21"/>
                <w:szCs w:val="21"/>
              </w:rPr>
            </w:pPr>
            <w:r>
              <w:rPr>
                <w:rFonts w:ascii="Times New Roman"/>
                <w:sz w:val="21"/>
              </w:rPr>
              <w:t>-</w:t>
            </w:r>
          </w:p>
        </w:tc>
        <w:tc>
          <w:tcPr>
            <w:tcW w:w="20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21"/>
                <w:szCs w:val="21"/>
              </w:rPr>
            </w:pPr>
            <w:r>
              <w:rPr>
                <w:rFonts w:ascii="Times New Roman"/>
                <w:sz w:val="21"/>
              </w:rPr>
              <w:t>-</w:t>
            </w:r>
          </w:p>
        </w:tc>
      </w:tr>
      <w:tr>
        <w:trPr>
          <w:trHeight w:val="520" w:hRule="exact"/>
        </w:trPr>
        <w:tc>
          <w:tcPr>
            <w:tcW w:w="444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10"/>
              <w:jc w:val="right"/>
              <w:rPr>
                <w:rFonts w:ascii="Times New Roman" w:hAnsi="Times New Roman" w:cs="Times New Roman" w:eastAsia="Times New Roman" w:hint="default"/>
                <w:sz w:val="21"/>
                <w:szCs w:val="21"/>
              </w:rPr>
            </w:pPr>
            <w:r>
              <w:rPr>
                <w:rFonts w:ascii="Times New Roman"/>
                <w:sz w:val="21"/>
              </w:rPr>
              <w:t>-</w:t>
            </w:r>
          </w:p>
        </w:tc>
        <w:tc>
          <w:tcPr>
            <w:tcW w:w="20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21"/>
                <w:szCs w:val="21"/>
              </w:rPr>
            </w:pPr>
            <w:r>
              <w:rPr>
                <w:rFonts w:ascii="Times New Roman"/>
                <w:sz w:val="21"/>
              </w:rPr>
              <w:t>-</w:t>
            </w:r>
          </w:p>
        </w:tc>
      </w:tr>
      <w:tr>
        <w:trPr>
          <w:trHeight w:val="521" w:hRule="exact"/>
        </w:trPr>
        <w:tc>
          <w:tcPr>
            <w:tcW w:w="444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48"/>
              <w:jc w:val="right"/>
              <w:rPr>
                <w:rFonts w:ascii="Times New Roman" w:hAnsi="Times New Roman" w:cs="Times New Roman" w:eastAsia="Times New Roman" w:hint="default"/>
                <w:sz w:val="21"/>
                <w:szCs w:val="21"/>
              </w:rPr>
            </w:pPr>
            <w:r>
              <w:rPr>
                <w:rFonts w:ascii="Times New Roman"/>
                <w:spacing w:val="-1"/>
                <w:sz w:val="21"/>
              </w:rPr>
              <w:t>-278,684,580.54</w:t>
            </w:r>
          </w:p>
        </w:tc>
        <w:tc>
          <w:tcPr>
            <w:tcW w:w="20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270" w:right="220"/>
        <w:jc w:val="left"/>
      </w:pPr>
      <w:r>
        <w:rPr>
          <w:rFonts w:ascii="Times New Roman" w:hAnsi="Times New Roman" w:cs="Times New Roman" w:eastAsia="Times New Roman" w:hint="default"/>
          <w:b/>
          <w:bCs/>
        </w:rPr>
        <w:t>35</w:t>
      </w:r>
      <w:r>
        <w:rPr/>
        <w:t>、营业收入、营业成本</w:t>
      </w:r>
    </w:p>
    <w:p>
      <w:pPr>
        <w:spacing w:line="240" w:lineRule="auto" w:before="12"/>
        <w:rPr>
          <w:rFonts w:ascii="宋体" w:hAnsi="宋体" w:cs="宋体" w:eastAsia="宋体" w:hint="default"/>
          <w:sz w:val="15"/>
          <w:szCs w:val="15"/>
        </w:rPr>
      </w:pPr>
    </w:p>
    <w:p>
      <w:pPr>
        <w:pStyle w:val="BodyText"/>
        <w:spacing w:line="240" w:lineRule="auto"/>
        <w:ind w:left="270" w:right="220"/>
        <w:jc w:val="left"/>
      </w:pPr>
      <w:r>
        <w:rPr/>
        <w:t>（</w:t>
      </w:r>
      <w:r>
        <w:rPr>
          <w:rFonts w:ascii="Times New Roman" w:hAnsi="Times New Roman" w:cs="Times New Roman" w:eastAsia="Times New Roman" w:hint="default"/>
        </w:rPr>
        <w:t>1</w:t>
      </w:r>
      <w:r>
        <w:rPr/>
        <w:t>）营业收入、营业成本</w:t>
      </w:r>
    </w:p>
    <w:p>
      <w:pPr>
        <w:spacing w:line="240" w:lineRule="auto" w:before="4"/>
        <w:rPr>
          <w:rFonts w:ascii="宋体" w:hAnsi="宋体" w:cs="宋体" w:eastAsia="宋体" w:hint="default"/>
          <w:sz w:val="13"/>
          <w:szCs w:val="13"/>
        </w:rPr>
      </w:pPr>
    </w:p>
    <w:p>
      <w:pPr>
        <w:pStyle w:val="BodyText"/>
        <w:tabs>
          <w:tab w:pos="1049" w:val="left" w:leader="none"/>
        </w:tabs>
        <w:spacing w:line="240" w:lineRule="auto" w:before="35"/>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052"/>
        <w:gridCol w:w="2898"/>
        <w:gridCol w:w="2898"/>
      </w:tblGrid>
      <w:tr>
        <w:trPr>
          <w:trHeight w:val="510" w:hRule="exact"/>
        </w:trPr>
        <w:tc>
          <w:tcPr>
            <w:tcW w:w="3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9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9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0" w:hRule="exact"/>
        </w:trPr>
        <w:tc>
          <w:tcPr>
            <w:tcW w:w="3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630,033,564.42</w:t>
            </w:r>
          </w:p>
        </w:tc>
        <w:tc>
          <w:tcPr>
            <w:tcW w:w="2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2"/>
              <w:jc w:val="right"/>
              <w:rPr>
                <w:rFonts w:ascii="Times New Roman" w:hAnsi="Times New Roman" w:cs="Times New Roman" w:eastAsia="Times New Roman" w:hint="default"/>
                <w:sz w:val="21"/>
                <w:szCs w:val="21"/>
              </w:rPr>
            </w:pPr>
            <w:r>
              <w:rPr>
                <w:rFonts w:ascii="Times New Roman"/>
                <w:spacing w:val="-1"/>
                <w:sz w:val="21"/>
              </w:rPr>
              <w:t>289,774,781.44</w:t>
            </w:r>
          </w:p>
        </w:tc>
      </w:tr>
      <w:tr>
        <w:trPr>
          <w:trHeight w:val="510" w:hRule="exact"/>
        </w:trPr>
        <w:tc>
          <w:tcPr>
            <w:tcW w:w="3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66,684,695.16</w:t>
            </w:r>
          </w:p>
        </w:tc>
        <w:tc>
          <w:tcPr>
            <w:tcW w:w="2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0"/>
              <w:jc w:val="right"/>
              <w:rPr>
                <w:rFonts w:ascii="Times New Roman" w:hAnsi="Times New Roman" w:cs="Times New Roman" w:eastAsia="Times New Roman" w:hint="default"/>
                <w:sz w:val="21"/>
                <w:szCs w:val="21"/>
              </w:rPr>
            </w:pPr>
            <w:r>
              <w:rPr>
                <w:rFonts w:ascii="Times New Roman"/>
                <w:spacing w:val="-1"/>
                <w:sz w:val="21"/>
              </w:rPr>
              <w:t>29,073,553.59</w:t>
            </w:r>
          </w:p>
        </w:tc>
      </w:tr>
      <w:tr>
        <w:trPr>
          <w:trHeight w:val="510" w:hRule="exact"/>
        </w:trPr>
        <w:tc>
          <w:tcPr>
            <w:tcW w:w="3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465,745,745.11</w:t>
            </w:r>
          </w:p>
        </w:tc>
        <w:tc>
          <w:tcPr>
            <w:tcW w:w="2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3"/>
              <w:jc w:val="right"/>
              <w:rPr>
                <w:rFonts w:ascii="Times New Roman" w:hAnsi="Times New Roman" w:cs="Times New Roman" w:eastAsia="Times New Roman" w:hint="default"/>
                <w:sz w:val="21"/>
                <w:szCs w:val="21"/>
              </w:rPr>
            </w:pPr>
            <w:r>
              <w:rPr>
                <w:rFonts w:ascii="Times New Roman"/>
                <w:spacing w:val="-1"/>
                <w:sz w:val="21"/>
              </w:rPr>
              <w:t>199,440,608.42</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982" w:top="1320" w:bottom="1180" w:left="1600" w:right="1180"/>
        </w:sectPr>
      </w:pPr>
    </w:p>
    <w:p>
      <w:pPr>
        <w:pStyle w:val="BodyText"/>
        <w:spacing w:line="240" w:lineRule="auto" w:before="17"/>
        <w:ind w:left="270" w:right="220"/>
        <w:jc w:val="left"/>
      </w:pPr>
      <w:r>
        <w:rPr/>
        <w:t>（</w:t>
      </w:r>
      <w:r>
        <w:rPr>
          <w:rFonts w:ascii="Times New Roman" w:hAnsi="Times New Roman" w:cs="Times New Roman" w:eastAsia="Times New Roman" w:hint="default"/>
        </w:rPr>
        <w:t>2</w:t>
      </w:r>
      <w:r>
        <w:rPr/>
        <w:t>）主营业务（分行业）</w:t>
      </w:r>
    </w:p>
    <w:p>
      <w:pPr>
        <w:spacing w:line="240" w:lineRule="auto" w:before="6"/>
        <w:rPr>
          <w:rFonts w:ascii="宋体" w:hAnsi="宋体" w:cs="宋体" w:eastAsia="宋体" w:hint="default"/>
          <w:sz w:val="9"/>
          <w:szCs w:val="9"/>
        </w:rPr>
      </w:pPr>
    </w:p>
    <w:p>
      <w:pPr>
        <w:pStyle w:val="BodyText"/>
        <w:tabs>
          <w:tab w:pos="1049" w:val="left" w:leader="none"/>
        </w:tabs>
        <w:spacing w:line="240" w:lineRule="auto" w:before="35"/>
        <w:ind w:left="0" w:right="231"/>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284"/>
        <w:gridCol w:w="1450"/>
        <w:gridCol w:w="1691"/>
        <w:gridCol w:w="1691"/>
        <w:gridCol w:w="1690"/>
      </w:tblGrid>
      <w:tr>
        <w:trPr>
          <w:trHeight w:val="460" w:hRule="exact"/>
        </w:trPr>
        <w:tc>
          <w:tcPr>
            <w:tcW w:w="228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8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1" w:hRule="exact"/>
        </w:trPr>
        <w:tc>
          <w:tcPr>
            <w:tcW w:w="2284" w:type="dxa"/>
            <w:vMerge/>
            <w:tcBorders>
              <w:left w:val="nil" w:sz="6" w:space="0" w:color="auto"/>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7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7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7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60" w:hRule="exact"/>
        </w:trPr>
        <w:tc>
          <w:tcPr>
            <w:tcW w:w="2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房地产开发及物业管理</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453,697,306.00</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312,591,629.11</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64,404,515.16</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116,416,214.84</w:t>
            </w:r>
          </w:p>
        </w:tc>
      </w:tr>
      <w:tr>
        <w:trPr>
          <w:trHeight w:val="460" w:hRule="exact"/>
        </w:trPr>
        <w:tc>
          <w:tcPr>
            <w:tcW w:w="2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出租车运输</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96,777,788.49</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48,280,579.28</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97,593,755.50</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50,690,519.81</w:t>
            </w:r>
          </w:p>
        </w:tc>
      </w:tr>
      <w:tr>
        <w:trPr>
          <w:trHeight w:val="461" w:hRule="exact"/>
        </w:trPr>
        <w:tc>
          <w:tcPr>
            <w:tcW w:w="2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酒店及餐饮</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49,740,533.33</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31,848,087.53</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56,169,462.59</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35,504,026.14</w:t>
            </w:r>
          </w:p>
        </w:tc>
      </w:tr>
      <w:tr>
        <w:trPr>
          <w:trHeight w:val="460" w:hRule="exact"/>
        </w:trPr>
        <w:tc>
          <w:tcPr>
            <w:tcW w:w="2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物流及运输</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106,682,251.76</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77,149,523.46</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118,646,605.73</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79,063,215.85</w:t>
            </w:r>
          </w:p>
        </w:tc>
      </w:tr>
      <w:tr>
        <w:trPr>
          <w:trHeight w:val="460" w:hRule="exact"/>
        </w:trPr>
        <w:tc>
          <w:tcPr>
            <w:tcW w:w="2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225,000.00</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646,446.90</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118,846.15</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347,885.29</w:t>
            </w:r>
          </w:p>
        </w:tc>
      </w:tr>
      <w:tr>
        <w:trPr>
          <w:trHeight w:val="461" w:hRule="exact"/>
        </w:trPr>
        <w:tc>
          <w:tcPr>
            <w:tcW w:w="2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业务间抵销</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-10,404,620.00</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-4,770,521.17</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-18,084,850.10</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-82,581,253.51</w:t>
            </w:r>
          </w:p>
        </w:tc>
      </w:tr>
      <w:tr>
        <w:trPr>
          <w:trHeight w:val="460" w:hRule="exact"/>
        </w:trPr>
        <w:tc>
          <w:tcPr>
            <w:tcW w:w="2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696,718,259.58</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465,745,745.11</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318,848,335.03</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199,440,608.42</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before="35"/>
        <w:ind w:left="270" w:right="220"/>
        <w:jc w:val="left"/>
      </w:pPr>
      <w:r>
        <w:rPr/>
        <w:t>（</w:t>
      </w:r>
      <w:r>
        <w:rPr>
          <w:rFonts w:ascii="Times New Roman" w:hAnsi="Times New Roman" w:cs="Times New Roman" w:eastAsia="Times New Roman" w:hint="default"/>
        </w:rPr>
        <w:t>3</w:t>
      </w:r>
      <w:r>
        <w:rPr/>
        <w:t>）主营业务（分地区）</w:t>
      </w:r>
    </w:p>
    <w:p>
      <w:pPr>
        <w:spacing w:line="240" w:lineRule="auto" w:before="6"/>
        <w:rPr>
          <w:rFonts w:ascii="宋体" w:hAnsi="宋体" w:cs="宋体" w:eastAsia="宋体" w:hint="default"/>
          <w:sz w:val="9"/>
          <w:szCs w:val="9"/>
        </w:rPr>
      </w:pPr>
    </w:p>
    <w:p>
      <w:pPr>
        <w:pStyle w:val="BodyText"/>
        <w:tabs>
          <w:tab w:pos="1049" w:val="left" w:leader="none"/>
        </w:tabs>
        <w:spacing w:line="240" w:lineRule="auto" w:before="35"/>
        <w:ind w:left="0" w:right="441"/>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860"/>
        <w:gridCol w:w="1735"/>
        <w:gridCol w:w="1736"/>
        <w:gridCol w:w="1735"/>
        <w:gridCol w:w="1738"/>
      </w:tblGrid>
      <w:tr>
        <w:trPr>
          <w:trHeight w:val="461" w:hRule="exact"/>
        </w:trPr>
        <w:tc>
          <w:tcPr>
            <w:tcW w:w="1860"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516"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4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47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4"/>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60" w:hRule="exact"/>
        </w:trPr>
        <w:tc>
          <w:tcPr>
            <w:tcW w:w="1860" w:type="dxa"/>
            <w:vMerge/>
            <w:tcBorders>
              <w:left w:val="nil" w:sz="6" w:space="0" w:color="auto"/>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4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4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4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444"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60"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44" w:right="0"/>
              <w:jc w:val="left"/>
              <w:rPr>
                <w:rFonts w:ascii="宋体" w:hAnsi="宋体" w:cs="宋体" w:eastAsia="宋体" w:hint="default"/>
                <w:sz w:val="21"/>
                <w:szCs w:val="21"/>
              </w:rPr>
            </w:pPr>
            <w:r>
              <w:rPr>
                <w:rFonts w:ascii="宋体" w:hAnsi="宋体" w:cs="宋体" w:eastAsia="宋体" w:hint="default"/>
                <w:sz w:val="21"/>
                <w:szCs w:val="21"/>
              </w:rPr>
              <w:t>广东地区</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636,174,836.52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430,909,425.18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Times New Roman" w:hAnsi="Times New Roman" w:cs="Times New Roman" w:eastAsia="Times New Roman" w:hint="default"/>
                <w:sz w:val="21"/>
                <w:szCs w:val="21"/>
              </w:rPr>
            </w:pPr>
            <w:r>
              <w:rPr>
                <w:rFonts w:ascii="Times New Roman"/>
                <w:sz w:val="21"/>
              </w:rPr>
              <w:t>251,049,230.87</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Times New Roman" w:hAnsi="Times New Roman" w:cs="Times New Roman" w:eastAsia="Times New Roman" w:hint="default"/>
                <w:sz w:val="21"/>
                <w:szCs w:val="21"/>
              </w:rPr>
            </w:pPr>
            <w:r>
              <w:rPr>
                <w:rFonts w:ascii="Times New Roman"/>
                <w:sz w:val="21"/>
              </w:rPr>
              <w:t>160,033,956.57</w:t>
            </w:r>
          </w:p>
        </w:tc>
      </w:tr>
      <w:tr>
        <w:trPr>
          <w:trHeight w:val="461"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44" w:right="0"/>
              <w:jc w:val="left"/>
              <w:rPr>
                <w:rFonts w:ascii="宋体" w:hAnsi="宋体" w:cs="宋体" w:eastAsia="宋体" w:hint="default"/>
                <w:sz w:val="21"/>
                <w:szCs w:val="21"/>
              </w:rPr>
            </w:pPr>
            <w:r>
              <w:rPr>
                <w:rFonts w:ascii="宋体" w:hAnsi="宋体" w:cs="宋体" w:eastAsia="宋体" w:hint="default"/>
                <w:sz w:val="21"/>
                <w:szCs w:val="21"/>
              </w:rPr>
              <w:t>湖南地区</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20,135,966.93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10,942,657.89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5" w:right="0"/>
              <w:jc w:val="left"/>
              <w:rPr>
                <w:rFonts w:ascii="Times New Roman" w:hAnsi="Times New Roman" w:cs="Times New Roman" w:eastAsia="Times New Roman" w:hint="default"/>
                <w:sz w:val="21"/>
                <w:szCs w:val="21"/>
              </w:rPr>
            </w:pPr>
            <w:r>
              <w:rPr>
                <w:rFonts w:ascii="Times New Roman"/>
                <w:sz w:val="21"/>
              </w:rPr>
              <w:t>20,949,822.27</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3"/>
              <w:jc w:val="right"/>
              <w:rPr>
                <w:rFonts w:ascii="Times New Roman" w:hAnsi="Times New Roman" w:cs="Times New Roman" w:eastAsia="Times New Roman" w:hint="default"/>
                <w:sz w:val="21"/>
                <w:szCs w:val="21"/>
              </w:rPr>
            </w:pPr>
            <w:r>
              <w:rPr>
                <w:rFonts w:ascii="Times New Roman"/>
                <w:spacing w:val="-1"/>
                <w:sz w:val="21"/>
              </w:rPr>
              <w:t>13,063,522.65</w:t>
            </w:r>
          </w:p>
        </w:tc>
      </w:tr>
      <w:tr>
        <w:trPr>
          <w:trHeight w:val="460"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44" w:right="0"/>
              <w:jc w:val="left"/>
              <w:rPr>
                <w:rFonts w:ascii="宋体" w:hAnsi="宋体" w:cs="宋体" w:eastAsia="宋体" w:hint="default"/>
                <w:sz w:val="21"/>
                <w:szCs w:val="21"/>
              </w:rPr>
            </w:pPr>
            <w:r>
              <w:rPr>
                <w:rFonts w:ascii="宋体" w:hAnsi="宋体" w:cs="宋体" w:eastAsia="宋体" w:hint="default"/>
                <w:sz w:val="21"/>
                <w:szCs w:val="21"/>
              </w:rPr>
              <w:t>西安地区</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40,182,456.13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23,247,215.14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5" w:right="0"/>
              <w:jc w:val="left"/>
              <w:rPr>
                <w:rFonts w:ascii="Times New Roman" w:hAnsi="Times New Roman" w:cs="Times New Roman" w:eastAsia="Times New Roman" w:hint="default"/>
                <w:sz w:val="21"/>
                <w:szCs w:val="21"/>
              </w:rPr>
            </w:pPr>
            <w:r>
              <w:rPr>
                <w:rFonts w:ascii="Times New Roman"/>
                <w:sz w:val="21"/>
              </w:rPr>
              <w:t>46,730,435.74</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3"/>
              <w:jc w:val="right"/>
              <w:rPr>
                <w:rFonts w:ascii="Times New Roman" w:hAnsi="Times New Roman" w:cs="Times New Roman" w:eastAsia="Times New Roman" w:hint="default"/>
                <w:sz w:val="21"/>
                <w:szCs w:val="21"/>
              </w:rPr>
            </w:pPr>
            <w:r>
              <w:rPr>
                <w:rFonts w:ascii="Times New Roman"/>
                <w:spacing w:val="-1"/>
                <w:sz w:val="21"/>
              </w:rPr>
              <w:t>25,995,243.91</w:t>
            </w:r>
          </w:p>
        </w:tc>
      </w:tr>
      <w:tr>
        <w:trPr>
          <w:trHeight w:val="460"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4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225,000.00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646,446.90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1"/>
              <w:jc w:val="right"/>
              <w:rPr>
                <w:rFonts w:ascii="Times New Roman" w:hAnsi="Times New Roman" w:cs="Times New Roman" w:eastAsia="Times New Roman" w:hint="default"/>
                <w:sz w:val="21"/>
                <w:szCs w:val="21"/>
              </w:rPr>
            </w:pPr>
            <w:r>
              <w:rPr>
                <w:rFonts w:ascii="Times New Roman"/>
                <w:spacing w:val="-2"/>
                <w:sz w:val="21"/>
              </w:rPr>
              <w:t>118,846.15</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5"/>
              <w:jc w:val="right"/>
              <w:rPr>
                <w:rFonts w:ascii="Times New Roman" w:hAnsi="Times New Roman" w:cs="Times New Roman" w:eastAsia="Times New Roman" w:hint="default"/>
                <w:sz w:val="21"/>
                <w:szCs w:val="21"/>
              </w:rPr>
            </w:pPr>
            <w:r>
              <w:rPr>
                <w:rFonts w:ascii="Times New Roman"/>
                <w:spacing w:val="-1"/>
                <w:sz w:val="21"/>
              </w:rPr>
              <w:t>347,885.29</w:t>
            </w:r>
          </w:p>
        </w:tc>
      </w:tr>
      <w:tr>
        <w:trPr>
          <w:trHeight w:val="461"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4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696,718,259.58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465,745,745.11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318,848,335.03</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199,440,608.42</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before="35"/>
        <w:ind w:left="270" w:right="220"/>
        <w:jc w:val="left"/>
      </w:pPr>
      <w:r>
        <w:rPr/>
        <w:t>（</w:t>
      </w:r>
      <w:r>
        <w:rPr>
          <w:rFonts w:ascii="Times New Roman" w:hAnsi="Times New Roman" w:cs="Times New Roman" w:eastAsia="Times New Roman" w:hint="default"/>
        </w:rPr>
        <w:t>4</w:t>
      </w:r>
      <w:r>
        <w:rPr/>
        <w:t>）公司前五名客户的营业收入情况</w:t>
      </w:r>
    </w:p>
    <w:p>
      <w:pPr>
        <w:spacing w:line="240" w:lineRule="auto" w:before="6"/>
        <w:rPr>
          <w:rFonts w:ascii="宋体" w:hAnsi="宋体" w:cs="宋体" w:eastAsia="宋体" w:hint="default"/>
          <w:sz w:val="9"/>
          <w:szCs w:val="9"/>
        </w:rPr>
      </w:pPr>
    </w:p>
    <w:p>
      <w:pPr>
        <w:pStyle w:val="BodyText"/>
        <w:tabs>
          <w:tab w:pos="1049" w:val="left" w:leader="none"/>
        </w:tabs>
        <w:spacing w:line="240" w:lineRule="auto" w:before="35"/>
        <w:ind w:left="0" w:right="231"/>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3766"/>
        <w:gridCol w:w="1744"/>
        <w:gridCol w:w="3341"/>
      </w:tblGrid>
      <w:tr>
        <w:trPr>
          <w:trHeight w:val="470" w:hRule="exact"/>
        </w:trPr>
        <w:tc>
          <w:tcPr>
            <w:tcW w:w="37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44"/>
              <w:ind w:left="2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7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left="44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34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4"/>
              <w:ind w:right="10"/>
              <w:jc w:val="center"/>
              <w:rPr>
                <w:rFonts w:ascii="Times New Roman" w:hAnsi="Times New Roman" w:cs="Times New Roman" w:eastAsia="Times New Roman" w:hint="default"/>
                <w:sz w:val="21"/>
                <w:szCs w:val="21"/>
              </w:rPr>
            </w:pPr>
            <w:r>
              <w:rPr>
                <w:rFonts w:ascii="宋体" w:hAnsi="宋体" w:cs="宋体" w:eastAsia="宋体" w:hint="default"/>
                <w:sz w:val="21"/>
                <w:szCs w:val="21"/>
              </w:rPr>
              <w:t>占公司全部营业收入的比例</w:t>
            </w:r>
            <w:r>
              <w:rPr>
                <w:rFonts w:ascii="Times New Roman" w:hAnsi="Times New Roman" w:cs="Times New Roman" w:eastAsia="Times New Roman" w:hint="default"/>
                <w:sz w:val="21"/>
                <w:szCs w:val="21"/>
              </w:rPr>
              <w:t>(%)</w:t>
            </w:r>
          </w:p>
        </w:tc>
      </w:tr>
      <w:tr>
        <w:trPr>
          <w:trHeight w:val="469" w:hRule="exact"/>
        </w:trPr>
        <w:tc>
          <w:tcPr>
            <w:tcW w:w="37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44"/>
              <w:ind w:left="122" w:right="0"/>
              <w:jc w:val="left"/>
              <w:rPr>
                <w:rFonts w:ascii="宋体" w:hAnsi="宋体" w:cs="宋体" w:eastAsia="宋体" w:hint="default"/>
                <w:sz w:val="21"/>
                <w:szCs w:val="21"/>
              </w:rPr>
            </w:pPr>
            <w:r>
              <w:rPr>
                <w:rFonts w:ascii="宋体" w:hAnsi="宋体" w:cs="宋体" w:eastAsia="宋体" w:hint="default"/>
                <w:sz w:val="21"/>
                <w:szCs w:val="21"/>
              </w:rPr>
              <w:t>敦豪国际物流（香港）有限公司</w:t>
            </w:r>
          </w:p>
        </w:tc>
        <w:tc>
          <w:tcPr>
            <w:tcW w:w="17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46,430,620.33</w:t>
            </w:r>
          </w:p>
        </w:tc>
        <w:tc>
          <w:tcPr>
            <w:tcW w:w="334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
              <w:jc w:val="center"/>
              <w:rPr>
                <w:rFonts w:ascii="Times New Roman" w:hAnsi="Times New Roman" w:cs="Times New Roman" w:eastAsia="Times New Roman" w:hint="default"/>
                <w:sz w:val="21"/>
                <w:szCs w:val="21"/>
              </w:rPr>
            </w:pPr>
            <w:r>
              <w:rPr>
                <w:rFonts w:ascii="Times New Roman"/>
                <w:sz w:val="21"/>
              </w:rPr>
              <w:t>6.66%</w:t>
            </w:r>
          </w:p>
        </w:tc>
      </w:tr>
      <w:tr>
        <w:trPr>
          <w:trHeight w:val="470" w:hRule="exact"/>
        </w:trPr>
        <w:tc>
          <w:tcPr>
            <w:tcW w:w="37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44"/>
              <w:ind w:left="122" w:right="0"/>
              <w:jc w:val="left"/>
              <w:rPr>
                <w:rFonts w:ascii="宋体" w:hAnsi="宋体" w:cs="宋体" w:eastAsia="宋体" w:hint="default"/>
                <w:sz w:val="21"/>
                <w:szCs w:val="21"/>
              </w:rPr>
            </w:pPr>
            <w:r>
              <w:rPr>
                <w:rFonts w:ascii="宋体" w:hAnsi="宋体" w:cs="宋体" w:eastAsia="宋体" w:hint="default"/>
                <w:sz w:val="21"/>
                <w:szCs w:val="21"/>
              </w:rPr>
              <w:t>深圳招商局海运物流有限公司</w:t>
            </w:r>
          </w:p>
        </w:tc>
        <w:tc>
          <w:tcPr>
            <w:tcW w:w="17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6,898,755.00</w:t>
            </w:r>
          </w:p>
        </w:tc>
        <w:tc>
          <w:tcPr>
            <w:tcW w:w="334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
              <w:jc w:val="center"/>
              <w:rPr>
                <w:rFonts w:ascii="Times New Roman" w:hAnsi="Times New Roman" w:cs="Times New Roman" w:eastAsia="Times New Roman" w:hint="default"/>
                <w:sz w:val="21"/>
                <w:szCs w:val="21"/>
              </w:rPr>
            </w:pPr>
            <w:r>
              <w:rPr>
                <w:rFonts w:ascii="Times New Roman"/>
                <w:sz w:val="21"/>
              </w:rPr>
              <w:t>0.99%</w:t>
            </w:r>
          </w:p>
        </w:tc>
      </w:tr>
      <w:tr>
        <w:trPr>
          <w:trHeight w:val="470" w:hRule="exact"/>
        </w:trPr>
        <w:tc>
          <w:tcPr>
            <w:tcW w:w="37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44"/>
              <w:ind w:left="122" w:right="0"/>
              <w:jc w:val="left"/>
              <w:rPr>
                <w:rFonts w:ascii="宋体" w:hAnsi="宋体" w:cs="宋体" w:eastAsia="宋体" w:hint="default"/>
                <w:sz w:val="21"/>
                <w:szCs w:val="21"/>
              </w:rPr>
            </w:pPr>
            <w:r>
              <w:rPr>
                <w:rFonts w:ascii="宋体" w:hAnsi="宋体" w:cs="宋体" w:eastAsia="宋体" w:hint="default"/>
                <w:sz w:val="21"/>
                <w:szCs w:val="21"/>
              </w:rPr>
              <w:t>中国烟草总公司深圳市公司</w:t>
            </w:r>
          </w:p>
        </w:tc>
        <w:tc>
          <w:tcPr>
            <w:tcW w:w="17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4,339,186.00</w:t>
            </w:r>
          </w:p>
        </w:tc>
        <w:tc>
          <w:tcPr>
            <w:tcW w:w="334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
              <w:jc w:val="center"/>
              <w:rPr>
                <w:rFonts w:ascii="Times New Roman" w:hAnsi="Times New Roman" w:cs="Times New Roman" w:eastAsia="Times New Roman" w:hint="default"/>
                <w:sz w:val="21"/>
                <w:szCs w:val="21"/>
              </w:rPr>
            </w:pPr>
            <w:r>
              <w:rPr>
                <w:rFonts w:ascii="Times New Roman"/>
                <w:sz w:val="21"/>
              </w:rPr>
              <w:t>0.62%</w:t>
            </w:r>
          </w:p>
        </w:tc>
      </w:tr>
      <w:tr>
        <w:trPr>
          <w:trHeight w:val="469" w:hRule="exact"/>
        </w:trPr>
        <w:tc>
          <w:tcPr>
            <w:tcW w:w="37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44"/>
              <w:ind w:left="122" w:right="0"/>
              <w:jc w:val="left"/>
              <w:rPr>
                <w:rFonts w:ascii="宋体" w:hAnsi="宋体" w:cs="宋体" w:eastAsia="宋体" w:hint="default"/>
                <w:sz w:val="21"/>
                <w:szCs w:val="21"/>
              </w:rPr>
            </w:pPr>
            <w:r>
              <w:rPr>
                <w:rFonts w:ascii="宋体" w:hAnsi="宋体" w:cs="宋体" w:eastAsia="宋体" w:hint="default"/>
                <w:sz w:val="21"/>
                <w:szCs w:val="21"/>
              </w:rPr>
              <w:t>深圳盐业公司</w:t>
            </w:r>
          </w:p>
        </w:tc>
        <w:tc>
          <w:tcPr>
            <w:tcW w:w="17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2,687,679.32</w:t>
            </w:r>
          </w:p>
        </w:tc>
        <w:tc>
          <w:tcPr>
            <w:tcW w:w="334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
              <w:jc w:val="center"/>
              <w:rPr>
                <w:rFonts w:ascii="Times New Roman" w:hAnsi="Times New Roman" w:cs="Times New Roman" w:eastAsia="Times New Roman" w:hint="default"/>
                <w:sz w:val="21"/>
                <w:szCs w:val="21"/>
              </w:rPr>
            </w:pPr>
            <w:r>
              <w:rPr>
                <w:rFonts w:ascii="Times New Roman"/>
                <w:sz w:val="21"/>
              </w:rPr>
              <w:t>0.39%</w:t>
            </w:r>
          </w:p>
        </w:tc>
      </w:tr>
      <w:tr>
        <w:trPr>
          <w:trHeight w:val="470" w:hRule="exact"/>
        </w:trPr>
        <w:tc>
          <w:tcPr>
            <w:tcW w:w="37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44"/>
              <w:ind w:left="122" w:right="0"/>
              <w:jc w:val="left"/>
              <w:rPr>
                <w:rFonts w:ascii="宋体" w:hAnsi="宋体" w:cs="宋体" w:eastAsia="宋体" w:hint="default"/>
                <w:sz w:val="21"/>
                <w:szCs w:val="21"/>
              </w:rPr>
            </w:pPr>
            <w:r>
              <w:rPr>
                <w:rFonts w:ascii="宋体" w:hAnsi="宋体" w:cs="宋体" w:eastAsia="宋体" w:hint="default"/>
                <w:sz w:val="21"/>
                <w:szCs w:val="21"/>
              </w:rPr>
              <w:t>柏坚货柜机械维修（深圳）有限公司</w:t>
            </w:r>
          </w:p>
        </w:tc>
        <w:tc>
          <w:tcPr>
            <w:tcW w:w="17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2,119,029.00</w:t>
            </w:r>
          </w:p>
        </w:tc>
        <w:tc>
          <w:tcPr>
            <w:tcW w:w="334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
              <w:jc w:val="center"/>
              <w:rPr>
                <w:rFonts w:ascii="Times New Roman" w:hAnsi="Times New Roman" w:cs="Times New Roman" w:eastAsia="Times New Roman" w:hint="default"/>
                <w:sz w:val="21"/>
                <w:szCs w:val="21"/>
              </w:rPr>
            </w:pPr>
            <w:r>
              <w:rPr>
                <w:rFonts w:ascii="Times New Roman"/>
                <w:sz w:val="21"/>
              </w:rPr>
              <w:t>0.30%</w:t>
            </w:r>
          </w:p>
        </w:tc>
      </w:tr>
      <w:tr>
        <w:trPr>
          <w:trHeight w:val="470" w:hRule="exact"/>
        </w:trPr>
        <w:tc>
          <w:tcPr>
            <w:tcW w:w="37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44"/>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62,475,269.65</w:t>
            </w:r>
          </w:p>
        </w:tc>
        <w:tc>
          <w:tcPr>
            <w:tcW w:w="334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
              <w:jc w:val="center"/>
              <w:rPr>
                <w:rFonts w:ascii="Times New Roman" w:hAnsi="Times New Roman" w:cs="Times New Roman" w:eastAsia="Times New Roman" w:hint="default"/>
                <w:sz w:val="21"/>
                <w:szCs w:val="21"/>
              </w:rPr>
            </w:pPr>
            <w:r>
              <w:rPr>
                <w:rFonts w:ascii="Times New Roman"/>
                <w:sz w:val="21"/>
              </w:rPr>
              <w:t>8.96%</w:t>
            </w:r>
          </w:p>
        </w:tc>
      </w:tr>
    </w:tbl>
    <w:p>
      <w:pPr>
        <w:spacing w:after="0" w:line="240" w:lineRule="auto"/>
        <w:jc w:val="center"/>
        <w:rPr>
          <w:rFonts w:ascii="Times New Roman" w:hAnsi="Times New Roman" w:cs="Times New Roman" w:eastAsia="Times New Roman" w:hint="default"/>
          <w:sz w:val="21"/>
          <w:szCs w:val="21"/>
        </w:rPr>
        <w:sectPr>
          <w:pgSz w:w="11900" w:h="16840"/>
          <w:pgMar w:header="0" w:footer="982" w:top="1260" w:bottom="1180" w:left="1600" w:right="1180"/>
        </w:sectPr>
      </w:pPr>
    </w:p>
    <w:p>
      <w:pPr>
        <w:spacing w:line="240" w:lineRule="auto" w:before="11"/>
        <w:rPr>
          <w:rFonts w:ascii="宋体" w:hAnsi="宋体" w:cs="宋体" w:eastAsia="宋体" w:hint="default"/>
          <w:sz w:val="20"/>
          <w:szCs w:val="20"/>
        </w:rPr>
      </w:pPr>
    </w:p>
    <w:p>
      <w:pPr>
        <w:pStyle w:val="BodyText"/>
        <w:spacing w:line="240" w:lineRule="auto" w:before="35"/>
        <w:ind w:right="0"/>
        <w:jc w:val="left"/>
      </w:pPr>
      <w:r>
        <w:rPr>
          <w:rFonts w:ascii="Times New Roman" w:hAnsi="Times New Roman" w:cs="Times New Roman" w:eastAsia="Times New Roman" w:hint="default"/>
          <w:b/>
          <w:bCs/>
        </w:rPr>
        <w:t>36</w:t>
      </w:r>
      <w:r>
        <w:rPr/>
        <w:t>、营业税金及附加</w:t>
      </w:r>
    </w:p>
    <w:p>
      <w:pPr>
        <w:spacing w:line="240" w:lineRule="auto" w:before="5"/>
        <w:rPr>
          <w:rFonts w:ascii="宋体" w:hAnsi="宋体" w:cs="宋体" w:eastAsia="宋体" w:hint="default"/>
          <w:sz w:val="16"/>
          <w:szCs w:val="16"/>
        </w:rPr>
      </w:pPr>
    </w:p>
    <w:p>
      <w:pPr>
        <w:pStyle w:val="BodyText"/>
        <w:tabs>
          <w:tab w:pos="1049" w:val="left" w:leader="none"/>
        </w:tabs>
        <w:spacing w:line="240" w:lineRule="auto" w:before="35"/>
        <w:ind w:left="0" w:right="231"/>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41" w:type="dxa"/>
        <w:tblLayout w:type="fixed"/>
        <w:tblCellMar>
          <w:top w:w="0" w:type="dxa"/>
          <w:left w:w="0" w:type="dxa"/>
          <w:bottom w:w="0" w:type="dxa"/>
          <w:right w:w="0" w:type="dxa"/>
        </w:tblCellMar>
        <w:tblLook w:val="01E0"/>
      </w:tblPr>
      <w:tblGrid>
        <w:gridCol w:w="3324"/>
        <w:gridCol w:w="2684"/>
        <w:gridCol w:w="2683"/>
      </w:tblGrid>
      <w:tr>
        <w:trPr>
          <w:trHeight w:val="550" w:hRule="exact"/>
        </w:trPr>
        <w:tc>
          <w:tcPr>
            <w:tcW w:w="33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88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88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1" w:hRule="exact"/>
        </w:trPr>
        <w:tc>
          <w:tcPr>
            <w:tcW w:w="33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33,305,316.06</w:t>
            </w:r>
          </w:p>
        </w:tc>
        <w:tc>
          <w:tcPr>
            <w:tcW w:w="26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19,208,674.24</w:t>
            </w:r>
          </w:p>
        </w:tc>
      </w:tr>
      <w:tr>
        <w:trPr>
          <w:trHeight w:val="550" w:hRule="exact"/>
        </w:trPr>
        <w:tc>
          <w:tcPr>
            <w:tcW w:w="33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554,296.73</w:t>
            </w:r>
            <w:r>
              <w:rPr>
                <w:rFonts w:ascii="Times New Roman"/>
                <w:sz w:val="21"/>
              </w:rPr>
            </w:r>
          </w:p>
        </w:tc>
        <w:tc>
          <w:tcPr>
            <w:tcW w:w="26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451,190.08</w:t>
            </w:r>
            <w:r>
              <w:rPr>
                <w:rFonts w:ascii="Times New Roman"/>
                <w:sz w:val="21"/>
              </w:rPr>
            </w:r>
          </w:p>
        </w:tc>
      </w:tr>
      <w:tr>
        <w:trPr>
          <w:trHeight w:val="550" w:hRule="exact"/>
        </w:trPr>
        <w:tc>
          <w:tcPr>
            <w:tcW w:w="33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2"/>
                <w:sz w:val="21"/>
              </w:rPr>
              <w:t>1,027,911.35</w:t>
            </w:r>
            <w:r>
              <w:rPr>
                <w:rFonts w:ascii="Times New Roman"/>
                <w:sz w:val="21"/>
              </w:rPr>
            </w:r>
          </w:p>
        </w:tc>
        <w:tc>
          <w:tcPr>
            <w:tcW w:w="26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606,703.51</w:t>
            </w:r>
            <w:r>
              <w:rPr>
                <w:rFonts w:ascii="Times New Roman"/>
                <w:sz w:val="21"/>
              </w:rPr>
            </w:r>
          </w:p>
        </w:tc>
      </w:tr>
      <w:tr>
        <w:trPr>
          <w:trHeight w:val="551" w:hRule="exact"/>
        </w:trPr>
        <w:tc>
          <w:tcPr>
            <w:tcW w:w="33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31,534,955.86</w:t>
            </w:r>
          </w:p>
        </w:tc>
        <w:tc>
          <w:tcPr>
            <w:tcW w:w="26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547,798.45</w:t>
            </w:r>
          </w:p>
        </w:tc>
      </w:tr>
      <w:tr>
        <w:trPr>
          <w:trHeight w:val="550" w:hRule="exact"/>
        </w:trPr>
        <w:tc>
          <w:tcPr>
            <w:tcW w:w="33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372,505.48</w:t>
            </w:r>
            <w:r>
              <w:rPr>
                <w:rFonts w:ascii="Times New Roman"/>
                <w:sz w:val="21"/>
              </w:rPr>
            </w:r>
          </w:p>
        </w:tc>
        <w:tc>
          <w:tcPr>
            <w:tcW w:w="26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778,585.28</w:t>
            </w:r>
            <w:r>
              <w:rPr>
                <w:rFonts w:ascii="Times New Roman"/>
                <w:sz w:val="21"/>
              </w:rPr>
            </w:r>
          </w:p>
        </w:tc>
      </w:tr>
      <w:tr>
        <w:trPr>
          <w:trHeight w:val="551" w:hRule="exact"/>
        </w:trPr>
        <w:tc>
          <w:tcPr>
            <w:tcW w:w="33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66,794,985.48</w:t>
            </w:r>
          </w:p>
        </w:tc>
        <w:tc>
          <w:tcPr>
            <w:tcW w:w="26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21,592,951.56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5"/>
        <w:ind w:left="19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37</w:t>
      </w:r>
      <w:r>
        <w:rPr>
          <w:rFonts w:ascii="宋体" w:hAnsi="宋体" w:cs="宋体" w:eastAsia="宋体" w:hint="default"/>
          <w:sz w:val="21"/>
          <w:szCs w:val="21"/>
        </w:rPr>
        <w:t>、投资收益</w:t>
      </w:r>
    </w:p>
    <w:p>
      <w:pPr>
        <w:spacing w:line="240" w:lineRule="auto" w:before="5"/>
        <w:rPr>
          <w:rFonts w:ascii="宋体" w:hAnsi="宋体" w:cs="宋体" w:eastAsia="宋体" w:hint="default"/>
          <w:sz w:val="16"/>
          <w:szCs w:val="16"/>
        </w:rPr>
      </w:pPr>
    </w:p>
    <w:p>
      <w:pPr>
        <w:pStyle w:val="BodyText"/>
        <w:tabs>
          <w:tab w:pos="1049" w:val="left" w:leader="none"/>
        </w:tabs>
        <w:spacing w:line="240" w:lineRule="auto" w:before="35"/>
        <w:ind w:left="0" w:right="230"/>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71" w:type="dxa"/>
        <w:tblLayout w:type="fixed"/>
        <w:tblCellMar>
          <w:top w:w="0" w:type="dxa"/>
          <w:left w:w="0" w:type="dxa"/>
          <w:bottom w:w="0" w:type="dxa"/>
          <w:right w:w="0" w:type="dxa"/>
        </w:tblCellMar>
        <w:tblLook w:val="01E0"/>
      </w:tblPr>
      <w:tblGrid>
        <w:gridCol w:w="4673"/>
        <w:gridCol w:w="2039"/>
        <w:gridCol w:w="2039"/>
      </w:tblGrid>
      <w:tr>
        <w:trPr>
          <w:trHeight w:val="550"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6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0"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854,697.23</w:t>
            </w:r>
          </w:p>
        </w:tc>
        <w:tc>
          <w:tcPr>
            <w:tcW w:w="20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r>
      <w:tr>
        <w:trPr>
          <w:trHeight w:val="551"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2,025,928.12</w:t>
            </w:r>
          </w:p>
        </w:tc>
        <w:tc>
          <w:tcPr>
            <w:tcW w:w="20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-8,448,723.69</w:t>
            </w:r>
          </w:p>
        </w:tc>
      </w:tr>
      <w:tr>
        <w:trPr>
          <w:trHeight w:val="550"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其中：深圳市深威驳运有限公司</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18,497.95</w:t>
            </w:r>
          </w:p>
        </w:tc>
        <w:tc>
          <w:tcPr>
            <w:tcW w:w="20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286,270.88</w:t>
            </w:r>
          </w:p>
        </w:tc>
      </w:tr>
      <w:tr>
        <w:trPr>
          <w:trHeight w:val="550"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深圳市鸿丰酒店管理有限公司</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3,502,316.98</w:t>
            </w:r>
          </w:p>
        </w:tc>
        <w:tc>
          <w:tcPr>
            <w:tcW w:w="20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6,931,247.55</w:t>
            </w:r>
          </w:p>
        </w:tc>
      </w:tr>
      <w:tr>
        <w:trPr>
          <w:trHeight w:val="551"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福建东南广播电视网络有限公司</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26"/>
              <w:jc w:val="right"/>
              <w:rPr>
                <w:rFonts w:ascii="Times New Roman" w:hAnsi="Times New Roman" w:cs="Times New Roman" w:eastAsia="Times New Roman" w:hint="default"/>
                <w:sz w:val="18"/>
                <w:szCs w:val="18"/>
              </w:rPr>
            </w:pPr>
            <w:r>
              <w:rPr>
                <w:rFonts w:ascii="Times New Roman"/>
                <w:sz w:val="18"/>
              </w:rPr>
              <w:t>-</w:t>
            </w:r>
          </w:p>
        </w:tc>
        <w:tc>
          <w:tcPr>
            <w:tcW w:w="20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-9,900,000.00</w:t>
            </w:r>
          </w:p>
        </w:tc>
      </w:tr>
      <w:tr>
        <w:trPr>
          <w:trHeight w:val="550"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-1,494,886.81</w:t>
            </w:r>
          </w:p>
        </w:tc>
        <w:tc>
          <w:tcPr>
            <w:tcW w:w="20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-5,766,242.12</w:t>
            </w:r>
          </w:p>
        </w:tc>
      </w:tr>
      <w:tr>
        <w:trPr>
          <w:trHeight w:val="550"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43,104,415.44</w:t>
            </w:r>
          </w:p>
        </w:tc>
        <w:tc>
          <w:tcPr>
            <w:tcW w:w="20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-3,393,419.28</w:t>
            </w:r>
          </w:p>
        </w:tc>
      </w:tr>
      <w:tr>
        <w:trPr>
          <w:trHeight w:val="551"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持有可供出售金融资产等期间取得的投资收益</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25,233,786.41</w:t>
            </w:r>
          </w:p>
        </w:tc>
        <w:tc>
          <w:tcPr>
            <w:tcW w:w="20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r>
      <w:tr>
        <w:trPr>
          <w:trHeight w:val="550"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其他非流动资产摊销</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-1,148,505.30</w:t>
            </w:r>
          </w:p>
        </w:tc>
        <w:tc>
          <w:tcPr>
            <w:tcW w:w="20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-615,404.77</w:t>
            </w:r>
          </w:p>
        </w:tc>
      </w:tr>
      <w:tr>
        <w:trPr>
          <w:trHeight w:val="551" w:hRule="exact"/>
        </w:trPr>
        <w:tc>
          <w:tcPr>
            <w:tcW w:w="46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70,070,321.90</w:t>
            </w:r>
          </w:p>
        </w:tc>
        <w:tc>
          <w:tcPr>
            <w:tcW w:w="20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-12,457,547.74</w:t>
            </w:r>
          </w:p>
        </w:tc>
      </w:tr>
    </w:tbl>
    <w:p>
      <w:pPr>
        <w:spacing w:line="240" w:lineRule="auto" w:before="2"/>
        <w:rPr>
          <w:rFonts w:ascii="宋体" w:hAnsi="宋体" w:cs="宋体" w:eastAsia="宋体" w:hint="default"/>
          <w:sz w:val="15"/>
          <w:szCs w:val="15"/>
        </w:rPr>
      </w:pPr>
    </w:p>
    <w:p>
      <w:pPr>
        <w:pStyle w:val="BodyText"/>
        <w:spacing w:line="240" w:lineRule="auto" w:before="35"/>
        <w:ind w:right="0"/>
        <w:jc w:val="left"/>
      </w:pPr>
      <w:r>
        <w:rPr/>
        <w:t>本公司向该等公司取回投资收益不存在重大限制。</w:t>
      </w:r>
    </w:p>
    <w:p>
      <w:pPr>
        <w:spacing w:after="0" w:line="240" w:lineRule="auto"/>
        <w:jc w:val="left"/>
        <w:sectPr>
          <w:pgSz w:w="11900" w:h="16840"/>
          <w:pgMar w:header="0" w:footer="982" w:top="1600" w:bottom="1180" w:left="1680" w:right="1180"/>
        </w:sectPr>
      </w:pPr>
    </w:p>
    <w:p>
      <w:pPr>
        <w:spacing w:before="6"/>
        <w:ind w:left="230" w:right="2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38</w:t>
      </w:r>
      <w:r>
        <w:rPr>
          <w:rFonts w:ascii="宋体" w:hAnsi="宋体" w:cs="宋体" w:eastAsia="宋体" w:hint="default"/>
          <w:sz w:val="21"/>
          <w:szCs w:val="21"/>
        </w:rPr>
        <w:t>、资产减值损失</w:t>
      </w:r>
    </w:p>
    <w:p>
      <w:pPr>
        <w:spacing w:line="240" w:lineRule="auto" w:before="10"/>
        <w:rPr>
          <w:rFonts w:ascii="宋体" w:hAnsi="宋体" w:cs="宋体" w:eastAsia="宋体" w:hint="default"/>
          <w:sz w:val="8"/>
          <w:szCs w:val="8"/>
        </w:rPr>
      </w:pPr>
    </w:p>
    <w:p>
      <w:pPr>
        <w:pStyle w:val="BodyText"/>
        <w:tabs>
          <w:tab w:pos="1049" w:val="left" w:leader="none"/>
        </w:tabs>
        <w:spacing w:line="240" w:lineRule="auto" w:before="35"/>
        <w:ind w:left="0" w:right="231"/>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915"/>
        <w:gridCol w:w="1967"/>
        <w:gridCol w:w="1966"/>
      </w:tblGrid>
      <w:tr>
        <w:trPr>
          <w:trHeight w:val="450" w:hRule="exact"/>
        </w:trPr>
        <w:tc>
          <w:tcPr>
            <w:tcW w:w="49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2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2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0" w:hRule="exact"/>
        </w:trPr>
        <w:tc>
          <w:tcPr>
            <w:tcW w:w="49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7"/>
              <w:jc w:val="right"/>
              <w:rPr>
                <w:rFonts w:ascii="Times New Roman" w:hAnsi="Times New Roman" w:cs="Times New Roman" w:eastAsia="Times New Roman" w:hint="default"/>
                <w:sz w:val="18"/>
                <w:szCs w:val="18"/>
              </w:rPr>
            </w:pPr>
            <w:r>
              <w:rPr>
                <w:rFonts w:ascii="Times New Roman"/>
                <w:spacing w:val="-1"/>
                <w:sz w:val="18"/>
              </w:rPr>
              <w:t>-82,517,681.98</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1"/>
              <w:jc w:val="right"/>
              <w:rPr>
                <w:rFonts w:ascii="Times New Roman" w:hAnsi="Times New Roman" w:cs="Times New Roman" w:eastAsia="Times New Roman" w:hint="default"/>
                <w:sz w:val="18"/>
                <w:szCs w:val="18"/>
              </w:rPr>
            </w:pPr>
            <w:r>
              <w:rPr>
                <w:rFonts w:ascii="Times New Roman"/>
                <w:spacing w:val="-1"/>
                <w:sz w:val="18"/>
              </w:rPr>
              <w:t>40,422,282.84</w:t>
            </w:r>
          </w:p>
        </w:tc>
      </w:tr>
      <w:tr>
        <w:trPr>
          <w:trHeight w:val="450" w:hRule="exact"/>
        </w:trPr>
        <w:tc>
          <w:tcPr>
            <w:tcW w:w="49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二、长期股权投资减值损失</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7"/>
              <w:jc w:val="right"/>
              <w:rPr>
                <w:rFonts w:ascii="Times New Roman" w:hAnsi="Times New Roman" w:cs="Times New Roman" w:eastAsia="Times New Roman" w:hint="default"/>
                <w:sz w:val="18"/>
                <w:szCs w:val="18"/>
              </w:rPr>
            </w:pPr>
            <w:r>
              <w:rPr>
                <w:rFonts w:ascii="Times New Roman"/>
                <w:spacing w:val="-1"/>
                <w:sz w:val="18"/>
              </w:rPr>
              <w:t>7,502,413.03</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426"/>
              <w:jc w:val="right"/>
              <w:rPr>
                <w:rFonts w:ascii="Times New Roman" w:hAnsi="Times New Roman" w:cs="Times New Roman" w:eastAsia="Times New Roman" w:hint="default"/>
                <w:sz w:val="18"/>
                <w:szCs w:val="18"/>
              </w:rPr>
            </w:pPr>
            <w:r>
              <w:rPr>
                <w:rFonts w:ascii="Times New Roman"/>
                <w:sz w:val="18"/>
              </w:rPr>
              <w:t>-</w:t>
            </w:r>
          </w:p>
        </w:tc>
      </w:tr>
      <w:tr>
        <w:trPr>
          <w:trHeight w:val="450" w:hRule="exact"/>
        </w:trPr>
        <w:tc>
          <w:tcPr>
            <w:tcW w:w="49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三、固定资产减值损失</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7"/>
              <w:jc w:val="right"/>
              <w:rPr>
                <w:rFonts w:ascii="Times New Roman" w:hAnsi="Times New Roman" w:cs="Times New Roman" w:eastAsia="Times New Roman" w:hint="default"/>
                <w:sz w:val="18"/>
                <w:szCs w:val="18"/>
              </w:rPr>
            </w:pPr>
            <w:r>
              <w:rPr>
                <w:rFonts w:ascii="Times New Roman"/>
                <w:sz w:val="18"/>
              </w:rPr>
              <w:t>48,801.60</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1"/>
              <w:jc w:val="right"/>
              <w:rPr>
                <w:rFonts w:ascii="Times New Roman" w:hAnsi="Times New Roman" w:cs="Times New Roman" w:eastAsia="Times New Roman" w:hint="default"/>
                <w:sz w:val="18"/>
                <w:szCs w:val="18"/>
              </w:rPr>
            </w:pPr>
            <w:r>
              <w:rPr>
                <w:rFonts w:ascii="Times New Roman"/>
                <w:sz w:val="18"/>
              </w:rPr>
              <w:t>225,493.33</w:t>
            </w:r>
          </w:p>
        </w:tc>
      </w:tr>
      <w:tr>
        <w:trPr>
          <w:trHeight w:val="450" w:hRule="exact"/>
        </w:trPr>
        <w:tc>
          <w:tcPr>
            <w:tcW w:w="49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四、在建工程资产减值损失</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7"/>
              <w:jc w:val="right"/>
              <w:rPr>
                <w:rFonts w:ascii="Times New Roman" w:hAnsi="Times New Roman" w:cs="Times New Roman" w:eastAsia="Times New Roman" w:hint="default"/>
                <w:sz w:val="18"/>
                <w:szCs w:val="18"/>
              </w:rPr>
            </w:pPr>
            <w:r>
              <w:rPr>
                <w:rFonts w:ascii="Times New Roman"/>
                <w:sz w:val="18"/>
              </w:rPr>
              <w:t>165,800.00</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426"/>
              <w:jc w:val="right"/>
              <w:rPr>
                <w:rFonts w:ascii="Times New Roman" w:hAnsi="Times New Roman" w:cs="Times New Roman" w:eastAsia="Times New Roman" w:hint="default"/>
                <w:sz w:val="18"/>
                <w:szCs w:val="18"/>
              </w:rPr>
            </w:pPr>
            <w:r>
              <w:rPr>
                <w:rFonts w:ascii="Times New Roman"/>
                <w:sz w:val="18"/>
              </w:rPr>
              <w:t>-</w:t>
            </w:r>
          </w:p>
        </w:tc>
      </w:tr>
      <w:tr>
        <w:trPr>
          <w:trHeight w:val="450" w:hRule="exact"/>
        </w:trPr>
        <w:tc>
          <w:tcPr>
            <w:tcW w:w="49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五、商誉减值损失</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7"/>
              <w:jc w:val="right"/>
              <w:rPr>
                <w:rFonts w:ascii="Times New Roman" w:hAnsi="Times New Roman" w:cs="Times New Roman" w:eastAsia="Times New Roman" w:hint="default"/>
                <w:sz w:val="18"/>
                <w:szCs w:val="18"/>
              </w:rPr>
            </w:pPr>
            <w:r>
              <w:rPr>
                <w:rFonts w:ascii="Times New Roman"/>
                <w:spacing w:val="-1"/>
                <w:sz w:val="18"/>
              </w:rPr>
              <w:t>31,838,360.93</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1"/>
              <w:jc w:val="right"/>
              <w:rPr>
                <w:rFonts w:ascii="Times New Roman" w:hAnsi="Times New Roman" w:cs="Times New Roman" w:eastAsia="Times New Roman" w:hint="default"/>
                <w:sz w:val="18"/>
                <w:szCs w:val="18"/>
              </w:rPr>
            </w:pPr>
            <w:r>
              <w:rPr>
                <w:rFonts w:ascii="Times New Roman"/>
                <w:spacing w:val="-1"/>
                <w:sz w:val="18"/>
              </w:rPr>
              <w:t>1,807,170.93</w:t>
            </w:r>
          </w:p>
        </w:tc>
      </w:tr>
      <w:tr>
        <w:trPr>
          <w:trHeight w:val="451" w:hRule="exact"/>
        </w:trPr>
        <w:tc>
          <w:tcPr>
            <w:tcW w:w="49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7"/>
              <w:jc w:val="right"/>
              <w:rPr>
                <w:rFonts w:ascii="Times New Roman" w:hAnsi="Times New Roman" w:cs="Times New Roman" w:eastAsia="Times New Roman" w:hint="default"/>
                <w:sz w:val="18"/>
                <w:szCs w:val="18"/>
              </w:rPr>
            </w:pPr>
            <w:r>
              <w:rPr>
                <w:rFonts w:ascii="Times New Roman"/>
                <w:spacing w:val="-1"/>
                <w:sz w:val="18"/>
              </w:rPr>
              <w:t>-42,962,306.42</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1"/>
              <w:jc w:val="right"/>
              <w:rPr>
                <w:rFonts w:ascii="Times New Roman" w:hAnsi="Times New Roman" w:cs="Times New Roman" w:eastAsia="Times New Roman" w:hint="default"/>
                <w:sz w:val="18"/>
                <w:szCs w:val="18"/>
              </w:rPr>
            </w:pPr>
            <w:r>
              <w:rPr>
                <w:rFonts w:ascii="Times New Roman"/>
                <w:spacing w:val="-1"/>
                <w:sz w:val="18"/>
              </w:rPr>
              <w:t>42,454,947.10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spacing w:before="35"/>
        <w:ind w:left="230" w:right="2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39</w:t>
      </w:r>
      <w:r>
        <w:rPr>
          <w:rFonts w:ascii="宋体" w:hAnsi="宋体" w:cs="宋体" w:eastAsia="宋体" w:hint="default"/>
          <w:sz w:val="21"/>
          <w:szCs w:val="21"/>
        </w:rPr>
        <w:t>、营业外收入</w:t>
      </w:r>
    </w:p>
    <w:p>
      <w:pPr>
        <w:spacing w:line="240" w:lineRule="auto" w:before="10"/>
        <w:rPr>
          <w:rFonts w:ascii="宋体" w:hAnsi="宋体" w:cs="宋体" w:eastAsia="宋体" w:hint="default"/>
          <w:sz w:val="8"/>
          <w:szCs w:val="8"/>
        </w:rPr>
      </w:pPr>
    </w:p>
    <w:p>
      <w:pPr>
        <w:pStyle w:val="BodyText"/>
        <w:tabs>
          <w:tab w:pos="1049" w:val="left" w:leader="none"/>
        </w:tabs>
        <w:spacing w:line="240" w:lineRule="auto" w:before="35"/>
        <w:ind w:left="0" w:right="23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34"/>
        <w:gridCol w:w="2802"/>
        <w:gridCol w:w="3012"/>
      </w:tblGrid>
      <w:tr>
        <w:trPr>
          <w:trHeight w:val="4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87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left="97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450.00</w:t>
            </w:r>
          </w:p>
        </w:tc>
        <w:tc>
          <w:tcPr>
            <w:tcW w:w="301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16"/>
              <w:jc w:val="right"/>
              <w:rPr>
                <w:rFonts w:ascii="Times New Roman" w:hAnsi="Times New Roman" w:cs="Times New Roman" w:eastAsia="Times New Roman" w:hint="default"/>
                <w:sz w:val="21"/>
                <w:szCs w:val="21"/>
              </w:rPr>
            </w:pPr>
            <w:r>
              <w:rPr>
                <w:rFonts w:ascii="Times New Roman"/>
                <w:spacing w:val="-1"/>
                <w:sz w:val="21"/>
              </w:rPr>
              <w:t>706,973.72</w:t>
            </w:r>
          </w:p>
        </w:tc>
      </w:tr>
      <w:tr>
        <w:trPr>
          <w:trHeight w:val="4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450.00</w:t>
            </w:r>
          </w:p>
        </w:tc>
        <w:tc>
          <w:tcPr>
            <w:tcW w:w="301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16"/>
              <w:jc w:val="right"/>
              <w:rPr>
                <w:rFonts w:ascii="Times New Roman" w:hAnsi="Times New Roman" w:cs="Times New Roman" w:eastAsia="Times New Roman" w:hint="default"/>
                <w:sz w:val="21"/>
                <w:szCs w:val="21"/>
              </w:rPr>
            </w:pPr>
            <w:r>
              <w:rPr>
                <w:rFonts w:ascii="Times New Roman"/>
                <w:spacing w:val="-1"/>
                <w:sz w:val="21"/>
              </w:rPr>
              <w:t>706,973.72</w:t>
            </w:r>
          </w:p>
        </w:tc>
      </w:tr>
      <w:tr>
        <w:trPr>
          <w:trHeight w:val="4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7,519.00</w:t>
            </w:r>
          </w:p>
        </w:tc>
        <w:tc>
          <w:tcPr>
            <w:tcW w:w="301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15"/>
              <w:jc w:val="right"/>
              <w:rPr>
                <w:rFonts w:ascii="Times New Roman" w:hAnsi="Times New Roman" w:cs="Times New Roman" w:eastAsia="Times New Roman" w:hint="default"/>
                <w:sz w:val="21"/>
                <w:szCs w:val="21"/>
              </w:rPr>
            </w:pPr>
            <w:r>
              <w:rPr>
                <w:rFonts w:ascii="Times New Roman"/>
                <w:spacing w:val="-1"/>
                <w:sz w:val="21"/>
              </w:rPr>
              <w:t>88,866.50</w:t>
            </w:r>
          </w:p>
        </w:tc>
      </w:tr>
      <w:tr>
        <w:trPr>
          <w:trHeight w:val="4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宋体" w:hAnsi="宋体" w:cs="宋体" w:eastAsia="宋体" w:hint="default"/>
                <w:sz w:val="21"/>
                <w:szCs w:val="21"/>
              </w:rPr>
              <w:t>无需支付款项</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63"/>
              <w:jc w:val="right"/>
              <w:rPr>
                <w:rFonts w:ascii="Times New Roman" w:hAnsi="Times New Roman" w:cs="Times New Roman" w:eastAsia="Times New Roman" w:hint="default"/>
                <w:sz w:val="21"/>
                <w:szCs w:val="21"/>
              </w:rPr>
            </w:pPr>
            <w:r>
              <w:rPr>
                <w:rFonts w:ascii="Times New Roman"/>
                <w:sz w:val="21"/>
              </w:rPr>
              <w:t>-</w:t>
            </w:r>
          </w:p>
        </w:tc>
        <w:tc>
          <w:tcPr>
            <w:tcW w:w="301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16"/>
              <w:jc w:val="right"/>
              <w:rPr>
                <w:rFonts w:ascii="Times New Roman" w:hAnsi="Times New Roman" w:cs="Times New Roman" w:eastAsia="Times New Roman" w:hint="default"/>
                <w:sz w:val="21"/>
                <w:szCs w:val="21"/>
              </w:rPr>
            </w:pPr>
            <w:r>
              <w:rPr>
                <w:rFonts w:ascii="Times New Roman"/>
                <w:spacing w:val="-1"/>
                <w:sz w:val="21"/>
              </w:rPr>
              <w:t>5,241,062.76</w:t>
            </w:r>
          </w:p>
        </w:tc>
      </w:tr>
      <w:tr>
        <w:trPr>
          <w:trHeight w:val="4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331,044.71</w:t>
            </w:r>
            <w:r>
              <w:rPr>
                <w:rFonts w:ascii="Times New Roman"/>
                <w:sz w:val="21"/>
              </w:rPr>
            </w:r>
          </w:p>
        </w:tc>
        <w:tc>
          <w:tcPr>
            <w:tcW w:w="301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17"/>
              <w:jc w:val="right"/>
              <w:rPr>
                <w:rFonts w:ascii="Times New Roman" w:hAnsi="Times New Roman" w:cs="Times New Roman" w:eastAsia="Times New Roman" w:hint="default"/>
                <w:sz w:val="21"/>
                <w:szCs w:val="21"/>
              </w:rPr>
            </w:pPr>
            <w:r>
              <w:rPr>
                <w:rFonts w:ascii="Times New Roman"/>
                <w:spacing w:val="-1"/>
                <w:sz w:val="21"/>
              </w:rPr>
              <w:t>3,479,851.88</w:t>
            </w:r>
          </w:p>
        </w:tc>
      </w:tr>
      <w:tr>
        <w:trPr>
          <w:trHeight w:val="4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宋体" w:hAnsi="宋体" w:cs="宋体" w:eastAsia="宋体" w:hint="default"/>
                <w:sz w:val="21"/>
                <w:szCs w:val="21"/>
              </w:rPr>
              <w:t>非货币性资产交换收益</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13,674,971.07</w:t>
            </w:r>
          </w:p>
        </w:tc>
        <w:tc>
          <w:tcPr>
            <w:tcW w:w="301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579"/>
              <w:jc w:val="right"/>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14,013,984.78</w:t>
            </w:r>
          </w:p>
        </w:tc>
        <w:tc>
          <w:tcPr>
            <w:tcW w:w="301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15"/>
              <w:jc w:val="right"/>
              <w:rPr>
                <w:rFonts w:ascii="Times New Roman" w:hAnsi="Times New Roman" w:cs="Times New Roman" w:eastAsia="Times New Roman" w:hint="default"/>
                <w:sz w:val="21"/>
                <w:szCs w:val="21"/>
              </w:rPr>
            </w:pPr>
            <w:r>
              <w:rPr>
                <w:rFonts w:ascii="Times New Roman"/>
                <w:spacing w:val="-1"/>
                <w:sz w:val="21"/>
              </w:rPr>
              <w:t>9,516,754.86</w:t>
            </w:r>
          </w:p>
        </w:tc>
      </w:tr>
    </w:tbl>
    <w:p>
      <w:pPr>
        <w:spacing w:line="240" w:lineRule="auto" w:before="6"/>
        <w:rPr>
          <w:rFonts w:ascii="宋体" w:hAnsi="宋体" w:cs="宋体" w:eastAsia="宋体" w:hint="default"/>
          <w:sz w:val="7"/>
          <w:szCs w:val="7"/>
        </w:rPr>
      </w:pPr>
    </w:p>
    <w:p>
      <w:pPr>
        <w:pStyle w:val="BodyText"/>
        <w:spacing w:line="240" w:lineRule="auto" w:before="35"/>
        <w:ind w:left="230" w:right="217"/>
        <w:jc w:val="left"/>
      </w:pPr>
      <w:r>
        <w:rPr/>
        <w:t>注：</w:t>
      </w:r>
      <w:r>
        <w:rPr>
          <w:rFonts w:ascii="Times New Roman" w:hAnsi="Times New Roman" w:cs="Times New Roman" w:eastAsia="Times New Roman" w:hint="default"/>
          <w:spacing w:val="-1"/>
        </w:rPr>
        <w:t>“</w:t>
      </w:r>
      <w:r>
        <w:rPr/>
        <w:t>非货</w:t>
      </w:r>
      <w:r>
        <w:rPr>
          <w:spacing w:val="1"/>
        </w:rPr>
        <w:t>币</w:t>
      </w:r>
      <w:r>
        <w:rPr/>
        <w:t>性资产交换收益</w:t>
      </w:r>
      <w:r>
        <w:rPr>
          <w:rFonts w:ascii="Times New Roman" w:hAnsi="Times New Roman" w:cs="Times New Roman" w:eastAsia="Times New Roman" w:hint="default"/>
        </w:rPr>
        <w:t>”</w:t>
      </w:r>
      <w:r>
        <w:rPr/>
        <w:t>详见附注六、</w:t>
      </w:r>
      <w:r>
        <w:rPr>
          <w:rFonts w:ascii="Times New Roman" w:hAnsi="Times New Roman" w:cs="Times New Roman" w:eastAsia="Times New Roman" w:hint="default"/>
        </w:rPr>
        <w:t>5</w:t>
      </w:r>
      <w:r>
        <w:rPr>
          <w:spacing w:val="-105"/>
        </w:rPr>
        <w:t>、</w:t>
      </w:r>
      <w:r>
        <w:rPr>
          <w:spacing w:val="-2"/>
        </w:rPr>
        <w:t>（</w:t>
      </w:r>
      <w:r>
        <w:rPr>
          <w:rFonts w:ascii="Times New Roman" w:hAnsi="Times New Roman" w:cs="Times New Roman" w:eastAsia="Times New Roman" w:hint="default"/>
          <w:spacing w:val="-1"/>
        </w:rPr>
        <w:t>3</w:t>
      </w:r>
      <w:r>
        <w:rPr>
          <w:spacing w:val="-105"/>
        </w:rPr>
        <w:t>）</w:t>
      </w:r>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3"/>
          <w:szCs w:val="23"/>
        </w:rPr>
      </w:pPr>
    </w:p>
    <w:p>
      <w:pPr>
        <w:spacing w:before="0"/>
        <w:ind w:left="230" w:right="2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40</w:t>
      </w:r>
      <w:r>
        <w:rPr>
          <w:rFonts w:ascii="宋体" w:hAnsi="宋体" w:cs="宋体" w:eastAsia="宋体" w:hint="default"/>
          <w:sz w:val="21"/>
          <w:szCs w:val="21"/>
        </w:rPr>
        <w:t>、营业外支出</w:t>
      </w:r>
    </w:p>
    <w:p>
      <w:pPr>
        <w:spacing w:line="240" w:lineRule="auto" w:before="10"/>
        <w:rPr>
          <w:rFonts w:ascii="宋体" w:hAnsi="宋体" w:cs="宋体" w:eastAsia="宋体" w:hint="default"/>
          <w:sz w:val="8"/>
          <w:szCs w:val="8"/>
        </w:rPr>
      </w:pPr>
    </w:p>
    <w:p>
      <w:pPr>
        <w:pStyle w:val="BodyText"/>
        <w:tabs>
          <w:tab w:pos="1049" w:val="left" w:leader="none"/>
        </w:tabs>
        <w:spacing w:line="240" w:lineRule="auto" w:before="35"/>
        <w:ind w:left="0" w:right="229"/>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11" w:type="dxa"/>
        <w:tblLayout w:type="fixed"/>
        <w:tblCellMar>
          <w:top w:w="0" w:type="dxa"/>
          <w:left w:w="0" w:type="dxa"/>
          <w:bottom w:w="0" w:type="dxa"/>
          <w:right w:w="0" w:type="dxa"/>
        </w:tblCellMar>
        <w:tblLook w:val="01E0"/>
      </w:tblPr>
      <w:tblGrid>
        <w:gridCol w:w="3558"/>
        <w:gridCol w:w="2550"/>
        <w:gridCol w:w="2546"/>
      </w:tblGrid>
      <w:tr>
        <w:trPr>
          <w:trHeight w:val="450"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1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74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left="74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50"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11"/>
              <w:jc w:val="right"/>
              <w:rPr>
                <w:rFonts w:ascii="Times New Roman" w:hAnsi="Times New Roman" w:cs="Times New Roman" w:eastAsia="Times New Roman" w:hint="default"/>
                <w:sz w:val="21"/>
                <w:szCs w:val="21"/>
              </w:rPr>
            </w:pPr>
            <w:r>
              <w:rPr>
                <w:rFonts w:ascii="Times New Roman"/>
                <w:spacing w:val="-1"/>
                <w:sz w:val="21"/>
              </w:rPr>
              <w:t>546,937.96</w:t>
            </w:r>
            <w:r>
              <w:rPr>
                <w:rFonts w:ascii="Times New Roman"/>
                <w:sz w:val="21"/>
              </w:rPr>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12"/>
              <w:jc w:val="right"/>
              <w:rPr>
                <w:rFonts w:ascii="Times New Roman" w:hAnsi="Times New Roman" w:cs="Times New Roman" w:eastAsia="Times New Roman" w:hint="default"/>
                <w:sz w:val="21"/>
                <w:szCs w:val="21"/>
              </w:rPr>
            </w:pPr>
            <w:r>
              <w:rPr>
                <w:rFonts w:ascii="Times New Roman"/>
                <w:spacing w:val="-1"/>
                <w:sz w:val="21"/>
              </w:rPr>
              <w:t>798,683.85</w:t>
            </w:r>
            <w:r>
              <w:rPr>
                <w:rFonts w:ascii="Times New Roman"/>
                <w:sz w:val="21"/>
              </w:rPr>
            </w:r>
          </w:p>
        </w:tc>
      </w:tr>
      <w:tr>
        <w:trPr>
          <w:trHeight w:val="450"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11"/>
              <w:jc w:val="right"/>
              <w:rPr>
                <w:rFonts w:ascii="Times New Roman" w:hAnsi="Times New Roman" w:cs="Times New Roman" w:eastAsia="Times New Roman" w:hint="default"/>
                <w:sz w:val="21"/>
                <w:szCs w:val="21"/>
              </w:rPr>
            </w:pPr>
            <w:r>
              <w:rPr>
                <w:rFonts w:ascii="Times New Roman"/>
                <w:spacing w:val="-1"/>
                <w:sz w:val="21"/>
              </w:rPr>
              <w:t>546,937.96</w:t>
            </w:r>
            <w:r>
              <w:rPr>
                <w:rFonts w:ascii="Times New Roman"/>
                <w:sz w:val="21"/>
              </w:rPr>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12"/>
              <w:jc w:val="right"/>
              <w:rPr>
                <w:rFonts w:ascii="Times New Roman" w:hAnsi="Times New Roman" w:cs="Times New Roman" w:eastAsia="Times New Roman" w:hint="default"/>
                <w:sz w:val="21"/>
                <w:szCs w:val="21"/>
              </w:rPr>
            </w:pPr>
            <w:r>
              <w:rPr>
                <w:rFonts w:ascii="Times New Roman"/>
                <w:spacing w:val="-1"/>
                <w:sz w:val="21"/>
              </w:rPr>
              <w:t>798,683.85</w:t>
            </w:r>
            <w:r>
              <w:rPr>
                <w:rFonts w:ascii="Times New Roman"/>
                <w:sz w:val="21"/>
              </w:rPr>
            </w:r>
          </w:p>
        </w:tc>
      </w:tr>
      <w:tr>
        <w:trPr>
          <w:trHeight w:val="450"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72"/>
              <w:jc w:val="right"/>
              <w:rPr>
                <w:rFonts w:ascii="Times New Roman" w:hAnsi="Times New Roman" w:cs="Times New Roman" w:eastAsia="Times New Roman" w:hint="default"/>
                <w:sz w:val="21"/>
                <w:szCs w:val="21"/>
              </w:rPr>
            </w:pPr>
            <w:r>
              <w:rPr>
                <w:rFonts w:ascii="Times New Roman"/>
                <w:sz w:val="21"/>
              </w:rPr>
              <w:t>-</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11"/>
              <w:jc w:val="right"/>
              <w:rPr>
                <w:rFonts w:ascii="Times New Roman" w:hAnsi="Times New Roman" w:cs="Times New Roman" w:eastAsia="Times New Roman" w:hint="default"/>
                <w:sz w:val="21"/>
                <w:szCs w:val="21"/>
              </w:rPr>
            </w:pPr>
            <w:r>
              <w:rPr>
                <w:rFonts w:ascii="Times New Roman"/>
                <w:spacing w:val="-1"/>
                <w:sz w:val="21"/>
              </w:rPr>
              <w:t>3,772,500.00</w:t>
            </w:r>
          </w:p>
        </w:tc>
      </w:tr>
      <w:tr>
        <w:trPr>
          <w:trHeight w:val="450"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
                <w:sz w:val="21"/>
              </w:rPr>
              <w:t>105,880.00</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11"/>
              <w:jc w:val="right"/>
              <w:rPr>
                <w:rFonts w:ascii="Times New Roman" w:hAnsi="Times New Roman" w:cs="Times New Roman" w:eastAsia="Times New Roman" w:hint="default"/>
                <w:sz w:val="21"/>
                <w:szCs w:val="21"/>
              </w:rPr>
            </w:pPr>
            <w:r>
              <w:rPr>
                <w:rFonts w:ascii="Times New Roman"/>
                <w:spacing w:val="-1"/>
                <w:sz w:val="21"/>
              </w:rPr>
              <w:t>1,110,500.00</w:t>
            </w:r>
          </w:p>
        </w:tc>
      </w:tr>
      <w:tr>
        <w:trPr>
          <w:trHeight w:val="450"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宋体" w:hAnsi="宋体" w:cs="宋体" w:eastAsia="宋体" w:hint="default"/>
                <w:sz w:val="21"/>
                <w:szCs w:val="21"/>
              </w:rPr>
              <w:t>罚款及滞纳金支出</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9"/>
              <w:jc w:val="right"/>
              <w:rPr>
                <w:rFonts w:ascii="Times New Roman" w:hAnsi="Times New Roman" w:cs="Times New Roman" w:eastAsia="Times New Roman" w:hint="default"/>
                <w:sz w:val="21"/>
                <w:szCs w:val="21"/>
              </w:rPr>
            </w:pPr>
            <w:r>
              <w:rPr>
                <w:rFonts w:ascii="Times New Roman"/>
                <w:spacing w:val="-1"/>
                <w:sz w:val="21"/>
              </w:rPr>
              <w:t>9,996,550.68</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11"/>
              <w:jc w:val="right"/>
              <w:rPr>
                <w:rFonts w:ascii="Times New Roman" w:hAnsi="Times New Roman" w:cs="Times New Roman" w:eastAsia="Times New Roman" w:hint="default"/>
                <w:sz w:val="21"/>
                <w:szCs w:val="21"/>
              </w:rPr>
            </w:pPr>
            <w:r>
              <w:rPr>
                <w:rFonts w:ascii="Times New Roman"/>
                <w:spacing w:val="-1"/>
                <w:sz w:val="21"/>
              </w:rPr>
              <w:t>227,547.57</w:t>
            </w:r>
          </w:p>
        </w:tc>
      </w:tr>
      <w:tr>
        <w:trPr>
          <w:trHeight w:val="450"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2"/>
                <w:sz w:val="21"/>
              </w:rPr>
              <w:t>3,476,011.49</w:t>
            </w:r>
            <w:r>
              <w:rPr>
                <w:rFonts w:ascii="Times New Roman"/>
                <w:sz w:val="21"/>
              </w:rPr>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12"/>
              <w:jc w:val="right"/>
              <w:rPr>
                <w:rFonts w:ascii="Times New Roman" w:hAnsi="Times New Roman" w:cs="Times New Roman" w:eastAsia="Times New Roman" w:hint="default"/>
                <w:sz w:val="21"/>
                <w:szCs w:val="21"/>
              </w:rPr>
            </w:pPr>
            <w:r>
              <w:rPr>
                <w:rFonts w:ascii="Times New Roman"/>
                <w:spacing w:val="-1"/>
                <w:sz w:val="21"/>
              </w:rPr>
              <w:t>619,943.83</w:t>
            </w:r>
            <w:r>
              <w:rPr>
                <w:rFonts w:ascii="Times New Roman"/>
                <w:sz w:val="21"/>
              </w:rPr>
            </w:r>
          </w:p>
        </w:tc>
      </w:tr>
      <w:tr>
        <w:trPr>
          <w:trHeight w:val="450"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
                <w:sz w:val="21"/>
              </w:rPr>
              <w:t>14,125,380.13</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
                <w:sz w:val="21"/>
              </w:rPr>
              <w:t>6,529,175.25</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982" w:top="1260" w:bottom="1180" w:left="1640" w:right="1180"/>
        </w:sectPr>
      </w:pPr>
    </w:p>
    <w:p>
      <w:pPr>
        <w:spacing w:before="7"/>
        <w:ind w:left="190" w:right="14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41</w:t>
      </w:r>
      <w:r>
        <w:rPr>
          <w:rFonts w:ascii="宋体" w:hAnsi="宋体" w:cs="宋体" w:eastAsia="宋体" w:hint="default"/>
          <w:sz w:val="21"/>
          <w:szCs w:val="21"/>
        </w:rPr>
        <w:t>、所得税费用</w:t>
      </w:r>
    </w:p>
    <w:p>
      <w:pPr>
        <w:spacing w:line="240" w:lineRule="auto" w:before="3"/>
        <w:rPr>
          <w:rFonts w:ascii="宋体" w:hAnsi="宋体" w:cs="宋体" w:eastAsia="宋体" w:hint="default"/>
          <w:sz w:val="10"/>
          <w:szCs w:val="10"/>
        </w:rPr>
      </w:pPr>
    </w:p>
    <w:p>
      <w:pPr>
        <w:pStyle w:val="BodyText"/>
        <w:tabs>
          <w:tab w:pos="1049" w:val="left" w:leader="none"/>
        </w:tabs>
        <w:spacing w:line="240" w:lineRule="auto" w:before="35"/>
        <w:ind w:left="0" w:right="15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0" w:type="dxa"/>
        <w:tblLayout w:type="fixed"/>
        <w:tblCellMar>
          <w:top w:w="0" w:type="dxa"/>
          <w:left w:w="0" w:type="dxa"/>
          <w:bottom w:w="0" w:type="dxa"/>
          <w:right w:w="0" w:type="dxa"/>
        </w:tblCellMar>
        <w:tblLook w:val="01E0"/>
      </w:tblPr>
      <w:tblGrid>
        <w:gridCol w:w="3536"/>
        <w:gridCol w:w="2506"/>
        <w:gridCol w:w="2652"/>
      </w:tblGrid>
      <w:tr>
        <w:trPr>
          <w:trHeight w:val="469" w:hRule="exact"/>
        </w:trPr>
        <w:tc>
          <w:tcPr>
            <w:tcW w:w="3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7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7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70" w:hRule="exact"/>
        </w:trPr>
        <w:tc>
          <w:tcPr>
            <w:tcW w:w="3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45"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15,168,012.84</w:t>
            </w:r>
          </w:p>
        </w:tc>
        <w:tc>
          <w:tcPr>
            <w:tcW w:w="26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6,399,320.08</w:t>
            </w:r>
          </w:p>
        </w:tc>
      </w:tr>
      <w:tr>
        <w:trPr>
          <w:trHeight w:val="470" w:hRule="exact"/>
        </w:trPr>
        <w:tc>
          <w:tcPr>
            <w:tcW w:w="3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45"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1,457,612.79</w:t>
            </w:r>
          </w:p>
        </w:tc>
        <w:tc>
          <w:tcPr>
            <w:tcW w:w="26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-32,745,806.97</w:t>
            </w:r>
          </w:p>
        </w:tc>
      </w:tr>
      <w:tr>
        <w:trPr>
          <w:trHeight w:val="470" w:hRule="exact"/>
        </w:trPr>
        <w:tc>
          <w:tcPr>
            <w:tcW w:w="3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4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16,625,625.63</w:t>
            </w:r>
          </w:p>
        </w:tc>
        <w:tc>
          <w:tcPr>
            <w:tcW w:w="26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-26,346,486.89</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right="140"/>
        <w:jc w:val="left"/>
      </w:pPr>
      <w:r>
        <w:rPr>
          <w:rFonts w:ascii="Times New Roman" w:hAnsi="Times New Roman" w:cs="Times New Roman" w:eastAsia="Times New Roman" w:hint="default"/>
          <w:b/>
          <w:bCs/>
        </w:rPr>
        <w:t>42</w:t>
      </w:r>
      <w:r>
        <w:rPr/>
        <w:t>、基本每股收益和稀释每股收益的计算过程</w:t>
      </w:r>
    </w:p>
    <w:p>
      <w:pPr>
        <w:spacing w:line="240" w:lineRule="auto" w:before="3"/>
        <w:rPr>
          <w:rFonts w:ascii="宋体" w:hAnsi="宋体" w:cs="宋体" w:eastAsia="宋体" w:hint="default"/>
          <w:sz w:val="10"/>
          <w:szCs w:val="10"/>
        </w:rPr>
      </w:pPr>
    </w:p>
    <w:p>
      <w:pPr>
        <w:pStyle w:val="BodyText"/>
        <w:tabs>
          <w:tab w:pos="1049" w:val="left" w:leader="none"/>
        </w:tabs>
        <w:spacing w:line="240" w:lineRule="auto" w:before="35"/>
        <w:ind w:left="0" w:right="15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1" w:type="dxa"/>
        <w:tblLayout w:type="fixed"/>
        <w:tblCellMar>
          <w:top w:w="0" w:type="dxa"/>
          <w:left w:w="0" w:type="dxa"/>
          <w:bottom w:w="0" w:type="dxa"/>
          <w:right w:w="0" w:type="dxa"/>
        </w:tblCellMar>
        <w:tblLook w:val="01E0"/>
      </w:tblPr>
      <w:tblGrid>
        <w:gridCol w:w="4082"/>
        <w:gridCol w:w="608"/>
        <w:gridCol w:w="1985"/>
        <w:gridCol w:w="1986"/>
      </w:tblGrid>
      <w:tr>
        <w:trPr>
          <w:trHeight w:val="469" w:hRule="exact"/>
        </w:trPr>
        <w:tc>
          <w:tcPr>
            <w:tcW w:w="4082" w:type="dxa"/>
            <w:tcBorders>
              <w:top w:val="single" w:sz="4" w:space="0" w:color="000000"/>
              <w:left w:val="nil" w:sz="6" w:space="0" w:color="auto"/>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2009</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2008</w:t>
            </w:r>
          </w:p>
        </w:tc>
      </w:tr>
      <w:tr>
        <w:trPr>
          <w:trHeight w:val="470" w:hRule="exact"/>
        </w:trPr>
        <w:tc>
          <w:tcPr>
            <w:tcW w:w="4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2"/>
              <w:jc w:val="right"/>
              <w:rPr>
                <w:rFonts w:ascii="Times New Roman" w:hAnsi="Times New Roman" w:cs="Times New Roman" w:eastAsia="Times New Roman" w:hint="default"/>
                <w:sz w:val="18"/>
                <w:szCs w:val="18"/>
              </w:rPr>
            </w:pPr>
            <w:r>
              <w:rPr>
                <w:rFonts w:ascii="Times New Roman"/>
                <w:sz w:val="18"/>
              </w:rPr>
              <w:t>P0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8"/>
              <w:jc w:val="right"/>
              <w:rPr>
                <w:rFonts w:ascii="Times New Roman" w:hAnsi="Times New Roman" w:cs="Times New Roman" w:eastAsia="Times New Roman" w:hint="default"/>
                <w:sz w:val="18"/>
                <w:szCs w:val="18"/>
              </w:rPr>
            </w:pPr>
            <w:r>
              <w:rPr>
                <w:rFonts w:ascii="Times New Roman"/>
                <w:spacing w:val="-1"/>
                <w:sz w:val="18"/>
              </w:rPr>
              <w:t>64,356,382.89</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35"/>
              <w:jc w:val="right"/>
              <w:rPr>
                <w:rFonts w:ascii="Times New Roman" w:hAnsi="Times New Roman" w:cs="Times New Roman" w:eastAsia="Times New Roman" w:hint="default"/>
                <w:sz w:val="18"/>
                <w:szCs w:val="18"/>
              </w:rPr>
            </w:pPr>
            <w:r>
              <w:rPr>
                <w:rFonts w:ascii="Times New Roman"/>
                <w:spacing w:val="-1"/>
                <w:sz w:val="18"/>
              </w:rPr>
              <w:t>-114,627,831.55</w:t>
            </w:r>
          </w:p>
        </w:tc>
      </w:tr>
      <w:tr>
        <w:trPr>
          <w:trHeight w:val="470" w:hRule="exact"/>
        </w:trPr>
        <w:tc>
          <w:tcPr>
            <w:tcW w:w="4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稀释性潜在普通股的影响</w:t>
            </w:r>
          </w:p>
        </w:tc>
        <w:tc>
          <w:tcPr>
            <w:tcW w:w="6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54"/>
              <w:jc w:val="right"/>
              <w:rPr>
                <w:rFonts w:ascii="Times New Roman" w:hAnsi="Times New Roman" w:cs="Times New Roman" w:eastAsia="Times New Roman" w:hint="default"/>
                <w:sz w:val="18"/>
                <w:szCs w:val="18"/>
              </w:rPr>
            </w:pPr>
            <w:r>
              <w:rPr>
                <w:rFonts w:ascii="Times New Roman"/>
                <w:sz w:val="18"/>
              </w:rPr>
              <w:t>-</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60"/>
              <w:jc w:val="right"/>
              <w:rPr>
                <w:rFonts w:ascii="Times New Roman" w:hAnsi="Times New Roman" w:cs="Times New Roman" w:eastAsia="Times New Roman" w:hint="default"/>
                <w:sz w:val="18"/>
                <w:szCs w:val="18"/>
              </w:rPr>
            </w:pPr>
            <w:r>
              <w:rPr>
                <w:rFonts w:ascii="Times New Roman"/>
                <w:sz w:val="18"/>
              </w:rPr>
              <w:t>-</w:t>
            </w:r>
          </w:p>
        </w:tc>
      </w:tr>
      <w:tr>
        <w:trPr>
          <w:trHeight w:val="469" w:hRule="exact"/>
        </w:trPr>
        <w:tc>
          <w:tcPr>
            <w:tcW w:w="4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年初股份总数</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2"/>
              <w:jc w:val="right"/>
              <w:rPr>
                <w:rFonts w:ascii="Times New Roman" w:hAnsi="Times New Roman" w:cs="Times New Roman" w:eastAsia="Times New Roman" w:hint="default"/>
                <w:sz w:val="18"/>
                <w:szCs w:val="18"/>
              </w:rPr>
            </w:pPr>
            <w:r>
              <w:rPr>
                <w:rFonts w:ascii="Times New Roman"/>
                <w:sz w:val="18"/>
              </w:rPr>
              <w:t>S0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8"/>
              <w:jc w:val="right"/>
              <w:rPr>
                <w:rFonts w:ascii="Times New Roman" w:hAnsi="Times New Roman" w:cs="Times New Roman" w:eastAsia="Times New Roman" w:hint="default"/>
                <w:sz w:val="18"/>
                <w:szCs w:val="18"/>
              </w:rPr>
            </w:pPr>
            <w:r>
              <w:rPr>
                <w:rFonts w:ascii="Times New Roman"/>
                <w:spacing w:val="-1"/>
                <w:sz w:val="18"/>
              </w:rPr>
              <w:t>469,593,364.00</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35"/>
              <w:jc w:val="right"/>
              <w:rPr>
                <w:rFonts w:ascii="Times New Roman" w:hAnsi="Times New Roman" w:cs="Times New Roman" w:eastAsia="Times New Roman" w:hint="default"/>
                <w:sz w:val="18"/>
                <w:szCs w:val="18"/>
              </w:rPr>
            </w:pPr>
            <w:r>
              <w:rPr>
                <w:rFonts w:ascii="Times New Roman"/>
                <w:spacing w:val="-1"/>
                <w:sz w:val="18"/>
              </w:rPr>
              <w:t>469,593,364.00</w:t>
            </w:r>
          </w:p>
        </w:tc>
      </w:tr>
      <w:tr>
        <w:trPr>
          <w:trHeight w:val="598" w:hRule="exact"/>
        </w:trPr>
        <w:tc>
          <w:tcPr>
            <w:tcW w:w="4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97"/>
              <w:jc w:val="left"/>
              <w:rPr>
                <w:rFonts w:ascii="宋体" w:hAnsi="宋体" w:cs="宋体" w:eastAsia="宋体" w:hint="default"/>
                <w:sz w:val="18"/>
                <w:szCs w:val="18"/>
              </w:rPr>
            </w:pPr>
            <w:r>
              <w:rPr>
                <w:rFonts w:ascii="宋体" w:hAnsi="宋体" w:cs="宋体" w:eastAsia="宋体" w:hint="default"/>
                <w:spacing w:val="3"/>
                <w:sz w:val="18"/>
                <w:szCs w:val="18"/>
              </w:rPr>
              <w:t>报告期因公积金转增股本或股票股利分配等增加 </w:t>
            </w:r>
            <w:r>
              <w:rPr>
                <w:rFonts w:ascii="宋体" w:hAnsi="宋体" w:cs="宋体" w:eastAsia="宋体" w:hint="default"/>
                <w:sz w:val="18"/>
                <w:szCs w:val="18"/>
              </w:rPr>
              <w:t>股份数</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2"/>
              <w:jc w:val="right"/>
              <w:rPr>
                <w:rFonts w:ascii="Times New Roman" w:hAnsi="Times New Roman" w:cs="Times New Roman" w:eastAsia="Times New Roman" w:hint="default"/>
                <w:sz w:val="18"/>
                <w:szCs w:val="18"/>
              </w:rPr>
            </w:pPr>
            <w:r>
              <w:rPr>
                <w:rFonts w:ascii="Times New Roman"/>
                <w:spacing w:val="-1"/>
                <w:w w:val="95"/>
                <w:sz w:val="18"/>
              </w:rPr>
              <w:t>S1</w:t>
            </w:r>
            <w:r>
              <w:rPr>
                <w:rFonts w:ascii="Times New Roman"/>
                <w:w w:val="95"/>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54"/>
              <w:jc w:val="right"/>
              <w:rPr>
                <w:rFonts w:ascii="Times New Roman" w:hAnsi="Times New Roman" w:cs="Times New Roman" w:eastAsia="Times New Roman" w:hint="default"/>
                <w:sz w:val="18"/>
                <w:szCs w:val="18"/>
              </w:rPr>
            </w:pPr>
            <w:r>
              <w:rPr>
                <w:rFonts w:ascii="Times New Roman"/>
                <w:sz w:val="18"/>
              </w:rPr>
              <w:t>-</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60"/>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4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2"/>
              <w:jc w:val="right"/>
              <w:rPr>
                <w:rFonts w:ascii="Times New Roman" w:hAnsi="Times New Roman" w:cs="Times New Roman" w:eastAsia="Times New Roman" w:hint="default"/>
                <w:sz w:val="18"/>
                <w:szCs w:val="18"/>
              </w:rPr>
            </w:pPr>
            <w:r>
              <w:rPr>
                <w:rFonts w:ascii="Times New Roman"/>
                <w:spacing w:val="-1"/>
                <w:w w:val="95"/>
                <w:sz w:val="18"/>
              </w:rPr>
              <w:t>Si</w:t>
            </w:r>
            <w:r>
              <w:rPr>
                <w:rFonts w:ascii="Times New Roman"/>
                <w:w w:val="95"/>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54"/>
              <w:jc w:val="right"/>
              <w:rPr>
                <w:rFonts w:ascii="Times New Roman" w:hAnsi="Times New Roman" w:cs="Times New Roman" w:eastAsia="Times New Roman" w:hint="default"/>
                <w:sz w:val="18"/>
                <w:szCs w:val="18"/>
              </w:rPr>
            </w:pPr>
            <w:r>
              <w:rPr>
                <w:rFonts w:ascii="Times New Roman"/>
                <w:sz w:val="18"/>
              </w:rPr>
              <w:t>-</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60"/>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4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2"/>
              <w:jc w:val="right"/>
              <w:rPr>
                <w:rFonts w:ascii="Times New Roman" w:hAnsi="Times New Roman" w:cs="Times New Roman" w:eastAsia="Times New Roman" w:hint="default"/>
                <w:sz w:val="18"/>
                <w:szCs w:val="18"/>
              </w:rPr>
            </w:pPr>
            <w:r>
              <w:rPr>
                <w:rFonts w:ascii="Times New Roman"/>
                <w:spacing w:val="-1"/>
                <w:w w:val="95"/>
                <w:sz w:val="18"/>
              </w:rPr>
              <w:t>Sj</w:t>
            </w:r>
            <w:r>
              <w:rPr>
                <w:rFonts w:ascii="Times New Roman"/>
                <w:w w:val="95"/>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54"/>
              <w:jc w:val="right"/>
              <w:rPr>
                <w:rFonts w:ascii="Times New Roman" w:hAnsi="Times New Roman" w:cs="Times New Roman" w:eastAsia="Times New Roman" w:hint="default"/>
                <w:sz w:val="18"/>
                <w:szCs w:val="18"/>
              </w:rPr>
            </w:pPr>
            <w:r>
              <w:rPr>
                <w:rFonts w:ascii="Times New Roman"/>
                <w:sz w:val="18"/>
              </w:rPr>
              <w:t>-</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60"/>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4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02"/>
              <w:jc w:val="right"/>
              <w:rPr>
                <w:rFonts w:ascii="Times New Roman" w:hAnsi="Times New Roman" w:cs="Times New Roman" w:eastAsia="Times New Roman" w:hint="default"/>
                <w:sz w:val="18"/>
                <w:szCs w:val="18"/>
              </w:rPr>
            </w:pPr>
            <w:r>
              <w:rPr>
                <w:rFonts w:ascii="Times New Roman"/>
                <w:spacing w:val="-1"/>
                <w:w w:val="95"/>
                <w:sz w:val="18"/>
              </w:rPr>
              <w:t>Sk</w:t>
            </w:r>
            <w:r>
              <w:rPr>
                <w:rFonts w:ascii="Times New Roman"/>
                <w:w w:val="95"/>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54"/>
              <w:jc w:val="right"/>
              <w:rPr>
                <w:rFonts w:ascii="Times New Roman" w:hAnsi="Times New Roman" w:cs="Times New Roman" w:eastAsia="Times New Roman" w:hint="default"/>
                <w:sz w:val="18"/>
                <w:szCs w:val="18"/>
              </w:rPr>
            </w:pPr>
            <w:r>
              <w:rPr>
                <w:rFonts w:ascii="Times New Roman"/>
                <w:sz w:val="18"/>
              </w:rPr>
              <w:t>-</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60"/>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4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72"/>
              <w:jc w:val="right"/>
              <w:rPr>
                <w:rFonts w:ascii="Times New Roman" w:hAnsi="Times New Roman" w:cs="Times New Roman" w:eastAsia="Times New Roman" w:hint="default"/>
                <w:sz w:val="18"/>
                <w:szCs w:val="18"/>
              </w:rPr>
            </w:pPr>
            <w:r>
              <w:rPr>
                <w:rFonts w:ascii="Times New Roman"/>
                <w:sz w:val="18"/>
              </w:rPr>
              <w:t>M0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28"/>
              <w:jc w:val="right"/>
              <w:rPr>
                <w:rFonts w:ascii="Times New Roman" w:hAnsi="Times New Roman" w:cs="Times New Roman" w:eastAsia="Times New Roman" w:hint="default"/>
                <w:sz w:val="18"/>
                <w:szCs w:val="18"/>
              </w:rPr>
            </w:pPr>
            <w:r>
              <w:rPr>
                <w:rFonts w:ascii="Times New Roman"/>
                <w:sz w:val="18"/>
              </w:rPr>
              <w:t>12.00</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35"/>
              <w:jc w:val="right"/>
              <w:rPr>
                <w:rFonts w:ascii="Times New Roman" w:hAnsi="Times New Roman" w:cs="Times New Roman" w:eastAsia="Times New Roman" w:hint="default"/>
                <w:sz w:val="18"/>
                <w:szCs w:val="18"/>
              </w:rPr>
            </w:pPr>
            <w:r>
              <w:rPr>
                <w:rFonts w:ascii="Times New Roman"/>
                <w:sz w:val="18"/>
              </w:rPr>
              <w:t>12.00</w:t>
            </w:r>
          </w:p>
        </w:tc>
      </w:tr>
      <w:tr>
        <w:trPr>
          <w:trHeight w:val="510" w:hRule="exact"/>
        </w:trPr>
        <w:tc>
          <w:tcPr>
            <w:tcW w:w="4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增加股份下一月份起至报告期年末的月份数</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pacing w:val="-1"/>
                <w:w w:val="95"/>
                <w:sz w:val="18"/>
              </w:rPr>
              <w:t>Mi</w:t>
            </w:r>
            <w:r>
              <w:rPr>
                <w:rFonts w:ascii="Times New Roman"/>
                <w:w w:val="95"/>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54"/>
              <w:jc w:val="right"/>
              <w:rPr>
                <w:rFonts w:ascii="Times New Roman" w:hAnsi="Times New Roman" w:cs="Times New Roman" w:eastAsia="Times New Roman" w:hint="default"/>
                <w:sz w:val="18"/>
                <w:szCs w:val="18"/>
              </w:rPr>
            </w:pPr>
            <w:r>
              <w:rPr>
                <w:rFonts w:ascii="Times New Roman"/>
                <w:sz w:val="18"/>
              </w:rPr>
              <w:t>-</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60"/>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4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减少股份下一月份起至报告期年末的月份数</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pacing w:val="-1"/>
                <w:w w:val="95"/>
                <w:sz w:val="18"/>
              </w:rPr>
              <w:t>Mj</w:t>
            </w:r>
            <w:r>
              <w:rPr>
                <w:rFonts w:ascii="Times New Roman"/>
                <w:w w:val="95"/>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54"/>
              <w:jc w:val="right"/>
              <w:rPr>
                <w:rFonts w:ascii="Times New Roman" w:hAnsi="Times New Roman" w:cs="Times New Roman" w:eastAsia="Times New Roman" w:hint="default"/>
                <w:sz w:val="18"/>
                <w:szCs w:val="18"/>
              </w:rPr>
            </w:pPr>
            <w:r>
              <w:rPr>
                <w:rFonts w:ascii="Times New Roman"/>
                <w:sz w:val="18"/>
              </w:rPr>
              <w:t>-</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60"/>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4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年末股份总数</w:t>
            </w:r>
          </w:p>
        </w:tc>
        <w:tc>
          <w:tcPr>
            <w:tcW w:w="6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28"/>
              <w:jc w:val="right"/>
              <w:rPr>
                <w:rFonts w:ascii="Times New Roman" w:hAnsi="Times New Roman" w:cs="Times New Roman" w:eastAsia="Times New Roman" w:hint="default"/>
                <w:sz w:val="18"/>
                <w:szCs w:val="18"/>
              </w:rPr>
            </w:pPr>
            <w:r>
              <w:rPr>
                <w:rFonts w:ascii="Times New Roman"/>
                <w:spacing w:val="-1"/>
                <w:sz w:val="18"/>
              </w:rPr>
              <w:t>469,593,364.00</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34"/>
              <w:jc w:val="right"/>
              <w:rPr>
                <w:rFonts w:ascii="Times New Roman" w:hAnsi="Times New Roman" w:cs="Times New Roman" w:eastAsia="Times New Roman" w:hint="default"/>
                <w:sz w:val="18"/>
                <w:szCs w:val="18"/>
              </w:rPr>
            </w:pPr>
            <w:r>
              <w:rPr>
                <w:rFonts w:ascii="Times New Roman"/>
                <w:spacing w:val="-1"/>
                <w:sz w:val="18"/>
              </w:rPr>
              <w:t>469,593,364.00</w:t>
            </w:r>
          </w:p>
        </w:tc>
      </w:tr>
      <w:tr>
        <w:trPr>
          <w:trHeight w:val="596" w:hRule="exact"/>
        </w:trPr>
        <w:tc>
          <w:tcPr>
            <w:tcW w:w="408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122" w:right="97"/>
              <w:jc w:val="left"/>
              <w:rPr>
                <w:rFonts w:ascii="宋体" w:hAnsi="宋体" w:cs="宋体" w:eastAsia="宋体" w:hint="default"/>
                <w:sz w:val="18"/>
                <w:szCs w:val="18"/>
              </w:rPr>
            </w:pPr>
            <w:r>
              <w:rPr>
                <w:rFonts w:ascii="宋体" w:hAnsi="宋体" w:cs="宋体" w:eastAsia="宋体" w:hint="default"/>
                <w:spacing w:val="3"/>
                <w:sz w:val="18"/>
                <w:szCs w:val="18"/>
              </w:rPr>
              <w:t>认股权证、股份期权、可转换债券等增加的普通 </w:t>
            </w:r>
            <w:r>
              <w:rPr>
                <w:rFonts w:ascii="宋体" w:hAnsi="宋体" w:cs="宋体" w:eastAsia="宋体" w:hint="default"/>
                <w:sz w:val="18"/>
                <w:szCs w:val="18"/>
              </w:rPr>
              <w:t>股股份数</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2"/>
              <w:jc w:val="right"/>
              <w:rPr>
                <w:rFonts w:ascii="Times New Roman" w:hAnsi="Times New Roman" w:cs="Times New Roman" w:eastAsia="Times New Roman" w:hint="default"/>
                <w:sz w:val="18"/>
                <w:szCs w:val="18"/>
              </w:rPr>
            </w:pPr>
            <w:r>
              <w:rPr>
                <w:rFonts w:ascii="Times New Roman"/>
                <w:spacing w:val="-1"/>
                <w:w w:val="95"/>
                <w:sz w:val="18"/>
              </w:rPr>
              <w:t>Sl</w:t>
            </w:r>
            <w:r>
              <w:rPr>
                <w:rFonts w:ascii="Times New Roman"/>
                <w:w w:val="95"/>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54"/>
              <w:jc w:val="right"/>
              <w:rPr>
                <w:rFonts w:ascii="Times New Roman" w:hAnsi="Times New Roman" w:cs="Times New Roman" w:eastAsia="Times New Roman" w:hint="default"/>
                <w:sz w:val="18"/>
                <w:szCs w:val="18"/>
              </w:rPr>
            </w:pPr>
            <w:r>
              <w:rPr>
                <w:rFonts w:ascii="Times New Roman"/>
                <w:sz w:val="18"/>
              </w:rPr>
              <w:t>-</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60"/>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4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72"/>
              <w:jc w:val="right"/>
              <w:rPr>
                <w:rFonts w:ascii="Times New Roman" w:hAnsi="Times New Roman" w:cs="Times New Roman" w:eastAsia="Times New Roman" w:hint="default"/>
                <w:sz w:val="18"/>
                <w:szCs w:val="18"/>
              </w:rPr>
            </w:pPr>
            <w:r>
              <w:rPr>
                <w:rFonts w:ascii="Times New Roman"/>
                <w:sz w:val="18"/>
              </w:rPr>
              <w:t>M0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28"/>
              <w:jc w:val="right"/>
              <w:rPr>
                <w:rFonts w:ascii="Times New Roman" w:hAnsi="Times New Roman" w:cs="Times New Roman" w:eastAsia="Times New Roman" w:hint="default"/>
                <w:sz w:val="18"/>
                <w:szCs w:val="18"/>
              </w:rPr>
            </w:pPr>
            <w:r>
              <w:rPr>
                <w:rFonts w:ascii="Times New Roman"/>
                <w:sz w:val="18"/>
              </w:rPr>
              <w:t>12.00</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35"/>
              <w:jc w:val="right"/>
              <w:rPr>
                <w:rFonts w:ascii="Times New Roman" w:hAnsi="Times New Roman" w:cs="Times New Roman" w:eastAsia="Times New Roman" w:hint="default"/>
                <w:sz w:val="18"/>
                <w:szCs w:val="18"/>
              </w:rPr>
            </w:pPr>
            <w:r>
              <w:rPr>
                <w:rFonts w:ascii="Times New Roman"/>
                <w:sz w:val="18"/>
              </w:rPr>
              <w:t>12.00</w:t>
            </w:r>
          </w:p>
        </w:tc>
      </w:tr>
      <w:tr>
        <w:trPr>
          <w:trHeight w:val="510" w:hRule="exact"/>
        </w:trPr>
        <w:tc>
          <w:tcPr>
            <w:tcW w:w="4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增加股份下一月份起至报告期年末的月份数</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73"/>
              <w:jc w:val="right"/>
              <w:rPr>
                <w:rFonts w:ascii="Times New Roman" w:hAnsi="Times New Roman" w:cs="Times New Roman" w:eastAsia="Times New Roman" w:hint="default"/>
                <w:sz w:val="18"/>
                <w:szCs w:val="18"/>
              </w:rPr>
            </w:pPr>
            <w:r>
              <w:rPr>
                <w:rFonts w:ascii="Times New Roman"/>
                <w:spacing w:val="-1"/>
                <w:w w:val="95"/>
                <w:sz w:val="18"/>
              </w:rPr>
              <w:t>Mk</w:t>
            </w:r>
            <w:r>
              <w:rPr>
                <w:rFonts w:ascii="Times New Roman"/>
                <w:w w:val="95"/>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54"/>
              <w:jc w:val="right"/>
              <w:rPr>
                <w:rFonts w:ascii="Times New Roman" w:hAnsi="Times New Roman" w:cs="Times New Roman" w:eastAsia="Times New Roman" w:hint="default"/>
                <w:sz w:val="18"/>
                <w:szCs w:val="18"/>
              </w:rPr>
            </w:pPr>
            <w:r>
              <w:rPr>
                <w:rFonts w:ascii="Times New Roman"/>
                <w:sz w:val="18"/>
              </w:rPr>
              <w:t>-</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60"/>
              <w:jc w:val="right"/>
              <w:rPr>
                <w:rFonts w:ascii="Times New Roman" w:hAnsi="Times New Roman" w:cs="Times New Roman" w:eastAsia="Times New Roman" w:hint="default"/>
                <w:sz w:val="18"/>
                <w:szCs w:val="18"/>
              </w:rPr>
            </w:pPr>
            <w:r>
              <w:rPr>
                <w:rFonts w:ascii="Times New Roman"/>
                <w:sz w:val="18"/>
              </w:rPr>
              <w:t>-</w:t>
            </w:r>
          </w:p>
        </w:tc>
      </w:tr>
      <w:tr>
        <w:trPr>
          <w:trHeight w:val="598" w:hRule="exact"/>
        </w:trPr>
        <w:tc>
          <w:tcPr>
            <w:tcW w:w="4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97"/>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认股权证、股份期权、可转换债券等增加的普通 </w:t>
            </w:r>
            <w:r>
              <w:rPr>
                <w:rFonts w:ascii="宋体" w:hAnsi="宋体" w:cs="宋体" w:eastAsia="宋体" w:hint="default"/>
                <w:sz w:val="18"/>
                <w:szCs w:val="18"/>
              </w:rPr>
              <w:t>股加权平均数</w:t>
            </w:r>
            <w:r>
              <w:rPr>
                <w:rFonts w:ascii="Times New Roman" w:hAnsi="Times New Roman" w:cs="Times New Roman" w:eastAsia="Times New Roman" w:hint="default"/>
                <w:sz w:val="18"/>
                <w:szCs w:val="18"/>
              </w:rPr>
              <w:t>=Sl×Mk÷M0</w:t>
            </w:r>
          </w:p>
        </w:tc>
        <w:tc>
          <w:tcPr>
            <w:tcW w:w="6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54"/>
              <w:jc w:val="right"/>
              <w:rPr>
                <w:rFonts w:ascii="Times New Roman" w:hAnsi="Times New Roman" w:cs="Times New Roman" w:eastAsia="Times New Roman" w:hint="default"/>
                <w:sz w:val="18"/>
                <w:szCs w:val="18"/>
              </w:rPr>
            </w:pPr>
            <w:r>
              <w:rPr>
                <w:rFonts w:ascii="Times New Roman"/>
                <w:sz w:val="18"/>
              </w:rPr>
              <w:t>-</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60"/>
              <w:jc w:val="right"/>
              <w:rPr>
                <w:rFonts w:ascii="Times New Roman" w:hAnsi="Times New Roman" w:cs="Times New Roman" w:eastAsia="Times New Roman" w:hint="default"/>
                <w:sz w:val="18"/>
                <w:szCs w:val="18"/>
              </w:rPr>
            </w:pPr>
            <w:r>
              <w:rPr>
                <w:rFonts w:ascii="Times New Roman"/>
                <w:sz w:val="18"/>
              </w:rPr>
              <w:t>-</w:t>
            </w:r>
          </w:p>
        </w:tc>
      </w:tr>
      <w:tr>
        <w:trPr>
          <w:trHeight w:val="596" w:hRule="exact"/>
        </w:trPr>
        <w:tc>
          <w:tcPr>
            <w:tcW w:w="4082" w:type="dxa"/>
            <w:tcBorders>
              <w:top w:val="single" w:sz="4" w:space="0" w:color="000000"/>
              <w:left w:val="nil" w:sz="6" w:space="0" w:color="auto"/>
              <w:bottom w:val="single" w:sz="4" w:space="0" w:color="000000"/>
              <w:right w:val="single" w:sz="4" w:space="0" w:color="000000"/>
            </w:tcBorders>
          </w:tcPr>
          <w:p>
            <w:pPr>
              <w:pStyle w:val="TableParagraph"/>
              <w:spacing w:line="241" w:lineRule="exact" w:before="89"/>
              <w:ind w:left="122" w:right="0"/>
              <w:jc w:val="left"/>
              <w:rPr>
                <w:rFonts w:ascii="宋体" w:hAnsi="宋体" w:cs="宋体" w:eastAsia="宋体" w:hint="default"/>
                <w:sz w:val="18"/>
                <w:szCs w:val="18"/>
              </w:rPr>
            </w:pPr>
            <w:r>
              <w:rPr>
                <w:rFonts w:ascii="宋体" w:hAnsi="宋体" w:cs="宋体" w:eastAsia="宋体" w:hint="default"/>
                <w:spacing w:val="18"/>
                <w:sz w:val="18"/>
                <w:szCs w:val="18"/>
              </w:rPr>
              <w:t>发行在</w:t>
            </w:r>
            <w:r>
              <w:rPr>
                <w:rFonts w:ascii="宋体" w:hAnsi="宋体" w:cs="宋体" w:eastAsia="宋体" w:hint="default"/>
                <w:spacing w:val="-63"/>
                <w:sz w:val="18"/>
                <w:szCs w:val="18"/>
              </w:rPr>
              <w:t> </w:t>
            </w:r>
            <w:r>
              <w:rPr>
                <w:rFonts w:ascii="宋体" w:hAnsi="宋体" w:cs="宋体" w:eastAsia="宋体" w:hint="default"/>
                <w:spacing w:val="14"/>
                <w:sz w:val="18"/>
                <w:szCs w:val="18"/>
              </w:rPr>
              <w:t>外的</w:t>
            </w:r>
            <w:r>
              <w:rPr>
                <w:rFonts w:ascii="宋体" w:hAnsi="宋体" w:cs="宋体" w:eastAsia="宋体" w:hint="default"/>
                <w:spacing w:val="-63"/>
                <w:sz w:val="18"/>
                <w:szCs w:val="18"/>
              </w:rPr>
              <w:t> </w:t>
            </w:r>
            <w:r>
              <w:rPr>
                <w:rFonts w:ascii="宋体" w:hAnsi="宋体" w:cs="宋体" w:eastAsia="宋体" w:hint="default"/>
                <w:spacing w:val="18"/>
                <w:sz w:val="18"/>
                <w:szCs w:val="18"/>
              </w:rPr>
              <w:t>普通股</w:t>
            </w:r>
            <w:r>
              <w:rPr>
                <w:rFonts w:ascii="宋体" w:hAnsi="宋体" w:cs="宋体" w:eastAsia="宋体" w:hint="default"/>
                <w:spacing w:val="-63"/>
                <w:sz w:val="18"/>
                <w:szCs w:val="18"/>
              </w:rPr>
              <w:t> </w:t>
            </w:r>
            <w:r>
              <w:rPr>
                <w:rFonts w:ascii="宋体" w:hAnsi="宋体" w:cs="宋体" w:eastAsia="宋体" w:hint="default"/>
                <w:spacing w:val="14"/>
                <w:sz w:val="18"/>
                <w:szCs w:val="18"/>
              </w:rPr>
              <w:t>加权</w:t>
            </w:r>
            <w:r>
              <w:rPr>
                <w:rFonts w:ascii="宋体" w:hAnsi="宋体" w:cs="宋体" w:eastAsia="宋体" w:hint="default"/>
                <w:spacing w:val="-63"/>
                <w:sz w:val="18"/>
                <w:szCs w:val="18"/>
              </w:rPr>
              <w:t> </w:t>
            </w:r>
            <w:r>
              <w:rPr>
                <w:rFonts w:ascii="宋体" w:hAnsi="宋体" w:cs="宋体" w:eastAsia="宋体" w:hint="default"/>
                <w:spacing w:val="18"/>
                <w:sz w:val="18"/>
                <w:szCs w:val="18"/>
              </w:rPr>
              <w:t>平均数</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S=S0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S1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w:t>
            </w:r>
          </w:p>
          <w:p>
            <w:pPr>
              <w:pStyle w:val="TableParagraph"/>
              <w:spacing w:line="241" w:lineRule="exact"/>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Si×Mi÷M0</w:t>
            </w:r>
            <w:r>
              <w:rPr>
                <w:rFonts w:ascii="宋体" w:hAnsi="宋体" w:cs="宋体" w:eastAsia="宋体" w:hint="default"/>
                <w:sz w:val="18"/>
                <w:szCs w:val="18"/>
              </w:rPr>
              <w:t>－</w:t>
            </w:r>
            <w:r>
              <w:rPr>
                <w:rFonts w:ascii="Times New Roman" w:hAnsi="Times New Roman" w:cs="Times New Roman" w:eastAsia="Times New Roman" w:hint="default"/>
                <w:sz w:val="18"/>
                <w:szCs w:val="18"/>
              </w:rPr>
              <w:t>Sj×Mj÷M0</w:t>
            </w:r>
            <w:r>
              <w:rPr>
                <w:rFonts w:ascii="宋体" w:hAnsi="宋体" w:cs="宋体" w:eastAsia="宋体" w:hint="default"/>
                <w:sz w:val="18"/>
                <w:szCs w:val="18"/>
              </w:rPr>
              <w:t>－</w:t>
            </w:r>
            <w:r>
              <w:rPr>
                <w:rFonts w:ascii="Times New Roman" w:hAnsi="Times New Roman" w:cs="Times New Roman" w:eastAsia="Times New Roman" w:hint="default"/>
                <w:sz w:val="18"/>
                <w:szCs w:val="18"/>
              </w:rPr>
              <w:t>Sk</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47"/>
              <w:jc w:val="right"/>
              <w:rPr>
                <w:rFonts w:ascii="Times New Roman" w:hAnsi="Times New Roman" w:cs="Times New Roman" w:eastAsia="Times New Roman" w:hint="default"/>
                <w:sz w:val="18"/>
                <w:szCs w:val="18"/>
              </w:rPr>
            </w:pPr>
            <w:r>
              <w:rPr>
                <w:rFonts w:ascii="Times New Roman"/>
                <w:sz w:val="18"/>
              </w:rPr>
              <w:t>S</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28"/>
              <w:jc w:val="right"/>
              <w:rPr>
                <w:rFonts w:ascii="Times New Roman" w:hAnsi="Times New Roman" w:cs="Times New Roman" w:eastAsia="Times New Roman" w:hint="default"/>
                <w:sz w:val="18"/>
                <w:szCs w:val="18"/>
              </w:rPr>
            </w:pPr>
            <w:r>
              <w:rPr>
                <w:rFonts w:ascii="Times New Roman"/>
                <w:spacing w:val="-1"/>
                <w:sz w:val="18"/>
              </w:rPr>
              <w:t>469,593,364.00</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35"/>
              <w:jc w:val="right"/>
              <w:rPr>
                <w:rFonts w:ascii="Times New Roman" w:hAnsi="Times New Roman" w:cs="Times New Roman" w:eastAsia="Times New Roman" w:hint="default"/>
                <w:sz w:val="18"/>
                <w:szCs w:val="18"/>
              </w:rPr>
            </w:pPr>
            <w:r>
              <w:rPr>
                <w:rFonts w:ascii="Times New Roman"/>
                <w:spacing w:val="-1"/>
                <w:sz w:val="18"/>
              </w:rPr>
              <w:t>469,593,364.00</w:t>
            </w:r>
          </w:p>
        </w:tc>
      </w:tr>
      <w:tr>
        <w:trPr>
          <w:trHeight w:val="510" w:hRule="exact"/>
        </w:trPr>
        <w:tc>
          <w:tcPr>
            <w:tcW w:w="4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基本每股收益</w:t>
            </w:r>
            <w:r>
              <w:rPr>
                <w:rFonts w:ascii="Times New Roman" w:hAnsi="Times New Roman" w:cs="Times New Roman" w:eastAsia="Times New Roman" w:hint="default"/>
                <w:sz w:val="18"/>
                <w:szCs w:val="18"/>
              </w:rPr>
              <w:t>=P0÷S</w:t>
            </w:r>
          </w:p>
        </w:tc>
        <w:tc>
          <w:tcPr>
            <w:tcW w:w="6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28"/>
              <w:jc w:val="right"/>
              <w:rPr>
                <w:rFonts w:ascii="Times New Roman" w:hAnsi="Times New Roman" w:cs="Times New Roman" w:eastAsia="Times New Roman" w:hint="default"/>
                <w:sz w:val="18"/>
                <w:szCs w:val="18"/>
              </w:rPr>
            </w:pPr>
            <w:r>
              <w:rPr>
                <w:rFonts w:ascii="Times New Roman"/>
                <w:sz w:val="18"/>
              </w:rPr>
              <w:t>0.14</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34"/>
              <w:jc w:val="right"/>
              <w:rPr>
                <w:rFonts w:ascii="Times New Roman" w:hAnsi="Times New Roman" w:cs="Times New Roman" w:eastAsia="Times New Roman" w:hint="default"/>
                <w:sz w:val="18"/>
                <w:szCs w:val="18"/>
              </w:rPr>
            </w:pPr>
            <w:r>
              <w:rPr>
                <w:rFonts w:ascii="Times New Roman"/>
                <w:sz w:val="18"/>
              </w:rPr>
              <w:t>-0.24</w:t>
            </w:r>
          </w:p>
        </w:tc>
      </w:tr>
      <w:tr>
        <w:trPr>
          <w:trHeight w:val="830" w:hRule="exact"/>
        </w:trPr>
        <w:tc>
          <w:tcPr>
            <w:tcW w:w="4082" w:type="dxa"/>
            <w:tcBorders>
              <w:top w:val="single" w:sz="4" w:space="0" w:color="000000"/>
              <w:left w:val="nil" w:sz="6" w:space="0" w:color="auto"/>
              <w:bottom w:val="single" w:sz="4" w:space="0" w:color="000000"/>
              <w:right w:val="single" w:sz="4" w:space="0" w:color="000000"/>
            </w:tcBorders>
          </w:tcPr>
          <w:p>
            <w:pPr>
              <w:pStyle w:val="TableParagraph"/>
              <w:spacing w:line="225" w:lineRule="auto" w:before="102"/>
              <w:ind w:left="122" w:right="68"/>
              <w:jc w:val="both"/>
              <w:rPr>
                <w:rFonts w:ascii="Times New Roman" w:hAnsi="Times New Roman" w:cs="Times New Roman" w:eastAsia="Times New Roman" w:hint="default"/>
                <w:sz w:val="18"/>
                <w:szCs w:val="18"/>
              </w:rPr>
            </w:pPr>
            <w:r>
              <w:rPr>
                <w:rFonts w:ascii="宋体" w:hAnsi="宋体" w:cs="宋体" w:eastAsia="宋体" w:hint="default"/>
                <w:spacing w:val="26"/>
                <w:sz w:val="18"/>
                <w:szCs w:val="18"/>
              </w:rPr>
              <w:t>稀释每股收益</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=(P0+</w:t>
            </w:r>
            <w:r>
              <w:rPr>
                <w:rFonts w:ascii="Times New Roman" w:hAnsi="Times New Roman" w:cs="Times New Roman" w:eastAsia="Times New Roman" w:hint="default"/>
                <w:spacing w:val="-10"/>
                <w:sz w:val="18"/>
                <w:szCs w:val="18"/>
              </w:rPr>
              <w:t> </w:t>
            </w:r>
            <w:r>
              <w:rPr>
                <w:rFonts w:ascii="宋体" w:hAnsi="宋体" w:cs="宋体" w:eastAsia="宋体" w:hint="default"/>
                <w:spacing w:val="28"/>
                <w:sz w:val="18"/>
                <w:szCs w:val="18"/>
              </w:rPr>
              <w:t>稀释性潜在普通股的影</w:t>
            </w:r>
            <w:r>
              <w:rPr>
                <w:rFonts w:ascii="宋体" w:hAnsi="宋体" w:cs="宋体" w:eastAsia="宋体" w:hint="default"/>
                <w:spacing w:val="-86"/>
                <w:sz w:val="18"/>
                <w:szCs w:val="18"/>
              </w:rPr>
              <w:t> </w:t>
            </w:r>
            <w:r>
              <w:rPr>
                <w:rFonts w:ascii="宋体" w:hAnsi="宋体" w:cs="宋体" w:eastAsia="宋体" w:hint="default"/>
                <w:spacing w:val="2"/>
                <w:sz w:val="18"/>
                <w:szCs w:val="18"/>
              </w:rPr>
              <w:t>响</w:t>
            </w:r>
            <w:r>
              <w:rPr>
                <w:rFonts w:ascii="Times New Roman" w:hAnsi="Times New Roman" w:cs="Times New Roman" w:eastAsia="Times New Roman" w:hint="default"/>
                <w:spacing w:val="2"/>
                <w:sz w:val="18"/>
                <w:szCs w:val="18"/>
              </w:rPr>
              <w:t>)/(S+</w:t>
            </w:r>
            <w:r>
              <w:rPr>
                <w:rFonts w:ascii="宋体" w:hAnsi="宋体" w:cs="宋体" w:eastAsia="宋体" w:hint="default"/>
                <w:spacing w:val="2"/>
                <w:sz w:val="18"/>
                <w:szCs w:val="18"/>
              </w:rPr>
              <w:t>认股权证、股份期权、可转换债券等增加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的普通股加权平均数</w:t>
            </w:r>
            <w:r>
              <w:rPr>
                <w:rFonts w:ascii="Times New Roman" w:hAnsi="Times New Roman" w:cs="Times New Roman" w:eastAsia="Times New Roman" w:hint="default"/>
                <w:sz w:val="18"/>
                <w:szCs w:val="18"/>
              </w:rPr>
              <w:t>)</w:t>
            </w:r>
          </w:p>
        </w:tc>
        <w:tc>
          <w:tcPr>
            <w:tcW w:w="6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28"/>
              <w:jc w:val="right"/>
              <w:rPr>
                <w:rFonts w:ascii="Times New Roman" w:hAnsi="Times New Roman" w:cs="Times New Roman" w:eastAsia="Times New Roman" w:hint="default"/>
                <w:sz w:val="18"/>
                <w:szCs w:val="18"/>
              </w:rPr>
            </w:pPr>
            <w:r>
              <w:rPr>
                <w:rFonts w:ascii="Times New Roman"/>
                <w:sz w:val="18"/>
              </w:rPr>
              <w:t>0.14</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34"/>
              <w:jc w:val="right"/>
              <w:rPr>
                <w:rFonts w:ascii="Times New Roman" w:hAnsi="Times New Roman" w:cs="Times New Roman" w:eastAsia="Times New Roman" w:hint="default"/>
                <w:sz w:val="18"/>
                <w:szCs w:val="18"/>
              </w:rPr>
            </w:pPr>
            <w:r>
              <w:rPr>
                <w:rFonts w:ascii="Times New Roman"/>
                <w:sz w:val="18"/>
              </w:rPr>
              <w:t>-0.24</w:t>
            </w:r>
          </w:p>
        </w:tc>
      </w:tr>
    </w:tbl>
    <w:p>
      <w:pPr>
        <w:spacing w:after="0" w:line="240" w:lineRule="auto"/>
        <w:jc w:val="right"/>
        <w:rPr>
          <w:rFonts w:ascii="Times New Roman" w:hAnsi="Times New Roman" w:cs="Times New Roman" w:eastAsia="Times New Roman" w:hint="default"/>
          <w:sz w:val="18"/>
          <w:szCs w:val="18"/>
        </w:rPr>
        <w:sectPr>
          <w:pgSz w:w="11900" w:h="16840"/>
          <w:pgMar w:header="0" w:footer="982" w:top="1280" w:bottom="1180" w:left="1680" w:right="1260"/>
        </w:sectPr>
      </w:pPr>
    </w:p>
    <w:p>
      <w:pPr>
        <w:spacing w:before="7"/>
        <w:ind w:left="270" w:right="2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43</w:t>
      </w:r>
      <w:r>
        <w:rPr>
          <w:rFonts w:ascii="宋体" w:hAnsi="宋体" w:cs="宋体" w:eastAsia="宋体" w:hint="default"/>
          <w:sz w:val="21"/>
          <w:szCs w:val="21"/>
        </w:rPr>
        <w:t>、其他综合收益</w:t>
      </w:r>
    </w:p>
    <w:p>
      <w:pPr>
        <w:spacing w:line="240" w:lineRule="auto" w:before="10"/>
        <w:rPr>
          <w:rFonts w:ascii="宋体" w:hAnsi="宋体" w:cs="宋体" w:eastAsia="宋体" w:hint="default"/>
          <w:sz w:val="11"/>
          <w:szCs w:val="11"/>
        </w:rPr>
      </w:pPr>
    </w:p>
    <w:p>
      <w:pPr>
        <w:pStyle w:val="BodyText"/>
        <w:tabs>
          <w:tab w:pos="1049" w:val="left" w:leader="none"/>
        </w:tabs>
        <w:spacing w:line="240" w:lineRule="auto" w:before="35"/>
        <w:ind w:left="0" w:right="231"/>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5251"/>
        <w:gridCol w:w="1799"/>
        <w:gridCol w:w="1798"/>
      </w:tblGrid>
      <w:tr>
        <w:trPr>
          <w:trHeight w:val="490" w:hRule="exact"/>
        </w:trPr>
        <w:tc>
          <w:tcPr>
            <w:tcW w:w="5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91" w:hRule="exact"/>
        </w:trPr>
        <w:tc>
          <w:tcPr>
            <w:tcW w:w="5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可供出售金融资产产生的利得（损失）金额</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41"/>
              <w:jc w:val="right"/>
              <w:rPr>
                <w:rFonts w:ascii="Times New Roman" w:hAnsi="Times New Roman" w:cs="Times New Roman" w:eastAsia="Times New Roman" w:hint="default"/>
                <w:sz w:val="18"/>
                <w:szCs w:val="18"/>
              </w:rPr>
            </w:pPr>
            <w:r>
              <w:rPr>
                <w:rFonts w:ascii="Times New Roman"/>
                <w:spacing w:val="-1"/>
                <w:sz w:val="18"/>
              </w:rPr>
              <w:t>37,096,223.95</w:t>
            </w:r>
          </w:p>
        </w:tc>
        <w:tc>
          <w:tcPr>
            <w:tcW w:w="1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26"/>
              <w:jc w:val="right"/>
              <w:rPr>
                <w:rFonts w:ascii="Times New Roman" w:hAnsi="Times New Roman" w:cs="Times New Roman" w:eastAsia="Times New Roman" w:hint="default"/>
                <w:sz w:val="18"/>
                <w:szCs w:val="18"/>
              </w:rPr>
            </w:pPr>
            <w:r>
              <w:rPr>
                <w:rFonts w:ascii="Times New Roman"/>
                <w:spacing w:val="-1"/>
                <w:sz w:val="18"/>
              </w:rPr>
              <w:t>-76,660,000.00</w:t>
            </w:r>
          </w:p>
        </w:tc>
      </w:tr>
      <w:tr>
        <w:trPr>
          <w:trHeight w:val="490" w:hRule="exact"/>
        </w:trPr>
        <w:tc>
          <w:tcPr>
            <w:tcW w:w="5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减：可供出售金融资产产生的所得税影响</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41"/>
              <w:jc w:val="right"/>
              <w:rPr>
                <w:rFonts w:ascii="Times New Roman" w:hAnsi="Times New Roman" w:cs="Times New Roman" w:eastAsia="Times New Roman" w:hint="default"/>
                <w:sz w:val="18"/>
                <w:szCs w:val="18"/>
              </w:rPr>
            </w:pPr>
            <w:r>
              <w:rPr>
                <w:rFonts w:ascii="Times New Roman"/>
                <w:spacing w:val="-1"/>
                <w:sz w:val="18"/>
              </w:rPr>
              <w:t>4,212,369.27</w:t>
            </w:r>
          </w:p>
        </w:tc>
        <w:tc>
          <w:tcPr>
            <w:tcW w:w="1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26"/>
              <w:jc w:val="right"/>
              <w:rPr>
                <w:rFonts w:ascii="Times New Roman" w:hAnsi="Times New Roman" w:cs="Times New Roman" w:eastAsia="Times New Roman" w:hint="default"/>
                <w:sz w:val="18"/>
                <w:szCs w:val="18"/>
              </w:rPr>
            </w:pPr>
            <w:r>
              <w:rPr>
                <w:rFonts w:ascii="Times New Roman"/>
                <w:spacing w:val="-1"/>
                <w:sz w:val="18"/>
              </w:rPr>
              <w:t>-13,403,920.00</w:t>
            </w:r>
          </w:p>
        </w:tc>
      </w:tr>
      <w:tr>
        <w:trPr>
          <w:trHeight w:val="490" w:hRule="exact"/>
        </w:trPr>
        <w:tc>
          <w:tcPr>
            <w:tcW w:w="5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41"/>
              <w:jc w:val="right"/>
              <w:rPr>
                <w:rFonts w:ascii="Times New Roman" w:hAnsi="Times New Roman" w:cs="Times New Roman" w:eastAsia="Times New Roman" w:hint="default"/>
                <w:sz w:val="18"/>
                <w:szCs w:val="18"/>
              </w:rPr>
            </w:pPr>
            <w:r>
              <w:rPr>
                <w:rFonts w:ascii="Times New Roman"/>
                <w:spacing w:val="-1"/>
                <w:sz w:val="18"/>
              </w:rPr>
              <w:t>19,744,000.00</w:t>
            </w:r>
          </w:p>
        </w:tc>
        <w:tc>
          <w:tcPr>
            <w:tcW w:w="1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52"/>
              <w:jc w:val="right"/>
              <w:rPr>
                <w:rFonts w:ascii="Times New Roman" w:hAnsi="Times New Roman" w:cs="Times New Roman" w:eastAsia="Times New Roman" w:hint="default"/>
                <w:sz w:val="18"/>
                <w:szCs w:val="18"/>
              </w:rPr>
            </w:pPr>
            <w:r>
              <w:rPr>
                <w:rFonts w:ascii="Times New Roman"/>
                <w:sz w:val="18"/>
              </w:rPr>
              <w:t>-</w:t>
            </w:r>
          </w:p>
        </w:tc>
      </w:tr>
      <w:tr>
        <w:trPr>
          <w:trHeight w:val="491" w:hRule="exact"/>
        </w:trPr>
        <w:tc>
          <w:tcPr>
            <w:tcW w:w="5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41"/>
              <w:jc w:val="right"/>
              <w:rPr>
                <w:rFonts w:ascii="Times New Roman" w:hAnsi="Times New Roman" w:cs="Times New Roman" w:eastAsia="Times New Roman" w:hint="default"/>
                <w:sz w:val="18"/>
                <w:szCs w:val="18"/>
              </w:rPr>
            </w:pPr>
            <w:r>
              <w:rPr>
                <w:rFonts w:ascii="Times New Roman"/>
                <w:spacing w:val="-1"/>
                <w:sz w:val="18"/>
              </w:rPr>
              <w:t>13,139,854.68</w:t>
            </w:r>
          </w:p>
        </w:tc>
        <w:tc>
          <w:tcPr>
            <w:tcW w:w="1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26"/>
              <w:jc w:val="right"/>
              <w:rPr>
                <w:rFonts w:ascii="Times New Roman" w:hAnsi="Times New Roman" w:cs="Times New Roman" w:eastAsia="Times New Roman" w:hint="default"/>
                <w:sz w:val="18"/>
                <w:szCs w:val="18"/>
              </w:rPr>
            </w:pPr>
            <w:r>
              <w:rPr>
                <w:rFonts w:ascii="Times New Roman"/>
                <w:spacing w:val="-1"/>
                <w:sz w:val="18"/>
              </w:rPr>
              <w:t>-63,256,080.00</w:t>
            </w:r>
          </w:p>
        </w:tc>
      </w:tr>
      <w:tr>
        <w:trPr>
          <w:trHeight w:val="490" w:hRule="exact"/>
        </w:trPr>
        <w:tc>
          <w:tcPr>
            <w:tcW w:w="5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按照权益法核算的在被投资单位其他综合收益中所享有的份额</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66"/>
              <w:jc w:val="right"/>
              <w:rPr>
                <w:rFonts w:ascii="Times New Roman" w:hAnsi="Times New Roman" w:cs="Times New Roman" w:eastAsia="Times New Roman" w:hint="default"/>
                <w:sz w:val="18"/>
                <w:szCs w:val="18"/>
              </w:rPr>
            </w:pPr>
            <w:r>
              <w:rPr>
                <w:rFonts w:ascii="Times New Roman"/>
                <w:sz w:val="18"/>
              </w:rPr>
              <w:t>-</w:t>
            </w:r>
          </w:p>
        </w:tc>
        <w:tc>
          <w:tcPr>
            <w:tcW w:w="1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26"/>
              <w:jc w:val="right"/>
              <w:rPr>
                <w:rFonts w:ascii="Times New Roman" w:hAnsi="Times New Roman" w:cs="Times New Roman" w:eastAsia="Times New Roman" w:hint="default"/>
                <w:sz w:val="18"/>
                <w:szCs w:val="18"/>
              </w:rPr>
            </w:pPr>
            <w:r>
              <w:rPr>
                <w:rFonts w:ascii="Times New Roman"/>
                <w:spacing w:val="-1"/>
                <w:sz w:val="18"/>
              </w:rPr>
              <w:t>6,447,146.52</w:t>
            </w:r>
          </w:p>
        </w:tc>
      </w:tr>
      <w:tr>
        <w:trPr>
          <w:trHeight w:val="716" w:hRule="exact"/>
        </w:trPr>
        <w:tc>
          <w:tcPr>
            <w:tcW w:w="5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100" w:firstLine="270"/>
              <w:jc w:val="left"/>
              <w:rPr>
                <w:rFonts w:ascii="宋体" w:hAnsi="宋体" w:cs="宋体" w:eastAsia="宋体" w:hint="default"/>
                <w:sz w:val="18"/>
                <w:szCs w:val="18"/>
              </w:rPr>
            </w:pPr>
            <w:r>
              <w:rPr>
                <w:rFonts w:ascii="宋体" w:hAnsi="宋体" w:cs="宋体" w:eastAsia="宋体" w:hint="default"/>
                <w:spacing w:val="2"/>
                <w:sz w:val="18"/>
                <w:szCs w:val="18"/>
              </w:rPr>
              <w:t>减：按照权益法核算的在被投资单位其他综合收益中所享有 </w:t>
            </w:r>
            <w:r>
              <w:rPr>
                <w:rFonts w:ascii="宋体" w:hAnsi="宋体" w:cs="宋体" w:eastAsia="宋体" w:hint="default"/>
                <w:sz w:val="18"/>
                <w:szCs w:val="18"/>
              </w:rPr>
              <w:t>的份额产生的所得税影响</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66"/>
              <w:jc w:val="right"/>
              <w:rPr>
                <w:rFonts w:ascii="Times New Roman" w:hAnsi="Times New Roman" w:cs="Times New Roman" w:eastAsia="Times New Roman" w:hint="default"/>
                <w:sz w:val="18"/>
                <w:szCs w:val="18"/>
              </w:rPr>
            </w:pPr>
            <w:r>
              <w:rPr>
                <w:rFonts w:ascii="Times New Roman"/>
                <w:sz w:val="18"/>
              </w:rPr>
              <w:t>-</w:t>
            </w:r>
          </w:p>
        </w:tc>
        <w:tc>
          <w:tcPr>
            <w:tcW w:w="179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52"/>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5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52"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66"/>
              <w:jc w:val="right"/>
              <w:rPr>
                <w:rFonts w:ascii="Times New Roman" w:hAnsi="Times New Roman" w:cs="Times New Roman" w:eastAsia="Times New Roman" w:hint="default"/>
                <w:sz w:val="18"/>
                <w:szCs w:val="18"/>
              </w:rPr>
            </w:pPr>
            <w:r>
              <w:rPr>
                <w:rFonts w:ascii="Times New Roman"/>
                <w:sz w:val="18"/>
              </w:rPr>
              <w:t>-</w:t>
            </w:r>
          </w:p>
        </w:tc>
        <w:tc>
          <w:tcPr>
            <w:tcW w:w="179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52"/>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5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66"/>
              <w:jc w:val="right"/>
              <w:rPr>
                <w:rFonts w:ascii="Times New Roman" w:hAnsi="Times New Roman" w:cs="Times New Roman" w:eastAsia="Times New Roman" w:hint="default"/>
                <w:sz w:val="18"/>
                <w:szCs w:val="18"/>
              </w:rPr>
            </w:pPr>
            <w:r>
              <w:rPr>
                <w:rFonts w:ascii="Times New Roman"/>
                <w:sz w:val="18"/>
              </w:rPr>
              <w:t>-</w:t>
            </w:r>
          </w:p>
        </w:tc>
        <w:tc>
          <w:tcPr>
            <w:tcW w:w="1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6"/>
              <w:jc w:val="right"/>
              <w:rPr>
                <w:rFonts w:ascii="Times New Roman" w:hAnsi="Times New Roman" w:cs="Times New Roman" w:eastAsia="Times New Roman" w:hint="default"/>
                <w:sz w:val="18"/>
                <w:szCs w:val="18"/>
              </w:rPr>
            </w:pPr>
            <w:r>
              <w:rPr>
                <w:rFonts w:ascii="Times New Roman"/>
                <w:spacing w:val="-1"/>
                <w:sz w:val="18"/>
              </w:rPr>
              <w:t>6,447,146.52</w:t>
            </w:r>
          </w:p>
        </w:tc>
      </w:tr>
      <w:tr>
        <w:trPr>
          <w:trHeight w:val="510" w:hRule="exact"/>
        </w:trPr>
        <w:tc>
          <w:tcPr>
            <w:tcW w:w="5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现金流量套期工具产生的利得（或损失）金额</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66"/>
              <w:jc w:val="right"/>
              <w:rPr>
                <w:rFonts w:ascii="Times New Roman" w:hAnsi="Times New Roman" w:cs="Times New Roman" w:eastAsia="Times New Roman" w:hint="default"/>
                <w:sz w:val="18"/>
                <w:szCs w:val="18"/>
              </w:rPr>
            </w:pPr>
            <w:r>
              <w:rPr>
                <w:rFonts w:ascii="Times New Roman"/>
                <w:sz w:val="18"/>
              </w:rPr>
              <w:t>-</w:t>
            </w:r>
          </w:p>
        </w:tc>
        <w:tc>
          <w:tcPr>
            <w:tcW w:w="179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52"/>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5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外币财务报表折算差额</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66"/>
              <w:jc w:val="right"/>
              <w:rPr>
                <w:rFonts w:ascii="Times New Roman" w:hAnsi="Times New Roman" w:cs="Times New Roman" w:eastAsia="Times New Roman" w:hint="default"/>
                <w:sz w:val="18"/>
                <w:szCs w:val="18"/>
              </w:rPr>
            </w:pPr>
            <w:r>
              <w:rPr>
                <w:rFonts w:ascii="Times New Roman"/>
                <w:sz w:val="18"/>
              </w:rPr>
              <w:t>-</w:t>
            </w:r>
          </w:p>
        </w:tc>
        <w:tc>
          <w:tcPr>
            <w:tcW w:w="179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52"/>
              <w:jc w:val="right"/>
              <w:rPr>
                <w:rFonts w:ascii="Times New Roman" w:hAnsi="Times New Roman" w:cs="Times New Roman" w:eastAsia="Times New Roman" w:hint="default"/>
                <w:sz w:val="18"/>
                <w:szCs w:val="18"/>
              </w:rPr>
            </w:pPr>
            <w:r>
              <w:rPr>
                <w:rFonts w:ascii="Times New Roman"/>
                <w:sz w:val="18"/>
              </w:rPr>
              <w:t>-</w:t>
            </w:r>
          </w:p>
        </w:tc>
      </w:tr>
      <w:tr>
        <w:trPr>
          <w:trHeight w:val="511" w:hRule="exact"/>
        </w:trPr>
        <w:tc>
          <w:tcPr>
            <w:tcW w:w="5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41"/>
              <w:jc w:val="right"/>
              <w:rPr>
                <w:rFonts w:ascii="Times New Roman" w:hAnsi="Times New Roman" w:cs="Times New Roman" w:eastAsia="Times New Roman" w:hint="default"/>
                <w:sz w:val="18"/>
                <w:szCs w:val="18"/>
              </w:rPr>
            </w:pPr>
            <w:r>
              <w:rPr>
                <w:rFonts w:ascii="Times New Roman"/>
                <w:spacing w:val="-1"/>
                <w:sz w:val="18"/>
              </w:rPr>
              <w:t>13,139,854.68</w:t>
            </w:r>
          </w:p>
        </w:tc>
        <w:tc>
          <w:tcPr>
            <w:tcW w:w="179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26"/>
              <w:jc w:val="right"/>
              <w:rPr>
                <w:rFonts w:ascii="Times New Roman" w:hAnsi="Times New Roman" w:cs="Times New Roman" w:eastAsia="Times New Roman" w:hint="default"/>
                <w:sz w:val="18"/>
                <w:szCs w:val="18"/>
              </w:rPr>
            </w:pPr>
            <w:r>
              <w:rPr>
                <w:rFonts w:ascii="Times New Roman"/>
                <w:spacing w:val="-1"/>
                <w:sz w:val="18"/>
              </w:rPr>
              <w:t>-56,808,933.48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8"/>
        <w:ind w:left="270" w:right="220"/>
        <w:jc w:val="left"/>
      </w:pPr>
      <w:r>
        <w:rPr>
          <w:rFonts w:ascii="Times New Roman" w:hAnsi="Times New Roman" w:cs="Times New Roman" w:eastAsia="Times New Roman" w:hint="default"/>
          <w:b/>
          <w:bCs/>
        </w:rPr>
        <w:t>44</w:t>
      </w:r>
      <w:r>
        <w:rPr/>
        <w:t>、现金流量表项目注释</w:t>
      </w:r>
    </w:p>
    <w:p>
      <w:pPr>
        <w:spacing w:line="240" w:lineRule="auto" w:before="0"/>
        <w:rPr>
          <w:rFonts w:ascii="宋体" w:hAnsi="宋体" w:cs="宋体" w:eastAsia="宋体" w:hint="default"/>
          <w:sz w:val="16"/>
          <w:szCs w:val="16"/>
        </w:rPr>
      </w:pPr>
    </w:p>
    <w:p>
      <w:pPr>
        <w:pStyle w:val="BodyText"/>
        <w:spacing w:line="240" w:lineRule="auto"/>
        <w:ind w:left="270" w:right="220"/>
        <w:jc w:val="left"/>
      </w:pPr>
      <w:r>
        <w:rPr/>
        <w:t>（</w:t>
      </w:r>
      <w:r>
        <w:rPr>
          <w:rFonts w:ascii="Times New Roman" w:hAnsi="Times New Roman" w:cs="Times New Roman" w:eastAsia="Times New Roman" w:hint="default"/>
        </w:rPr>
        <w:t>1</w:t>
      </w:r>
      <w:r>
        <w:rPr/>
        <w:t>）收到的其他与经营活动有关的现金</w:t>
      </w:r>
    </w:p>
    <w:p>
      <w:pPr>
        <w:spacing w:line="240" w:lineRule="auto" w:before="4"/>
        <w:rPr>
          <w:rFonts w:ascii="宋体" w:hAnsi="宋体" w:cs="宋体" w:eastAsia="宋体" w:hint="default"/>
          <w:sz w:val="13"/>
          <w:szCs w:val="13"/>
        </w:rPr>
      </w:pPr>
    </w:p>
    <w:p>
      <w:pPr>
        <w:pStyle w:val="BodyText"/>
        <w:tabs>
          <w:tab w:pos="1049" w:val="left" w:leader="none"/>
        </w:tabs>
        <w:spacing w:line="240" w:lineRule="auto" w:before="35"/>
        <w:ind w:left="0" w:right="231"/>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465"/>
        <w:gridCol w:w="4339"/>
      </w:tblGrid>
      <w:tr>
        <w:trPr>
          <w:trHeight w:val="544" w:hRule="exact"/>
        </w:trPr>
        <w:tc>
          <w:tcPr>
            <w:tcW w:w="44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10" w:hRule="exact"/>
        </w:trPr>
        <w:tc>
          <w:tcPr>
            <w:tcW w:w="44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本期收回上期其他应收款项</w:t>
            </w:r>
          </w:p>
        </w:tc>
        <w:tc>
          <w:tcPr>
            <w:tcW w:w="4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22,874,537.17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270" w:right="220"/>
        <w:jc w:val="left"/>
      </w:pPr>
      <w:r>
        <w:rPr/>
        <w:t>（</w:t>
      </w:r>
      <w:r>
        <w:rPr>
          <w:rFonts w:ascii="Times New Roman" w:hAnsi="Times New Roman" w:cs="Times New Roman" w:eastAsia="Times New Roman" w:hint="default"/>
        </w:rPr>
        <w:t>2</w:t>
      </w:r>
      <w:r>
        <w:rPr/>
        <w:t>）支付的其他与经营活动有关的现金</w:t>
      </w:r>
    </w:p>
    <w:p>
      <w:pPr>
        <w:spacing w:line="240" w:lineRule="auto" w:before="4"/>
        <w:rPr>
          <w:rFonts w:ascii="宋体" w:hAnsi="宋体" w:cs="宋体" w:eastAsia="宋体" w:hint="default"/>
          <w:sz w:val="13"/>
          <w:szCs w:val="13"/>
        </w:rPr>
      </w:pPr>
    </w:p>
    <w:p>
      <w:pPr>
        <w:pStyle w:val="BodyText"/>
        <w:tabs>
          <w:tab w:pos="1049" w:val="left" w:leader="none"/>
        </w:tabs>
        <w:spacing w:line="240" w:lineRule="auto" w:before="35"/>
        <w:ind w:left="0" w:right="231"/>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465"/>
        <w:gridCol w:w="4339"/>
      </w:tblGrid>
      <w:tr>
        <w:trPr>
          <w:trHeight w:val="510" w:hRule="exact"/>
        </w:trPr>
        <w:tc>
          <w:tcPr>
            <w:tcW w:w="44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10" w:hRule="exact"/>
        </w:trPr>
        <w:tc>
          <w:tcPr>
            <w:tcW w:w="44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本期支付上期其他应付款项</w:t>
            </w:r>
          </w:p>
        </w:tc>
        <w:tc>
          <w:tcPr>
            <w:tcW w:w="4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139,787,488.49</w:t>
            </w:r>
          </w:p>
        </w:tc>
      </w:tr>
      <w:tr>
        <w:trPr>
          <w:trHeight w:val="510" w:hRule="exact"/>
        </w:trPr>
        <w:tc>
          <w:tcPr>
            <w:tcW w:w="44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办公费用、差旅费用等日常支付</w:t>
            </w:r>
          </w:p>
        </w:tc>
        <w:tc>
          <w:tcPr>
            <w:tcW w:w="4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6,725,080.52</w:t>
            </w:r>
          </w:p>
        </w:tc>
      </w:tr>
      <w:tr>
        <w:trPr>
          <w:trHeight w:val="511" w:hRule="exact"/>
        </w:trPr>
        <w:tc>
          <w:tcPr>
            <w:tcW w:w="44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146,512,569.01</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982" w:top="1300" w:bottom="1180" w:left="1600" w:right="1180"/>
        </w:sectPr>
      </w:pPr>
    </w:p>
    <w:p>
      <w:pPr>
        <w:pStyle w:val="BodyText"/>
        <w:spacing w:line="240" w:lineRule="auto" w:before="7"/>
        <w:ind w:left="270" w:right="220"/>
        <w:jc w:val="left"/>
      </w:pPr>
      <w:r>
        <w:rPr/>
        <w:t>（</w:t>
      </w:r>
      <w:r>
        <w:rPr>
          <w:rFonts w:ascii="Times New Roman" w:hAnsi="Times New Roman" w:cs="Times New Roman" w:eastAsia="Times New Roman" w:hint="default"/>
        </w:rPr>
        <w:t>3</w:t>
      </w:r>
      <w:r>
        <w:rPr/>
        <w:t>）支付的其他与筹资活动有关的现金</w:t>
      </w:r>
    </w:p>
    <w:p>
      <w:pPr>
        <w:spacing w:line="240" w:lineRule="auto" w:before="11"/>
        <w:rPr>
          <w:rFonts w:ascii="宋体" w:hAnsi="宋体" w:cs="宋体" w:eastAsia="宋体" w:hint="default"/>
          <w:sz w:val="14"/>
          <w:szCs w:val="14"/>
        </w:rPr>
      </w:pPr>
    </w:p>
    <w:p>
      <w:pPr>
        <w:pStyle w:val="BodyText"/>
        <w:tabs>
          <w:tab w:pos="1049" w:val="left" w:leader="none"/>
        </w:tabs>
        <w:spacing w:line="240" w:lineRule="auto" w:before="35"/>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465"/>
        <w:gridCol w:w="4339"/>
      </w:tblGrid>
      <w:tr>
        <w:trPr>
          <w:trHeight w:val="529" w:hRule="exact"/>
        </w:trPr>
        <w:tc>
          <w:tcPr>
            <w:tcW w:w="44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30" w:hRule="exact"/>
        </w:trPr>
        <w:tc>
          <w:tcPr>
            <w:tcW w:w="44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货款手续费、额度费及服务费等</w:t>
            </w:r>
          </w:p>
        </w:tc>
        <w:tc>
          <w:tcPr>
            <w:tcW w:w="4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9,044,658.14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270" w:right="220"/>
        <w:jc w:val="left"/>
      </w:pPr>
      <w:r>
        <w:rPr>
          <w:rFonts w:ascii="Times New Roman" w:hAnsi="Times New Roman" w:cs="Times New Roman" w:eastAsia="Times New Roman" w:hint="default"/>
          <w:b/>
          <w:bCs/>
        </w:rPr>
        <w:t>45</w:t>
      </w:r>
      <w:r>
        <w:rPr/>
        <w:t>、现金流量表补充资料</w:t>
      </w:r>
    </w:p>
    <w:p>
      <w:pPr>
        <w:spacing w:line="240" w:lineRule="auto" w:before="6"/>
        <w:rPr>
          <w:rFonts w:ascii="宋体" w:hAnsi="宋体" w:cs="宋体" w:eastAsia="宋体" w:hint="default"/>
          <w:sz w:val="17"/>
          <w:szCs w:val="17"/>
        </w:rPr>
      </w:pPr>
    </w:p>
    <w:p>
      <w:pPr>
        <w:pStyle w:val="BodyText"/>
        <w:spacing w:line="240" w:lineRule="auto"/>
        <w:ind w:left="270" w:right="220"/>
        <w:jc w:val="left"/>
      </w:pPr>
      <w:r>
        <w:rPr/>
        <w:t>（</w:t>
      </w:r>
      <w:r>
        <w:rPr>
          <w:rFonts w:ascii="Times New Roman" w:hAnsi="Times New Roman" w:cs="Times New Roman" w:eastAsia="Times New Roman" w:hint="default"/>
        </w:rPr>
        <w:t>1</w:t>
      </w:r>
      <w:r>
        <w:rPr/>
        <w:t>）现金流量表补充资料</w:t>
      </w:r>
    </w:p>
    <w:p>
      <w:pPr>
        <w:spacing w:line="240" w:lineRule="auto" w:before="11"/>
        <w:rPr>
          <w:rFonts w:ascii="宋体" w:hAnsi="宋体" w:cs="宋体" w:eastAsia="宋体" w:hint="default"/>
          <w:sz w:val="14"/>
          <w:szCs w:val="14"/>
        </w:rPr>
      </w:pPr>
    </w:p>
    <w:p>
      <w:pPr>
        <w:pStyle w:val="BodyText"/>
        <w:tabs>
          <w:tab w:pos="1049" w:val="left" w:leader="none"/>
        </w:tabs>
        <w:spacing w:line="240" w:lineRule="auto" w:before="35"/>
        <w:ind w:left="0" w:right="44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5796"/>
        <w:gridCol w:w="1525"/>
        <w:gridCol w:w="1526"/>
      </w:tblGrid>
      <w:tr>
        <w:trPr>
          <w:trHeight w:val="540" w:hRule="exact"/>
        </w:trPr>
        <w:tc>
          <w:tcPr>
            <w:tcW w:w="57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540" w:hRule="exact"/>
        </w:trPr>
        <w:tc>
          <w:tcPr>
            <w:tcW w:w="57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sz w:val="18"/>
                <w:szCs w:val="18"/>
              </w:rPr>
              <w:t>．将净利润调节为经营活动现金流量：</w:t>
            </w:r>
          </w:p>
        </w:tc>
        <w:tc>
          <w:tcPr>
            <w:tcW w:w="1525" w:type="dxa"/>
            <w:tcBorders>
              <w:top w:val="single" w:sz="8" w:space="0" w:color="000000"/>
              <w:left w:val="single" w:sz="8" w:space="0" w:color="000000"/>
              <w:bottom w:val="single" w:sz="8" w:space="0" w:color="000000"/>
              <w:right w:val="single" w:sz="8" w:space="0" w:color="000000"/>
            </w:tcBorders>
          </w:tcPr>
          <w:p>
            <w:pPr/>
          </w:p>
        </w:tc>
        <w:tc>
          <w:tcPr>
            <w:tcW w:w="1526" w:type="dxa"/>
            <w:tcBorders>
              <w:top w:val="single" w:sz="8" w:space="0" w:color="000000"/>
              <w:left w:val="single" w:sz="8" w:space="0" w:color="000000"/>
              <w:bottom w:val="single" w:sz="8" w:space="0" w:color="000000"/>
              <w:right w:val="nil" w:sz="6" w:space="0" w:color="auto"/>
            </w:tcBorders>
          </w:tcPr>
          <w:p>
            <w:pPr/>
          </w:p>
        </w:tc>
      </w:tr>
      <w:tr>
        <w:trPr>
          <w:trHeight w:val="540" w:hRule="exact"/>
        </w:trPr>
        <w:tc>
          <w:tcPr>
            <w:tcW w:w="57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50,220,688.32</w:t>
            </w:r>
          </w:p>
        </w:tc>
        <w:tc>
          <w:tcPr>
            <w:tcW w:w="15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spacing w:val="-1"/>
                <w:sz w:val="18"/>
              </w:rPr>
              <w:t>-129,506,758.97</w:t>
            </w:r>
          </w:p>
        </w:tc>
      </w:tr>
      <w:tr>
        <w:trPr>
          <w:trHeight w:val="540" w:hRule="exact"/>
        </w:trPr>
        <w:tc>
          <w:tcPr>
            <w:tcW w:w="57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-42,962,306.42</w:t>
            </w:r>
          </w:p>
        </w:tc>
        <w:tc>
          <w:tcPr>
            <w:tcW w:w="15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spacing w:val="-1"/>
                <w:sz w:val="18"/>
              </w:rPr>
              <w:t>42,454,947.10</w:t>
            </w:r>
          </w:p>
        </w:tc>
      </w:tr>
      <w:tr>
        <w:trPr>
          <w:trHeight w:val="540" w:hRule="exact"/>
        </w:trPr>
        <w:tc>
          <w:tcPr>
            <w:tcW w:w="57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41,312,223.97</w:t>
            </w:r>
          </w:p>
        </w:tc>
        <w:tc>
          <w:tcPr>
            <w:tcW w:w="15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16"/>
              <w:jc w:val="right"/>
              <w:rPr>
                <w:rFonts w:ascii="Times New Roman" w:hAnsi="Times New Roman" w:cs="Times New Roman" w:eastAsia="Times New Roman" w:hint="default"/>
                <w:sz w:val="18"/>
                <w:szCs w:val="18"/>
              </w:rPr>
            </w:pPr>
            <w:r>
              <w:rPr>
                <w:rFonts w:ascii="Times New Roman"/>
                <w:spacing w:val="-1"/>
                <w:sz w:val="18"/>
              </w:rPr>
              <w:t>48,085,528.50</w:t>
            </w:r>
          </w:p>
        </w:tc>
      </w:tr>
      <w:tr>
        <w:trPr>
          <w:trHeight w:val="540" w:hRule="exact"/>
        </w:trPr>
        <w:tc>
          <w:tcPr>
            <w:tcW w:w="57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10,644,615.50</w:t>
            </w:r>
          </w:p>
        </w:tc>
        <w:tc>
          <w:tcPr>
            <w:tcW w:w="15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16"/>
              <w:jc w:val="right"/>
              <w:rPr>
                <w:rFonts w:ascii="Times New Roman" w:hAnsi="Times New Roman" w:cs="Times New Roman" w:eastAsia="Times New Roman" w:hint="default"/>
                <w:sz w:val="18"/>
                <w:szCs w:val="18"/>
              </w:rPr>
            </w:pPr>
            <w:r>
              <w:rPr>
                <w:rFonts w:ascii="Times New Roman"/>
                <w:spacing w:val="-1"/>
                <w:sz w:val="18"/>
              </w:rPr>
              <w:t>14,849,247.27</w:t>
            </w:r>
          </w:p>
        </w:tc>
      </w:tr>
      <w:tr>
        <w:trPr>
          <w:trHeight w:val="540" w:hRule="exact"/>
        </w:trPr>
        <w:tc>
          <w:tcPr>
            <w:tcW w:w="57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5,781,996.91</w:t>
            </w:r>
          </w:p>
        </w:tc>
        <w:tc>
          <w:tcPr>
            <w:tcW w:w="15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spacing w:val="-1"/>
                <w:sz w:val="18"/>
              </w:rPr>
              <w:t>5,644,020.94</w:t>
            </w:r>
          </w:p>
        </w:tc>
      </w:tr>
      <w:tr>
        <w:trPr>
          <w:trHeight w:val="540" w:hRule="exact"/>
        </w:trPr>
        <w:tc>
          <w:tcPr>
            <w:tcW w:w="57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504,198.86</w:t>
            </w:r>
          </w:p>
        </w:tc>
        <w:tc>
          <w:tcPr>
            <w:tcW w:w="15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sz w:val="18"/>
              </w:rPr>
              <w:t>-265,017.66</w:t>
            </w:r>
          </w:p>
        </w:tc>
      </w:tr>
      <w:tr>
        <w:trPr>
          <w:trHeight w:val="540" w:hRule="exact"/>
        </w:trPr>
        <w:tc>
          <w:tcPr>
            <w:tcW w:w="57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60,189.50</w:t>
            </w:r>
          </w:p>
        </w:tc>
        <w:tc>
          <w:tcPr>
            <w:tcW w:w="15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16"/>
              <w:jc w:val="right"/>
              <w:rPr>
                <w:rFonts w:ascii="Times New Roman" w:hAnsi="Times New Roman" w:cs="Times New Roman" w:eastAsia="Times New Roman" w:hint="default"/>
                <w:sz w:val="18"/>
                <w:szCs w:val="18"/>
              </w:rPr>
            </w:pPr>
            <w:r>
              <w:rPr>
                <w:rFonts w:ascii="Times New Roman"/>
                <w:sz w:val="18"/>
              </w:rPr>
              <w:t>360,152.21</w:t>
            </w:r>
          </w:p>
        </w:tc>
      </w:tr>
      <w:tr>
        <w:trPr>
          <w:trHeight w:val="540" w:hRule="exact"/>
        </w:trPr>
        <w:tc>
          <w:tcPr>
            <w:tcW w:w="57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15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42"/>
              <w:jc w:val="right"/>
              <w:rPr>
                <w:rFonts w:ascii="Times New Roman" w:hAnsi="Times New Roman" w:cs="Times New Roman" w:eastAsia="Times New Roman" w:hint="default"/>
                <w:sz w:val="18"/>
                <w:szCs w:val="18"/>
              </w:rPr>
            </w:pPr>
            <w:r>
              <w:rPr>
                <w:rFonts w:ascii="Times New Roman"/>
                <w:sz w:val="18"/>
              </w:rPr>
              <w:t>-</w:t>
            </w:r>
          </w:p>
        </w:tc>
      </w:tr>
      <w:tr>
        <w:trPr>
          <w:trHeight w:val="540" w:hRule="exact"/>
        </w:trPr>
        <w:tc>
          <w:tcPr>
            <w:tcW w:w="57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39,860,487.15</w:t>
            </w:r>
          </w:p>
        </w:tc>
        <w:tc>
          <w:tcPr>
            <w:tcW w:w="15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16"/>
              <w:jc w:val="right"/>
              <w:rPr>
                <w:rFonts w:ascii="Times New Roman" w:hAnsi="Times New Roman" w:cs="Times New Roman" w:eastAsia="Times New Roman" w:hint="default"/>
                <w:sz w:val="18"/>
                <w:szCs w:val="18"/>
              </w:rPr>
            </w:pPr>
            <w:r>
              <w:rPr>
                <w:rFonts w:ascii="Times New Roman"/>
                <w:spacing w:val="-1"/>
                <w:sz w:val="18"/>
              </w:rPr>
              <w:t>41,595,185.64</w:t>
            </w:r>
          </w:p>
        </w:tc>
      </w:tr>
      <w:tr>
        <w:trPr>
          <w:trHeight w:val="540" w:hRule="exact"/>
        </w:trPr>
        <w:tc>
          <w:tcPr>
            <w:tcW w:w="57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-70,070,321.90</w:t>
            </w:r>
          </w:p>
        </w:tc>
        <w:tc>
          <w:tcPr>
            <w:tcW w:w="15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spacing w:val="-1"/>
                <w:sz w:val="18"/>
              </w:rPr>
              <w:t>12,457,547.74</w:t>
            </w:r>
          </w:p>
        </w:tc>
      </w:tr>
      <w:tr>
        <w:trPr>
          <w:trHeight w:val="540" w:hRule="exact"/>
        </w:trPr>
        <w:tc>
          <w:tcPr>
            <w:tcW w:w="57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1,457,612.79</w:t>
            </w:r>
          </w:p>
        </w:tc>
        <w:tc>
          <w:tcPr>
            <w:tcW w:w="15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spacing w:val="-1"/>
                <w:sz w:val="18"/>
              </w:rPr>
              <w:t>-20,198,567.21</w:t>
            </w:r>
          </w:p>
        </w:tc>
      </w:tr>
      <w:tr>
        <w:trPr>
          <w:trHeight w:val="540" w:hRule="exact"/>
        </w:trPr>
        <w:tc>
          <w:tcPr>
            <w:tcW w:w="57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-4,212,369.27</w:t>
            </w:r>
          </w:p>
        </w:tc>
        <w:tc>
          <w:tcPr>
            <w:tcW w:w="15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42"/>
              <w:jc w:val="right"/>
              <w:rPr>
                <w:rFonts w:ascii="Times New Roman" w:hAnsi="Times New Roman" w:cs="Times New Roman" w:eastAsia="Times New Roman" w:hint="default"/>
                <w:sz w:val="18"/>
                <w:szCs w:val="18"/>
              </w:rPr>
            </w:pPr>
            <w:r>
              <w:rPr>
                <w:rFonts w:ascii="Times New Roman"/>
                <w:sz w:val="18"/>
              </w:rPr>
              <w:t>-</w:t>
            </w:r>
          </w:p>
        </w:tc>
      </w:tr>
      <w:tr>
        <w:trPr>
          <w:trHeight w:val="540" w:hRule="exact"/>
        </w:trPr>
        <w:tc>
          <w:tcPr>
            <w:tcW w:w="57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-292,943,453.47</w:t>
            </w:r>
          </w:p>
        </w:tc>
        <w:tc>
          <w:tcPr>
            <w:tcW w:w="15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spacing w:val="-1"/>
                <w:sz w:val="18"/>
              </w:rPr>
              <w:t>-404,919,681.79</w:t>
            </w:r>
          </w:p>
        </w:tc>
      </w:tr>
      <w:tr>
        <w:trPr>
          <w:trHeight w:val="540" w:hRule="exact"/>
        </w:trPr>
        <w:tc>
          <w:tcPr>
            <w:tcW w:w="57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15,959,623.31</w:t>
            </w:r>
          </w:p>
        </w:tc>
        <w:tc>
          <w:tcPr>
            <w:tcW w:w="15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16"/>
              <w:jc w:val="right"/>
              <w:rPr>
                <w:rFonts w:ascii="Times New Roman" w:hAnsi="Times New Roman" w:cs="Times New Roman" w:eastAsia="Times New Roman" w:hint="default"/>
                <w:sz w:val="18"/>
                <w:szCs w:val="18"/>
              </w:rPr>
            </w:pPr>
            <w:r>
              <w:rPr>
                <w:rFonts w:ascii="Times New Roman"/>
                <w:spacing w:val="-1"/>
                <w:sz w:val="18"/>
              </w:rPr>
              <w:t>91,594,940.50</w:t>
            </w:r>
          </w:p>
        </w:tc>
      </w:tr>
      <w:tr>
        <w:trPr>
          <w:trHeight w:val="540" w:hRule="exact"/>
        </w:trPr>
        <w:tc>
          <w:tcPr>
            <w:tcW w:w="57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463,315,104.96</w:t>
            </w:r>
          </w:p>
        </w:tc>
        <w:tc>
          <w:tcPr>
            <w:tcW w:w="15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16"/>
              <w:jc w:val="right"/>
              <w:rPr>
                <w:rFonts w:ascii="Times New Roman" w:hAnsi="Times New Roman" w:cs="Times New Roman" w:eastAsia="Times New Roman" w:hint="default"/>
                <w:sz w:val="18"/>
                <w:szCs w:val="18"/>
              </w:rPr>
            </w:pPr>
            <w:r>
              <w:rPr>
                <w:rFonts w:ascii="Times New Roman"/>
                <w:spacing w:val="-1"/>
                <w:sz w:val="18"/>
              </w:rPr>
              <w:t>56,664,547.25</w:t>
            </w:r>
          </w:p>
        </w:tc>
      </w:tr>
      <w:tr>
        <w:trPr>
          <w:trHeight w:val="540" w:hRule="exact"/>
        </w:trPr>
        <w:tc>
          <w:tcPr>
            <w:tcW w:w="57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15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42"/>
              <w:jc w:val="right"/>
              <w:rPr>
                <w:rFonts w:ascii="Times New Roman" w:hAnsi="Times New Roman" w:cs="Times New Roman" w:eastAsia="Times New Roman" w:hint="default"/>
                <w:sz w:val="18"/>
                <w:szCs w:val="18"/>
              </w:rPr>
            </w:pPr>
            <w:r>
              <w:rPr>
                <w:rFonts w:ascii="Times New Roman"/>
                <w:sz w:val="18"/>
              </w:rPr>
              <w:t>-</w:t>
            </w:r>
          </w:p>
        </w:tc>
      </w:tr>
      <w:tr>
        <w:trPr>
          <w:trHeight w:val="540" w:hRule="exact"/>
        </w:trPr>
        <w:tc>
          <w:tcPr>
            <w:tcW w:w="57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218,928,290.21</w:t>
            </w:r>
          </w:p>
        </w:tc>
        <w:tc>
          <w:tcPr>
            <w:tcW w:w="15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spacing w:val="-1"/>
                <w:sz w:val="18"/>
              </w:rPr>
              <w:t>-241,183,908.48</w:t>
            </w:r>
          </w:p>
        </w:tc>
      </w:tr>
    </w:tbl>
    <w:p>
      <w:pPr>
        <w:spacing w:after="0" w:line="240" w:lineRule="auto"/>
        <w:jc w:val="right"/>
        <w:rPr>
          <w:rFonts w:ascii="Times New Roman" w:hAnsi="Times New Roman" w:cs="Times New Roman" w:eastAsia="Times New Roman" w:hint="default"/>
          <w:sz w:val="18"/>
          <w:szCs w:val="18"/>
        </w:rPr>
        <w:sectPr>
          <w:pgSz w:w="11900" w:h="16840"/>
          <w:pgMar w:header="0" w:footer="982" w:top="1340" w:bottom="1180" w:left="1600" w:right="1180"/>
        </w:sectPr>
      </w:pPr>
    </w:p>
    <w:p>
      <w:pPr>
        <w:spacing w:line="240" w:lineRule="auto" w:before="9"/>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5796"/>
        <w:gridCol w:w="1525"/>
        <w:gridCol w:w="1526"/>
      </w:tblGrid>
      <w:tr>
        <w:trPr>
          <w:trHeight w:val="540" w:hRule="exact"/>
        </w:trPr>
        <w:tc>
          <w:tcPr>
            <w:tcW w:w="57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540" w:hRule="exact"/>
        </w:trPr>
        <w:tc>
          <w:tcPr>
            <w:tcW w:w="57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sz w:val="18"/>
                <w:szCs w:val="18"/>
              </w:rPr>
              <w:t>．不涉及现金收支的重大投资和筹资活动：</w:t>
            </w:r>
          </w:p>
        </w:tc>
        <w:tc>
          <w:tcPr>
            <w:tcW w:w="1525" w:type="dxa"/>
            <w:tcBorders>
              <w:top w:val="single" w:sz="8" w:space="0" w:color="000000"/>
              <w:left w:val="single" w:sz="8" w:space="0" w:color="000000"/>
              <w:bottom w:val="single" w:sz="8" w:space="0" w:color="000000"/>
              <w:right w:val="single" w:sz="8" w:space="0" w:color="000000"/>
            </w:tcBorders>
          </w:tcPr>
          <w:p>
            <w:pPr/>
          </w:p>
        </w:tc>
        <w:tc>
          <w:tcPr>
            <w:tcW w:w="15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42"/>
              <w:jc w:val="right"/>
              <w:rPr>
                <w:rFonts w:ascii="Times New Roman" w:hAnsi="Times New Roman" w:cs="Times New Roman" w:eastAsia="Times New Roman" w:hint="default"/>
                <w:sz w:val="18"/>
                <w:szCs w:val="18"/>
              </w:rPr>
            </w:pPr>
            <w:r>
              <w:rPr>
                <w:rFonts w:ascii="Times New Roman"/>
                <w:sz w:val="18"/>
              </w:rPr>
              <w:t>-</w:t>
            </w:r>
          </w:p>
        </w:tc>
      </w:tr>
      <w:tr>
        <w:trPr>
          <w:trHeight w:val="540" w:hRule="exact"/>
        </w:trPr>
        <w:tc>
          <w:tcPr>
            <w:tcW w:w="57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15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42"/>
              <w:jc w:val="right"/>
              <w:rPr>
                <w:rFonts w:ascii="Times New Roman" w:hAnsi="Times New Roman" w:cs="Times New Roman" w:eastAsia="Times New Roman" w:hint="default"/>
                <w:sz w:val="18"/>
                <w:szCs w:val="18"/>
              </w:rPr>
            </w:pPr>
            <w:r>
              <w:rPr>
                <w:rFonts w:ascii="Times New Roman"/>
                <w:sz w:val="18"/>
              </w:rPr>
              <w:t>-</w:t>
            </w:r>
          </w:p>
        </w:tc>
      </w:tr>
      <w:tr>
        <w:trPr>
          <w:trHeight w:val="540" w:hRule="exact"/>
        </w:trPr>
        <w:tc>
          <w:tcPr>
            <w:tcW w:w="57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15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42"/>
              <w:jc w:val="right"/>
              <w:rPr>
                <w:rFonts w:ascii="Times New Roman" w:hAnsi="Times New Roman" w:cs="Times New Roman" w:eastAsia="Times New Roman" w:hint="default"/>
                <w:sz w:val="18"/>
                <w:szCs w:val="18"/>
              </w:rPr>
            </w:pPr>
            <w:r>
              <w:rPr>
                <w:rFonts w:ascii="Times New Roman"/>
                <w:sz w:val="18"/>
              </w:rPr>
              <w:t>-</w:t>
            </w:r>
          </w:p>
        </w:tc>
      </w:tr>
      <w:tr>
        <w:trPr>
          <w:trHeight w:val="540" w:hRule="exact"/>
        </w:trPr>
        <w:tc>
          <w:tcPr>
            <w:tcW w:w="57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15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42"/>
              <w:jc w:val="right"/>
              <w:rPr>
                <w:rFonts w:ascii="Times New Roman" w:hAnsi="Times New Roman" w:cs="Times New Roman" w:eastAsia="Times New Roman" w:hint="default"/>
                <w:sz w:val="18"/>
                <w:szCs w:val="18"/>
              </w:rPr>
            </w:pPr>
            <w:r>
              <w:rPr>
                <w:rFonts w:ascii="Times New Roman"/>
                <w:sz w:val="18"/>
              </w:rPr>
              <w:t>-</w:t>
            </w:r>
          </w:p>
        </w:tc>
      </w:tr>
      <w:tr>
        <w:trPr>
          <w:trHeight w:val="540" w:hRule="exact"/>
        </w:trPr>
        <w:tc>
          <w:tcPr>
            <w:tcW w:w="57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sz w:val="18"/>
                <w:szCs w:val="18"/>
              </w:rPr>
              <w:t>．现金及现金等价物净变动情况：</w:t>
            </w:r>
          </w:p>
        </w:tc>
        <w:tc>
          <w:tcPr>
            <w:tcW w:w="1525" w:type="dxa"/>
            <w:tcBorders>
              <w:top w:val="single" w:sz="8" w:space="0" w:color="000000"/>
              <w:left w:val="single" w:sz="8" w:space="0" w:color="000000"/>
              <w:bottom w:val="single" w:sz="8" w:space="0" w:color="000000"/>
              <w:right w:val="single" w:sz="4" w:space="0" w:color="000000"/>
            </w:tcBorders>
          </w:tcPr>
          <w:p>
            <w:pPr/>
          </w:p>
        </w:tc>
        <w:tc>
          <w:tcPr>
            <w:tcW w:w="1526"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42"/>
              <w:jc w:val="right"/>
              <w:rPr>
                <w:rFonts w:ascii="Times New Roman" w:hAnsi="Times New Roman" w:cs="Times New Roman" w:eastAsia="Times New Roman" w:hint="default"/>
                <w:sz w:val="18"/>
                <w:szCs w:val="18"/>
              </w:rPr>
            </w:pPr>
            <w:r>
              <w:rPr>
                <w:rFonts w:ascii="Times New Roman"/>
                <w:sz w:val="18"/>
              </w:rPr>
              <w:t>-</w:t>
            </w:r>
          </w:p>
        </w:tc>
      </w:tr>
      <w:tr>
        <w:trPr>
          <w:trHeight w:val="540" w:hRule="exact"/>
        </w:trPr>
        <w:tc>
          <w:tcPr>
            <w:tcW w:w="57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52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pacing w:val="-1"/>
                <w:sz w:val="18"/>
              </w:rPr>
              <w:t>280,272,407.64</w:t>
            </w:r>
          </w:p>
        </w:tc>
        <w:tc>
          <w:tcPr>
            <w:tcW w:w="1526"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16"/>
              <w:jc w:val="right"/>
              <w:rPr>
                <w:rFonts w:ascii="Times New Roman" w:hAnsi="Times New Roman" w:cs="Times New Roman" w:eastAsia="Times New Roman" w:hint="default"/>
                <w:sz w:val="18"/>
                <w:szCs w:val="18"/>
              </w:rPr>
            </w:pPr>
            <w:r>
              <w:rPr>
                <w:rFonts w:ascii="Times New Roman"/>
                <w:spacing w:val="-1"/>
                <w:sz w:val="18"/>
              </w:rPr>
              <w:t>101,934,788.72</w:t>
            </w:r>
          </w:p>
        </w:tc>
      </w:tr>
      <w:tr>
        <w:trPr>
          <w:trHeight w:val="540" w:hRule="exact"/>
        </w:trPr>
        <w:tc>
          <w:tcPr>
            <w:tcW w:w="57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525"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pacing w:val="-1"/>
                <w:sz w:val="18"/>
              </w:rPr>
              <w:t>101,934,788.72</w:t>
            </w:r>
          </w:p>
        </w:tc>
        <w:tc>
          <w:tcPr>
            <w:tcW w:w="1526"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16"/>
              <w:jc w:val="right"/>
              <w:rPr>
                <w:rFonts w:ascii="Times New Roman" w:hAnsi="Times New Roman" w:cs="Times New Roman" w:eastAsia="Times New Roman" w:hint="default"/>
                <w:sz w:val="18"/>
                <w:szCs w:val="18"/>
              </w:rPr>
            </w:pPr>
            <w:r>
              <w:rPr>
                <w:rFonts w:ascii="Times New Roman"/>
                <w:spacing w:val="-1"/>
                <w:sz w:val="18"/>
              </w:rPr>
              <w:t>147,955,588.85</w:t>
            </w:r>
          </w:p>
        </w:tc>
      </w:tr>
      <w:tr>
        <w:trPr>
          <w:trHeight w:val="540" w:hRule="exact"/>
        </w:trPr>
        <w:tc>
          <w:tcPr>
            <w:tcW w:w="57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525"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336"/>
              <w:jc w:val="right"/>
              <w:rPr>
                <w:rFonts w:ascii="Times New Roman" w:hAnsi="Times New Roman" w:cs="Times New Roman" w:eastAsia="Times New Roman" w:hint="default"/>
                <w:sz w:val="18"/>
                <w:szCs w:val="18"/>
              </w:rPr>
            </w:pPr>
            <w:r>
              <w:rPr>
                <w:rFonts w:ascii="Times New Roman"/>
                <w:sz w:val="18"/>
              </w:rPr>
              <w:t>-</w:t>
            </w:r>
          </w:p>
        </w:tc>
        <w:tc>
          <w:tcPr>
            <w:tcW w:w="1526"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42"/>
              <w:jc w:val="right"/>
              <w:rPr>
                <w:rFonts w:ascii="Times New Roman" w:hAnsi="Times New Roman" w:cs="Times New Roman" w:eastAsia="Times New Roman" w:hint="default"/>
                <w:sz w:val="18"/>
                <w:szCs w:val="18"/>
              </w:rPr>
            </w:pPr>
            <w:r>
              <w:rPr>
                <w:rFonts w:ascii="Times New Roman"/>
                <w:sz w:val="18"/>
              </w:rPr>
              <w:t>-</w:t>
            </w:r>
          </w:p>
        </w:tc>
      </w:tr>
      <w:tr>
        <w:trPr>
          <w:trHeight w:val="540" w:hRule="exact"/>
        </w:trPr>
        <w:tc>
          <w:tcPr>
            <w:tcW w:w="57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52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36"/>
              <w:jc w:val="right"/>
              <w:rPr>
                <w:rFonts w:ascii="Times New Roman" w:hAnsi="Times New Roman" w:cs="Times New Roman" w:eastAsia="Times New Roman" w:hint="default"/>
                <w:sz w:val="18"/>
                <w:szCs w:val="18"/>
              </w:rPr>
            </w:pPr>
            <w:r>
              <w:rPr>
                <w:rFonts w:ascii="Times New Roman"/>
                <w:sz w:val="18"/>
              </w:rPr>
              <w:t>-</w:t>
            </w:r>
          </w:p>
        </w:tc>
        <w:tc>
          <w:tcPr>
            <w:tcW w:w="1526"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342"/>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541" w:hRule="exact"/>
        </w:trPr>
        <w:tc>
          <w:tcPr>
            <w:tcW w:w="57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52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pacing w:val="-1"/>
                <w:sz w:val="18"/>
              </w:rPr>
              <w:t>178,337,618.92</w:t>
            </w:r>
          </w:p>
        </w:tc>
        <w:tc>
          <w:tcPr>
            <w:tcW w:w="1526"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16"/>
              <w:jc w:val="right"/>
              <w:rPr>
                <w:rFonts w:ascii="Times New Roman" w:hAnsi="Times New Roman" w:cs="Times New Roman" w:eastAsia="Times New Roman" w:hint="default"/>
                <w:sz w:val="18"/>
                <w:szCs w:val="18"/>
              </w:rPr>
            </w:pPr>
            <w:r>
              <w:rPr>
                <w:rFonts w:ascii="Times New Roman"/>
                <w:spacing w:val="-1"/>
                <w:sz w:val="18"/>
              </w:rPr>
              <w:t>-46,020,800.13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ind w:left="250" w:right="142"/>
        <w:jc w:val="left"/>
      </w:pPr>
      <w:r>
        <w:rPr/>
        <w:t>（</w:t>
      </w:r>
      <w:r>
        <w:rPr>
          <w:rFonts w:ascii="Times New Roman" w:hAnsi="Times New Roman" w:cs="Times New Roman" w:eastAsia="Times New Roman" w:hint="default"/>
        </w:rPr>
        <w:t>2</w:t>
      </w:r>
      <w:r>
        <w:rPr/>
        <w:t>）本期取得或处置子公司及其他营业单位的相关信息</w:t>
      </w:r>
    </w:p>
    <w:p>
      <w:pPr>
        <w:spacing w:line="240" w:lineRule="auto" w:before="11"/>
        <w:rPr>
          <w:rFonts w:ascii="宋体" w:hAnsi="宋体" w:cs="宋体" w:eastAsia="宋体" w:hint="default"/>
          <w:sz w:val="14"/>
          <w:szCs w:val="14"/>
        </w:rPr>
      </w:pPr>
    </w:p>
    <w:p>
      <w:pPr>
        <w:pStyle w:val="BodyText"/>
        <w:tabs>
          <w:tab w:pos="1049" w:val="left" w:leader="none"/>
        </w:tabs>
        <w:spacing w:line="240" w:lineRule="auto" w:before="35"/>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5731"/>
        <w:gridCol w:w="1571"/>
        <w:gridCol w:w="1546"/>
      </w:tblGrid>
      <w:tr>
        <w:trPr>
          <w:trHeight w:val="529" w:hRule="exact"/>
        </w:trPr>
        <w:tc>
          <w:tcPr>
            <w:tcW w:w="5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86"/>
              <w:jc w:val="center"/>
              <w:rPr>
                <w:rFonts w:ascii="宋体" w:hAnsi="宋体" w:cs="宋体" w:eastAsia="宋体" w:hint="default"/>
                <w:sz w:val="21"/>
                <w:szCs w:val="21"/>
              </w:rPr>
            </w:pPr>
            <w:r>
              <w:rPr>
                <w:rFonts w:ascii="宋体" w:hAnsi="宋体" w:cs="宋体" w:eastAsia="宋体" w:hint="default"/>
                <w:sz w:val="21"/>
                <w:szCs w:val="21"/>
              </w:rPr>
              <w:t>项目</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46"/>
              <w:jc w:val="righ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30" w:hRule="exact"/>
        </w:trPr>
        <w:tc>
          <w:tcPr>
            <w:tcW w:w="5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40"/>
              <w:jc w:val="right"/>
              <w:rPr>
                <w:rFonts w:ascii="Times New Roman" w:hAnsi="Times New Roman" w:cs="Times New Roman" w:eastAsia="Times New Roman" w:hint="default"/>
                <w:sz w:val="21"/>
                <w:szCs w:val="21"/>
              </w:rPr>
            </w:pPr>
            <w:r>
              <w:rPr>
                <w:rFonts w:ascii="Times New Roman"/>
                <w:sz w:val="21"/>
              </w:rPr>
              <w:t>-</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20"/>
              <w:jc w:val="right"/>
              <w:rPr>
                <w:rFonts w:ascii="Times New Roman" w:hAnsi="Times New Roman" w:cs="Times New Roman" w:eastAsia="Times New Roman" w:hint="default"/>
                <w:sz w:val="21"/>
                <w:szCs w:val="21"/>
              </w:rPr>
            </w:pPr>
            <w:r>
              <w:rPr>
                <w:rFonts w:ascii="Times New Roman"/>
                <w:sz w:val="21"/>
              </w:rPr>
              <w:t>-</w:t>
            </w:r>
          </w:p>
        </w:tc>
      </w:tr>
      <w:tr>
        <w:trPr>
          <w:trHeight w:val="530" w:hRule="exact"/>
        </w:trPr>
        <w:tc>
          <w:tcPr>
            <w:tcW w:w="5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40"/>
              <w:jc w:val="right"/>
              <w:rPr>
                <w:rFonts w:ascii="Times New Roman" w:hAnsi="Times New Roman" w:cs="Times New Roman" w:eastAsia="Times New Roman" w:hint="default"/>
                <w:sz w:val="21"/>
                <w:szCs w:val="21"/>
              </w:rPr>
            </w:pPr>
            <w:r>
              <w:rPr>
                <w:rFonts w:ascii="Times New Roman"/>
                <w:sz w:val="21"/>
              </w:rPr>
              <w:t>-</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20"/>
              <w:jc w:val="right"/>
              <w:rPr>
                <w:rFonts w:ascii="Times New Roman" w:hAnsi="Times New Roman" w:cs="Times New Roman" w:eastAsia="Times New Roman" w:hint="default"/>
                <w:sz w:val="21"/>
                <w:szCs w:val="21"/>
              </w:rPr>
            </w:pPr>
            <w:r>
              <w:rPr>
                <w:rFonts w:ascii="Times New Roman"/>
                <w:sz w:val="21"/>
              </w:rPr>
              <w:t>-</w:t>
            </w:r>
          </w:p>
        </w:tc>
      </w:tr>
      <w:tr>
        <w:trPr>
          <w:trHeight w:val="529" w:hRule="exact"/>
        </w:trPr>
        <w:tc>
          <w:tcPr>
            <w:tcW w:w="5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．处置子公司及其他营业单位的价格</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79"/>
              <w:jc w:val="right"/>
              <w:rPr>
                <w:rFonts w:ascii="Times New Roman" w:hAnsi="Times New Roman" w:cs="Times New Roman" w:eastAsia="Times New Roman" w:hint="default"/>
                <w:sz w:val="21"/>
                <w:szCs w:val="21"/>
              </w:rPr>
            </w:pPr>
            <w:r>
              <w:rPr>
                <w:rFonts w:ascii="Times New Roman"/>
                <w:spacing w:val="-1"/>
                <w:sz w:val="21"/>
              </w:rPr>
              <w:t>50,150,000.00</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21"/>
              <w:jc w:val="right"/>
              <w:rPr>
                <w:rFonts w:ascii="Times New Roman" w:hAnsi="Times New Roman" w:cs="Times New Roman" w:eastAsia="Times New Roman" w:hint="default"/>
                <w:sz w:val="21"/>
                <w:szCs w:val="21"/>
              </w:rPr>
            </w:pPr>
            <w:r>
              <w:rPr>
                <w:rFonts w:ascii="Times New Roman"/>
                <w:sz w:val="21"/>
              </w:rPr>
              <w:t>-</w:t>
            </w:r>
          </w:p>
        </w:tc>
      </w:tr>
      <w:tr>
        <w:trPr>
          <w:trHeight w:val="530" w:hRule="exact"/>
        </w:trPr>
        <w:tc>
          <w:tcPr>
            <w:tcW w:w="5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．处置子公司及其他营业单位收到的现金和现金等价物</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79"/>
              <w:jc w:val="right"/>
              <w:rPr>
                <w:rFonts w:ascii="Times New Roman" w:hAnsi="Times New Roman" w:cs="Times New Roman" w:eastAsia="Times New Roman" w:hint="default"/>
                <w:sz w:val="21"/>
                <w:szCs w:val="21"/>
              </w:rPr>
            </w:pPr>
            <w:r>
              <w:rPr>
                <w:rFonts w:ascii="Times New Roman"/>
                <w:spacing w:val="-1"/>
                <w:sz w:val="21"/>
              </w:rPr>
              <w:t>50,150,000.00</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21"/>
              <w:jc w:val="right"/>
              <w:rPr>
                <w:rFonts w:ascii="Times New Roman" w:hAnsi="Times New Roman" w:cs="Times New Roman" w:eastAsia="Times New Roman" w:hint="default"/>
                <w:sz w:val="21"/>
                <w:szCs w:val="21"/>
              </w:rPr>
            </w:pPr>
            <w:r>
              <w:rPr>
                <w:rFonts w:ascii="Times New Roman"/>
                <w:sz w:val="21"/>
              </w:rPr>
              <w:t>-</w:t>
            </w:r>
          </w:p>
        </w:tc>
      </w:tr>
      <w:tr>
        <w:trPr>
          <w:trHeight w:val="530" w:hRule="exact"/>
        </w:trPr>
        <w:tc>
          <w:tcPr>
            <w:tcW w:w="5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40"/>
              <w:jc w:val="right"/>
              <w:rPr>
                <w:rFonts w:ascii="Times New Roman" w:hAnsi="Times New Roman" w:cs="Times New Roman" w:eastAsia="Times New Roman" w:hint="default"/>
                <w:sz w:val="21"/>
                <w:szCs w:val="21"/>
              </w:rPr>
            </w:pPr>
            <w:r>
              <w:rPr>
                <w:rFonts w:ascii="Times New Roman"/>
                <w:sz w:val="21"/>
              </w:rPr>
              <w:t>-</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20"/>
              <w:jc w:val="right"/>
              <w:rPr>
                <w:rFonts w:ascii="Times New Roman" w:hAnsi="Times New Roman" w:cs="Times New Roman" w:eastAsia="Times New Roman" w:hint="default"/>
                <w:sz w:val="21"/>
                <w:szCs w:val="21"/>
              </w:rPr>
            </w:pPr>
            <w:r>
              <w:rPr>
                <w:rFonts w:ascii="Times New Roman"/>
                <w:sz w:val="21"/>
              </w:rPr>
              <w:t>-</w:t>
            </w:r>
          </w:p>
        </w:tc>
      </w:tr>
      <w:tr>
        <w:trPr>
          <w:trHeight w:val="529" w:hRule="exact"/>
        </w:trPr>
        <w:tc>
          <w:tcPr>
            <w:tcW w:w="5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．处置子公司及其他营业单位收到的现金净额</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40"/>
              <w:jc w:val="right"/>
              <w:rPr>
                <w:rFonts w:ascii="Times New Roman" w:hAnsi="Times New Roman" w:cs="Times New Roman" w:eastAsia="Times New Roman" w:hint="default"/>
                <w:sz w:val="21"/>
                <w:szCs w:val="21"/>
              </w:rPr>
            </w:pPr>
            <w:r>
              <w:rPr>
                <w:rFonts w:ascii="Times New Roman"/>
                <w:sz w:val="21"/>
              </w:rPr>
              <w:t>-</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20"/>
              <w:jc w:val="right"/>
              <w:rPr>
                <w:rFonts w:ascii="Times New Roman" w:hAnsi="Times New Roman" w:cs="Times New Roman" w:eastAsia="Times New Roman" w:hint="default"/>
                <w:sz w:val="21"/>
                <w:szCs w:val="21"/>
              </w:rPr>
            </w:pPr>
            <w:r>
              <w:rPr>
                <w:rFonts w:ascii="Times New Roman"/>
                <w:sz w:val="21"/>
              </w:rPr>
              <w:t>-</w:t>
            </w:r>
          </w:p>
        </w:tc>
      </w:tr>
      <w:tr>
        <w:trPr>
          <w:trHeight w:val="530" w:hRule="exact"/>
        </w:trPr>
        <w:tc>
          <w:tcPr>
            <w:tcW w:w="5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．处置子公司的净资产</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79"/>
              <w:jc w:val="right"/>
              <w:rPr>
                <w:rFonts w:ascii="Times New Roman" w:hAnsi="Times New Roman" w:cs="Times New Roman" w:eastAsia="Times New Roman" w:hint="default"/>
                <w:sz w:val="21"/>
                <w:szCs w:val="21"/>
              </w:rPr>
            </w:pPr>
            <w:r>
              <w:rPr>
                <w:rFonts w:ascii="Times New Roman"/>
                <w:spacing w:val="-1"/>
                <w:sz w:val="21"/>
              </w:rPr>
              <w:t>10,107,020.39</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21"/>
              <w:jc w:val="right"/>
              <w:rPr>
                <w:rFonts w:ascii="Times New Roman" w:hAnsi="Times New Roman" w:cs="Times New Roman" w:eastAsia="Times New Roman" w:hint="default"/>
                <w:sz w:val="21"/>
                <w:szCs w:val="21"/>
              </w:rPr>
            </w:pPr>
            <w:r>
              <w:rPr>
                <w:rFonts w:ascii="Times New Roman"/>
                <w:sz w:val="21"/>
              </w:rPr>
              <w:t>-</w:t>
            </w:r>
          </w:p>
        </w:tc>
      </w:tr>
      <w:tr>
        <w:trPr>
          <w:trHeight w:val="530" w:hRule="exact"/>
        </w:trPr>
        <w:tc>
          <w:tcPr>
            <w:tcW w:w="5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79"/>
              <w:jc w:val="right"/>
              <w:rPr>
                <w:rFonts w:ascii="Times New Roman" w:hAnsi="Times New Roman" w:cs="Times New Roman" w:eastAsia="Times New Roman" w:hint="default"/>
                <w:sz w:val="21"/>
                <w:szCs w:val="21"/>
              </w:rPr>
            </w:pPr>
            <w:r>
              <w:rPr>
                <w:rFonts w:ascii="Times New Roman"/>
                <w:spacing w:val="-1"/>
                <w:sz w:val="21"/>
              </w:rPr>
              <w:t>7,924,571.99</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21"/>
              <w:jc w:val="right"/>
              <w:rPr>
                <w:rFonts w:ascii="Times New Roman" w:hAnsi="Times New Roman" w:cs="Times New Roman" w:eastAsia="Times New Roman" w:hint="default"/>
                <w:sz w:val="21"/>
                <w:szCs w:val="21"/>
              </w:rPr>
            </w:pPr>
            <w:r>
              <w:rPr>
                <w:rFonts w:ascii="Times New Roman"/>
                <w:sz w:val="21"/>
              </w:rPr>
              <w:t>-</w:t>
            </w:r>
          </w:p>
        </w:tc>
      </w:tr>
      <w:tr>
        <w:trPr>
          <w:trHeight w:val="529" w:hRule="exact"/>
        </w:trPr>
        <w:tc>
          <w:tcPr>
            <w:tcW w:w="5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79"/>
              <w:jc w:val="right"/>
              <w:rPr>
                <w:rFonts w:ascii="Times New Roman" w:hAnsi="Times New Roman" w:cs="Times New Roman" w:eastAsia="Times New Roman" w:hint="default"/>
                <w:sz w:val="21"/>
                <w:szCs w:val="21"/>
              </w:rPr>
            </w:pPr>
            <w:r>
              <w:rPr>
                <w:rFonts w:ascii="Times New Roman"/>
                <w:spacing w:val="-1"/>
                <w:sz w:val="21"/>
              </w:rPr>
              <w:t>44,158,081.29</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21"/>
              <w:jc w:val="right"/>
              <w:rPr>
                <w:rFonts w:ascii="Times New Roman" w:hAnsi="Times New Roman" w:cs="Times New Roman" w:eastAsia="Times New Roman" w:hint="default"/>
                <w:sz w:val="21"/>
                <w:szCs w:val="21"/>
              </w:rPr>
            </w:pPr>
            <w:r>
              <w:rPr>
                <w:rFonts w:ascii="Times New Roman"/>
                <w:sz w:val="21"/>
              </w:rPr>
              <w:t>-</w:t>
            </w:r>
          </w:p>
        </w:tc>
      </w:tr>
      <w:tr>
        <w:trPr>
          <w:trHeight w:val="530" w:hRule="exact"/>
        </w:trPr>
        <w:tc>
          <w:tcPr>
            <w:tcW w:w="5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79"/>
              <w:jc w:val="right"/>
              <w:rPr>
                <w:rFonts w:ascii="Times New Roman" w:hAnsi="Times New Roman" w:cs="Times New Roman" w:eastAsia="Times New Roman" w:hint="default"/>
                <w:sz w:val="21"/>
                <w:szCs w:val="21"/>
              </w:rPr>
            </w:pPr>
            <w:r>
              <w:rPr>
                <w:rFonts w:ascii="Times New Roman"/>
                <w:spacing w:val="-1"/>
                <w:sz w:val="21"/>
              </w:rPr>
              <w:t>19,176,343.83</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21"/>
              <w:jc w:val="right"/>
              <w:rPr>
                <w:rFonts w:ascii="Times New Roman" w:hAnsi="Times New Roman" w:cs="Times New Roman" w:eastAsia="Times New Roman" w:hint="default"/>
                <w:sz w:val="21"/>
                <w:szCs w:val="21"/>
              </w:rPr>
            </w:pPr>
            <w:r>
              <w:rPr>
                <w:rFonts w:ascii="Times New Roman"/>
                <w:sz w:val="21"/>
              </w:rPr>
              <w:t>-</w:t>
            </w:r>
          </w:p>
        </w:tc>
      </w:tr>
      <w:tr>
        <w:trPr>
          <w:trHeight w:val="530" w:hRule="exact"/>
        </w:trPr>
        <w:tc>
          <w:tcPr>
            <w:tcW w:w="5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79"/>
              <w:jc w:val="right"/>
              <w:rPr>
                <w:rFonts w:ascii="Times New Roman" w:hAnsi="Times New Roman" w:cs="Times New Roman" w:eastAsia="Times New Roman" w:hint="default"/>
                <w:sz w:val="21"/>
                <w:szCs w:val="21"/>
              </w:rPr>
            </w:pPr>
            <w:r>
              <w:rPr>
                <w:rFonts w:ascii="Times New Roman"/>
                <w:spacing w:val="-1"/>
                <w:sz w:val="21"/>
              </w:rPr>
              <w:t>22,799,289.06</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21"/>
              <w:jc w:val="right"/>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982" w:top="1060" w:bottom="1180" w:left="1620" w:right="1180"/>
        </w:sectPr>
      </w:pPr>
    </w:p>
    <w:p>
      <w:pPr>
        <w:pStyle w:val="BodyText"/>
        <w:spacing w:line="240" w:lineRule="auto" w:before="6"/>
        <w:ind w:left="230" w:right="217"/>
        <w:jc w:val="left"/>
      </w:pPr>
      <w:r>
        <w:rPr/>
        <w:t>（</w:t>
      </w:r>
      <w:r>
        <w:rPr>
          <w:rFonts w:ascii="Times New Roman" w:hAnsi="Times New Roman" w:cs="Times New Roman" w:eastAsia="Times New Roman" w:hint="default"/>
        </w:rPr>
        <w:t>3</w:t>
      </w:r>
      <w:r>
        <w:rPr/>
        <w:t>）现金和现金等价物的构成</w:t>
      </w:r>
    </w:p>
    <w:p>
      <w:pPr>
        <w:spacing w:line="240" w:lineRule="auto" w:before="4"/>
        <w:rPr>
          <w:rFonts w:ascii="宋体" w:hAnsi="宋体" w:cs="宋体" w:eastAsia="宋体" w:hint="default"/>
          <w:sz w:val="13"/>
          <w:szCs w:val="13"/>
        </w:rPr>
      </w:pPr>
    </w:p>
    <w:p>
      <w:pPr>
        <w:pStyle w:val="BodyText"/>
        <w:tabs>
          <w:tab w:pos="1049" w:val="left" w:leader="none"/>
        </w:tabs>
        <w:spacing w:line="240" w:lineRule="auto" w:before="35"/>
        <w:ind w:left="0" w:right="231"/>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25"/>
        <w:gridCol w:w="2161"/>
        <w:gridCol w:w="2161"/>
      </w:tblGrid>
      <w:tr>
        <w:trPr>
          <w:trHeight w:val="510" w:hRule="exact"/>
        </w:trPr>
        <w:tc>
          <w:tcPr>
            <w:tcW w:w="45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0" w:hRule="exact"/>
        </w:trPr>
        <w:tc>
          <w:tcPr>
            <w:tcW w:w="45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161"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45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5"/>
              <w:jc w:val="right"/>
              <w:rPr>
                <w:rFonts w:ascii="Times New Roman" w:hAnsi="Times New Roman" w:cs="Times New Roman" w:eastAsia="Times New Roman" w:hint="default"/>
                <w:sz w:val="21"/>
                <w:szCs w:val="21"/>
              </w:rPr>
            </w:pPr>
            <w:r>
              <w:rPr>
                <w:rFonts w:ascii="Times New Roman"/>
                <w:spacing w:val="-1"/>
                <w:sz w:val="21"/>
              </w:rPr>
              <w:t>840,932.58</w:t>
            </w:r>
            <w:r>
              <w:rPr>
                <w:rFonts w:ascii="Times New Roman"/>
                <w:sz w:val="21"/>
              </w:rPr>
            </w:r>
          </w:p>
        </w:tc>
        <w:tc>
          <w:tcPr>
            <w:tcW w:w="2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40"/>
              <w:jc w:val="right"/>
              <w:rPr>
                <w:rFonts w:ascii="Times New Roman" w:hAnsi="Times New Roman" w:cs="Times New Roman" w:eastAsia="Times New Roman" w:hint="default"/>
                <w:sz w:val="21"/>
                <w:szCs w:val="21"/>
              </w:rPr>
            </w:pPr>
            <w:r>
              <w:rPr>
                <w:rFonts w:ascii="Times New Roman"/>
                <w:spacing w:val="-1"/>
                <w:sz w:val="21"/>
              </w:rPr>
              <w:t>1,462,280.80</w:t>
            </w:r>
          </w:p>
        </w:tc>
      </w:tr>
      <w:tr>
        <w:trPr>
          <w:trHeight w:val="510" w:hRule="exact"/>
        </w:trPr>
        <w:tc>
          <w:tcPr>
            <w:tcW w:w="45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6"/>
              <w:jc w:val="right"/>
              <w:rPr>
                <w:rFonts w:ascii="Times New Roman" w:hAnsi="Times New Roman" w:cs="Times New Roman" w:eastAsia="Times New Roman" w:hint="default"/>
                <w:sz w:val="21"/>
                <w:szCs w:val="21"/>
              </w:rPr>
            </w:pPr>
            <w:r>
              <w:rPr>
                <w:rFonts w:ascii="Times New Roman"/>
                <w:spacing w:val="-1"/>
                <w:sz w:val="21"/>
              </w:rPr>
              <w:t>279,431,475.06</w:t>
            </w:r>
          </w:p>
        </w:tc>
        <w:tc>
          <w:tcPr>
            <w:tcW w:w="2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40"/>
              <w:jc w:val="right"/>
              <w:rPr>
                <w:rFonts w:ascii="Times New Roman" w:hAnsi="Times New Roman" w:cs="Times New Roman" w:eastAsia="Times New Roman" w:hint="default"/>
                <w:sz w:val="21"/>
                <w:szCs w:val="21"/>
              </w:rPr>
            </w:pPr>
            <w:r>
              <w:rPr>
                <w:rFonts w:ascii="Times New Roman"/>
                <w:spacing w:val="-1"/>
                <w:sz w:val="21"/>
              </w:rPr>
              <w:t>100,472,507.92</w:t>
            </w:r>
          </w:p>
        </w:tc>
      </w:tr>
      <w:tr>
        <w:trPr>
          <w:trHeight w:val="510" w:hRule="exact"/>
        </w:trPr>
        <w:tc>
          <w:tcPr>
            <w:tcW w:w="45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496"/>
              <w:jc w:val="right"/>
              <w:rPr>
                <w:rFonts w:ascii="Times New Roman" w:hAnsi="Times New Roman" w:cs="Times New Roman" w:eastAsia="Times New Roman" w:hint="default"/>
                <w:sz w:val="21"/>
                <w:szCs w:val="21"/>
              </w:rPr>
            </w:pPr>
            <w:r>
              <w:rPr>
                <w:rFonts w:ascii="Times New Roman"/>
                <w:sz w:val="21"/>
              </w:rPr>
              <w:t>-</w:t>
            </w:r>
          </w:p>
        </w:tc>
        <w:tc>
          <w:tcPr>
            <w:tcW w:w="2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501"/>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45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496"/>
              <w:jc w:val="right"/>
              <w:rPr>
                <w:rFonts w:ascii="Times New Roman" w:hAnsi="Times New Roman" w:cs="Times New Roman" w:eastAsia="Times New Roman" w:hint="default"/>
                <w:sz w:val="21"/>
                <w:szCs w:val="21"/>
              </w:rPr>
            </w:pPr>
            <w:r>
              <w:rPr>
                <w:rFonts w:ascii="Times New Roman"/>
                <w:sz w:val="21"/>
              </w:rPr>
              <w:t>-</w:t>
            </w:r>
          </w:p>
        </w:tc>
        <w:tc>
          <w:tcPr>
            <w:tcW w:w="2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501"/>
              <w:jc w:val="right"/>
              <w:rPr>
                <w:rFonts w:ascii="Times New Roman" w:hAnsi="Times New Roman" w:cs="Times New Roman" w:eastAsia="Times New Roman" w:hint="default"/>
                <w:sz w:val="21"/>
                <w:szCs w:val="21"/>
              </w:rPr>
            </w:pPr>
            <w:r>
              <w:rPr>
                <w:rFonts w:ascii="Times New Roman"/>
                <w:sz w:val="21"/>
              </w:rPr>
              <w:t>-</w:t>
            </w:r>
          </w:p>
        </w:tc>
      </w:tr>
      <w:tr>
        <w:trPr>
          <w:trHeight w:val="511" w:hRule="exact"/>
        </w:trPr>
        <w:tc>
          <w:tcPr>
            <w:tcW w:w="45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6"/>
              <w:jc w:val="right"/>
              <w:rPr>
                <w:rFonts w:ascii="Times New Roman" w:hAnsi="Times New Roman" w:cs="Times New Roman" w:eastAsia="Times New Roman" w:hint="default"/>
                <w:sz w:val="21"/>
                <w:szCs w:val="21"/>
              </w:rPr>
            </w:pPr>
            <w:r>
              <w:rPr>
                <w:rFonts w:ascii="Times New Roman"/>
                <w:spacing w:val="-1"/>
                <w:sz w:val="21"/>
              </w:rPr>
              <w:t>280,272,407.64</w:t>
            </w:r>
          </w:p>
        </w:tc>
        <w:tc>
          <w:tcPr>
            <w:tcW w:w="2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40"/>
              <w:jc w:val="right"/>
              <w:rPr>
                <w:rFonts w:ascii="Times New Roman" w:hAnsi="Times New Roman" w:cs="Times New Roman" w:eastAsia="Times New Roman" w:hint="default"/>
                <w:sz w:val="21"/>
                <w:szCs w:val="21"/>
              </w:rPr>
            </w:pPr>
            <w:r>
              <w:rPr>
                <w:rFonts w:ascii="Times New Roman"/>
                <w:spacing w:val="-1"/>
                <w:sz w:val="21"/>
              </w:rPr>
              <w:t>101,934,788.72</w:t>
            </w:r>
          </w:p>
        </w:tc>
      </w:tr>
    </w:tbl>
    <w:p>
      <w:pPr>
        <w:spacing w:line="240" w:lineRule="auto" w:before="0"/>
        <w:rPr>
          <w:rFonts w:ascii="宋体" w:hAnsi="宋体" w:cs="宋体" w:eastAsia="宋体" w:hint="default"/>
          <w:sz w:val="12"/>
          <w:szCs w:val="12"/>
        </w:rPr>
      </w:pPr>
    </w:p>
    <w:p>
      <w:pPr>
        <w:pStyle w:val="BodyText"/>
        <w:spacing w:line="240" w:lineRule="auto" w:before="35"/>
        <w:ind w:left="230" w:right="217"/>
        <w:jc w:val="left"/>
      </w:pPr>
      <w:r>
        <w:rPr/>
        <w:t>注：现金和现金等价物不含母公司或集团内子公司使用受限制的现金和现金等价物。</w:t>
      </w:r>
    </w:p>
    <w:p>
      <w:pPr>
        <w:spacing w:after="0" w:line="240" w:lineRule="auto"/>
        <w:jc w:val="left"/>
        <w:sectPr>
          <w:pgSz w:w="11900" w:h="16840"/>
          <w:pgMar w:header="0" w:footer="982" w:top="1320" w:bottom="1180" w:left="1640" w:right="1180"/>
        </w:sectPr>
      </w:pPr>
    </w:p>
    <w:p>
      <w:pPr>
        <w:spacing w:line="240" w:lineRule="auto" w:before="8"/>
        <w:rPr>
          <w:rFonts w:ascii="宋体" w:hAnsi="宋体" w:cs="宋体" w:eastAsia="宋体" w:hint="default"/>
          <w:sz w:val="14"/>
          <w:szCs w:val="14"/>
        </w:rPr>
      </w:pPr>
    </w:p>
    <w:p>
      <w:pPr>
        <w:pStyle w:val="BodyText"/>
        <w:spacing w:line="240" w:lineRule="auto" w:before="35"/>
        <w:ind w:left="230" w:right="0"/>
        <w:jc w:val="left"/>
        <w:rPr>
          <w:rFonts w:ascii="黑体" w:hAnsi="黑体" w:cs="黑体" w:eastAsia="黑体" w:hint="default"/>
        </w:rPr>
      </w:pPr>
      <w:r>
        <w:rPr>
          <w:rFonts w:ascii="黑体" w:hAnsi="黑体" w:cs="黑体" w:eastAsia="黑体" w:hint="default"/>
        </w:rPr>
        <w:t>六、关联方及关联交易</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15"/>
          <w:szCs w:val="15"/>
        </w:rPr>
      </w:pPr>
    </w:p>
    <w:p>
      <w:pPr>
        <w:pStyle w:val="BodyText"/>
        <w:spacing w:line="240" w:lineRule="auto"/>
        <w:ind w:left="230" w:right="0"/>
        <w:jc w:val="left"/>
      </w:pPr>
      <w:r>
        <w:rPr>
          <w:rFonts w:ascii="Times New Roman" w:hAnsi="Times New Roman" w:cs="Times New Roman" w:eastAsia="Times New Roman" w:hint="default"/>
          <w:b/>
          <w:bCs/>
        </w:rPr>
        <w:t>1</w:t>
      </w:r>
      <w:r>
        <w:rPr/>
        <w:t>、本企业的大股东情况</w:t>
      </w:r>
    </w:p>
    <w:p>
      <w:pPr>
        <w:spacing w:line="240" w:lineRule="auto" w:before="4"/>
        <w:rPr>
          <w:rFonts w:ascii="宋体" w:hAnsi="宋体" w:cs="宋体" w:eastAsia="宋体" w:hint="default"/>
          <w:sz w:val="13"/>
          <w:szCs w:val="13"/>
        </w:rPr>
      </w:pPr>
    </w:p>
    <w:p>
      <w:pPr>
        <w:pStyle w:val="BodyText"/>
        <w:tabs>
          <w:tab w:pos="1259" w:val="left" w:leader="none"/>
        </w:tabs>
        <w:spacing w:line="240" w:lineRule="auto" w:before="35"/>
        <w:ind w:left="0" w:right="218"/>
        <w:jc w:val="right"/>
      </w:pPr>
      <w:r>
        <w:rPr/>
        <w:t>单位：万元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56"/>
        <w:gridCol w:w="1184"/>
        <w:gridCol w:w="1489"/>
        <w:gridCol w:w="917"/>
        <w:gridCol w:w="995"/>
        <w:gridCol w:w="1506"/>
        <w:gridCol w:w="872"/>
        <w:gridCol w:w="1561"/>
        <w:gridCol w:w="1415"/>
        <w:gridCol w:w="1184"/>
      </w:tblGrid>
      <w:tr>
        <w:trPr>
          <w:trHeight w:val="638" w:hRule="exact"/>
        </w:trPr>
        <w:tc>
          <w:tcPr>
            <w:tcW w:w="265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母公司名称</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关联关系</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企业类型</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注册地</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法人代表</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673" w:right="146" w:hanging="526"/>
              <w:jc w:val="left"/>
              <w:rPr>
                <w:rFonts w:ascii="宋体" w:hAnsi="宋体" w:cs="宋体" w:eastAsia="宋体" w:hint="default"/>
                <w:sz w:val="15"/>
                <w:szCs w:val="15"/>
              </w:rPr>
            </w:pPr>
            <w:r>
              <w:rPr>
                <w:rFonts w:ascii="宋体" w:hAnsi="宋体" w:cs="宋体" w:eastAsia="宋体" w:hint="default"/>
                <w:sz w:val="15"/>
                <w:szCs w:val="15"/>
              </w:rPr>
              <w:t>业务性质及经营范 围</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195" w:lineRule="exact"/>
              <w:ind w:left="132" w:right="0"/>
              <w:jc w:val="left"/>
              <w:rPr>
                <w:rFonts w:ascii="宋体" w:hAnsi="宋体" w:cs="宋体" w:eastAsia="宋体" w:hint="default"/>
                <w:sz w:val="15"/>
                <w:szCs w:val="15"/>
              </w:rPr>
            </w:pPr>
            <w:r>
              <w:rPr>
                <w:rFonts w:ascii="宋体" w:hAnsi="宋体" w:cs="宋体" w:eastAsia="宋体" w:hint="default"/>
                <w:sz w:val="15"/>
                <w:szCs w:val="15"/>
              </w:rPr>
              <w:t>注册资本</w:t>
            </w:r>
          </w:p>
          <w:p>
            <w:pPr>
              <w:pStyle w:val="TableParagraph"/>
              <w:spacing w:line="195" w:lineRule="exact"/>
              <w:ind w:left="132"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62" w:right="174" w:hanging="188"/>
              <w:jc w:val="left"/>
              <w:rPr>
                <w:rFonts w:ascii="Times New Roman" w:hAnsi="Times New Roman" w:cs="Times New Roman" w:eastAsia="Times New Roman" w:hint="default"/>
                <w:sz w:val="15"/>
                <w:szCs w:val="15"/>
              </w:rPr>
            </w:pPr>
            <w:r>
              <w:rPr>
                <w:rFonts w:ascii="宋体" w:hAnsi="宋体" w:cs="宋体" w:eastAsia="宋体" w:hint="default"/>
                <w:sz w:val="15"/>
                <w:szCs w:val="15"/>
              </w:rPr>
              <w:t>母公司对本企业的 持股比例</w:t>
            </w:r>
            <w:r>
              <w:rPr>
                <w:rFonts w:ascii="Times New Roman" w:hAnsi="Times New Roman" w:cs="Times New Roman" w:eastAsia="Times New Roman" w:hint="default"/>
                <w:sz w:val="15"/>
                <w:szCs w:val="15"/>
              </w:rPr>
              <w:t>(%)</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40" w:right="137" w:firstLine="37"/>
              <w:jc w:val="left"/>
              <w:rPr>
                <w:rFonts w:ascii="Times New Roman" w:hAnsi="Times New Roman" w:cs="Times New Roman" w:eastAsia="Times New Roman" w:hint="default"/>
                <w:sz w:val="15"/>
                <w:szCs w:val="15"/>
              </w:rPr>
            </w:pPr>
            <w:r>
              <w:rPr>
                <w:rFonts w:ascii="宋体" w:hAnsi="宋体" w:cs="宋体" w:eastAsia="宋体" w:hint="default"/>
                <w:sz w:val="15"/>
                <w:szCs w:val="15"/>
              </w:rPr>
              <w:t>母公司对本企业 的表决权比例</w:t>
            </w:r>
            <w:r>
              <w:rPr>
                <w:rFonts w:ascii="Times New Roman" w:hAnsi="Times New Roman" w:cs="Times New Roman" w:eastAsia="Times New Roman" w:hint="default"/>
                <w:sz w:val="15"/>
                <w:szCs w:val="15"/>
              </w:rPr>
              <w:t>(%)</w:t>
            </w:r>
          </w:p>
        </w:tc>
        <w:tc>
          <w:tcPr>
            <w:tcW w:w="11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4"/>
              <w:jc w:val="center"/>
              <w:rPr>
                <w:rFonts w:ascii="宋体" w:hAnsi="宋体" w:cs="宋体" w:eastAsia="宋体" w:hint="default"/>
                <w:sz w:val="15"/>
                <w:szCs w:val="15"/>
              </w:rPr>
            </w:pPr>
            <w:r>
              <w:rPr>
                <w:rFonts w:ascii="宋体" w:hAnsi="宋体" w:cs="宋体" w:eastAsia="宋体" w:hint="default"/>
                <w:sz w:val="15"/>
                <w:szCs w:val="15"/>
              </w:rPr>
              <w:t>组织机构代码</w:t>
            </w:r>
          </w:p>
        </w:tc>
      </w:tr>
      <w:tr>
        <w:trPr>
          <w:trHeight w:val="510" w:hRule="exact"/>
        </w:trPr>
        <w:tc>
          <w:tcPr>
            <w:tcW w:w="265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中国宝安集团控股有限公司</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第一大股东</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1"/>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钟征宇</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97" w:right="146" w:hanging="450"/>
              <w:jc w:val="left"/>
              <w:rPr>
                <w:rFonts w:ascii="宋体" w:hAnsi="宋体" w:cs="宋体" w:eastAsia="宋体" w:hint="default"/>
                <w:sz w:val="15"/>
                <w:szCs w:val="15"/>
              </w:rPr>
            </w:pPr>
            <w:r>
              <w:rPr>
                <w:rFonts w:ascii="宋体" w:hAnsi="宋体" w:cs="宋体" w:eastAsia="宋体" w:hint="default"/>
                <w:sz w:val="15"/>
                <w:szCs w:val="15"/>
              </w:rPr>
              <w:t>科技项目投资及开 发等</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78"/>
              <w:jc w:val="right"/>
              <w:rPr>
                <w:rFonts w:ascii="Times New Roman" w:hAnsi="Times New Roman" w:cs="Times New Roman" w:eastAsia="Times New Roman" w:hint="default"/>
                <w:sz w:val="15"/>
                <w:szCs w:val="15"/>
              </w:rPr>
            </w:pPr>
            <w:r>
              <w:rPr>
                <w:rFonts w:ascii="Times New Roman"/>
                <w:spacing w:val="-1"/>
                <w:sz w:val="15"/>
              </w:rPr>
              <w:t>2000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19.80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19.80</w:t>
            </w:r>
          </w:p>
        </w:tc>
        <w:tc>
          <w:tcPr>
            <w:tcW w:w="11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
              <w:jc w:val="center"/>
              <w:rPr>
                <w:rFonts w:ascii="Times New Roman" w:hAnsi="Times New Roman" w:cs="Times New Roman" w:eastAsia="Times New Roman" w:hint="default"/>
                <w:sz w:val="15"/>
                <w:szCs w:val="15"/>
              </w:rPr>
            </w:pPr>
            <w:r>
              <w:rPr>
                <w:rFonts w:ascii="Times New Roman"/>
                <w:sz w:val="15"/>
              </w:rPr>
              <w:t>22056854</w:t>
            </w:r>
            <w:r>
              <w:rPr>
                <w:rFonts w:ascii="Times New Roman"/>
                <w:sz w:val="18"/>
              </w:rPr>
              <w:t>-</w:t>
            </w:r>
            <w:r>
              <w:rPr>
                <w:rFonts w:ascii="Times New Roman"/>
                <w:sz w:val="15"/>
              </w:rPr>
              <w:t>6</w:t>
            </w:r>
          </w:p>
        </w:tc>
      </w:tr>
      <w:tr>
        <w:trPr>
          <w:trHeight w:val="511" w:hRule="exact"/>
        </w:trPr>
        <w:tc>
          <w:tcPr>
            <w:tcW w:w="265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深圳市东鸿信投资发展有限公司</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第二大股东</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1"/>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颜金辉</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297" w:right="0"/>
              <w:jc w:val="left"/>
              <w:rPr>
                <w:rFonts w:ascii="宋体" w:hAnsi="宋体" w:cs="宋体" w:eastAsia="宋体" w:hint="default"/>
                <w:sz w:val="15"/>
                <w:szCs w:val="15"/>
              </w:rPr>
            </w:pPr>
            <w:r>
              <w:rPr>
                <w:rFonts w:ascii="宋体" w:hAnsi="宋体" w:cs="宋体" w:eastAsia="宋体" w:hint="default"/>
                <w:sz w:val="15"/>
                <w:szCs w:val="15"/>
              </w:rPr>
              <w:t>投资兴办实业</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78"/>
              <w:jc w:val="right"/>
              <w:rPr>
                <w:rFonts w:ascii="Times New Roman" w:hAnsi="Times New Roman" w:cs="Times New Roman" w:eastAsia="Times New Roman" w:hint="default"/>
                <w:sz w:val="15"/>
                <w:szCs w:val="15"/>
              </w:rPr>
            </w:pPr>
            <w:r>
              <w:rPr>
                <w:rFonts w:ascii="Times New Roman"/>
                <w:spacing w:val="-1"/>
                <w:sz w:val="15"/>
              </w:rPr>
              <w:t>1000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16.81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16.81</w:t>
            </w:r>
          </w:p>
        </w:tc>
        <w:tc>
          <w:tcPr>
            <w:tcW w:w="11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
              <w:jc w:val="center"/>
              <w:rPr>
                <w:rFonts w:ascii="Times New Roman" w:hAnsi="Times New Roman" w:cs="Times New Roman" w:eastAsia="Times New Roman" w:hint="default"/>
                <w:sz w:val="15"/>
                <w:szCs w:val="15"/>
              </w:rPr>
            </w:pPr>
            <w:r>
              <w:rPr>
                <w:rFonts w:ascii="Times New Roman"/>
                <w:sz w:val="15"/>
              </w:rPr>
              <w:t>71522062-1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8"/>
        <w:ind w:left="230" w:right="0"/>
        <w:jc w:val="left"/>
      </w:pPr>
      <w:r>
        <w:rPr>
          <w:rFonts w:ascii="Times New Roman" w:hAnsi="Times New Roman" w:cs="Times New Roman" w:eastAsia="Times New Roman" w:hint="default"/>
          <w:b/>
          <w:bCs/>
        </w:rPr>
        <w:t>2</w:t>
      </w:r>
      <w:r>
        <w:rPr/>
        <w:t>、本企业的子公司情况</w:t>
      </w:r>
    </w:p>
    <w:p>
      <w:pPr>
        <w:spacing w:line="240" w:lineRule="auto" w:before="4"/>
        <w:rPr>
          <w:rFonts w:ascii="宋体" w:hAnsi="宋体" w:cs="宋体" w:eastAsia="宋体" w:hint="default"/>
          <w:sz w:val="13"/>
          <w:szCs w:val="13"/>
        </w:rPr>
      </w:pPr>
    </w:p>
    <w:p>
      <w:pPr>
        <w:pStyle w:val="BodyText"/>
        <w:tabs>
          <w:tab w:pos="1259" w:val="left" w:leader="none"/>
        </w:tabs>
        <w:spacing w:line="240" w:lineRule="auto" w:before="35"/>
        <w:ind w:left="0" w:right="218"/>
        <w:jc w:val="right"/>
      </w:pPr>
      <w:r>
        <w:rPr/>
        <w:t>单位：万元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54"/>
        <w:gridCol w:w="1188"/>
        <w:gridCol w:w="1322"/>
        <w:gridCol w:w="834"/>
        <w:gridCol w:w="971"/>
        <w:gridCol w:w="1984"/>
        <w:gridCol w:w="1135"/>
        <w:gridCol w:w="966"/>
        <w:gridCol w:w="1160"/>
        <w:gridCol w:w="1415"/>
      </w:tblGrid>
      <w:tr>
        <w:trPr>
          <w:trHeight w:val="690"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93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sz w:val="18"/>
                <w:szCs w:val="18"/>
              </w:rPr>
              <w:t>业务性质及经营范围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22"/>
              <w:ind w:right="0"/>
              <w:jc w:val="center"/>
              <w:rPr>
                <w:rFonts w:ascii="Times New Roman" w:hAnsi="Times New Roman" w:cs="Times New Roman" w:eastAsia="Times New Roman" w:hint="default"/>
                <w:sz w:val="18"/>
                <w:szCs w:val="18"/>
              </w:rPr>
            </w:pPr>
            <w:r>
              <w:rPr>
                <w:rFonts w:ascii="Times New Roman"/>
                <w:sz w:val="18"/>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22"/>
              <w:ind w:right="0"/>
              <w:jc w:val="center"/>
              <w:rPr>
                <w:rFonts w:ascii="Times New Roman" w:hAnsi="Times New Roman" w:cs="Times New Roman" w:eastAsia="Times New Roman" w:hint="default"/>
                <w:sz w:val="18"/>
                <w:szCs w:val="18"/>
              </w:rPr>
            </w:pPr>
            <w:r>
              <w:rPr>
                <w:rFonts w:ascii="Times New Roman"/>
                <w:sz w:val="18"/>
              </w:rPr>
              <w:t>(%)</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510"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深圳市迅达汽车运输企业公司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高文清</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小汽车出租、运输</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w w:val="95"/>
                <w:sz w:val="18"/>
              </w:rPr>
              <w:t>1280</w:t>
            </w:r>
            <w:r>
              <w:rPr>
                <w:rFonts w:ascii="Times New Roman"/>
                <w:w w:val="95"/>
                <w:sz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19217424-X</w:t>
            </w:r>
          </w:p>
        </w:tc>
      </w:tr>
      <w:tr>
        <w:trPr>
          <w:trHeight w:val="510"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西安鸿基运输有限公司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刘衡楚</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小汽车出租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80</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750230710-0</w:t>
            </w:r>
          </w:p>
        </w:tc>
      </w:tr>
      <w:tr>
        <w:trPr>
          <w:trHeight w:val="510"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深圳市鸿基酒店管理有限公司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颜金辉</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酒店管理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72472327-1</w:t>
            </w:r>
          </w:p>
        </w:tc>
      </w:tr>
      <w:tr>
        <w:trPr>
          <w:trHeight w:val="510"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深圳市深运工贸企业有限公司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颜金辉</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贸易、旅店</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95</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95</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19217239-1</w:t>
            </w:r>
          </w:p>
        </w:tc>
      </w:tr>
      <w:tr>
        <w:trPr>
          <w:trHeight w:val="510"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西安海都饭店有限公司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关振芳</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饮食、酒水等</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99</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99</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75782120-6</w:t>
            </w:r>
          </w:p>
        </w:tc>
      </w:tr>
      <w:tr>
        <w:trPr>
          <w:trHeight w:val="510"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深圳市鸿基房地产有限公司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罗伟光</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90</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19245882-4</w:t>
            </w:r>
          </w:p>
        </w:tc>
      </w:tr>
      <w:tr>
        <w:trPr>
          <w:trHeight w:val="484"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深圳市凯方实业发展有限公司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邱瑞亨</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物资供销、兴办实业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70</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19238441-5</w:t>
            </w:r>
          </w:p>
        </w:tc>
      </w:tr>
    </w:tbl>
    <w:p>
      <w:pPr>
        <w:spacing w:after="0" w:line="240" w:lineRule="auto"/>
        <w:jc w:val="center"/>
        <w:rPr>
          <w:rFonts w:ascii="Times New Roman" w:hAnsi="Times New Roman" w:cs="Times New Roman" w:eastAsia="Times New Roman" w:hint="default"/>
          <w:sz w:val="18"/>
          <w:szCs w:val="18"/>
        </w:rPr>
        <w:sectPr>
          <w:footerReference w:type="default" r:id="rId19"/>
          <w:pgSz w:w="16840" w:h="11900" w:orient="landscape"/>
          <w:pgMar w:footer="954" w:header="0" w:top="1100" w:bottom="1140" w:left="1640" w:right="1200"/>
          <w:pgNumType w:start="69"/>
        </w:sectPr>
      </w:pPr>
    </w:p>
    <w:p>
      <w:pPr>
        <w:spacing w:line="240" w:lineRule="auto" w:before="5"/>
        <w:rPr>
          <w:rFonts w:ascii="Times New Roman" w:hAnsi="Times New Roman" w:cs="Times New Roman" w:eastAsia="Times New Roman"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2754"/>
        <w:gridCol w:w="1188"/>
        <w:gridCol w:w="1322"/>
        <w:gridCol w:w="834"/>
        <w:gridCol w:w="971"/>
        <w:gridCol w:w="1984"/>
        <w:gridCol w:w="1135"/>
        <w:gridCol w:w="966"/>
        <w:gridCol w:w="1160"/>
        <w:gridCol w:w="1415"/>
      </w:tblGrid>
      <w:tr>
        <w:trPr>
          <w:trHeight w:val="690"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93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76" w:right="0"/>
              <w:jc w:val="left"/>
              <w:rPr>
                <w:rFonts w:ascii="宋体" w:hAnsi="宋体" w:cs="宋体" w:eastAsia="宋体" w:hint="default"/>
                <w:sz w:val="18"/>
                <w:szCs w:val="18"/>
              </w:rPr>
            </w:pPr>
            <w:r>
              <w:rPr>
                <w:rFonts w:ascii="宋体" w:hAnsi="宋体" w:cs="宋体" w:eastAsia="宋体" w:hint="default"/>
                <w:sz w:val="18"/>
                <w:szCs w:val="18"/>
              </w:rPr>
              <w:t>业务性质及经营范围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0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4"/>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84"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深圳市凯方房地产开发有限公司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关振芳</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4"/>
                <w:sz w:val="18"/>
                <w:szCs w:val="18"/>
              </w:rPr>
              <w:t>房地产开发、物业管理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95</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95</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72854727-9</w:t>
            </w:r>
          </w:p>
        </w:tc>
      </w:tr>
      <w:tr>
        <w:trPr>
          <w:trHeight w:val="510"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深圳市鸿基物业管理有限公司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关汉雄</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80</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27933402-3</w:t>
            </w:r>
          </w:p>
        </w:tc>
      </w:tr>
      <w:tr>
        <w:trPr>
          <w:trHeight w:val="718"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22" w:right="101"/>
              <w:jc w:val="left"/>
              <w:rPr>
                <w:rFonts w:ascii="宋体" w:hAnsi="宋体" w:cs="宋体" w:eastAsia="宋体" w:hint="default"/>
                <w:sz w:val="18"/>
                <w:szCs w:val="18"/>
              </w:rPr>
            </w:pPr>
            <w:r>
              <w:rPr>
                <w:rFonts w:ascii="宋体" w:hAnsi="宋体" w:cs="宋体" w:eastAsia="宋体" w:hint="default"/>
                <w:sz w:val="18"/>
                <w:szCs w:val="18"/>
              </w:rPr>
              <w:t>深圳市龙岗鸿基房地产开发有限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
              <w:jc w:val="center"/>
              <w:rPr>
                <w:rFonts w:ascii="宋体" w:hAnsi="宋体" w:cs="宋体" w:eastAsia="宋体" w:hint="default"/>
                <w:sz w:val="18"/>
                <w:szCs w:val="18"/>
              </w:rPr>
            </w:pPr>
            <w:r>
              <w:rPr>
                <w:rFonts w:ascii="宋体" w:hAnsi="宋体" w:cs="宋体" w:eastAsia="宋体" w:hint="default"/>
                <w:sz w:val="18"/>
                <w:szCs w:val="18"/>
              </w:rPr>
              <w:t>周非</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9"/>
              <w:jc w:val="right"/>
              <w:rPr>
                <w:rFonts w:ascii="Times New Roman" w:hAnsi="Times New Roman" w:cs="Times New Roman" w:eastAsia="Times New Roman" w:hint="default"/>
                <w:sz w:val="18"/>
                <w:szCs w:val="18"/>
              </w:rPr>
            </w:pPr>
            <w:r>
              <w:rPr>
                <w:rFonts w:ascii="Times New Roman"/>
                <w:sz w:val="18"/>
              </w:rPr>
              <w:t>3168</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94.9905</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0"/>
              <w:jc w:val="center"/>
              <w:rPr>
                <w:rFonts w:ascii="Times New Roman" w:hAnsi="Times New Roman" w:cs="Times New Roman" w:eastAsia="Times New Roman" w:hint="default"/>
                <w:sz w:val="18"/>
                <w:szCs w:val="18"/>
              </w:rPr>
            </w:pPr>
            <w:r>
              <w:rPr>
                <w:rFonts w:ascii="Times New Roman"/>
                <w:sz w:val="18"/>
              </w:rPr>
              <w:t>94.9905</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3"/>
              <w:jc w:val="center"/>
              <w:rPr>
                <w:rFonts w:ascii="Times New Roman" w:hAnsi="Times New Roman" w:cs="Times New Roman" w:eastAsia="Times New Roman" w:hint="default"/>
                <w:sz w:val="18"/>
                <w:szCs w:val="18"/>
              </w:rPr>
            </w:pPr>
            <w:r>
              <w:rPr>
                <w:rFonts w:ascii="Times New Roman"/>
                <w:sz w:val="18"/>
              </w:rPr>
              <w:t>27952356-1</w:t>
            </w:r>
          </w:p>
        </w:tc>
      </w:tr>
      <w:tr>
        <w:trPr>
          <w:trHeight w:val="510"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深圳市龙岗鸿基发展有限公司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关汉雄</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物业出租及管理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870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94.97</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94.97</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19247875-3</w:t>
            </w:r>
          </w:p>
        </w:tc>
      </w:tr>
      <w:tr>
        <w:trPr>
          <w:trHeight w:val="716"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32" w:lineRule="exact"/>
              <w:ind w:left="122" w:right="101"/>
              <w:jc w:val="left"/>
              <w:rPr>
                <w:rFonts w:ascii="宋体" w:hAnsi="宋体" w:cs="宋体" w:eastAsia="宋体" w:hint="default"/>
                <w:sz w:val="18"/>
                <w:szCs w:val="18"/>
              </w:rPr>
            </w:pPr>
            <w:r>
              <w:rPr>
                <w:rFonts w:ascii="宋体" w:hAnsi="宋体" w:cs="宋体" w:eastAsia="宋体" w:hint="default"/>
                <w:sz w:val="18"/>
                <w:szCs w:val="18"/>
              </w:rPr>
              <w:t>深圳市鸿基装饰设计工程有限公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
              <w:jc w:val="center"/>
              <w:rPr>
                <w:rFonts w:ascii="宋体" w:hAnsi="宋体" w:cs="宋体" w:eastAsia="宋体" w:hint="default"/>
                <w:sz w:val="18"/>
                <w:szCs w:val="18"/>
              </w:rPr>
            </w:pPr>
            <w:r>
              <w:rPr>
                <w:rFonts w:ascii="宋体" w:hAnsi="宋体" w:cs="宋体" w:eastAsia="宋体" w:hint="default"/>
                <w:sz w:val="18"/>
                <w:szCs w:val="18"/>
              </w:rPr>
              <w:t>陈坤江</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装饰设计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0"/>
              <w:jc w:val="right"/>
              <w:rPr>
                <w:rFonts w:ascii="Times New Roman" w:hAnsi="Times New Roman" w:cs="Times New Roman" w:eastAsia="Times New Roman" w:hint="default"/>
                <w:sz w:val="18"/>
                <w:szCs w:val="18"/>
              </w:rPr>
            </w:pPr>
            <w:r>
              <w:rPr>
                <w:rFonts w:ascii="Times New Roman"/>
                <w:sz w:val="18"/>
              </w:rPr>
              <w:t>600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70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70</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
              <w:jc w:val="center"/>
              <w:rPr>
                <w:rFonts w:ascii="Times New Roman" w:hAnsi="Times New Roman" w:cs="Times New Roman" w:eastAsia="Times New Roman" w:hint="default"/>
                <w:sz w:val="18"/>
                <w:szCs w:val="18"/>
              </w:rPr>
            </w:pPr>
            <w:r>
              <w:rPr>
                <w:rFonts w:ascii="Times New Roman"/>
                <w:sz w:val="18"/>
              </w:rPr>
              <w:t>19230483-3</w:t>
            </w:r>
          </w:p>
        </w:tc>
      </w:tr>
      <w:tr>
        <w:trPr>
          <w:trHeight w:val="510"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西安新鸿业投资发展有限公司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关振芳</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房地产投资</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66.5</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66.5</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75020781-X</w:t>
            </w:r>
          </w:p>
        </w:tc>
      </w:tr>
      <w:tr>
        <w:trPr>
          <w:trHeight w:val="510"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西安深鸿基房地产开发有限公司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邱圣凯</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房地产开发销售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60</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7502164-1</w:t>
            </w:r>
          </w:p>
        </w:tc>
      </w:tr>
      <w:tr>
        <w:trPr>
          <w:trHeight w:val="510"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深圳市鸿基物流有限公司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颜金辉</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物流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11250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73881286-5</w:t>
            </w:r>
          </w:p>
        </w:tc>
      </w:tr>
      <w:tr>
        <w:trPr>
          <w:trHeight w:val="510"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深圳市鸿基集装箱运输有限公司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郭磊</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集装箱运输</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90</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19220419-7</w:t>
            </w:r>
          </w:p>
        </w:tc>
      </w:tr>
      <w:tr>
        <w:trPr>
          <w:trHeight w:val="510"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深圳市鸿基外贸报关有限公司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吴耀锡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外贸报关</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80</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192352114</w:t>
            </w:r>
          </w:p>
        </w:tc>
      </w:tr>
      <w:tr>
        <w:trPr>
          <w:trHeight w:val="716"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22" w:right="101"/>
              <w:jc w:val="left"/>
              <w:rPr>
                <w:rFonts w:ascii="宋体" w:hAnsi="宋体" w:cs="宋体" w:eastAsia="宋体" w:hint="default"/>
                <w:sz w:val="18"/>
                <w:szCs w:val="18"/>
              </w:rPr>
            </w:pPr>
            <w:r>
              <w:rPr>
                <w:rFonts w:ascii="宋体" w:hAnsi="宋体" w:cs="宋体" w:eastAsia="宋体" w:hint="default"/>
                <w:sz w:val="18"/>
                <w:szCs w:val="18"/>
              </w:rPr>
              <w:t>深圳市鸿永通国际货运代理有限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
              <w:jc w:val="center"/>
              <w:rPr>
                <w:rFonts w:ascii="宋体" w:hAnsi="宋体" w:cs="宋体" w:eastAsia="宋体" w:hint="default"/>
                <w:sz w:val="18"/>
                <w:szCs w:val="18"/>
              </w:rPr>
            </w:pPr>
            <w:r>
              <w:rPr>
                <w:rFonts w:ascii="宋体" w:hAnsi="宋体" w:cs="宋体" w:eastAsia="宋体" w:hint="default"/>
                <w:sz w:val="18"/>
                <w:szCs w:val="18"/>
              </w:rPr>
              <w:t>汪智</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货运代理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0"/>
              <w:jc w:val="right"/>
              <w:rPr>
                <w:rFonts w:ascii="Times New Roman" w:hAnsi="Times New Roman" w:cs="Times New Roman" w:eastAsia="Times New Roman" w:hint="default"/>
                <w:sz w:val="18"/>
                <w:szCs w:val="18"/>
              </w:rPr>
            </w:pPr>
            <w:r>
              <w:rPr>
                <w:rFonts w:ascii="Times New Roman"/>
                <w:sz w:val="18"/>
              </w:rPr>
              <w:t>500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90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90</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
              <w:jc w:val="center"/>
              <w:rPr>
                <w:rFonts w:ascii="Times New Roman" w:hAnsi="Times New Roman" w:cs="Times New Roman" w:eastAsia="Times New Roman" w:hint="default"/>
                <w:sz w:val="18"/>
                <w:szCs w:val="18"/>
              </w:rPr>
            </w:pPr>
            <w:r>
              <w:rPr>
                <w:rFonts w:ascii="Times New Roman"/>
                <w:sz w:val="18"/>
              </w:rPr>
              <w:t>73628923-0</w:t>
            </w:r>
          </w:p>
        </w:tc>
      </w:tr>
      <w:tr>
        <w:trPr>
          <w:trHeight w:val="718"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22" w:right="101"/>
              <w:jc w:val="left"/>
              <w:rPr>
                <w:rFonts w:ascii="宋体" w:hAnsi="宋体" w:cs="宋体" w:eastAsia="宋体" w:hint="default"/>
                <w:sz w:val="18"/>
                <w:szCs w:val="18"/>
              </w:rPr>
            </w:pPr>
            <w:r>
              <w:rPr>
                <w:rFonts w:ascii="宋体" w:hAnsi="宋体" w:cs="宋体" w:eastAsia="宋体" w:hint="default"/>
                <w:sz w:val="18"/>
                <w:szCs w:val="18"/>
              </w:rPr>
              <w:t>深圳市金鸿基集装箱堆场有限公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
              <w:jc w:val="center"/>
              <w:rPr>
                <w:rFonts w:ascii="宋体" w:hAnsi="宋体" w:cs="宋体" w:eastAsia="宋体" w:hint="default"/>
                <w:sz w:val="18"/>
                <w:szCs w:val="18"/>
              </w:rPr>
            </w:pPr>
            <w:r>
              <w:rPr>
                <w:rFonts w:ascii="宋体" w:hAnsi="宋体" w:cs="宋体" w:eastAsia="宋体" w:hint="default"/>
                <w:sz w:val="18"/>
                <w:szCs w:val="18"/>
              </w:rPr>
              <w:t>邱圣凯</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堆场装卸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0"/>
              <w:jc w:val="right"/>
              <w:rPr>
                <w:rFonts w:ascii="Times New Roman" w:hAnsi="Times New Roman" w:cs="Times New Roman" w:eastAsia="Times New Roman" w:hint="default"/>
                <w:sz w:val="18"/>
                <w:szCs w:val="18"/>
              </w:rPr>
            </w:pPr>
            <w:r>
              <w:rPr>
                <w:rFonts w:ascii="Times New Roman"/>
                <w:sz w:val="18"/>
              </w:rPr>
              <w:t>400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72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72</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
              <w:jc w:val="center"/>
              <w:rPr>
                <w:rFonts w:ascii="Times New Roman" w:hAnsi="Times New Roman" w:cs="Times New Roman" w:eastAsia="Times New Roman" w:hint="default"/>
                <w:sz w:val="18"/>
                <w:szCs w:val="18"/>
              </w:rPr>
            </w:pPr>
            <w:r>
              <w:rPr>
                <w:rFonts w:ascii="Times New Roman"/>
                <w:sz w:val="18"/>
              </w:rPr>
              <w:t>72985434-2</w:t>
            </w:r>
          </w:p>
        </w:tc>
      </w:tr>
      <w:tr>
        <w:trPr>
          <w:trHeight w:val="510"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深圳市裕泰监管仓有限公司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吴耀锡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出口监管仓业务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70</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750496957</w:t>
            </w:r>
          </w:p>
        </w:tc>
      </w:tr>
      <w:tr>
        <w:trPr>
          <w:trHeight w:val="510"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深圳市鸿基锦源运输有限公司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谢利君</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装卸运输</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80</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19234094-9</w:t>
            </w:r>
          </w:p>
        </w:tc>
      </w:tr>
      <w:tr>
        <w:trPr>
          <w:trHeight w:val="510"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深圳市鸿基华辉运输有限公司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谢利君</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装卸运输</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80</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192340922</w:t>
            </w:r>
          </w:p>
        </w:tc>
      </w:tr>
    </w:tbl>
    <w:p>
      <w:pPr>
        <w:spacing w:after="0" w:line="240" w:lineRule="auto"/>
        <w:jc w:val="center"/>
        <w:rPr>
          <w:rFonts w:ascii="Times New Roman" w:hAnsi="Times New Roman" w:cs="Times New Roman" w:eastAsia="Times New Roman" w:hint="default"/>
          <w:sz w:val="18"/>
          <w:szCs w:val="18"/>
        </w:rPr>
        <w:sectPr>
          <w:pgSz w:w="16840" w:h="11900" w:orient="landscape"/>
          <w:pgMar w:header="0" w:footer="954" w:top="1060" w:bottom="1140" w:left="1640" w:right="1240"/>
        </w:sectPr>
      </w:pPr>
    </w:p>
    <w:p>
      <w:pPr>
        <w:spacing w:line="240" w:lineRule="auto" w:before="5"/>
        <w:rPr>
          <w:rFonts w:ascii="Times New Roman" w:hAnsi="Times New Roman" w:cs="Times New Roman" w:eastAsia="Times New Roman" w:hint="default"/>
          <w:sz w:val="6"/>
          <w:szCs w:val="6"/>
        </w:rPr>
      </w:pPr>
    </w:p>
    <w:tbl>
      <w:tblPr>
        <w:tblW w:w="0" w:type="auto"/>
        <w:jc w:val="left"/>
        <w:tblInd w:w="143" w:type="dxa"/>
        <w:tblLayout w:type="fixed"/>
        <w:tblCellMar>
          <w:top w:w="0" w:type="dxa"/>
          <w:left w:w="0" w:type="dxa"/>
          <w:bottom w:w="0" w:type="dxa"/>
          <w:right w:w="0" w:type="dxa"/>
        </w:tblCellMar>
        <w:tblLook w:val="01E0"/>
      </w:tblPr>
      <w:tblGrid>
        <w:gridCol w:w="2754"/>
        <w:gridCol w:w="1188"/>
        <w:gridCol w:w="1322"/>
        <w:gridCol w:w="834"/>
        <w:gridCol w:w="971"/>
        <w:gridCol w:w="1984"/>
        <w:gridCol w:w="1135"/>
        <w:gridCol w:w="966"/>
        <w:gridCol w:w="1160"/>
        <w:gridCol w:w="1415"/>
      </w:tblGrid>
      <w:tr>
        <w:trPr>
          <w:trHeight w:val="690"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93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76" w:right="0"/>
              <w:jc w:val="left"/>
              <w:rPr>
                <w:rFonts w:ascii="宋体" w:hAnsi="宋体" w:cs="宋体" w:eastAsia="宋体" w:hint="default"/>
                <w:sz w:val="18"/>
                <w:szCs w:val="18"/>
              </w:rPr>
            </w:pPr>
            <w:r>
              <w:rPr>
                <w:rFonts w:ascii="宋体" w:hAnsi="宋体" w:cs="宋体" w:eastAsia="宋体" w:hint="default"/>
                <w:sz w:val="18"/>
                <w:szCs w:val="18"/>
              </w:rPr>
              <w:t>业务性质及经营范围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0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4"/>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510"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深圳市鸿基皇辉运输有限公司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邹贵能</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装卸运输</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80</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19234097-3</w:t>
            </w:r>
          </w:p>
        </w:tc>
      </w:tr>
      <w:tr>
        <w:trPr>
          <w:trHeight w:val="718"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香港鸿业发展有限公司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
              <w:jc w:val="center"/>
              <w:rPr>
                <w:rFonts w:ascii="宋体" w:hAnsi="宋体" w:cs="宋体" w:eastAsia="宋体" w:hint="default"/>
                <w:sz w:val="18"/>
                <w:szCs w:val="18"/>
              </w:rPr>
            </w:pPr>
            <w:r>
              <w:rPr>
                <w:rFonts w:ascii="宋体" w:hAnsi="宋体" w:cs="宋体" w:eastAsia="宋体" w:hint="default"/>
                <w:sz w:val="18"/>
                <w:szCs w:val="18"/>
              </w:rPr>
              <w:t>香港</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
              <w:jc w:val="center"/>
              <w:rPr>
                <w:rFonts w:ascii="宋体" w:hAnsi="宋体" w:cs="宋体" w:eastAsia="宋体" w:hint="default"/>
                <w:sz w:val="18"/>
                <w:szCs w:val="18"/>
              </w:rPr>
            </w:pPr>
            <w:r>
              <w:rPr>
                <w:rFonts w:ascii="宋体" w:hAnsi="宋体" w:cs="宋体" w:eastAsia="宋体" w:hint="default"/>
                <w:sz w:val="18"/>
                <w:szCs w:val="18"/>
              </w:rPr>
              <w:t>邱圣凯</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运输、贸易</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1"/>
              <w:jc w:val="right"/>
              <w:rPr>
                <w:rFonts w:ascii="Times New Roman" w:hAnsi="Times New Roman" w:cs="Times New Roman" w:eastAsia="Times New Roman" w:hint="default"/>
                <w:sz w:val="18"/>
                <w:szCs w:val="18"/>
              </w:rPr>
            </w:pPr>
            <w:r>
              <w:rPr>
                <w:rFonts w:ascii="宋体" w:hAnsi="宋体" w:cs="宋体" w:eastAsia="宋体" w:hint="default"/>
                <w:sz w:val="18"/>
                <w:szCs w:val="18"/>
              </w:rPr>
              <w:t>港币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95</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95</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34" w:lineRule="exact"/>
              <w:ind w:left="252" w:right="107" w:hanging="149"/>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601558</w:t>
            </w:r>
            <w:r>
              <w:rPr>
                <w:rFonts w:ascii="宋体" w:hAnsi="宋体" w:cs="宋体" w:eastAsia="宋体" w:hint="default"/>
                <w:spacing w:val="-7"/>
                <w:sz w:val="18"/>
                <w:szCs w:val="18"/>
              </w:rPr>
              <w:t>（香港公</w:t>
            </w:r>
            <w:r>
              <w:rPr>
                <w:rFonts w:ascii="宋体" w:hAnsi="宋体" w:cs="宋体" w:eastAsia="宋体" w:hint="default"/>
                <w:spacing w:val="-82"/>
                <w:sz w:val="18"/>
                <w:szCs w:val="18"/>
              </w:rPr>
              <w:t> </w:t>
            </w:r>
            <w:r>
              <w:rPr>
                <w:rFonts w:ascii="宋体" w:hAnsi="宋体" w:cs="宋体" w:eastAsia="宋体" w:hint="default"/>
                <w:sz w:val="18"/>
                <w:szCs w:val="18"/>
              </w:rPr>
              <w:t>司注册号）</w:t>
            </w:r>
          </w:p>
        </w:tc>
      </w:tr>
      <w:tr>
        <w:trPr>
          <w:trHeight w:val="510"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福建升通网络传媒有限公司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福州</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邱瑞亨</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增值电信服务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76617330-0</w:t>
            </w:r>
          </w:p>
        </w:tc>
      </w:tr>
      <w:tr>
        <w:trPr>
          <w:trHeight w:val="510"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西安鸿腾生物科技有限责任公司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生物制药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70</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19222892-2</w:t>
            </w:r>
          </w:p>
        </w:tc>
      </w:tr>
      <w:tr>
        <w:trPr>
          <w:trHeight w:val="510"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深圳鸿南建筑机械工程有限公司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郑建安</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机械生产销售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90</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深运工贸翠苑旅店</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分支机构</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冯燕丽</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旅店、服务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2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深圳市鸿基广源贸易有限公司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吕晓艳</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进出口及代理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80</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27926017-5</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pStyle w:val="BodyText"/>
        <w:spacing w:line="240" w:lineRule="auto"/>
        <w:ind w:left="270" w:right="0"/>
        <w:jc w:val="left"/>
      </w:pPr>
      <w:r>
        <w:rPr>
          <w:rFonts w:ascii="Times New Roman" w:hAnsi="Times New Roman" w:cs="Times New Roman" w:eastAsia="Times New Roman" w:hint="default"/>
          <w:b/>
          <w:bCs/>
        </w:rPr>
        <w:t>3</w:t>
      </w:r>
      <w:r>
        <w:rPr/>
        <w:t>、联营企业情况</w:t>
      </w:r>
    </w:p>
    <w:p>
      <w:pPr>
        <w:spacing w:line="240" w:lineRule="auto" w:before="4"/>
        <w:rPr>
          <w:rFonts w:ascii="宋体" w:hAnsi="宋体" w:cs="宋体" w:eastAsia="宋体" w:hint="default"/>
          <w:sz w:val="13"/>
          <w:szCs w:val="13"/>
        </w:rPr>
      </w:pPr>
    </w:p>
    <w:p>
      <w:pPr>
        <w:pStyle w:val="BodyText"/>
        <w:spacing w:line="240" w:lineRule="auto" w:before="35"/>
        <w:ind w:left="0" w:right="38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420"/>
        <w:gridCol w:w="884"/>
        <w:gridCol w:w="668"/>
        <w:gridCol w:w="788"/>
        <w:gridCol w:w="557"/>
        <w:gridCol w:w="746"/>
        <w:gridCol w:w="976"/>
        <w:gridCol w:w="1423"/>
        <w:gridCol w:w="956"/>
        <w:gridCol w:w="1060"/>
        <w:gridCol w:w="846"/>
        <w:gridCol w:w="942"/>
        <w:gridCol w:w="805"/>
        <w:gridCol w:w="658"/>
        <w:gridCol w:w="974"/>
      </w:tblGrid>
      <w:tr>
        <w:trPr>
          <w:trHeight w:val="518" w:hRule="exact"/>
        </w:trPr>
        <w:tc>
          <w:tcPr>
            <w:tcW w:w="14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sz w:val="15"/>
                <w:szCs w:val="15"/>
              </w:rPr>
              <w:t>被投资单位名称</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企业类型</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注册地</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法人代表</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97" w:right="47" w:hanging="150"/>
              <w:jc w:val="left"/>
              <w:rPr>
                <w:rFonts w:ascii="宋体" w:hAnsi="宋体" w:cs="宋体" w:eastAsia="宋体" w:hint="default"/>
                <w:sz w:val="15"/>
                <w:szCs w:val="15"/>
              </w:rPr>
            </w:pPr>
            <w:r>
              <w:rPr>
                <w:rFonts w:ascii="宋体" w:hAnsi="宋体" w:cs="宋体" w:eastAsia="宋体" w:hint="default"/>
                <w:sz w:val="15"/>
                <w:szCs w:val="15"/>
              </w:rPr>
              <w:t>业务性 质</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95"/>
              <w:ind w:left="68" w:right="0"/>
              <w:jc w:val="left"/>
              <w:rPr>
                <w:rFonts w:ascii="宋体" w:hAnsi="宋体" w:cs="宋体" w:eastAsia="宋体" w:hint="default"/>
                <w:sz w:val="15"/>
                <w:szCs w:val="15"/>
              </w:rPr>
            </w:pPr>
            <w:r>
              <w:rPr>
                <w:rFonts w:ascii="宋体" w:hAnsi="宋体" w:cs="宋体" w:eastAsia="宋体" w:hint="default"/>
                <w:sz w:val="15"/>
                <w:szCs w:val="15"/>
              </w:rPr>
              <w:t>注册资本</w:t>
            </w:r>
          </w:p>
          <w:p>
            <w:pPr>
              <w:pStyle w:val="TableParagraph"/>
              <w:spacing w:line="195" w:lineRule="exact"/>
              <w:ind w:left="68"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93" w:right="31" w:hanging="262"/>
              <w:jc w:val="left"/>
              <w:rPr>
                <w:rFonts w:ascii="Times New Roman" w:hAnsi="Times New Roman" w:cs="Times New Roman" w:eastAsia="Times New Roman" w:hint="default"/>
                <w:sz w:val="15"/>
                <w:szCs w:val="15"/>
              </w:rPr>
            </w:pPr>
            <w:r>
              <w:rPr>
                <w:rFonts w:ascii="宋体" w:hAnsi="宋体" w:cs="宋体" w:eastAsia="宋体" w:hint="default"/>
                <w:sz w:val="15"/>
                <w:szCs w:val="15"/>
              </w:rPr>
              <w:t>本企业持股比 例</w:t>
            </w:r>
            <w:r>
              <w:rPr>
                <w:rFonts w:ascii="Times New Roman" w:hAnsi="Times New Roman" w:cs="Times New Roman" w:eastAsia="Times New Roman" w:hint="default"/>
                <w:sz w:val="15"/>
                <w:szCs w:val="15"/>
              </w:rPr>
              <w:t>(%)</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18" w:right="30" w:hanging="188"/>
              <w:jc w:val="left"/>
              <w:rPr>
                <w:rFonts w:ascii="Times New Roman" w:hAnsi="Times New Roman" w:cs="Times New Roman" w:eastAsia="Times New Roman" w:hint="default"/>
                <w:sz w:val="15"/>
                <w:szCs w:val="15"/>
              </w:rPr>
            </w:pPr>
            <w:r>
              <w:rPr>
                <w:rFonts w:ascii="宋体" w:hAnsi="宋体" w:cs="宋体" w:eastAsia="宋体" w:hint="default"/>
                <w:sz w:val="15"/>
                <w:szCs w:val="15"/>
              </w:rPr>
              <w:t>本企业在被投资单位 表决权比例</w:t>
            </w:r>
            <w:r>
              <w:rPr>
                <w:rFonts w:ascii="Times New Roman" w:hAnsi="Times New Roman" w:cs="Times New Roman" w:eastAsia="Times New Roman" w:hint="default"/>
                <w:sz w:val="15"/>
                <w:szCs w:val="15"/>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15"/>
                <w:szCs w:val="15"/>
              </w:rPr>
            </w:pPr>
            <w:r>
              <w:rPr>
                <w:rFonts w:ascii="宋体" w:hAnsi="宋体" w:cs="宋体" w:eastAsia="宋体" w:hint="default"/>
                <w:sz w:val="15"/>
                <w:szCs w:val="15"/>
              </w:rPr>
              <w:t>期末资产总额</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74" w:right="0"/>
              <w:jc w:val="left"/>
              <w:rPr>
                <w:rFonts w:ascii="宋体" w:hAnsi="宋体" w:cs="宋体" w:eastAsia="宋体" w:hint="default"/>
                <w:sz w:val="15"/>
                <w:szCs w:val="15"/>
              </w:rPr>
            </w:pPr>
            <w:r>
              <w:rPr>
                <w:rFonts w:ascii="宋体" w:hAnsi="宋体" w:cs="宋体" w:eastAsia="宋体" w:hint="default"/>
                <w:sz w:val="15"/>
                <w:szCs w:val="15"/>
              </w:rPr>
              <w:t>期末负债总额</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67" w:right="41" w:hanging="225"/>
              <w:jc w:val="left"/>
              <w:rPr>
                <w:rFonts w:ascii="宋体" w:hAnsi="宋体" w:cs="宋体" w:eastAsia="宋体" w:hint="default"/>
                <w:sz w:val="15"/>
                <w:szCs w:val="15"/>
              </w:rPr>
            </w:pPr>
            <w:r>
              <w:rPr>
                <w:rFonts w:ascii="宋体" w:hAnsi="宋体" w:cs="宋体" w:eastAsia="宋体" w:hint="default"/>
                <w:sz w:val="15"/>
                <w:szCs w:val="15"/>
              </w:rPr>
              <w:t>期末净资产 总额</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15" w:right="14" w:hanging="300"/>
              <w:jc w:val="left"/>
              <w:rPr>
                <w:rFonts w:ascii="宋体" w:hAnsi="宋体" w:cs="宋体" w:eastAsia="宋体" w:hint="default"/>
                <w:sz w:val="15"/>
                <w:szCs w:val="15"/>
              </w:rPr>
            </w:pPr>
            <w:r>
              <w:rPr>
                <w:rFonts w:ascii="宋体" w:hAnsi="宋体" w:cs="宋体" w:eastAsia="宋体" w:hint="default"/>
                <w:sz w:val="15"/>
                <w:szCs w:val="15"/>
              </w:rPr>
              <w:t>本期营业收入 总额</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15"/>
                <w:szCs w:val="15"/>
              </w:rPr>
            </w:pPr>
            <w:r>
              <w:rPr>
                <w:rFonts w:ascii="宋体" w:hAnsi="宋体" w:cs="宋体" w:eastAsia="宋体" w:hint="default"/>
                <w:sz w:val="15"/>
                <w:szCs w:val="15"/>
              </w:rPr>
              <w:t>本期净利润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关联关系</w:t>
            </w:r>
          </w:p>
        </w:tc>
        <w:tc>
          <w:tcPr>
            <w:tcW w:w="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2"/>
              <w:jc w:val="right"/>
              <w:rPr>
                <w:rFonts w:ascii="宋体" w:hAnsi="宋体" w:cs="宋体" w:eastAsia="宋体" w:hint="default"/>
                <w:sz w:val="15"/>
                <w:szCs w:val="15"/>
              </w:rPr>
            </w:pPr>
            <w:r>
              <w:rPr>
                <w:rFonts w:ascii="宋体" w:hAnsi="宋体" w:cs="宋体" w:eastAsia="宋体" w:hint="default"/>
                <w:sz w:val="15"/>
                <w:szCs w:val="15"/>
              </w:rPr>
              <w:t>组织机构代码</w:t>
            </w:r>
          </w:p>
        </w:tc>
      </w:tr>
      <w:tr>
        <w:trPr>
          <w:trHeight w:val="520" w:hRule="exact"/>
        </w:trPr>
        <w:tc>
          <w:tcPr>
            <w:tcW w:w="14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4" w:right="-6"/>
              <w:jc w:val="left"/>
              <w:rPr>
                <w:rFonts w:ascii="宋体" w:hAnsi="宋体" w:cs="宋体" w:eastAsia="宋体" w:hint="default"/>
                <w:sz w:val="15"/>
                <w:szCs w:val="15"/>
              </w:rPr>
            </w:pPr>
            <w:r>
              <w:rPr>
                <w:rFonts w:ascii="宋体" w:hAnsi="宋体" w:cs="宋体" w:eastAsia="宋体" w:hint="default"/>
                <w:spacing w:val="6"/>
                <w:sz w:val="15"/>
                <w:szCs w:val="15"/>
              </w:rPr>
              <w:t>深圳市深威驳运有限 </w:t>
            </w:r>
            <w:r>
              <w:rPr>
                <w:rFonts w:ascii="宋体" w:hAnsi="宋体" w:cs="宋体" w:eastAsia="宋体" w:hint="default"/>
                <w:sz w:val="15"/>
                <w:szCs w:val="15"/>
              </w:rPr>
              <w:t>公司</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参股子公司</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深圳市</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禤宗民</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2"/>
              <w:jc w:val="right"/>
              <w:rPr>
                <w:rFonts w:ascii="宋体" w:hAnsi="宋体" w:cs="宋体" w:eastAsia="宋体" w:hint="default"/>
                <w:sz w:val="15"/>
                <w:szCs w:val="15"/>
              </w:rPr>
            </w:pPr>
            <w:r>
              <w:rPr>
                <w:rFonts w:ascii="宋体" w:hAnsi="宋体" w:cs="宋体" w:eastAsia="宋体" w:hint="default"/>
                <w:sz w:val="15"/>
                <w:szCs w:val="15"/>
              </w:rPr>
              <w:t>联营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1200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45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45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14,814,137.22</w:t>
            </w:r>
            <w:r>
              <w:rPr>
                <w:rFonts w:ascii="Times New Roman"/>
                <w:sz w:val="13"/>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0"/>
              <w:jc w:val="right"/>
              <w:rPr>
                <w:rFonts w:ascii="Times New Roman" w:hAnsi="Times New Roman" w:cs="Times New Roman" w:eastAsia="Times New Roman" w:hint="default"/>
                <w:sz w:val="13"/>
                <w:szCs w:val="13"/>
              </w:rPr>
            </w:pPr>
            <w:r>
              <w:rPr>
                <w:rFonts w:ascii="Times New Roman"/>
                <w:w w:val="95"/>
                <w:sz w:val="13"/>
              </w:rPr>
              <w:t>187,617.03</w:t>
            </w:r>
            <w:r>
              <w:rPr>
                <w:rFonts w:ascii="Times New Roman"/>
                <w:sz w:val="13"/>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14,626,520.19</w:t>
            </w:r>
            <w:r>
              <w:rPr>
                <w:rFonts w:ascii="Times New Roman"/>
                <w:sz w:val="13"/>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2"/>
              <w:jc w:val="right"/>
              <w:rPr>
                <w:rFonts w:ascii="Times New Roman" w:hAnsi="Times New Roman" w:cs="Times New Roman" w:eastAsia="Times New Roman" w:hint="default"/>
                <w:sz w:val="13"/>
                <w:szCs w:val="13"/>
              </w:rPr>
            </w:pPr>
            <w:r>
              <w:rPr>
                <w:rFonts w:ascii="Times New Roman"/>
                <w:spacing w:val="-1"/>
                <w:sz w:val="13"/>
              </w:rPr>
              <w:t>11,017,274.00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41,106.56</w:t>
            </w:r>
            <w:r>
              <w:rPr>
                <w:rFonts w:ascii="Times New Roman"/>
                <w:sz w:val="13"/>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重大影响</w:t>
            </w:r>
          </w:p>
        </w:tc>
        <w:tc>
          <w:tcPr>
            <w:tcW w:w="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46" w:right="0"/>
              <w:jc w:val="left"/>
              <w:rPr>
                <w:rFonts w:ascii="Times New Roman" w:hAnsi="Times New Roman" w:cs="Times New Roman" w:eastAsia="Times New Roman" w:hint="default"/>
                <w:sz w:val="15"/>
                <w:szCs w:val="15"/>
              </w:rPr>
            </w:pPr>
            <w:r>
              <w:rPr>
                <w:rFonts w:ascii="Times New Roman"/>
                <w:sz w:val="15"/>
              </w:rPr>
              <w:t>192187745</w:t>
            </w:r>
          </w:p>
        </w:tc>
      </w:tr>
      <w:tr>
        <w:trPr>
          <w:trHeight w:val="518" w:hRule="exact"/>
        </w:trPr>
        <w:tc>
          <w:tcPr>
            <w:tcW w:w="14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4" w:right="-6"/>
              <w:jc w:val="left"/>
              <w:rPr>
                <w:rFonts w:ascii="宋体" w:hAnsi="宋体" w:cs="宋体" w:eastAsia="宋体" w:hint="default"/>
                <w:sz w:val="15"/>
                <w:szCs w:val="15"/>
              </w:rPr>
            </w:pPr>
            <w:r>
              <w:rPr>
                <w:rFonts w:ascii="宋体" w:hAnsi="宋体" w:cs="宋体" w:eastAsia="宋体" w:hint="default"/>
                <w:spacing w:val="6"/>
                <w:sz w:val="15"/>
                <w:szCs w:val="15"/>
              </w:rPr>
              <w:t>深圳市鸿基雅喆电梯 </w:t>
            </w:r>
            <w:r>
              <w:rPr>
                <w:rFonts w:ascii="宋体" w:hAnsi="宋体" w:cs="宋体" w:eastAsia="宋体" w:hint="default"/>
                <w:sz w:val="15"/>
                <w:szCs w:val="15"/>
              </w:rPr>
              <w:t>有限公司</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参股子公司</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深圳市</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关汉雄</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2"/>
              <w:jc w:val="right"/>
              <w:rPr>
                <w:rFonts w:ascii="宋体" w:hAnsi="宋体" w:cs="宋体" w:eastAsia="宋体" w:hint="default"/>
                <w:sz w:val="15"/>
                <w:szCs w:val="15"/>
              </w:rPr>
            </w:pPr>
            <w:r>
              <w:rPr>
                <w:rFonts w:ascii="宋体" w:hAnsi="宋体" w:cs="宋体" w:eastAsia="宋体" w:hint="default"/>
                <w:sz w:val="15"/>
                <w:szCs w:val="15"/>
              </w:rPr>
              <w:t>联营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150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40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40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1,935,839.78</w:t>
            </w:r>
            <w:r>
              <w:rPr>
                <w:rFonts w:ascii="Times New Roman"/>
                <w:sz w:val="13"/>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0"/>
              <w:jc w:val="right"/>
              <w:rPr>
                <w:rFonts w:ascii="Times New Roman" w:hAnsi="Times New Roman" w:cs="Times New Roman" w:eastAsia="Times New Roman" w:hint="default"/>
                <w:sz w:val="13"/>
                <w:szCs w:val="13"/>
              </w:rPr>
            </w:pPr>
            <w:r>
              <w:rPr>
                <w:rFonts w:ascii="Times New Roman"/>
                <w:w w:val="95"/>
                <w:sz w:val="13"/>
              </w:rPr>
              <w:t>449,637.00</w:t>
            </w:r>
            <w:r>
              <w:rPr>
                <w:rFonts w:ascii="Times New Roman"/>
                <w:sz w:val="13"/>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1,486,202.78</w:t>
            </w:r>
            <w:r>
              <w:rPr>
                <w:rFonts w:ascii="Times New Roman"/>
                <w:sz w:val="13"/>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4,002,581.91</w:t>
            </w:r>
            <w:r>
              <w:rPr>
                <w:rFonts w:ascii="Times New Roman"/>
                <w:sz w:val="13"/>
              </w:rPr>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80,682.49</w:t>
            </w:r>
            <w:r>
              <w:rPr>
                <w:rFonts w:ascii="Times New Roman"/>
                <w:sz w:val="13"/>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重大影响</w:t>
            </w:r>
          </w:p>
        </w:tc>
        <w:tc>
          <w:tcPr>
            <w:tcW w:w="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46" w:right="0"/>
              <w:jc w:val="left"/>
              <w:rPr>
                <w:rFonts w:ascii="Times New Roman" w:hAnsi="Times New Roman" w:cs="Times New Roman" w:eastAsia="Times New Roman" w:hint="default"/>
                <w:sz w:val="15"/>
                <w:szCs w:val="15"/>
              </w:rPr>
            </w:pPr>
            <w:r>
              <w:rPr>
                <w:rFonts w:ascii="Times New Roman"/>
                <w:sz w:val="15"/>
              </w:rPr>
              <w:t>796648805</w:t>
            </w:r>
          </w:p>
        </w:tc>
      </w:tr>
      <w:tr>
        <w:trPr>
          <w:trHeight w:val="520" w:hRule="exact"/>
        </w:trPr>
        <w:tc>
          <w:tcPr>
            <w:tcW w:w="14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4" w:right="-6"/>
              <w:jc w:val="left"/>
              <w:rPr>
                <w:rFonts w:ascii="宋体" w:hAnsi="宋体" w:cs="宋体" w:eastAsia="宋体" w:hint="default"/>
                <w:sz w:val="15"/>
                <w:szCs w:val="15"/>
              </w:rPr>
            </w:pPr>
            <w:r>
              <w:rPr>
                <w:rFonts w:ascii="宋体" w:hAnsi="宋体" w:cs="宋体" w:eastAsia="宋体" w:hint="default"/>
                <w:spacing w:val="6"/>
                <w:sz w:val="15"/>
                <w:szCs w:val="15"/>
              </w:rPr>
              <w:t>深圳市泉源实业发展 </w:t>
            </w:r>
            <w:r>
              <w:rPr>
                <w:rFonts w:ascii="宋体" w:hAnsi="宋体" w:cs="宋体" w:eastAsia="宋体" w:hint="default"/>
                <w:sz w:val="15"/>
                <w:szCs w:val="15"/>
              </w:rPr>
              <w:t>有限公司</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参股子公司</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深圳市</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周健民</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2"/>
              <w:jc w:val="right"/>
              <w:rPr>
                <w:rFonts w:ascii="宋体" w:hAnsi="宋体" w:cs="宋体" w:eastAsia="宋体" w:hint="default"/>
                <w:sz w:val="15"/>
                <w:szCs w:val="15"/>
              </w:rPr>
            </w:pPr>
            <w:r>
              <w:rPr>
                <w:rFonts w:ascii="宋体" w:hAnsi="宋体" w:cs="宋体" w:eastAsia="宋体" w:hint="default"/>
                <w:sz w:val="15"/>
                <w:szCs w:val="15"/>
              </w:rPr>
              <w:t>联营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200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50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34,977,598.54</w:t>
            </w:r>
            <w:r>
              <w:rPr>
                <w:rFonts w:ascii="Times New Roman"/>
                <w:sz w:val="13"/>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0"/>
              <w:jc w:val="right"/>
              <w:rPr>
                <w:rFonts w:ascii="Times New Roman" w:hAnsi="Times New Roman" w:cs="Times New Roman" w:eastAsia="Times New Roman" w:hint="default"/>
                <w:sz w:val="13"/>
                <w:szCs w:val="13"/>
              </w:rPr>
            </w:pPr>
            <w:r>
              <w:rPr>
                <w:rFonts w:ascii="Times New Roman"/>
                <w:w w:val="95"/>
                <w:sz w:val="13"/>
              </w:rPr>
              <w:t>4,967,946.42</w:t>
            </w:r>
            <w:r>
              <w:rPr>
                <w:rFonts w:ascii="Times New Roman"/>
                <w:sz w:val="13"/>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30,009,652.12</w:t>
            </w:r>
            <w:r>
              <w:rPr>
                <w:rFonts w:ascii="Times New Roman"/>
                <w:sz w:val="13"/>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64"/>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0"/>
              <w:jc w:val="right"/>
              <w:rPr>
                <w:rFonts w:ascii="Times New Roman" w:hAnsi="Times New Roman" w:cs="Times New Roman" w:eastAsia="Times New Roman" w:hint="default"/>
                <w:sz w:val="13"/>
                <w:szCs w:val="13"/>
              </w:rPr>
            </w:pPr>
            <w:r>
              <w:rPr>
                <w:rFonts w:ascii="Times New Roman"/>
                <w:w w:val="95"/>
                <w:sz w:val="13"/>
              </w:rPr>
              <w:t>-1,344,923.76</w:t>
            </w:r>
            <w:r>
              <w:rPr>
                <w:rFonts w:ascii="Times New Roman"/>
                <w:sz w:val="13"/>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重大影响</w:t>
            </w:r>
          </w:p>
        </w:tc>
        <w:tc>
          <w:tcPr>
            <w:tcW w:w="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87" w:right="0"/>
              <w:jc w:val="left"/>
              <w:rPr>
                <w:rFonts w:ascii="Times New Roman" w:hAnsi="Times New Roman" w:cs="Times New Roman" w:eastAsia="Times New Roman" w:hint="default"/>
                <w:sz w:val="15"/>
                <w:szCs w:val="15"/>
              </w:rPr>
            </w:pPr>
            <w:r>
              <w:rPr>
                <w:rFonts w:ascii="Times New Roman"/>
                <w:sz w:val="15"/>
              </w:rPr>
              <w:t>72616511</w:t>
            </w:r>
          </w:p>
        </w:tc>
      </w:tr>
      <w:tr>
        <w:trPr>
          <w:trHeight w:val="518" w:hRule="exact"/>
        </w:trPr>
        <w:tc>
          <w:tcPr>
            <w:tcW w:w="14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4" w:right="-6"/>
              <w:jc w:val="left"/>
              <w:rPr>
                <w:rFonts w:ascii="宋体" w:hAnsi="宋体" w:cs="宋体" w:eastAsia="宋体" w:hint="default"/>
                <w:sz w:val="15"/>
                <w:szCs w:val="15"/>
              </w:rPr>
            </w:pPr>
            <w:r>
              <w:rPr>
                <w:rFonts w:ascii="宋体" w:hAnsi="宋体" w:cs="宋体" w:eastAsia="宋体" w:hint="default"/>
                <w:spacing w:val="6"/>
                <w:sz w:val="15"/>
                <w:szCs w:val="15"/>
              </w:rPr>
              <w:t>深圳市鸿丰酒店管理 </w:t>
            </w:r>
            <w:r>
              <w:rPr>
                <w:rFonts w:ascii="宋体" w:hAnsi="宋体" w:cs="宋体" w:eastAsia="宋体" w:hint="default"/>
                <w:sz w:val="15"/>
                <w:szCs w:val="15"/>
              </w:rPr>
              <w:t>有限公司</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参股子公司</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深圳市</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颜金辉</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2"/>
              <w:jc w:val="right"/>
              <w:rPr>
                <w:rFonts w:ascii="宋体" w:hAnsi="宋体" w:cs="宋体" w:eastAsia="宋体" w:hint="default"/>
                <w:sz w:val="15"/>
                <w:szCs w:val="15"/>
              </w:rPr>
            </w:pPr>
            <w:r>
              <w:rPr>
                <w:rFonts w:ascii="宋体" w:hAnsi="宋体" w:cs="宋体" w:eastAsia="宋体" w:hint="default"/>
                <w:sz w:val="15"/>
                <w:szCs w:val="15"/>
              </w:rPr>
              <w:t>联营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2000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30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30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136,754,121.72</w:t>
            </w:r>
            <w:r>
              <w:rPr>
                <w:rFonts w:ascii="Times New Roman"/>
                <w:sz w:val="13"/>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0"/>
              <w:jc w:val="right"/>
              <w:rPr>
                <w:rFonts w:ascii="Times New Roman" w:hAnsi="Times New Roman" w:cs="Times New Roman" w:eastAsia="Times New Roman" w:hint="default"/>
                <w:sz w:val="13"/>
                <w:szCs w:val="13"/>
              </w:rPr>
            </w:pPr>
            <w:r>
              <w:rPr>
                <w:rFonts w:ascii="Times New Roman"/>
                <w:w w:val="95"/>
                <w:sz w:val="13"/>
              </w:rPr>
              <w:t>49,628,819.86</w:t>
            </w:r>
            <w:r>
              <w:rPr>
                <w:rFonts w:ascii="Times New Roman"/>
                <w:sz w:val="13"/>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87,125,301.86</w:t>
            </w:r>
            <w:r>
              <w:rPr>
                <w:rFonts w:ascii="Times New Roman"/>
                <w:sz w:val="13"/>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2"/>
              <w:jc w:val="right"/>
              <w:rPr>
                <w:rFonts w:ascii="Times New Roman" w:hAnsi="Times New Roman" w:cs="Times New Roman" w:eastAsia="Times New Roman" w:hint="default"/>
                <w:sz w:val="13"/>
                <w:szCs w:val="13"/>
              </w:rPr>
            </w:pPr>
            <w:r>
              <w:rPr>
                <w:rFonts w:ascii="Times New Roman"/>
                <w:w w:val="95"/>
                <w:sz w:val="13"/>
              </w:rPr>
              <w:t>38,658,018.82</w:t>
            </w:r>
            <w:r>
              <w:rPr>
                <w:rFonts w:ascii="Times New Roman"/>
                <w:sz w:val="13"/>
              </w:rPr>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8,825,399.18</w:t>
            </w:r>
            <w:r>
              <w:rPr>
                <w:rFonts w:ascii="Times New Roman"/>
                <w:sz w:val="13"/>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重大影响</w:t>
            </w:r>
          </w:p>
        </w:tc>
        <w:tc>
          <w:tcPr>
            <w:tcW w:w="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sz w:val="15"/>
                <w:szCs w:val="15"/>
              </w:rPr>
              <w:t>75427624</w:t>
            </w:r>
            <w:r>
              <w:rPr>
                <w:rFonts w:ascii="宋体" w:hAnsi="宋体" w:cs="宋体" w:eastAsia="宋体" w:hint="default"/>
                <w:spacing w:val="-1"/>
                <w:sz w:val="15"/>
                <w:szCs w:val="15"/>
              </w:rPr>
              <w:t>－</w:t>
            </w:r>
            <w:r>
              <w:rPr>
                <w:rFonts w:ascii="Times New Roman" w:hAnsi="Times New Roman" w:cs="Times New Roman" w:eastAsia="Times New Roman" w:hint="default"/>
                <w:spacing w:val="-1"/>
                <w:sz w:val="15"/>
                <w:szCs w:val="15"/>
              </w:rPr>
              <w:t>9</w:t>
            </w:r>
          </w:p>
        </w:tc>
      </w:tr>
      <w:tr>
        <w:trPr>
          <w:trHeight w:val="520" w:hRule="exact"/>
        </w:trPr>
        <w:tc>
          <w:tcPr>
            <w:tcW w:w="14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4" w:right="-6"/>
              <w:jc w:val="left"/>
              <w:rPr>
                <w:rFonts w:ascii="宋体" w:hAnsi="宋体" w:cs="宋体" w:eastAsia="宋体" w:hint="default"/>
                <w:sz w:val="15"/>
                <w:szCs w:val="15"/>
              </w:rPr>
            </w:pPr>
            <w:r>
              <w:rPr>
                <w:rFonts w:ascii="宋体" w:hAnsi="宋体" w:cs="宋体" w:eastAsia="宋体" w:hint="default"/>
                <w:spacing w:val="6"/>
                <w:sz w:val="15"/>
                <w:szCs w:val="15"/>
              </w:rPr>
              <w:t>福建东南广播电视网 </w:t>
            </w:r>
            <w:r>
              <w:rPr>
                <w:rFonts w:ascii="宋体" w:hAnsi="宋体" w:cs="宋体" w:eastAsia="宋体" w:hint="default"/>
                <w:sz w:val="15"/>
                <w:szCs w:val="15"/>
              </w:rPr>
              <w:t>络有限公司</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参股子公司</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福州市</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龙辉</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2"/>
              <w:jc w:val="right"/>
              <w:rPr>
                <w:rFonts w:ascii="宋体" w:hAnsi="宋体" w:cs="宋体" w:eastAsia="宋体" w:hint="default"/>
                <w:sz w:val="15"/>
                <w:szCs w:val="15"/>
              </w:rPr>
            </w:pPr>
            <w:r>
              <w:rPr>
                <w:rFonts w:ascii="宋体" w:hAnsi="宋体" w:cs="宋体" w:eastAsia="宋体" w:hint="default"/>
                <w:sz w:val="15"/>
                <w:szCs w:val="15"/>
              </w:rPr>
              <w:t>联营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9396</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18.51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18.51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14,814,137.22</w:t>
            </w:r>
            <w:r>
              <w:rPr>
                <w:rFonts w:ascii="Times New Roman"/>
                <w:sz w:val="13"/>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0"/>
              <w:jc w:val="right"/>
              <w:rPr>
                <w:rFonts w:ascii="Times New Roman" w:hAnsi="Times New Roman" w:cs="Times New Roman" w:eastAsia="Times New Roman" w:hint="default"/>
                <w:sz w:val="13"/>
                <w:szCs w:val="13"/>
              </w:rPr>
            </w:pPr>
            <w:r>
              <w:rPr>
                <w:rFonts w:ascii="Times New Roman"/>
                <w:w w:val="95"/>
                <w:sz w:val="13"/>
              </w:rPr>
              <w:t>187,617.03</w:t>
            </w:r>
            <w:r>
              <w:rPr>
                <w:rFonts w:ascii="Times New Roman"/>
                <w:sz w:val="13"/>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14,626,520.19</w:t>
            </w:r>
            <w:r>
              <w:rPr>
                <w:rFonts w:ascii="Times New Roman"/>
                <w:sz w:val="13"/>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2"/>
              <w:jc w:val="right"/>
              <w:rPr>
                <w:rFonts w:ascii="Times New Roman" w:hAnsi="Times New Roman" w:cs="Times New Roman" w:eastAsia="Times New Roman" w:hint="default"/>
                <w:sz w:val="13"/>
                <w:szCs w:val="13"/>
              </w:rPr>
            </w:pPr>
            <w:r>
              <w:rPr>
                <w:rFonts w:ascii="Times New Roman"/>
                <w:spacing w:val="-1"/>
                <w:sz w:val="13"/>
              </w:rPr>
              <w:t>11,017,274.00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
              <w:jc w:val="right"/>
              <w:rPr>
                <w:rFonts w:ascii="Times New Roman" w:hAnsi="Times New Roman" w:cs="Times New Roman" w:eastAsia="Times New Roman" w:hint="default"/>
                <w:sz w:val="13"/>
                <w:szCs w:val="13"/>
              </w:rPr>
            </w:pPr>
            <w:r>
              <w:rPr>
                <w:rFonts w:ascii="Times New Roman"/>
                <w:w w:val="95"/>
                <w:sz w:val="13"/>
              </w:rPr>
              <w:t>41,106.56</w:t>
            </w:r>
            <w:r>
              <w:rPr>
                <w:rFonts w:ascii="Times New Roman"/>
                <w:sz w:val="13"/>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重大影响</w:t>
            </w:r>
          </w:p>
        </w:tc>
        <w:tc>
          <w:tcPr>
            <w:tcW w:w="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sz w:val="15"/>
                <w:szCs w:val="15"/>
              </w:rPr>
              <w:t>15816324</w:t>
            </w:r>
            <w:r>
              <w:rPr>
                <w:rFonts w:ascii="宋体" w:hAnsi="宋体" w:cs="宋体" w:eastAsia="宋体" w:hint="default"/>
                <w:spacing w:val="-1"/>
                <w:sz w:val="15"/>
                <w:szCs w:val="15"/>
              </w:rPr>
              <w:t>－</w:t>
            </w:r>
            <w:r>
              <w:rPr>
                <w:rFonts w:ascii="Times New Roman" w:hAnsi="Times New Roman" w:cs="Times New Roman" w:eastAsia="Times New Roman" w:hint="default"/>
                <w:spacing w:val="-1"/>
                <w:sz w:val="15"/>
                <w:szCs w:val="15"/>
              </w:rPr>
              <w:t>8</w:t>
            </w:r>
          </w:p>
        </w:tc>
      </w:tr>
    </w:tbl>
    <w:p>
      <w:pPr>
        <w:spacing w:after="0" w:line="240" w:lineRule="auto"/>
        <w:jc w:val="right"/>
        <w:rPr>
          <w:rFonts w:ascii="Times New Roman" w:hAnsi="Times New Roman" w:cs="Times New Roman" w:eastAsia="Times New Roman" w:hint="default"/>
          <w:sz w:val="15"/>
          <w:szCs w:val="15"/>
        </w:rPr>
        <w:sectPr>
          <w:pgSz w:w="16840" w:h="11900" w:orient="landscape"/>
          <w:pgMar w:header="0" w:footer="954" w:top="1060" w:bottom="1140" w:left="1600" w:right="1240"/>
        </w:sectPr>
      </w:pPr>
    </w:p>
    <w:p>
      <w:pPr>
        <w:spacing w:line="240" w:lineRule="auto" w:before="8"/>
        <w:rPr>
          <w:rFonts w:ascii="宋体" w:hAnsi="宋体" w:cs="宋体" w:eastAsia="宋体" w:hint="default"/>
          <w:sz w:val="14"/>
          <w:szCs w:val="14"/>
        </w:rPr>
      </w:pPr>
    </w:p>
    <w:p>
      <w:pPr>
        <w:pStyle w:val="BodyText"/>
        <w:spacing w:line="240" w:lineRule="auto" w:before="35"/>
        <w:ind w:left="230" w:right="0"/>
        <w:jc w:val="left"/>
      </w:pPr>
      <w:r>
        <w:rPr>
          <w:rFonts w:ascii="Times New Roman" w:hAnsi="Times New Roman" w:cs="Times New Roman" w:eastAsia="Times New Roman" w:hint="default"/>
          <w:b/>
          <w:bCs/>
        </w:rPr>
        <w:t>4</w:t>
      </w:r>
      <w:r>
        <w:rPr/>
        <w:t>、本企业的其他关联方情况</w:t>
      </w:r>
    </w:p>
    <w:tbl>
      <w:tblPr>
        <w:tblW w:w="0" w:type="auto"/>
        <w:jc w:val="left"/>
        <w:tblInd w:w="103" w:type="dxa"/>
        <w:tblLayout w:type="fixed"/>
        <w:tblCellMar>
          <w:top w:w="0" w:type="dxa"/>
          <w:left w:w="0" w:type="dxa"/>
          <w:bottom w:w="0" w:type="dxa"/>
          <w:right w:w="0" w:type="dxa"/>
        </w:tblCellMar>
        <w:tblLook w:val="01E0"/>
      </w:tblPr>
      <w:tblGrid>
        <w:gridCol w:w="3956"/>
        <w:gridCol w:w="7726"/>
        <w:gridCol w:w="2098"/>
      </w:tblGrid>
      <w:tr>
        <w:trPr>
          <w:trHeight w:val="510" w:hRule="exact"/>
        </w:trPr>
        <w:tc>
          <w:tcPr>
            <w:tcW w:w="39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7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其他关联方与本公司关系</w:t>
            </w:r>
          </w:p>
        </w:tc>
        <w:tc>
          <w:tcPr>
            <w:tcW w:w="20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510" w:hRule="exact"/>
        </w:trPr>
        <w:tc>
          <w:tcPr>
            <w:tcW w:w="39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深圳市新鸿泰投资发展有限公司</w:t>
            </w:r>
          </w:p>
        </w:tc>
        <w:tc>
          <w:tcPr>
            <w:tcW w:w="7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本公司工会之子公司</w:t>
            </w:r>
          </w:p>
        </w:tc>
        <w:tc>
          <w:tcPr>
            <w:tcW w:w="20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19228942</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716" w:hRule="exact"/>
        </w:trPr>
        <w:tc>
          <w:tcPr>
            <w:tcW w:w="39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深圳市赛德隆投资发展有限公司</w:t>
            </w:r>
          </w:p>
        </w:tc>
        <w:tc>
          <w:tcPr>
            <w:tcW w:w="7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拥有本公司控股子公司深圳市凯方实业发展有限公司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股权及本公司控股子公司西安新鸿业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投资发展有限公司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33.50%</w:t>
            </w:r>
            <w:r>
              <w:rPr>
                <w:rFonts w:ascii="宋体" w:hAnsi="宋体" w:cs="宋体" w:eastAsia="宋体" w:hint="default"/>
                <w:sz w:val="18"/>
                <w:szCs w:val="18"/>
              </w:rPr>
              <w:t>股权的股东</w:t>
            </w:r>
          </w:p>
        </w:tc>
        <w:tc>
          <w:tcPr>
            <w:tcW w:w="20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70849934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510" w:hRule="exact"/>
        </w:trPr>
        <w:tc>
          <w:tcPr>
            <w:tcW w:w="39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正中置业集团有限公司</w:t>
            </w:r>
          </w:p>
        </w:tc>
        <w:tc>
          <w:tcPr>
            <w:tcW w:w="7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2.21</w:t>
            </w:r>
            <w:r>
              <w:rPr>
                <w:rFonts w:ascii="宋体" w:hAnsi="宋体" w:cs="宋体" w:eastAsia="宋体" w:hint="default"/>
                <w:sz w:val="18"/>
                <w:szCs w:val="18"/>
              </w:rPr>
              <w:t>％股份的第三大股东</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深圳市正中投资发展有限公司之控股企业</w:t>
            </w:r>
          </w:p>
        </w:tc>
        <w:tc>
          <w:tcPr>
            <w:tcW w:w="20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78279481</w:t>
            </w:r>
            <w:r>
              <w:rPr>
                <w:rFonts w:ascii="宋体" w:hAnsi="宋体" w:cs="宋体" w:eastAsia="宋体" w:hint="default"/>
                <w:sz w:val="18"/>
                <w:szCs w:val="18"/>
              </w:rPr>
              <w:t>－</w:t>
            </w:r>
            <w:r>
              <w:rPr>
                <w:rFonts w:ascii="Times New Roman" w:hAnsi="Times New Roman" w:cs="Times New Roman" w:eastAsia="Times New Roman" w:hint="default"/>
                <w:sz w:val="18"/>
                <w:szCs w:val="18"/>
              </w:rPr>
              <w:t>X</w:t>
            </w:r>
          </w:p>
        </w:tc>
      </w:tr>
      <w:tr>
        <w:trPr>
          <w:trHeight w:val="510" w:hRule="exact"/>
        </w:trPr>
        <w:tc>
          <w:tcPr>
            <w:tcW w:w="39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深圳市百川盛业投资有限公司</w:t>
            </w:r>
          </w:p>
        </w:tc>
        <w:tc>
          <w:tcPr>
            <w:tcW w:w="7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拥有本公司控股子公司西安深鸿基房地产开发有限公司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％股权的股东</w:t>
            </w:r>
          </w:p>
        </w:tc>
        <w:tc>
          <w:tcPr>
            <w:tcW w:w="20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79385652</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p>
        </w:tc>
      </w:tr>
      <w:tr>
        <w:trPr>
          <w:trHeight w:val="510" w:hRule="exact"/>
        </w:trPr>
        <w:tc>
          <w:tcPr>
            <w:tcW w:w="39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深圳市鸿基广源贸易有限公司</w:t>
            </w:r>
          </w:p>
        </w:tc>
        <w:tc>
          <w:tcPr>
            <w:tcW w:w="7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本公司已进入清算程序的子公司</w:t>
            </w:r>
          </w:p>
        </w:tc>
        <w:tc>
          <w:tcPr>
            <w:tcW w:w="20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27926017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510" w:hRule="exact"/>
        </w:trPr>
        <w:tc>
          <w:tcPr>
            <w:tcW w:w="39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深运工贸翠苑旅店</w:t>
            </w:r>
          </w:p>
        </w:tc>
        <w:tc>
          <w:tcPr>
            <w:tcW w:w="7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本公司已进入清算程序的分支机构</w:t>
            </w:r>
          </w:p>
        </w:tc>
        <w:tc>
          <w:tcPr>
            <w:tcW w:w="209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6840" w:h="11900" w:orient="landscape"/>
          <w:pgMar w:header="0" w:footer="954" w:top="1100" w:bottom="1140" w:left="1640" w:right="1200"/>
        </w:sectPr>
      </w:pPr>
    </w:p>
    <w:p>
      <w:pPr>
        <w:pStyle w:val="BodyText"/>
        <w:spacing w:line="240" w:lineRule="auto" w:before="6"/>
        <w:ind w:right="140"/>
        <w:jc w:val="left"/>
      </w:pPr>
      <w:r>
        <w:rPr>
          <w:rFonts w:ascii="Times New Roman" w:hAnsi="Times New Roman" w:cs="Times New Roman" w:eastAsia="Times New Roman" w:hint="default"/>
          <w:b/>
          <w:bCs/>
        </w:rPr>
        <w:t>5</w:t>
      </w:r>
      <w:r>
        <w:rPr/>
        <w:t>、关联交易情况</w:t>
      </w:r>
    </w:p>
    <w:p>
      <w:pPr>
        <w:spacing w:line="240" w:lineRule="auto" w:before="0"/>
        <w:rPr>
          <w:rFonts w:ascii="宋体" w:hAnsi="宋体" w:cs="宋体" w:eastAsia="宋体" w:hint="default"/>
          <w:sz w:val="16"/>
          <w:szCs w:val="16"/>
        </w:rPr>
      </w:pPr>
    </w:p>
    <w:p>
      <w:pPr>
        <w:pStyle w:val="BodyText"/>
        <w:spacing w:line="240" w:lineRule="auto"/>
        <w:ind w:right="140"/>
        <w:jc w:val="left"/>
      </w:pPr>
      <w:r>
        <w:rPr/>
        <w:t>（</w:t>
      </w:r>
      <w:r>
        <w:rPr>
          <w:rFonts w:ascii="Times New Roman" w:hAnsi="Times New Roman" w:cs="Times New Roman" w:eastAsia="Times New Roman" w:hint="default"/>
        </w:rPr>
        <w:t>1</w:t>
      </w:r>
      <w:r>
        <w:rPr/>
        <w:t>）提供物业管理服务的交易</w:t>
      </w:r>
    </w:p>
    <w:p>
      <w:pPr>
        <w:spacing w:line="240" w:lineRule="auto" w:before="3"/>
        <w:rPr>
          <w:rFonts w:ascii="宋体" w:hAnsi="宋体" w:cs="宋体" w:eastAsia="宋体" w:hint="default"/>
          <w:sz w:val="13"/>
          <w:szCs w:val="13"/>
        </w:rPr>
      </w:pPr>
    </w:p>
    <w:p>
      <w:pPr>
        <w:pStyle w:val="BodyText"/>
        <w:spacing w:line="240" w:lineRule="auto" w:before="35"/>
        <w:ind w:left="0" w:right="14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41" w:type="dxa"/>
        <w:tblLayout w:type="fixed"/>
        <w:tblCellMar>
          <w:top w:w="0" w:type="dxa"/>
          <w:left w:w="0" w:type="dxa"/>
          <w:bottom w:w="0" w:type="dxa"/>
          <w:right w:w="0" w:type="dxa"/>
        </w:tblCellMar>
        <w:tblLook w:val="01E0"/>
      </w:tblPr>
      <w:tblGrid>
        <w:gridCol w:w="1368"/>
        <w:gridCol w:w="902"/>
        <w:gridCol w:w="689"/>
        <w:gridCol w:w="1338"/>
        <w:gridCol w:w="1013"/>
        <w:gridCol w:w="1211"/>
        <w:gridCol w:w="911"/>
        <w:gridCol w:w="1260"/>
      </w:tblGrid>
      <w:tr>
        <w:trPr>
          <w:trHeight w:val="510" w:hRule="exact"/>
        </w:trPr>
        <w:tc>
          <w:tcPr>
            <w:tcW w:w="136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42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66" w:right="84"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69" w:right="6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13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23" w:right="32" w:hanging="90"/>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7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3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1368" w:type="dxa"/>
            <w:vMerge/>
            <w:tcBorders>
              <w:left w:val="nil" w:sz="6" w:space="0" w:color="auto"/>
              <w:bottom w:val="single" w:sz="4" w:space="0" w:color="000000"/>
              <w:right w:val="single" w:sz="4" w:space="0" w:color="000000"/>
            </w:tcBorders>
          </w:tcPr>
          <w:p>
            <w:pPr/>
          </w:p>
        </w:tc>
        <w:tc>
          <w:tcPr>
            <w:tcW w:w="902"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1338" w:type="dxa"/>
            <w:vMerge/>
            <w:tcBorders>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5" w:right="59" w:firstLine="34"/>
              <w:jc w:val="left"/>
              <w:rPr>
                <w:rFonts w:ascii="Times New Roman" w:hAnsi="Times New Roman" w:cs="Times New Roman" w:eastAsia="Times New Roman" w:hint="default"/>
                <w:sz w:val="18"/>
                <w:szCs w:val="18"/>
              </w:rPr>
            </w:pPr>
            <w:r>
              <w:rPr>
                <w:rFonts w:ascii="宋体" w:hAnsi="宋体" w:cs="宋体" w:eastAsia="宋体" w:hint="default"/>
                <w:sz w:val="18"/>
                <w:szCs w:val="18"/>
              </w:rPr>
              <w:t>占同类交易金 额的比例（</w:t>
            </w:r>
            <w:r>
              <w:rPr>
                <w:rFonts w:ascii="Times New Roman" w:hAnsi="Times New Roman" w:cs="Times New Roman" w:eastAsia="Times New Roman" w:hint="default"/>
                <w:sz w:val="18"/>
                <w:szCs w:val="18"/>
              </w:rPr>
              <w:t>%</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tabs>
                <w:tab w:pos="269" w:val="left" w:leader="none"/>
              </w:tabs>
              <w:spacing w:line="240" w:lineRule="auto"/>
              <w:ind w:left="-136" w:right="0"/>
              <w:jc w:val="left"/>
              <w:rPr>
                <w:rFonts w:ascii="宋体" w:hAnsi="宋体" w:cs="宋体" w:eastAsia="宋体" w:hint="default"/>
                <w:sz w:val="18"/>
                <w:szCs w:val="18"/>
              </w:rPr>
            </w:pPr>
            <w:r>
              <w:rPr>
                <w:rFonts w:ascii="宋体" w:hAnsi="宋体" w:cs="宋体" w:eastAsia="宋体" w:hint="default"/>
                <w:position w:val="-11"/>
                <w:sz w:val="18"/>
                <w:szCs w:val="18"/>
              </w:rPr>
              <w:t>）</w:t>
              <w:tab/>
            </w:r>
            <w:r>
              <w:rPr>
                <w:rFonts w:ascii="宋体" w:hAnsi="宋体" w:cs="宋体" w:eastAsia="宋体" w:hint="default"/>
                <w:sz w:val="18"/>
                <w:szCs w:val="18"/>
              </w:rPr>
              <w:t>金额</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5" w:right="-1" w:firstLine="60"/>
              <w:jc w:val="left"/>
              <w:rPr>
                <w:rFonts w:ascii="宋体" w:hAnsi="宋体" w:cs="宋体" w:eastAsia="宋体" w:hint="default"/>
                <w:sz w:val="18"/>
                <w:szCs w:val="18"/>
              </w:rPr>
            </w:pPr>
            <w:r>
              <w:rPr>
                <w:rFonts w:ascii="宋体" w:hAnsi="宋体" w:cs="宋体" w:eastAsia="宋体" w:hint="default"/>
                <w:sz w:val="18"/>
                <w:szCs w:val="18"/>
              </w:rPr>
              <w:t>占同类交易金 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8"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4" w:right="23"/>
              <w:jc w:val="left"/>
              <w:rPr>
                <w:rFonts w:ascii="宋体" w:hAnsi="宋体" w:cs="宋体" w:eastAsia="宋体" w:hint="default"/>
                <w:sz w:val="18"/>
                <w:szCs w:val="18"/>
              </w:rPr>
            </w:pPr>
            <w:r>
              <w:rPr>
                <w:rFonts w:ascii="宋体" w:hAnsi="宋体" w:cs="宋体" w:eastAsia="宋体" w:hint="default"/>
                <w:spacing w:val="4"/>
                <w:sz w:val="18"/>
                <w:szCs w:val="18"/>
              </w:rPr>
              <w:t>深圳市新鸿泰投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资发展有限公司</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物业服务</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69" w:right="67"/>
              <w:jc w:val="left"/>
              <w:rPr>
                <w:rFonts w:ascii="宋体" w:hAnsi="宋体" w:cs="宋体" w:eastAsia="宋体" w:hint="default"/>
                <w:sz w:val="18"/>
                <w:szCs w:val="18"/>
              </w:rPr>
            </w:pPr>
            <w:r>
              <w:rPr>
                <w:rFonts w:ascii="宋体" w:hAnsi="宋体" w:cs="宋体" w:eastAsia="宋体" w:hint="default"/>
                <w:sz w:val="18"/>
                <w:szCs w:val="18"/>
              </w:rPr>
              <w:t>提供物 业服务</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4" w:lineRule="exact"/>
              <w:ind w:left="123" w:right="92" w:hanging="30"/>
              <w:jc w:val="left"/>
              <w:rPr>
                <w:rFonts w:ascii="宋体" w:hAnsi="宋体" w:cs="宋体" w:eastAsia="宋体" w:hint="default"/>
                <w:sz w:val="18"/>
                <w:szCs w:val="18"/>
              </w:rPr>
            </w:pPr>
            <w:r>
              <w:rPr>
                <w:rFonts w:ascii="宋体" w:hAnsi="宋体" w:cs="宋体" w:eastAsia="宋体" w:hint="default"/>
                <w:sz w:val="18"/>
                <w:szCs w:val="18"/>
              </w:rPr>
              <w:t>市场价</w:t>
            </w:r>
            <w:r>
              <w:rPr>
                <w:rFonts w:ascii="Times New Roman" w:hAnsi="Times New Roman" w:cs="Times New Roman" w:eastAsia="Times New Roman" w:hint="default"/>
                <w:sz w:val="18"/>
                <w:szCs w:val="18"/>
              </w:rPr>
              <w:t>-</w:t>
            </w:r>
            <w:r>
              <w:rPr>
                <w:rFonts w:ascii="宋体" w:hAnsi="宋体" w:cs="宋体" w:eastAsia="宋体" w:hint="default"/>
                <w:sz w:val="18"/>
                <w:szCs w:val="18"/>
              </w:rPr>
              <w:t>无需董 事会决议批准</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4"/>
              <w:jc w:val="right"/>
              <w:rPr>
                <w:rFonts w:ascii="Times New Roman" w:hAnsi="Times New Roman" w:cs="Times New Roman" w:eastAsia="Times New Roman" w:hint="default"/>
                <w:sz w:val="18"/>
                <w:szCs w:val="18"/>
              </w:rPr>
            </w:pPr>
            <w:r>
              <w:rPr>
                <w:rFonts w:ascii="Times New Roman"/>
                <w:spacing w:val="-1"/>
                <w:sz w:val="18"/>
              </w:rPr>
              <w:t>56,511.00</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444"/>
              <w:jc w:val="right"/>
              <w:rPr>
                <w:rFonts w:ascii="Times New Roman" w:hAnsi="Times New Roman" w:cs="Times New Roman" w:eastAsia="Times New Roman" w:hint="default"/>
                <w:sz w:val="18"/>
                <w:szCs w:val="18"/>
              </w:rPr>
            </w:pPr>
            <w:r>
              <w:rPr>
                <w:rFonts w:ascii="Times New Roman"/>
                <w:spacing w:val="-2"/>
                <w:w w:val="95"/>
                <w:sz w:val="18"/>
              </w:rPr>
              <w:t>0.11</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65,232.60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471"/>
              <w:jc w:val="right"/>
              <w:rPr>
                <w:rFonts w:ascii="Times New Roman" w:hAnsi="Times New Roman" w:cs="Times New Roman" w:eastAsia="Times New Roman" w:hint="default"/>
                <w:sz w:val="18"/>
                <w:szCs w:val="18"/>
              </w:rPr>
            </w:pPr>
            <w:r>
              <w:rPr>
                <w:rFonts w:ascii="Times New Roman"/>
                <w:sz w:val="18"/>
              </w:rPr>
              <w:t>0.19</w:t>
            </w:r>
          </w:p>
        </w:tc>
      </w:tr>
      <w:tr>
        <w:trPr>
          <w:trHeight w:val="718"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44" w:right="23"/>
              <w:jc w:val="left"/>
              <w:rPr>
                <w:rFonts w:ascii="宋体" w:hAnsi="宋体" w:cs="宋体" w:eastAsia="宋体" w:hint="default"/>
                <w:sz w:val="18"/>
                <w:szCs w:val="18"/>
              </w:rPr>
            </w:pPr>
            <w:r>
              <w:rPr>
                <w:rFonts w:ascii="宋体" w:hAnsi="宋体" w:cs="宋体" w:eastAsia="宋体" w:hint="default"/>
                <w:spacing w:val="4"/>
                <w:sz w:val="18"/>
                <w:szCs w:val="18"/>
              </w:rPr>
              <w:t>深圳市东鸿信投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资发展有限公司</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物业服务</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69" w:right="67"/>
              <w:jc w:val="left"/>
              <w:rPr>
                <w:rFonts w:ascii="宋体" w:hAnsi="宋体" w:cs="宋体" w:eastAsia="宋体" w:hint="default"/>
                <w:sz w:val="18"/>
                <w:szCs w:val="18"/>
              </w:rPr>
            </w:pPr>
            <w:r>
              <w:rPr>
                <w:rFonts w:ascii="宋体" w:hAnsi="宋体" w:cs="宋体" w:eastAsia="宋体" w:hint="default"/>
                <w:sz w:val="18"/>
                <w:szCs w:val="18"/>
              </w:rPr>
              <w:t>提供物 业服务</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3" w:right="92" w:hanging="30"/>
              <w:jc w:val="left"/>
              <w:rPr>
                <w:rFonts w:ascii="宋体" w:hAnsi="宋体" w:cs="宋体" w:eastAsia="宋体" w:hint="default"/>
                <w:sz w:val="18"/>
                <w:szCs w:val="18"/>
              </w:rPr>
            </w:pPr>
            <w:r>
              <w:rPr>
                <w:rFonts w:ascii="宋体" w:hAnsi="宋体" w:cs="宋体" w:eastAsia="宋体" w:hint="default"/>
                <w:sz w:val="18"/>
                <w:szCs w:val="18"/>
              </w:rPr>
              <w:t>市场价</w:t>
            </w:r>
            <w:r>
              <w:rPr>
                <w:rFonts w:ascii="Times New Roman" w:hAnsi="Times New Roman" w:cs="Times New Roman" w:eastAsia="Times New Roman" w:hint="default"/>
                <w:sz w:val="18"/>
                <w:szCs w:val="18"/>
              </w:rPr>
              <w:t>-</w:t>
            </w:r>
            <w:r>
              <w:rPr>
                <w:rFonts w:ascii="宋体" w:hAnsi="宋体" w:cs="宋体" w:eastAsia="宋体" w:hint="default"/>
                <w:sz w:val="18"/>
                <w:szCs w:val="18"/>
              </w:rPr>
              <w:t>无需董 事会决议批准</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4"/>
              <w:jc w:val="right"/>
              <w:rPr>
                <w:rFonts w:ascii="Times New Roman" w:hAnsi="Times New Roman" w:cs="Times New Roman" w:eastAsia="Times New Roman" w:hint="default"/>
                <w:sz w:val="18"/>
                <w:szCs w:val="18"/>
              </w:rPr>
            </w:pPr>
            <w:r>
              <w:rPr>
                <w:rFonts w:ascii="Times New Roman"/>
                <w:sz w:val="18"/>
              </w:rPr>
              <w:t>315,407.54</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441"/>
              <w:jc w:val="right"/>
              <w:rPr>
                <w:rFonts w:ascii="Times New Roman" w:hAnsi="Times New Roman" w:cs="Times New Roman" w:eastAsia="Times New Roman" w:hint="default"/>
                <w:sz w:val="18"/>
                <w:szCs w:val="18"/>
              </w:rPr>
            </w:pPr>
            <w:r>
              <w:rPr>
                <w:rFonts w:ascii="Times New Roman"/>
                <w:sz w:val="18"/>
              </w:rPr>
              <w:t>0.62</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363,451.88</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471"/>
              <w:jc w:val="right"/>
              <w:rPr>
                <w:rFonts w:ascii="Times New Roman" w:hAnsi="Times New Roman" w:cs="Times New Roman" w:eastAsia="Times New Roman" w:hint="default"/>
                <w:sz w:val="18"/>
                <w:szCs w:val="18"/>
              </w:rPr>
            </w:pPr>
            <w:r>
              <w:rPr>
                <w:rFonts w:ascii="Times New Roman"/>
                <w:sz w:val="18"/>
              </w:rPr>
              <w:t>1.06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12" w:lineRule="auto" w:before="168"/>
        <w:ind w:left="610" w:right="140" w:hanging="421"/>
        <w:jc w:val="left"/>
      </w:pPr>
      <w:r>
        <w:rPr/>
        <w:t>（</w:t>
      </w:r>
      <w:r>
        <w:rPr>
          <w:rFonts w:ascii="Times New Roman" w:hAnsi="Times New Roman" w:cs="Times New Roman" w:eastAsia="Times New Roman" w:hint="default"/>
        </w:rPr>
        <w:t>2</w:t>
      </w:r>
      <w:r>
        <w:rPr/>
        <w:t>）关联托管情况 因以前年度交易，本公司名义持有深圳市东鸿信投资发展有限公司之南澳土地，无法办理</w:t>
      </w:r>
    </w:p>
    <w:p>
      <w:pPr>
        <w:pStyle w:val="BodyText"/>
        <w:spacing w:line="412" w:lineRule="auto" w:before="74"/>
        <w:ind w:right="140"/>
        <w:jc w:val="left"/>
      </w:pPr>
      <w:r>
        <w:rPr>
          <w:spacing w:val="-8"/>
        </w:rPr>
        <w:t>更名；因本次资产置换（见下（</w:t>
      </w:r>
      <w:r>
        <w:rPr>
          <w:rFonts w:ascii="Times New Roman" w:hAnsi="Times New Roman" w:cs="Times New Roman" w:eastAsia="Times New Roman" w:hint="default"/>
          <w:spacing w:val="-8"/>
        </w:rPr>
        <w:t>3</w:t>
      </w:r>
      <w:r>
        <w:rPr>
          <w:spacing w:val="-8"/>
        </w:rPr>
        <w:t>）），本公司名义持有鸿基综合楼，尚未办理过户手续。上述名</w:t>
      </w:r>
      <w:r>
        <w:rPr>
          <w:spacing w:val="-73"/>
        </w:rPr>
        <w:t> </w:t>
      </w:r>
      <w:r>
        <w:rPr>
          <w:spacing w:val="-73"/>
        </w:rPr>
      </w:r>
      <w:r>
        <w:rPr/>
        <w:t>义持有均不涉及其他托管事项，本公司不收取报酬。</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ind w:right="140"/>
        <w:jc w:val="left"/>
      </w:pPr>
      <w:r>
        <w:rPr/>
        <w:t>（</w:t>
      </w:r>
      <w:r>
        <w:rPr>
          <w:rFonts w:ascii="Times New Roman" w:hAnsi="Times New Roman" w:cs="Times New Roman" w:eastAsia="Times New Roman" w:hint="default"/>
        </w:rPr>
        <w:t>3</w:t>
      </w:r>
      <w:r>
        <w:rPr/>
        <w:t>）资产置换及债权转让</w:t>
      </w:r>
    </w:p>
    <w:p>
      <w:pPr>
        <w:spacing w:line="240" w:lineRule="auto" w:before="12"/>
        <w:rPr>
          <w:rFonts w:ascii="宋体" w:hAnsi="宋体" w:cs="宋体" w:eastAsia="宋体" w:hint="default"/>
          <w:sz w:val="15"/>
          <w:szCs w:val="15"/>
        </w:rPr>
      </w:pPr>
    </w:p>
    <w:p>
      <w:pPr>
        <w:pStyle w:val="BodyText"/>
        <w:spacing w:line="424" w:lineRule="auto"/>
        <w:ind w:left="298" w:right="224" w:firstLine="419"/>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58"/>
        </w:rPr>
        <w:t> </w:t>
      </w:r>
      <w:r>
        <w:rPr>
          <w:rFonts w:ascii="Times New Roman" w:hAnsi="Times New Roman" w:cs="Times New Roman" w:eastAsia="Times New Roman" w:hint="default"/>
        </w:rPr>
        <w:t>23</w:t>
      </w:r>
      <w:r>
        <w:rPr>
          <w:rFonts w:ascii="Times New Roman" w:hAnsi="Times New Roman" w:cs="Times New Roman" w:eastAsia="Times New Roman" w:hint="default"/>
          <w:spacing w:val="-5"/>
        </w:rPr>
        <w:t> </w:t>
      </w:r>
      <w:r>
        <w:rPr/>
        <w:t>日经本公司第六届董事局第二次定期会议审议通过与公司股东深圳市东 </w:t>
      </w:r>
      <w:r>
        <w:rPr>
          <w:spacing w:val="-5"/>
        </w:rPr>
        <w:t>鸿信投资发展有限公司（以下简称东鸿信公司）签署的《资产置换协议》，协议约定将公司拥</w:t>
      </w:r>
      <w:r>
        <w:rPr>
          <w:spacing w:val="-80"/>
        </w:rPr>
        <w:t> </w:t>
      </w:r>
      <w:r>
        <w:rPr>
          <w:spacing w:val="-80"/>
        </w:rPr>
      </w:r>
      <w:r>
        <w:rPr>
          <w:spacing w:val="2"/>
        </w:rPr>
        <w:t>有的投资性房地产鸿基综合楼</w:t>
      </w:r>
      <w:r>
        <w:rPr>
          <w:rFonts w:ascii="Times New Roman" w:hAnsi="Times New Roman" w:cs="Times New Roman" w:eastAsia="Times New Roman" w:hint="default"/>
          <w:spacing w:val="2"/>
        </w:rPr>
        <w:t>(</w:t>
      </w:r>
      <w:r>
        <w:rPr>
          <w:spacing w:val="2"/>
        </w:rPr>
        <w:t>全栋</w:t>
      </w:r>
      <w:r>
        <w:rPr>
          <w:rFonts w:ascii="Times New Roman" w:hAnsi="Times New Roman" w:cs="Times New Roman" w:eastAsia="Times New Roman" w:hint="default"/>
          <w:spacing w:val="2"/>
        </w:rPr>
        <w:t>)</w:t>
      </w:r>
      <w:r>
        <w:rPr>
          <w:spacing w:val="2"/>
        </w:rPr>
        <w:t>物业资产与东鸿信公司拥有的鸿基大厦七楼物业资产进</w:t>
      </w:r>
      <w:r>
        <w:rPr>
          <w:spacing w:val="-100"/>
        </w:rPr>
        <w:t> </w:t>
      </w:r>
      <w:r>
        <w:rPr>
          <w:spacing w:val="-100"/>
        </w:rPr>
      </w:r>
      <w:r>
        <w:rPr/>
        <w:t>行置换，置换资产业经具有证券从业资格的评估机构的评估并以评估值做为定价依据。置换</w:t>
      </w:r>
      <w:r>
        <w:rPr>
          <w:spacing w:val="-80"/>
        </w:rPr>
        <w:t> </w:t>
      </w:r>
      <w:r>
        <w:rPr>
          <w:spacing w:val="-80"/>
        </w:rPr>
      </w:r>
      <w:r>
        <w:rPr/>
        <w:t>入的资产公允价值</w:t>
      </w:r>
      <w:r>
        <w:rPr>
          <w:spacing w:val="-55"/>
        </w:rPr>
        <w:t> </w:t>
      </w:r>
      <w:r>
        <w:rPr>
          <w:rFonts w:ascii="Times New Roman" w:hAnsi="Times New Roman" w:cs="Times New Roman" w:eastAsia="Times New Roman" w:hint="default"/>
        </w:rPr>
        <w:t>23,395,515.00</w:t>
      </w:r>
      <w:r>
        <w:rPr>
          <w:rFonts w:ascii="Times New Roman" w:hAnsi="Times New Roman" w:cs="Times New Roman" w:eastAsia="Times New Roman" w:hint="default"/>
          <w:spacing w:val="-1"/>
        </w:rPr>
        <w:t> </w:t>
      </w:r>
      <w:r>
        <w:rPr>
          <w:spacing w:val="-4"/>
        </w:rPr>
        <w:t>元，置换出的资产公允价值</w:t>
      </w:r>
      <w:r>
        <w:rPr>
          <w:spacing w:val="-55"/>
        </w:rPr>
        <w:t> </w:t>
      </w:r>
      <w:r>
        <w:rPr>
          <w:rFonts w:ascii="Times New Roman" w:hAnsi="Times New Roman" w:cs="Times New Roman" w:eastAsia="Times New Roman" w:hint="default"/>
        </w:rPr>
        <w:t>22,576,600.00</w:t>
      </w:r>
      <w:r>
        <w:rPr>
          <w:rFonts w:ascii="Times New Roman" w:hAnsi="Times New Roman" w:cs="Times New Roman" w:eastAsia="Times New Roman" w:hint="default"/>
          <w:spacing w:val="-3"/>
        </w:rPr>
        <w:t> </w:t>
      </w:r>
      <w:r>
        <w:rPr>
          <w:spacing w:val="-5"/>
        </w:rPr>
        <w:t>元，置换出的资产</w:t>
      </w:r>
    </w:p>
    <w:p>
      <w:pPr>
        <w:pStyle w:val="BodyText"/>
        <w:spacing w:line="240" w:lineRule="auto" w:before="30"/>
        <w:ind w:left="298" w:right="0"/>
        <w:jc w:val="both"/>
      </w:pPr>
      <w:r>
        <w:rPr/>
        <w:t>帐面价值 </w:t>
      </w:r>
      <w:r>
        <w:rPr>
          <w:rFonts w:ascii="Times New Roman" w:hAnsi="Times New Roman" w:cs="Times New Roman" w:eastAsia="Times New Roman" w:hint="default"/>
        </w:rPr>
        <w:t>8,901,628.93</w:t>
      </w:r>
      <w:r>
        <w:rPr>
          <w:rFonts w:ascii="Times New Roman" w:hAnsi="Times New Roman" w:cs="Times New Roman" w:eastAsia="Times New Roman" w:hint="default"/>
          <w:spacing w:val="24"/>
        </w:rPr>
        <w:t> </w:t>
      </w:r>
      <w:r>
        <w:rPr/>
        <w:t>元，按照换出资产公允价值确认为换入资产账面成本，换出资产公允</w:t>
      </w:r>
    </w:p>
    <w:p>
      <w:pPr>
        <w:spacing w:line="240" w:lineRule="auto" w:before="12"/>
        <w:rPr>
          <w:rFonts w:ascii="宋体" w:hAnsi="宋体" w:cs="宋体" w:eastAsia="宋体" w:hint="default"/>
          <w:sz w:val="15"/>
          <w:szCs w:val="15"/>
        </w:rPr>
      </w:pPr>
    </w:p>
    <w:p>
      <w:pPr>
        <w:pStyle w:val="BodyText"/>
        <w:spacing w:line="240" w:lineRule="auto"/>
        <w:ind w:left="298" w:right="0"/>
        <w:jc w:val="both"/>
      </w:pPr>
      <w:r>
        <w:rPr/>
        <w:t>价值与其账面价值的差额</w:t>
      </w:r>
      <w:r>
        <w:rPr>
          <w:spacing w:val="-57"/>
        </w:rPr>
        <w:t> </w:t>
      </w:r>
      <w:r>
        <w:rPr>
          <w:rFonts w:ascii="Times New Roman" w:hAnsi="Times New Roman" w:cs="Times New Roman" w:eastAsia="Times New Roman" w:hint="default"/>
        </w:rPr>
        <w:t>13,674,971.07</w:t>
      </w:r>
      <w:r>
        <w:rPr>
          <w:rFonts w:ascii="Times New Roman" w:hAnsi="Times New Roman" w:cs="Times New Roman" w:eastAsia="Times New Roman" w:hint="default"/>
          <w:spacing w:val="-4"/>
        </w:rPr>
        <w:t> </w:t>
      </w:r>
      <w:r>
        <w:rPr/>
        <w:t>元计入营业外收入。</w:t>
      </w:r>
    </w:p>
    <w:p>
      <w:pPr>
        <w:spacing w:line="240" w:lineRule="auto" w:before="0"/>
        <w:rPr>
          <w:rFonts w:ascii="宋体" w:hAnsi="宋体" w:cs="宋体" w:eastAsia="宋体" w:hint="default"/>
          <w:sz w:val="16"/>
          <w:szCs w:val="16"/>
        </w:rPr>
      </w:pPr>
    </w:p>
    <w:p>
      <w:pPr>
        <w:pStyle w:val="BodyText"/>
        <w:spacing w:line="240" w:lineRule="auto"/>
        <w:ind w:left="868" w:right="14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spacing w:val="-12"/>
        </w:rPr>
        <w:t>日，本公司</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年度第一次临时股东大会批准与公司股东东鸿信公司</w:t>
      </w:r>
    </w:p>
    <w:p>
      <w:pPr>
        <w:spacing w:line="240" w:lineRule="auto" w:before="0"/>
        <w:rPr>
          <w:rFonts w:ascii="宋体" w:hAnsi="宋体" w:cs="宋体" w:eastAsia="宋体" w:hint="default"/>
          <w:sz w:val="16"/>
          <w:szCs w:val="16"/>
        </w:rPr>
      </w:pPr>
    </w:p>
    <w:p>
      <w:pPr>
        <w:pStyle w:val="BodyText"/>
        <w:spacing w:line="240" w:lineRule="auto"/>
        <w:ind w:left="298" w:right="0"/>
        <w:jc w:val="both"/>
      </w:pPr>
      <w:r>
        <w:rPr/>
        <w:t>签署</w:t>
      </w:r>
      <w:r>
        <w:rPr>
          <w:spacing w:val="-38"/>
        </w:rPr>
        <w:t>的</w:t>
      </w:r>
      <w:r>
        <w:rPr/>
        <w:t>《债权转让暨资产置换协议</w:t>
      </w:r>
      <w:r>
        <w:rPr>
          <w:spacing w:val="-105"/>
        </w:rPr>
        <w:t>》</w:t>
      </w:r>
      <w:r>
        <w:rPr>
          <w:spacing w:val="-38"/>
        </w:rPr>
        <w:t>，</w:t>
      </w:r>
      <w:r>
        <w:rPr/>
        <w:t>协议约定本公司将截止</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9 </w:t>
      </w:r>
      <w:r>
        <w:rPr/>
        <w:t>年</w:t>
      </w:r>
      <w:r>
        <w:rPr>
          <w:spacing w:val="-54"/>
        </w:rPr>
        <w:t> </w:t>
      </w:r>
      <w:r>
        <w:rPr>
          <w:rFonts w:ascii="Times New Roman" w:hAnsi="Times New Roman" w:cs="Times New Roman" w:eastAsia="Times New Roman" w:hint="default"/>
        </w:rPr>
        <w:t>8 </w:t>
      </w:r>
      <w:r>
        <w:rPr/>
        <w:t>月</w:t>
      </w:r>
      <w:r>
        <w:rPr>
          <w:spacing w:val="-54"/>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 </w:t>
      </w:r>
      <w:r>
        <w:rPr/>
        <w:t>日对东南</w:t>
      </w:r>
      <w:r>
        <w:rPr>
          <w:spacing w:val="-2"/>
        </w:rPr>
        <w:t>网</w:t>
      </w:r>
      <w:r>
        <w:rPr/>
        <w:t>络历</w:t>
      </w:r>
    </w:p>
    <w:p>
      <w:pPr>
        <w:spacing w:line="240" w:lineRule="auto" w:before="12"/>
        <w:rPr>
          <w:rFonts w:ascii="宋体" w:hAnsi="宋体" w:cs="宋体" w:eastAsia="宋体" w:hint="default"/>
          <w:sz w:val="15"/>
          <w:szCs w:val="15"/>
        </w:rPr>
      </w:pPr>
    </w:p>
    <w:p>
      <w:pPr>
        <w:pStyle w:val="BodyText"/>
        <w:spacing w:line="429" w:lineRule="auto"/>
        <w:ind w:left="298" w:right="229"/>
        <w:jc w:val="both"/>
      </w:pPr>
      <w:r>
        <w:rPr/>
        <w:t>年形成的债权 </w:t>
      </w:r>
      <w:r>
        <w:rPr>
          <w:rFonts w:ascii="Times New Roman" w:hAnsi="Times New Roman" w:cs="Times New Roman" w:eastAsia="Times New Roman" w:hint="default"/>
        </w:rPr>
        <w:t>130,934,941.00</w:t>
      </w:r>
      <w:r>
        <w:rPr>
          <w:rFonts w:ascii="Times New Roman" w:hAnsi="Times New Roman" w:cs="Times New Roman" w:eastAsia="Times New Roman" w:hint="default"/>
          <w:spacing w:val="23"/>
        </w:rPr>
        <w:t> </w:t>
      </w:r>
      <w:r>
        <w:rPr/>
        <w:t>元（已全额计提减值准备）与东鸿信公司拥有的南山综合楼等 五项物业资产进行置换，公司对“东南网络”的债权转为东鸿信公司所有。南山综合楼等五</w:t>
      </w:r>
      <w:r>
        <w:rPr>
          <w:spacing w:val="-80"/>
        </w:rPr>
        <w:t> </w:t>
      </w:r>
      <w:r>
        <w:rPr>
          <w:spacing w:val="-80"/>
        </w:rPr>
      </w:r>
      <w:r>
        <w:rPr/>
        <w:t>项物业资产的评估系由东鸿信公司和公司共同委托具有证券从业资格的开元资产评估有限公</w:t>
      </w:r>
      <w:r>
        <w:rPr>
          <w:spacing w:val="-80"/>
        </w:rPr>
        <w:t> </w:t>
      </w:r>
      <w:r>
        <w:rPr>
          <w:spacing w:val="-80"/>
        </w:rPr>
      </w:r>
      <w:r>
        <w:rPr/>
        <w:t>司，采用市场比较法进行评估，并出具了“开元深资评报字</w:t>
      </w:r>
      <w:r>
        <w:rPr>
          <w:rFonts w:ascii="Times New Roman" w:hAnsi="Times New Roman" w:cs="Times New Roman" w:eastAsia="Times New Roman" w:hint="default"/>
        </w:rPr>
        <w:t>[2009]</w:t>
      </w:r>
      <w:r>
        <w:rPr/>
        <w:t>第 </w:t>
      </w:r>
      <w:r>
        <w:rPr>
          <w:rFonts w:ascii="Times New Roman" w:hAnsi="Times New Roman" w:cs="Times New Roman" w:eastAsia="Times New Roman" w:hint="default"/>
        </w:rPr>
        <w:t>050</w:t>
      </w:r>
      <w:r>
        <w:rPr>
          <w:rFonts w:ascii="Times New Roman" w:hAnsi="Times New Roman" w:cs="Times New Roman" w:eastAsia="Times New Roman" w:hint="default"/>
          <w:spacing w:val="42"/>
        </w:rPr>
        <w:t> </w:t>
      </w:r>
      <w:r>
        <w:rPr/>
        <w:t>号”评估报告。评</w:t>
      </w:r>
    </w:p>
    <w:p>
      <w:pPr>
        <w:spacing w:after="0" w:line="429" w:lineRule="auto"/>
        <w:jc w:val="both"/>
        <w:sectPr>
          <w:footerReference w:type="default" r:id="rId20"/>
          <w:pgSz w:w="11900" w:h="16840"/>
          <w:pgMar w:footer="982" w:header="0" w:top="1320" w:bottom="1180" w:left="1680" w:right="1260"/>
          <w:pgNumType w:start="73"/>
        </w:sectPr>
      </w:pPr>
    </w:p>
    <w:p>
      <w:pPr>
        <w:pStyle w:val="BodyText"/>
        <w:spacing w:line="240" w:lineRule="auto" w:before="6"/>
        <w:ind w:left="298" w:right="0"/>
        <w:jc w:val="both"/>
        <w:rPr>
          <w:rFonts w:ascii="Times New Roman" w:hAnsi="Times New Roman" w:cs="Times New Roman" w:eastAsia="Times New Roman" w:hint="default"/>
        </w:rPr>
      </w:pPr>
      <w:r>
        <w:rPr/>
        <w:t>估基准日</w:t>
      </w:r>
      <w:r>
        <w:rPr>
          <w:spacing w:val="-3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8"/>
        </w:rPr>
        <w:t> </w:t>
      </w:r>
      <w:r>
        <w:rPr/>
        <w:t>年</w:t>
      </w:r>
      <w:r>
        <w:rPr>
          <w:spacing w:val="-35"/>
        </w:rPr>
        <w:t> </w:t>
      </w:r>
      <w:r>
        <w:rPr>
          <w:rFonts w:ascii="Times New Roman" w:hAnsi="Times New Roman" w:cs="Times New Roman" w:eastAsia="Times New Roman" w:hint="default"/>
        </w:rPr>
        <w:t>8</w:t>
      </w:r>
      <w:r>
        <w:rPr>
          <w:rFonts w:ascii="Times New Roman" w:hAnsi="Times New Roman" w:cs="Times New Roman" w:eastAsia="Times New Roman" w:hint="default"/>
          <w:spacing w:val="18"/>
        </w:rPr>
        <w:t> </w:t>
      </w:r>
      <w:r>
        <w:rPr/>
        <w:t>月</w:t>
      </w:r>
      <w:r>
        <w:rPr>
          <w:spacing w:val="-37"/>
        </w:rPr>
        <w:t> </w:t>
      </w:r>
      <w:r>
        <w:rPr>
          <w:rFonts w:ascii="Times New Roman" w:hAnsi="Times New Roman" w:cs="Times New Roman" w:eastAsia="Times New Roman" w:hint="default"/>
        </w:rPr>
        <w:t>31</w:t>
      </w:r>
      <w:r>
        <w:rPr>
          <w:rFonts w:ascii="Times New Roman" w:hAnsi="Times New Roman" w:cs="Times New Roman" w:eastAsia="Times New Roman" w:hint="default"/>
          <w:spacing w:val="16"/>
        </w:rPr>
        <w:t> </w:t>
      </w:r>
      <w:r>
        <w:rPr/>
        <w:t>日，南山综合楼等五项物业资产评估价值为人民币</w:t>
      </w:r>
      <w:r>
        <w:rPr>
          <w:spacing w:val="-35"/>
        </w:rPr>
        <w:t> </w:t>
      </w:r>
      <w:r>
        <w:rPr>
          <w:rFonts w:ascii="Times New Roman" w:hAnsi="Times New Roman" w:cs="Times New Roman" w:eastAsia="Times New Roman" w:hint="default"/>
        </w:rPr>
        <w:t>106,244,662.00</w:t>
      </w:r>
    </w:p>
    <w:p>
      <w:pPr>
        <w:spacing w:line="240" w:lineRule="auto" w:before="3"/>
        <w:rPr>
          <w:rFonts w:ascii="Times New Roman" w:hAnsi="Times New Roman" w:cs="Times New Roman" w:eastAsia="Times New Roman" w:hint="default"/>
          <w:sz w:val="18"/>
          <w:szCs w:val="18"/>
        </w:rPr>
      </w:pPr>
    </w:p>
    <w:p>
      <w:pPr>
        <w:pStyle w:val="BodyText"/>
        <w:spacing w:line="412" w:lineRule="auto"/>
        <w:ind w:left="868" w:right="106" w:hanging="570"/>
        <w:jc w:val="left"/>
      </w:pPr>
      <w:r>
        <w:rPr/>
        <w:t>元，其中南山综合楼评估价值为</w:t>
      </w:r>
      <w:r>
        <w:rPr>
          <w:spacing w:val="-54"/>
        </w:rPr>
        <w:t> </w:t>
      </w:r>
      <w:r>
        <w:rPr>
          <w:rFonts w:ascii="Times New Roman" w:hAnsi="Times New Roman" w:cs="Times New Roman" w:eastAsia="Times New Roman" w:hint="default"/>
        </w:rPr>
        <w:t>63,226,438.00</w:t>
      </w:r>
      <w:r>
        <w:rPr>
          <w:rFonts w:ascii="Times New Roman" w:hAnsi="Times New Roman" w:cs="Times New Roman" w:eastAsia="Times New Roman" w:hint="default"/>
          <w:spacing w:val="-1"/>
        </w:rPr>
        <w:t> </w:t>
      </w:r>
      <w:r>
        <w:rPr/>
        <w:t>元。</w:t>
      </w:r>
      <w:r>
        <w:rPr>
          <w:spacing w:val="-2"/>
        </w:rPr>
        <w:t> </w:t>
      </w:r>
      <w:r>
        <w:rPr>
          <w:spacing w:val="-4"/>
        </w:rPr>
        <w:t>东鸿信公司承诺五项物业资产不存在任何产权瑕疵（除南山综合楼外），如有瑕疵，东</w:t>
      </w:r>
    </w:p>
    <w:p>
      <w:pPr>
        <w:pStyle w:val="BodyText"/>
        <w:spacing w:line="429" w:lineRule="auto" w:before="74"/>
        <w:ind w:left="298" w:right="106"/>
        <w:jc w:val="both"/>
      </w:pPr>
      <w:r>
        <w:rPr/>
        <w:t>鸿信公司愿意赔偿由此给本公司造成的一切损失。作为置换的物业资产之一的南山综合楼，</w:t>
      </w:r>
      <w:r>
        <w:rPr>
          <w:spacing w:val="-80"/>
        </w:rPr>
        <w:t> </w:t>
      </w:r>
      <w:r>
        <w:rPr>
          <w:spacing w:val="-80"/>
        </w:rPr>
      </w:r>
      <w:r>
        <w:rPr>
          <w:spacing w:val="-5"/>
        </w:rPr>
        <w:t>产权已登记在本公司名下并对外出租，因</w:t>
      </w:r>
      <w:r>
        <w:rPr>
          <w:spacing w:val="-52"/>
        </w:rPr>
        <w:t> </w:t>
      </w:r>
      <w:r>
        <w:rPr>
          <w:rFonts w:ascii="Times New Roman" w:hAnsi="Times New Roman" w:cs="Times New Roman" w:eastAsia="Times New Roman" w:hint="default"/>
        </w:rPr>
        <w:t>2007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日公司受东鸿信公司委托与买受人深 </w:t>
      </w:r>
      <w:r>
        <w:rPr>
          <w:spacing w:val="-5"/>
        </w:rPr>
        <w:t>圳市金特汇通投资发展有限公司签订了《房地产转让协议书》，之后又签订了补充协议书，并</w:t>
      </w:r>
      <w:r>
        <w:rPr>
          <w:spacing w:val="-83"/>
        </w:rPr>
        <w:t> </w:t>
      </w:r>
      <w:r>
        <w:rPr>
          <w:spacing w:val="-83"/>
        </w:rPr>
      </w:r>
      <w:r>
        <w:rPr/>
        <w:t>收受购房款</w:t>
      </w:r>
      <w:r>
        <w:rPr>
          <w:spacing w:val="-49"/>
        </w:rPr>
        <w:t> </w:t>
      </w:r>
      <w:r>
        <w:rPr>
          <w:rFonts w:ascii="Times New Roman" w:hAnsi="Times New Roman" w:cs="Times New Roman" w:eastAsia="Times New Roman" w:hint="default"/>
        </w:rPr>
        <w:t>2000</w:t>
      </w:r>
      <w:r>
        <w:rPr>
          <w:rFonts w:ascii="Times New Roman" w:hAnsi="Times New Roman" w:cs="Times New Roman" w:eastAsia="Times New Roman" w:hint="default"/>
          <w:spacing w:val="4"/>
        </w:rPr>
        <w:t> </w:t>
      </w:r>
      <w:r>
        <w:rPr/>
        <w:t>万元，公司使用</w:t>
      </w:r>
      <w:r>
        <w:rPr>
          <w:spacing w:val="-49"/>
        </w:rPr>
        <w:t> </w:t>
      </w:r>
      <w:r>
        <w:rPr>
          <w:rFonts w:ascii="Times New Roman" w:hAnsi="Times New Roman" w:cs="Times New Roman" w:eastAsia="Times New Roman" w:hint="default"/>
        </w:rPr>
        <w:t>1700</w:t>
      </w:r>
      <w:r>
        <w:rPr>
          <w:rFonts w:ascii="Times New Roman" w:hAnsi="Times New Roman" w:cs="Times New Roman" w:eastAsia="Times New Roman" w:hint="default"/>
          <w:spacing w:val="3"/>
        </w:rPr>
        <w:t> </w:t>
      </w:r>
      <w:r>
        <w:rPr/>
        <w:t>万元，东鸿信公司使用</w:t>
      </w:r>
      <w:r>
        <w:rPr>
          <w:spacing w:val="-49"/>
        </w:rPr>
        <w:t> </w:t>
      </w:r>
      <w:r>
        <w:rPr>
          <w:rFonts w:ascii="Times New Roman" w:hAnsi="Times New Roman" w:cs="Times New Roman" w:eastAsia="Times New Roman" w:hint="default"/>
        </w:rPr>
        <w:t>300</w:t>
      </w:r>
      <w:r>
        <w:rPr>
          <w:rFonts w:ascii="Times New Roman" w:hAnsi="Times New Roman" w:cs="Times New Roman" w:eastAsia="Times New Roman" w:hint="default"/>
          <w:spacing w:val="4"/>
        </w:rPr>
        <w:t> </w:t>
      </w:r>
      <w:r>
        <w:rPr/>
        <w:t>万元。本公司、东鸿信公 司双方将就南山综合楼未来可能发生的情形另行签订了《债权转让暨资产置换协议之补充约</w:t>
      </w:r>
      <w:r>
        <w:rPr>
          <w:spacing w:val="-80"/>
        </w:rPr>
        <w:t> </w:t>
      </w:r>
      <w:r>
        <w:rPr>
          <w:spacing w:val="-80"/>
        </w:rPr>
      </w:r>
      <w:r>
        <w:rPr>
          <w:spacing w:val="-5"/>
        </w:rPr>
        <w:t>定》，约定东鸿信公司委托本公司与金特汇通签订的南山综合楼《房地产转让协议书》及系列</w:t>
      </w:r>
      <w:r>
        <w:rPr>
          <w:spacing w:val="-83"/>
        </w:rPr>
        <w:t> </w:t>
      </w:r>
      <w:r>
        <w:rPr>
          <w:spacing w:val="-83"/>
        </w:rPr>
      </w:r>
      <w:r>
        <w:rPr/>
        <w:t>补充协议中约定的转让方违约责任均由东鸿信公司承担。如金特汇通要求公司承担责任，公</w:t>
      </w:r>
      <w:r>
        <w:rPr>
          <w:spacing w:val="-80"/>
        </w:rPr>
        <w:t> </w:t>
      </w:r>
      <w:r>
        <w:rPr>
          <w:spacing w:val="-80"/>
        </w:rPr>
      </w:r>
      <w:r>
        <w:rPr/>
        <w:t>司在承担责任后，有权向东鸿信公司追偿，东鸿信公司应对公司损失进行全额赔偿。如东鸿</w:t>
      </w:r>
      <w:r>
        <w:rPr>
          <w:spacing w:val="-80"/>
        </w:rPr>
        <w:t> </w:t>
      </w:r>
      <w:r>
        <w:rPr>
          <w:spacing w:val="-80"/>
        </w:rPr>
      </w:r>
      <w:r>
        <w:rPr/>
        <w:t>信公司不能在承诺的期限内解除与金特汇通的买卖关系并交付公司，将导致公司取得的置换</w:t>
      </w:r>
      <w:r>
        <w:rPr>
          <w:spacing w:val="-80"/>
        </w:rPr>
        <w:t> </w:t>
      </w:r>
      <w:r>
        <w:rPr>
          <w:spacing w:val="-80"/>
        </w:rPr>
      </w:r>
      <w:r>
        <w:rPr/>
        <w:t>资产价值减少，东鸿信公司同意将南山综合楼作价</w:t>
      </w:r>
      <w:r>
        <w:rPr>
          <w:spacing w:val="-68"/>
        </w:rPr>
        <w:t> </w:t>
      </w:r>
      <w:r>
        <w:rPr>
          <w:rFonts w:ascii="Times New Roman" w:hAnsi="Times New Roman" w:cs="Times New Roman" w:eastAsia="Times New Roman" w:hint="default"/>
        </w:rPr>
        <w:t>7100</w:t>
      </w:r>
      <w:r>
        <w:rPr>
          <w:rFonts w:ascii="Times New Roman" w:hAnsi="Times New Roman" w:cs="Times New Roman" w:eastAsia="Times New Roman" w:hint="default"/>
          <w:spacing w:val="-15"/>
        </w:rPr>
        <w:t> </w:t>
      </w:r>
      <w:r>
        <w:rPr>
          <w:spacing w:val="-3"/>
        </w:rPr>
        <w:t>万元以现金方式分期向甲方支付，以</w:t>
      </w:r>
      <w:r>
        <w:rPr/>
        <w:t> 弥补不能交付南山综合楼而导致公司产生的损失：</w:t>
      </w:r>
    </w:p>
    <w:p>
      <w:pPr>
        <w:pStyle w:val="BodyText"/>
        <w:spacing w:line="240" w:lineRule="auto" w:before="58"/>
        <w:ind w:left="718" w:right="106"/>
        <w:jc w:val="left"/>
      </w:pPr>
      <w:r>
        <w:rPr/>
        <w:t>第一，公司已使用的</w:t>
      </w:r>
      <w:r>
        <w:rPr>
          <w:spacing w:val="-55"/>
        </w:rPr>
        <w:t> </w:t>
      </w:r>
      <w:r>
        <w:rPr>
          <w:rFonts w:ascii="Times New Roman" w:hAnsi="Times New Roman" w:cs="Times New Roman" w:eastAsia="Times New Roman" w:hint="default"/>
        </w:rPr>
        <w:t>1700</w:t>
      </w:r>
      <w:r>
        <w:rPr>
          <w:rFonts w:ascii="Times New Roman" w:hAnsi="Times New Roman" w:cs="Times New Roman" w:eastAsia="Times New Roman" w:hint="default"/>
          <w:spacing w:val="-2"/>
        </w:rPr>
        <w:t> </w:t>
      </w:r>
      <w:r>
        <w:rPr/>
        <w:t>万元归公司所有、无须退还；</w:t>
      </w:r>
    </w:p>
    <w:p>
      <w:pPr>
        <w:spacing w:line="240" w:lineRule="auto" w:before="0"/>
        <w:rPr>
          <w:rFonts w:ascii="宋体" w:hAnsi="宋体" w:cs="宋体" w:eastAsia="宋体" w:hint="default"/>
          <w:sz w:val="16"/>
          <w:szCs w:val="16"/>
        </w:rPr>
      </w:pPr>
    </w:p>
    <w:p>
      <w:pPr>
        <w:pStyle w:val="BodyText"/>
        <w:spacing w:line="240" w:lineRule="auto"/>
        <w:ind w:left="720" w:right="106"/>
        <w:jc w:val="left"/>
      </w:pPr>
      <w:r>
        <w:rPr/>
        <w:t>第二，东鸿信公司已使用的</w:t>
      </w:r>
      <w:r>
        <w:rPr>
          <w:spacing w:val="-55"/>
        </w:rPr>
        <w:t> </w:t>
      </w:r>
      <w:r>
        <w:rPr>
          <w:rFonts w:ascii="Times New Roman" w:hAnsi="Times New Roman" w:cs="Times New Roman" w:eastAsia="Times New Roman" w:hint="default"/>
        </w:rPr>
        <w:t>300</w:t>
      </w:r>
      <w:r>
        <w:rPr>
          <w:rFonts w:ascii="Times New Roman" w:hAnsi="Times New Roman" w:cs="Times New Roman" w:eastAsia="Times New Roman" w:hint="default"/>
          <w:spacing w:val="-2"/>
        </w:rPr>
        <w:t> </w:t>
      </w:r>
      <w:r>
        <w:rPr/>
        <w:t>万元，应于</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日前支付给本公司；</w:t>
      </w:r>
    </w:p>
    <w:p>
      <w:pPr>
        <w:spacing w:line="240" w:lineRule="auto" w:before="0"/>
        <w:rPr>
          <w:rFonts w:ascii="宋体" w:hAnsi="宋体" w:cs="宋体" w:eastAsia="宋体" w:hint="default"/>
          <w:sz w:val="16"/>
          <w:szCs w:val="16"/>
        </w:rPr>
      </w:pPr>
    </w:p>
    <w:p>
      <w:pPr>
        <w:pStyle w:val="BodyText"/>
        <w:spacing w:line="240" w:lineRule="auto"/>
        <w:ind w:left="718" w:right="106"/>
        <w:jc w:val="left"/>
      </w:pPr>
      <w:r>
        <w:rPr/>
        <w:t>第三，东鸿信公司应于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日前支付</w:t>
      </w:r>
      <w:r>
        <w:rPr>
          <w:spacing w:val="-55"/>
        </w:rPr>
        <w:t> </w:t>
      </w:r>
      <w:r>
        <w:rPr>
          <w:rFonts w:ascii="Times New Roman" w:hAnsi="Times New Roman" w:cs="Times New Roman" w:eastAsia="Times New Roman" w:hint="default"/>
        </w:rPr>
        <w:t>2600</w:t>
      </w:r>
      <w:r>
        <w:rPr>
          <w:rFonts w:ascii="Times New Roman" w:hAnsi="Times New Roman" w:cs="Times New Roman" w:eastAsia="Times New Roman" w:hint="default"/>
          <w:spacing w:val="-1"/>
        </w:rPr>
        <w:t> </w:t>
      </w:r>
      <w:r>
        <w:rPr/>
        <w:t>万元给本公司；</w:t>
      </w:r>
    </w:p>
    <w:p>
      <w:pPr>
        <w:spacing w:line="240" w:lineRule="auto" w:before="12"/>
        <w:rPr>
          <w:rFonts w:ascii="宋体" w:hAnsi="宋体" w:cs="宋体" w:eastAsia="宋体" w:hint="default"/>
          <w:sz w:val="15"/>
          <w:szCs w:val="15"/>
        </w:rPr>
      </w:pPr>
    </w:p>
    <w:p>
      <w:pPr>
        <w:pStyle w:val="BodyText"/>
        <w:spacing w:line="412" w:lineRule="auto"/>
        <w:ind w:left="734" w:right="106" w:hanging="16"/>
        <w:jc w:val="left"/>
      </w:pPr>
      <w:r>
        <w:rPr/>
        <w:t>第四，余款</w:t>
      </w:r>
      <w:r>
        <w:rPr>
          <w:spacing w:val="-54"/>
        </w:rPr>
        <w:t> </w:t>
      </w:r>
      <w:r>
        <w:rPr>
          <w:rFonts w:ascii="Times New Roman" w:hAnsi="Times New Roman" w:cs="Times New Roman" w:eastAsia="Times New Roman" w:hint="default"/>
        </w:rPr>
        <w:t>2500</w:t>
      </w:r>
      <w:r>
        <w:rPr>
          <w:rFonts w:ascii="Times New Roman" w:hAnsi="Times New Roman" w:cs="Times New Roman" w:eastAsia="Times New Roman" w:hint="default"/>
          <w:spacing w:val="-1"/>
        </w:rPr>
        <w:t> </w:t>
      </w:r>
      <w:r>
        <w:rPr/>
        <w:t>万元，东鸿信公司最迟应在</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日前支付给本公司。 东鸿信公司未按以上约定及时足额支付上述款项，须向本公司支付应付未付债权转让款</w:t>
      </w:r>
    </w:p>
    <w:p>
      <w:pPr>
        <w:pStyle w:val="BodyText"/>
        <w:spacing w:line="240" w:lineRule="auto" w:before="74"/>
        <w:ind w:left="298" w:right="0"/>
        <w:jc w:val="both"/>
      </w:pPr>
      <w:r>
        <w:rPr/>
        <w:t>项金额的利息以及每日万分之二的违约金。</w:t>
      </w:r>
    </w:p>
    <w:p>
      <w:pPr>
        <w:spacing w:line="240" w:lineRule="auto" w:before="2"/>
        <w:rPr>
          <w:rFonts w:ascii="宋体" w:hAnsi="宋体" w:cs="宋体" w:eastAsia="宋体" w:hint="default"/>
          <w:sz w:val="17"/>
          <w:szCs w:val="17"/>
        </w:rPr>
      </w:pPr>
    </w:p>
    <w:p>
      <w:pPr>
        <w:pStyle w:val="BodyText"/>
        <w:spacing w:line="240" w:lineRule="auto"/>
        <w:ind w:left="848" w:right="105"/>
        <w:jc w:val="center"/>
      </w:pPr>
      <w:r>
        <w:rPr>
          <w:spacing w:val="14"/>
        </w:rPr>
        <w:t>本次债权转让后，本公司以 </w:t>
      </w:r>
      <w:r>
        <w:rPr>
          <w:rFonts w:ascii="Times New Roman" w:hAnsi="Times New Roman" w:cs="Times New Roman" w:eastAsia="Times New Roman" w:hint="default"/>
        </w:rPr>
        <w:t>106,244,662.00 </w:t>
      </w:r>
      <w:r>
        <w:rPr>
          <w:rFonts w:ascii="Times New Roman" w:hAnsi="Times New Roman" w:cs="Times New Roman" w:eastAsia="Times New Roman" w:hint="default"/>
          <w:spacing w:val="22"/>
        </w:rPr>
        <w:t> </w:t>
      </w:r>
      <w:r>
        <w:rPr>
          <w:spacing w:val="15"/>
        </w:rPr>
        <w:t>元的对价置换出对东南网络公司债权</w:t>
      </w:r>
    </w:p>
    <w:p>
      <w:pPr>
        <w:spacing w:line="240" w:lineRule="auto" w:before="0"/>
        <w:rPr>
          <w:rFonts w:ascii="宋体" w:hAnsi="宋体" w:cs="宋体" w:eastAsia="宋体" w:hint="default"/>
          <w:sz w:val="16"/>
          <w:szCs w:val="16"/>
        </w:rPr>
      </w:pPr>
    </w:p>
    <w:p>
      <w:pPr>
        <w:pStyle w:val="BodyText"/>
        <w:spacing w:line="240" w:lineRule="auto"/>
        <w:ind w:left="298" w:right="0"/>
        <w:jc w:val="both"/>
      </w:pPr>
      <w:r>
        <w:rPr>
          <w:rFonts w:ascii="Times New Roman" w:hAnsi="Times New Roman" w:cs="Times New Roman" w:eastAsia="Times New Roman" w:hint="default"/>
        </w:rPr>
        <w:t>130,934,941.00</w:t>
      </w:r>
      <w:r>
        <w:rPr>
          <w:rFonts w:ascii="Times New Roman" w:hAnsi="Times New Roman" w:cs="Times New Roman" w:eastAsia="Times New Roman" w:hint="default"/>
          <w:spacing w:val="2"/>
        </w:rPr>
        <w:t> </w:t>
      </w:r>
      <w:r>
        <w:rPr/>
        <w:t>元，截止</w:t>
      </w:r>
      <w:r>
        <w:rPr>
          <w:spacing w:val="-5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日，公司对前述债权已全额计提减值准备，因此，</w:t>
      </w:r>
    </w:p>
    <w:p>
      <w:pPr>
        <w:spacing w:line="240" w:lineRule="auto" w:before="0"/>
        <w:rPr>
          <w:rFonts w:ascii="宋体" w:hAnsi="宋体" w:cs="宋体" w:eastAsia="宋体" w:hint="default"/>
          <w:sz w:val="16"/>
          <w:szCs w:val="16"/>
        </w:rPr>
      </w:pPr>
    </w:p>
    <w:p>
      <w:pPr>
        <w:pStyle w:val="BodyText"/>
        <w:spacing w:line="240" w:lineRule="auto"/>
        <w:ind w:left="298" w:right="0"/>
        <w:jc w:val="both"/>
      </w:pPr>
      <w:r>
        <w:rPr/>
        <w:t>本公司本期转回减值准备 </w:t>
      </w:r>
      <w:r>
        <w:rPr>
          <w:rFonts w:ascii="Times New Roman" w:hAnsi="Times New Roman" w:cs="Times New Roman" w:eastAsia="Times New Roman" w:hint="default"/>
        </w:rPr>
        <w:t>106,244,662.00</w:t>
      </w:r>
      <w:r>
        <w:rPr>
          <w:rFonts w:ascii="Times New Roman" w:hAnsi="Times New Roman" w:cs="Times New Roman" w:eastAsia="Times New Roman" w:hint="default"/>
          <w:spacing w:val="23"/>
        </w:rPr>
        <w:t> </w:t>
      </w:r>
      <w:r>
        <w:rPr/>
        <w:t>元，计入了本期损益，并转销未收福建东南广播电</w:t>
      </w:r>
    </w:p>
    <w:p>
      <w:pPr>
        <w:spacing w:line="240" w:lineRule="auto" w:before="12"/>
        <w:rPr>
          <w:rFonts w:ascii="宋体" w:hAnsi="宋体" w:cs="宋体" w:eastAsia="宋体" w:hint="default"/>
          <w:sz w:val="15"/>
          <w:szCs w:val="15"/>
        </w:rPr>
      </w:pPr>
    </w:p>
    <w:p>
      <w:pPr>
        <w:pStyle w:val="BodyText"/>
        <w:spacing w:line="240" w:lineRule="auto"/>
        <w:ind w:left="298" w:right="0"/>
        <w:jc w:val="both"/>
      </w:pPr>
      <w:r>
        <w:rPr/>
        <w:t>视网络有限公司债权</w:t>
      </w:r>
      <w:r>
        <w:rPr>
          <w:spacing w:val="-58"/>
        </w:rPr>
        <w:t> </w:t>
      </w:r>
      <w:r>
        <w:rPr>
          <w:rFonts w:ascii="Times New Roman" w:hAnsi="Times New Roman" w:cs="Times New Roman" w:eastAsia="Times New Roman" w:hint="default"/>
        </w:rPr>
        <w:t>24,690,279.00</w:t>
      </w:r>
      <w:r>
        <w:rPr>
          <w:rFonts w:ascii="Times New Roman" w:hAnsi="Times New Roman" w:cs="Times New Roman" w:eastAsia="Times New Roman" w:hint="default"/>
          <w:spacing w:val="-5"/>
        </w:rPr>
        <w:t> </w:t>
      </w:r>
      <w:r>
        <w:rPr/>
        <w:t>元。</w:t>
      </w:r>
    </w:p>
    <w:p>
      <w:pPr>
        <w:spacing w:line="240" w:lineRule="auto" w:before="0"/>
        <w:rPr>
          <w:rFonts w:ascii="宋体" w:hAnsi="宋体" w:cs="宋体" w:eastAsia="宋体" w:hint="default"/>
          <w:sz w:val="16"/>
          <w:szCs w:val="16"/>
        </w:rPr>
      </w:pPr>
    </w:p>
    <w:p>
      <w:pPr>
        <w:pStyle w:val="BodyText"/>
        <w:spacing w:line="240" w:lineRule="auto"/>
        <w:ind w:left="734"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w:t>
      </w:r>
      <w:r>
        <w:rPr>
          <w:spacing w:val="-40"/>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w:t>
      </w:r>
      <w:r>
        <w:rPr>
          <w:spacing w:val="-42"/>
        </w:rPr>
        <w:t> </w:t>
      </w:r>
      <w:r>
        <w:rPr>
          <w:rFonts w:ascii="Times New Roman" w:hAnsi="Times New Roman" w:cs="Times New Roman" w:eastAsia="Times New Roman" w:hint="default"/>
        </w:rPr>
        <w:t>22</w:t>
      </w:r>
      <w:r>
        <w:rPr>
          <w:rFonts w:ascii="Times New Roman" w:hAnsi="Times New Roman" w:cs="Times New Roman" w:eastAsia="Times New Roman" w:hint="default"/>
          <w:spacing w:val="13"/>
        </w:rPr>
        <w:t> </w:t>
      </w:r>
      <w:r>
        <w:rPr/>
        <w:t>日，经本公司第六届董事局第三次定期会议审议通过与东鸿信公司签署</w:t>
      </w:r>
    </w:p>
    <w:p>
      <w:pPr>
        <w:spacing w:line="240" w:lineRule="auto" w:before="0"/>
        <w:rPr>
          <w:rFonts w:ascii="宋体" w:hAnsi="宋体" w:cs="宋体" w:eastAsia="宋体" w:hint="default"/>
          <w:sz w:val="16"/>
          <w:szCs w:val="16"/>
        </w:rPr>
      </w:pPr>
    </w:p>
    <w:p>
      <w:pPr>
        <w:pStyle w:val="BodyText"/>
        <w:spacing w:line="424" w:lineRule="auto"/>
        <w:ind w:left="298" w:right="108"/>
        <w:jc w:val="both"/>
      </w:pPr>
      <w:r>
        <w:rPr>
          <w:spacing w:val="-6"/>
        </w:rPr>
        <w:t>的《债权转让暨资产置换协议之补充约定二》，约定东鸿信公司应当在</w:t>
      </w:r>
      <w:r>
        <w:rPr>
          <w:spacing w:val="-52"/>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15 </w:t>
      </w:r>
      <w:r>
        <w:rPr/>
        <w:t>日前解 除与深圳市金特汇通投资发展有限公司签订的《房地产转让协议书》及补充协议书，如未能</w:t>
      </w:r>
      <w:r>
        <w:rPr>
          <w:spacing w:val="-80"/>
        </w:rPr>
        <w:t> </w:t>
      </w:r>
      <w:r>
        <w:rPr>
          <w:spacing w:val="-80"/>
        </w:rPr>
      </w:r>
      <w:r>
        <w:rPr/>
        <w:t>按期解除，将按上述的第三、第四条担承责任。</w:t>
      </w:r>
    </w:p>
    <w:p>
      <w:pPr>
        <w:spacing w:after="0" w:line="424" w:lineRule="auto"/>
        <w:jc w:val="both"/>
        <w:sectPr>
          <w:pgSz w:w="11900" w:h="16840"/>
          <w:pgMar w:header="0" w:footer="982" w:top="1320" w:bottom="1180" w:left="1680" w:right="1380"/>
        </w:sectPr>
      </w:pPr>
    </w:p>
    <w:p>
      <w:pPr>
        <w:pStyle w:val="BodyText"/>
        <w:spacing w:line="240" w:lineRule="auto" w:before="6"/>
        <w:ind w:left="171" w:right="6944"/>
        <w:jc w:val="center"/>
      </w:pPr>
      <w:r>
        <w:rPr/>
        <w:t>（</w:t>
      </w:r>
      <w:r>
        <w:rPr>
          <w:rFonts w:ascii="Times New Roman" w:hAnsi="Times New Roman" w:cs="Times New Roman" w:eastAsia="Times New Roman" w:hint="default"/>
        </w:rPr>
        <w:t>4</w:t>
      </w:r>
      <w:r>
        <w:rPr/>
        <w:t>）其他关联交易</w:t>
      </w:r>
    </w:p>
    <w:p>
      <w:pPr>
        <w:spacing w:line="240" w:lineRule="auto" w:before="0"/>
        <w:rPr>
          <w:rFonts w:ascii="宋体" w:hAnsi="宋体" w:cs="宋体" w:eastAsia="宋体" w:hint="default"/>
          <w:sz w:val="16"/>
          <w:szCs w:val="16"/>
        </w:rPr>
      </w:pPr>
    </w:p>
    <w:p>
      <w:pPr>
        <w:pStyle w:val="BodyText"/>
        <w:spacing w:line="412" w:lineRule="auto"/>
        <w:ind w:left="298" w:right="205" w:firstLine="525"/>
        <w:jc w:val="both"/>
      </w:pPr>
      <w:r>
        <w:rPr/>
        <w:t>经本公司</w:t>
      </w:r>
      <w:r>
        <w:rPr>
          <w:spacing w:val="-63"/>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0"/>
        </w:rPr>
        <w:t> </w:t>
      </w:r>
      <w:r>
        <w:rPr/>
        <w:t>年</w:t>
      </w:r>
      <w:r>
        <w:rPr>
          <w:spacing w:val="-63"/>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月</w:t>
      </w:r>
      <w:r>
        <w:rPr>
          <w:spacing w:val="-63"/>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日第四届董事局临时会议决议议和本公司</w:t>
      </w:r>
      <w:r>
        <w:rPr>
          <w:spacing w:val="-63"/>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0"/>
        </w:rPr>
        <w:t> </w:t>
      </w:r>
      <w:r>
        <w:rPr/>
        <w:t>年度股东大会决 议通过，本公司与正中置业集团有限公司（以下简称</w:t>
      </w:r>
      <w:r>
        <w:rPr>
          <w:rFonts w:ascii="Times New Roman" w:hAnsi="Times New Roman" w:cs="Times New Roman" w:eastAsia="Times New Roman" w:hint="default"/>
        </w:rPr>
        <w:t>“</w:t>
      </w:r>
      <w:r>
        <w:rPr/>
        <w:t>正中置业</w:t>
      </w:r>
      <w:r>
        <w:rPr>
          <w:rFonts w:ascii="Times New Roman" w:hAnsi="Times New Roman" w:cs="Times New Roman" w:eastAsia="Times New Roman" w:hint="default"/>
        </w:rPr>
        <w:t>”</w:t>
      </w:r>
      <w:r>
        <w:rPr/>
        <w:t>）合作开发本公司地处深圳</w:t>
      </w:r>
      <w:r>
        <w:rPr>
          <w:spacing w:val="-60"/>
        </w:rPr>
        <w:t> </w:t>
      </w:r>
      <w:r>
        <w:rPr>
          <w:spacing w:val="-60"/>
        </w:rPr>
      </w:r>
      <w:r>
        <w:rPr>
          <w:spacing w:val="3"/>
        </w:rPr>
        <w:t>市龙岗中心城吉祥路与深惠路交汇处宗地号为 </w:t>
      </w:r>
      <w:r>
        <w:rPr>
          <w:rFonts w:ascii="Times New Roman" w:hAnsi="Times New Roman" w:cs="Times New Roman" w:eastAsia="Times New Roman" w:hint="default"/>
        </w:rPr>
        <w:t>G01004-3</w:t>
      </w:r>
      <w:r>
        <w:rPr>
          <w:rFonts w:ascii="Times New Roman" w:hAnsi="Times New Roman" w:cs="Times New Roman" w:eastAsia="Times New Roman" w:hint="default"/>
          <w:spacing w:val="4"/>
        </w:rPr>
        <w:t> </w:t>
      </w:r>
      <w:r>
        <w:rPr>
          <w:spacing w:val="3"/>
        </w:rPr>
        <w:t>地块三期项目（以下简称</w:t>
      </w:r>
      <w:r>
        <w:rPr>
          <w:rFonts w:ascii="Times New Roman" w:hAnsi="Times New Roman" w:cs="Times New Roman" w:eastAsia="Times New Roman" w:hint="default"/>
          <w:spacing w:val="3"/>
        </w:rPr>
        <w:t>“</w:t>
      </w:r>
      <w:r>
        <w:rPr>
          <w:spacing w:val="3"/>
        </w:rPr>
        <w:t>合作项 </w:t>
      </w:r>
      <w:r>
        <w:rPr>
          <w:spacing w:val="-11"/>
        </w:rPr>
        <w:t>目</w:t>
      </w:r>
      <w:r>
        <w:rPr>
          <w:rFonts w:ascii="Times New Roman" w:hAnsi="Times New Roman" w:cs="Times New Roman" w:eastAsia="Times New Roman" w:hint="default"/>
          <w:spacing w:val="-11"/>
        </w:rPr>
        <w:t>”</w:t>
      </w:r>
      <w:r>
        <w:rPr>
          <w:spacing w:val="-11"/>
        </w:rPr>
        <w:t>），合作项目的面积为</w:t>
      </w:r>
      <w:r>
        <w:rPr>
          <w:spacing w:val="-49"/>
        </w:rPr>
        <w:t> </w:t>
      </w:r>
      <w:r>
        <w:rPr>
          <w:rFonts w:ascii="Times New Roman" w:hAnsi="Times New Roman" w:cs="Times New Roman" w:eastAsia="Times New Roman" w:hint="default"/>
          <w:spacing w:val="-1"/>
        </w:rPr>
        <w:t>85,229</w:t>
      </w:r>
      <w:r>
        <w:rPr>
          <w:rFonts w:ascii="Times New Roman" w:hAnsi="Times New Roman" w:cs="Times New Roman" w:eastAsia="Times New Roman" w:hint="default"/>
          <w:spacing w:val="4"/>
        </w:rPr>
        <w:t> </w:t>
      </w:r>
      <w:r>
        <w:rPr>
          <w:spacing w:val="-3"/>
        </w:rPr>
        <w:t>平方米。</w:t>
      </w:r>
      <w:r>
        <w:rPr>
          <w:rFonts w:ascii="Times New Roman" w:hAnsi="Times New Roman" w:cs="Times New Roman" w:eastAsia="Times New Roman" w:hint="default"/>
          <w:spacing w:val="-3"/>
        </w:rPr>
        <w:t>2006</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spacing w:val="-3"/>
        </w:rPr>
        <w:t>日，本公司与正中置业签订了《关于</w:t>
      </w:r>
      <w:r>
        <w:rPr/>
        <w:t> </w:t>
      </w:r>
      <w:r>
        <w:rPr>
          <w:spacing w:val="-4"/>
        </w:rPr>
        <w:t>鸿基花园三期合作开发协议书》，并于之后陆续签订了相关补充协议。</w:t>
      </w:r>
    </w:p>
    <w:p>
      <w:pPr>
        <w:pStyle w:val="BodyText"/>
        <w:spacing w:line="240" w:lineRule="auto" w:before="74"/>
        <w:ind w:left="171" w:right="6830"/>
        <w:jc w:val="center"/>
      </w:pPr>
      <w:r>
        <w:rPr/>
      </w:r>
      <w:r>
        <w:rPr>
          <w:u w:val="single" w:color="000000"/>
        </w:rPr>
        <w:t>项目现况</w:t>
      </w:r>
      <w:r>
        <w:rPr/>
      </w:r>
    </w:p>
    <w:p>
      <w:pPr>
        <w:spacing w:line="240" w:lineRule="auto" w:before="7"/>
        <w:rPr>
          <w:rFonts w:ascii="宋体" w:hAnsi="宋体" w:cs="宋体" w:eastAsia="宋体" w:hint="default"/>
          <w:sz w:val="14"/>
          <w:szCs w:val="14"/>
        </w:rPr>
      </w:pPr>
    </w:p>
    <w:p>
      <w:pPr>
        <w:pStyle w:val="BodyText"/>
        <w:spacing w:line="412" w:lineRule="auto" w:before="35"/>
        <w:ind w:left="298" w:right="196" w:firstLine="420"/>
        <w:jc w:val="left"/>
      </w:pPr>
      <w:r>
        <w:rPr/>
        <w:t>（</w:t>
      </w:r>
      <w:r>
        <w:rPr>
          <w:rFonts w:ascii="Times New Roman" w:hAnsi="Times New Roman" w:cs="Times New Roman" w:eastAsia="Times New Roman" w:hint="default"/>
        </w:rPr>
        <w:t>1</w:t>
      </w:r>
      <w:r>
        <w:rPr/>
        <w:t>）本项目按规划可供销售面积为</w:t>
      </w:r>
      <w:r>
        <w:rPr>
          <w:spacing w:val="-65"/>
        </w:rPr>
        <w:t> </w:t>
      </w:r>
      <w:r>
        <w:rPr>
          <w:rFonts w:ascii="Times New Roman" w:hAnsi="Times New Roman" w:cs="Times New Roman" w:eastAsia="Times New Roman" w:hint="default"/>
        </w:rPr>
        <w:t>81,061.612</w:t>
      </w:r>
      <w:r>
        <w:rPr>
          <w:rFonts w:ascii="Times New Roman" w:hAnsi="Times New Roman" w:cs="Times New Roman" w:eastAsia="Times New Roman" w:hint="default"/>
          <w:spacing w:val="-13"/>
        </w:rPr>
        <w:t> </w:t>
      </w:r>
      <w:r>
        <w:rPr>
          <w:spacing w:val="-3"/>
        </w:rPr>
        <w:t>平方米，截至本报告批准日，本项目已通</w:t>
      </w:r>
      <w:r>
        <w:rPr/>
        <w:t> 过验收并基本销售完毕和办理入伙手续。</w:t>
      </w:r>
    </w:p>
    <w:p>
      <w:pPr>
        <w:pStyle w:val="BodyText"/>
        <w:spacing w:line="412" w:lineRule="auto" w:before="74"/>
        <w:ind w:left="298" w:right="196" w:firstLine="420"/>
        <w:jc w:val="left"/>
      </w:pPr>
      <w:r>
        <w:rPr>
          <w:spacing w:val="-2"/>
        </w:rPr>
        <w:t>（</w:t>
      </w:r>
      <w:r>
        <w:rPr>
          <w:rFonts w:ascii="Times New Roman" w:hAnsi="Times New Roman" w:cs="Times New Roman" w:eastAsia="Times New Roman" w:hint="default"/>
          <w:spacing w:val="-2"/>
        </w:rPr>
        <w:t>2</w:t>
      </w:r>
      <w:r>
        <w:rPr>
          <w:spacing w:val="-2"/>
        </w:rPr>
        <w:t>）因公司与正中置业集团有限公司（以下简称</w:t>
      </w:r>
      <w:r>
        <w:rPr>
          <w:rFonts w:ascii="Times New Roman" w:hAnsi="Times New Roman" w:cs="Times New Roman" w:eastAsia="Times New Roman" w:hint="default"/>
          <w:spacing w:val="-2"/>
        </w:rPr>
        <w:t>“</w:t>
      </w:r>
      <w:r>
        <w:rPr>
          <w:spacing w:val="-2"/>
        </w:rPr>
        <w:t>正中置业</w:t>
      </w:r>
      <w:r>
        <w:rPr>
          <w:rFonts w:ascii="Times New Roman" w:hAnsi="Times New Roman" w:cs="Times New Roman" w:eastAsia="Times New Roman" w:hint="default"/>
          <w:spacing w:val="-2"/>
        </w:rPr>
        <w:t>”</w:t>
      </w:r>
      <w:r>
        <w:rPr>
          <w:spacing w:val="-2"/>
        </w:rPr>
        <w:t>）合作开发龙岗鸿基花园三</w:t>
      </w:r>
      <w:r>
        <w:rPr/>
        <w:t> 期项目合同纠纷，公司向龙岗区法院提请诉讼：</w:t>
      </w:r>
    </w:p>
    <w:p>
      <w:pPr>
        <w:pStyle w:val="BodyText"/>
        <w:spacing w:line="417" w:lineRule="auto" w:before="73"/>
        <w:ind w:left="298" w:right="94" w:firstLine="420"/>
        <w:jc w:val="left"/>
      </w:pPr>
      <w:r>
        <w:rPr/>
        <w:t>诉讼事由：</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spacing w:val="-3"/>
        </w:rPr>
        <w:t>日，深圳市鸿基（集团）股份有限公司（以下简称</w:t>
      </w:r>
      <w:r>
        <w:rPr>
          <w:rFonts w:ascii="Times New Roman" w:hAnsi="Times New Roman" w:cs="Times New Roman" w:eastAsia="Times New Roman" w:hint="default"/>
          <w:spacing w:val="-3"/>
        </w:rPr>
        <w:t>“</w:t>
      </w:r>
      <w:r>
        <w:rPr>
          <w:spacing w:val="-3"/>
        </w:rPr>
        <w:t>公司</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原</w:t>
      </w:r>
      <w:r>
        <w:rPr/>
        <w:t> 告</w:t>
      </w:r>
      <w:r>
        <w:rPr>
          <w:rFonts w:ascii="Times New Roman" w:hAnsi="Times New Roman" w:cs="Times New Roman" w:eastAsia="Times New Roman" w:hint="default"/>
        </w:rPr>
        <w:t>”</w:t>
      </w:r>
      <w:r>
        <w:rPr/>
        <w:t>）与正中置业集团有限公司（以下简称</w:t>
      </w:r>
      <w:r>
        <w:rPr>
          <w:rFonts w:ascii="Times New Roman" w:hAnsi="Times New Roman" w:cs="Times New Roman" w:eastAsia="Times New Roman" w:hint="default"/>
        </w:rPr>
        <w:t>“</w:t>
      </w:r>
      <w:r>
        <w:rPr/>
        <w:t>正中置业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被告</w:t>
      </w:r>
      <w:r>
        <w:rPr>
          <w:rFonts w:ascii="Times New Roman" w:hAnsi="Times New Roman" w:cs="Times New Roman" w:eastAsia="Times New Roman" w:hint="default"/>
        </w:rPr>
        <w:t>”</w:t>
      </w:r>
      <w:r>
        <w:rPr/>
        <w:t>）签订《关于鸿基花园三期合 </w:t>
      </w:r>
      <w:r>
        <w:rPr>
          <w:spacing w:val="-5"/>
        </w:rPr>
        <w:t>作开发协议书》（以下简称</w:t>
      </w:r>
      <w:r>
        <w:rPr>
          <w:rFonts w:ascii="Times New Roman" w:hAnsi="Times New Roman" w:cs="Times New Roman" w:eastAsia="Times New Roman" w:hint="default"/>
          <w:spacing w:val="-5"/>
        </w:rPr>
        <w:t>“</w:t>
      </w:r>
      <w:r>
        <w:rPr>
          <w:spacing w:val="-5"/>
        </w:rPr>
        <w:t>《协议书》</w:t>
      </w:r>
      <w:r>
        <w:rPr>
          <w:rFonts w:ascii="Times New Roman" w:hAnsi="Times New Roman" w:cs="Times New Roman" w:eastAsia="Times New Roman" w:hint="default"/>
          <w:spacing w:val="-5"/>
        </w:rPr>
        <w:t>”</w:t>
      </w:r>
      <w:r>
        <w:rPr>
          <w:spacing w:val="-5"/>
        </w:rPr>
        <w:t>），公司与正中置业合作开发深圳市龙岗区中心城</w:t>
      </w:r>
      <w:r>
        <w:rPr/>
        <w:t> </w:t>
      </w:r>
      <w:r>
        <w:rPr>
          <w:rFonts w:ascii="Times New Roman" w:hAnsi="Times New Roman" w:cs="Times New Roman" w:eastAsia="Times New Roman" w:hint="default"/>
        </w:rPr>
        <w:t>4</w:t>
      </w:r>
      <w:r>
        <w:rPr>
          <w:rFonts w:ascii="Times New Roman" w:hAnsi="Times New Roman" w:cs="Times New Roman" w:eastAsia="Times New Roman" w:hint="default"/>
          <w:spacing w:val="-15"/>
        </w:rPr>
        <w:t> </w:t>
      </w:r>
      <w:r>
        <w:rPr/>
        <w:t>区宗地号为 </w:t>
      </w:r>
      <w:r>
        <w:rPr>
          <w:rFonts w:ascii="Times New Roman" w:hAnsi="Times New Roman" w:cs="Times New Roman" w:eastAsia="Times New Roman" w:hint="default"/>
        </w:rPr>
        <w:t>G01004-3</w:t>
      </w:r>
      <w:r>
        <w:rPr>
          <w:rFonts w:ascii="Times New Roman" w:hAnsi="Times New Roman" w:cs="Times New Roman" w:eastAsia="Times New Roman" w:hint="default"/>
          <w:spacing w:val="-25"/>
        </w:rPr>
        <w:t> </w:t>
      </w:r>
      <w:r>
        <w:rPr/>
        <w:t>地块鸿基花园三期项目，协议约定：</w:t>
      </w:r>
      <w:r>
        <w:rPr>
          <w:rFonts w:ascii="Times New Roman" w:hAnsi="Times New Roman" w:cs="Times New Roman" w:eastAsia="Times New Roman" w:hint="default"/>
        </w:rPr>
        <w:t>“</w:t>
      </w:r>
      <w:r>
        <w:rPr/>
        <w:t>项目合作的方式由公司作为发展 </w:t>
      </w:r>
      <w:r>
        <w:rPr>
          <w:spacing w:val="-2"/>
        </w:rPr>
        <w:t>商提供可开发建设用地，正中置业作为投资商，负责项目全程开发、投资建设及销售等工作，</w:t>
      </w:r>
      <w:r>
        <w:rPr>
          <w:spacing w:val="-100"/>
        </w:rPr>
        <w:t> </w:t>
      </w:r>
      <w:r>
        <w:rPr>
          <w:spacing w:val="-100"/>
        </w:rPr>
      </w:r>
      <w:r>
        <w:rPr/>
        <w:t>按合作项目面积</w:t>
      </w:r>
      <w:r>
        <w:rPr>
          <w:spacing w:val="-61"/>
        </w:rPr>
        <w:t> </w:t>
      </w:r>
      <w:r>
        <w:rPr>
          <w:rFonts w:ascii="Times New Roman" w:hAnsi="Times New Roman" w:cs="Times New Roman" w:eastAsia="Times New Roman" w:hint="default"/>
        </w:rPr>
        <w:t>85,229</w:t>
      </w:r>
      <w:r>
        <w:rPr>
          <w:rFonts w:ascii="Times New Roman" w:hAnsi="Times New Roman" w:cs="Times New Roman" w:eastAsia="Times New Roman" w:hint="default"/>
          <w:spacing w:val="-9"/>
        </w:rPr>
        <w:t> </w:t>
      </w:r>
      <w:r>
        <w:rPr/>
        <w:t>平方米，以每平方米</w:t>
      </w:r>
      <w:r>
        <w:rPr>
          <w:spacing w:val="-61"/>
        </w:rPr>
        <w:t> </w:t>
      </w:r>
      <w:r>
        <w:rPr>
          <w:rFonts w:ascii="Times New Roman" w:hAnsi="Times New Roman" w:cs="Times New Roman" w:eastAsia="Times New Roman" w:hint="default"/>
        </w:rPr>
        <w:t>2,700.00</w:t>
      </w:r>
      <w:r>
        <w:rPr>
          <w:rFonts w:ascii="Times New Roman" w:hAnsi="Times New Roman" w:cs="Times New Roman" w:eastAsia="Times New Roman" w:hint="default"/>
          <w:spacing w:val="-8"/>
        </w:rPr>
        <w:t> </w:t>
      </w:r>
      <w:r>
        <w:rPr/>
        <w:t>元的单价分期支付公司固定收益，合计</w:t>
      </w:r>
    </w:p>
    <w:p>
      <w:pPr>
        <w:pStyle w:val="BodyText"/>
        <w:spacing w:line="424" w:lineRule="auto" w:before="36"/>
        <w:ind w:left="298" w:right="206" w:hanging="1"/>
        <w:jc w:val="both"/>
      </w:pPr>
      <w:r>
        <w:rPr>
          <w:rFonts w:ascii="Times New Roman" w:hAnsi="Times New Roman" w:cs="Times New Roman" w:eastAsia="Times New Roman" w:hint="default"/>
        </w:rPr>
        <w:t>230,118,300.00 </w:t>
      </w:r>
      <w:r>
        <w:rPr/>
        <w:t>元；同时，公司需对合作项目延长 </w:t>
      </w:r>
      <w:r>
        <w:rPr>
          <w:rFonts w:ascii="Times New Roman" w:hAnsi="Times New Roman" w:cs="Times New Roman" w:eastAsia="Times New Roman" w:hint="default"/>
        </w:rPr>
        <w:t>15 </w:t>
      </w:r>
      <w:r>
        <w:rPr/>
        <w:t>年土地使用权补交地价款</w:t>
      </w:r>
      <w:r>
        <w:rPr>
          <w:spacing w:val="-87"/>
        </w:rPr>
        <w:t> </w:t>
      </w:r>
      <w:r>
        <w:rPr>
          <w:rFonts w:ascii="Times New Roman" w:hAnsi="Times New Roman" w:cs="Times New Roman" w:eastAsia="Times New Roman" w:hint="default"/>
        </w:rPr>
        <w:t>31,248,900.00 </w:t>
      </w:r>
      <w:r>
        <w:rPr/>
        <w:t>元，该笔地价款由正中置业垫付，并在公司收取的固定收益中抵扣，正中置业负责办理延长</w:t>
      </w:r>
      <w:r>
        <w:rPr>
          <w:spacing w:val="-81"/>
        </w:rPr>
        <w:t> </w:t>
      </w:r>
      <w:r>
        <w:rPr>
          <w:spacing w:val="-81"/>
        </w:rPr>
      </w:r>
      <w:r>
        <w:rPr/>
        <w:t>土地使用年期相关手续</w:t>
      </w:r>
      <w:r>
        <w:rPr>
          <w:rFonts w:ascii="Times New Roman" w:hAnsi="Times New Roman" w:cs="Times New Roman" w:eastAsia="Times New Roman" w:hint="default"/>
        </w:rPr>
        <w:t>”</w:t>
      </w:r>
      <w:r>
        <w:rPr/>
        <w:t>。</w:t>
      </w:r>
    </w:p>
    <w:p>
      <w:pPr>
        <w:pStyle w:val="BodyText"/>
        <w:spacing w:line="436" w:lineRule="auto" w:before="29"/>
        <w:ind w:left="298" w:right="204" w:firstLine="420"/>
        <w:jc w:val="left"/>
        <w:rPr>
          <w:rFonts w:ascii="Times New Roman" w:hAnsi="Times New Roman" w:cs="Times New Roman" w:eastAsia="Times New Roman" w:hint="default"/>
        </w:rPr>
      </w:pPr>
      <w:r>
        <w:rPr/>
        <w:t>鉴于正中置业未按《协议书》约定办理延长土地使用年期的相关报建手续，也未将在公 司固定收益中扣除的用于办理延长土地使用年期的</w:t>
      </w:r>
      <w:r>
        <w:rPr>
          <w:spacing w:val="-55"/>
        </w:rPr>
        <w:t> </w:t>
      </w:r>
      <w:r>
        <w:rPr>
          <w:rFonts w:ascii="Times New Roman" w:hAnsi="Times New Roman" w:cs="Times New Roman" w:eastAsia="Times New Roman" w:hint="default"/>
        </w:rPr>
        <w:t>31,248,900.00</w:t>
      </w:r>
      <w:r>
        <w:rPr>
          <w:rFonts w:ascii="Times New Roman" w:hAnsi="Times New Roman" w:cs="Times New Roman" w:eastAsia="Times New Roman" w:hint="default"/>
          <w:spacing w:val="-2"/>
        </w:rPr>
        <w:t> </w:t>
      </w:r>
      <w:r>
        <w:rPr>
          <w:spacing w:val="-8"/>
        </w:rPr>
        <w:t>元支付给公司，公司于</w:t>
      </w:r>
      <w:r>
        <w:rPr>
          <w:spacing w:val="-55"/>
        </w:rPr>
        <w:t> </w:t>
      </w:r>
      <w:r>
        <w:rPr>
          <w:rFonts w:ascii="Times New Roman" w:hAnsi="Times New Roman" w:cs="Times New Roman" w:eastAsia="Times New Roman" w:hint="default"/>
        </w:rPr>
        <w:t>2009</w:t>
      </w:r>
    </w:p>
    <w:p>
      <w:pPr>
        <w:pStyle w:val="BodyText"/>
        <w:spacing w:line="240" w:lineRule="auto" w:before="19"/>
        <w:ind w:left="298" w:right="0"/>
        <w:jc w:val="both"/>
        <w:rPr>
          <w:rFonts w:ascii="Times New Roman" w:hAnsi="Times New Roman" w:cs="Times New Roman" w:eastAsia="Times New Roman" w:hint="default"/>
        </w:rPr>
      </w:pPr>
      <w:r>
        <w:rPr/>
        <w:t>年</w:t>
      </w:r>
      <w:r>
        <w:rPr>
          <w:spacing w:val="-53"/>
        </w:rPr>
        <w:t> </w:t>
      </w:r>
      <w:r>
        <w:rPr>
          <w:rFonts w:ascii="Times New Roman" w:hAnsi="Times New Roman" w:cs="Times New Roman" w:eastAsia="Times New Roman" w:hint="default"/>
        </w:rPr>
        <w:t>2 </w:t>
      </w:r>
      <w:r>
        <w:rPr/>
        <w:t>月</w:t>
      </w:r>
      <w:r>
        <w:rPr>
          <w:spacing w:val="-5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8 </w:t>
      </w:r>
      <w:r>
        <w:rPr>
          <w:spacing w:val="-2"/>
        </w:rPr>
        <w:t>日</w:t>
      </w:r>
      <w:r>
        <w:rPr/>
        <w:t>向龙岗区人民法院提起诉讼</w:t>
      </w:r>
      <w:r>
        <w:rPr>
          <w:spacing w:val="-84"/>
        </w:rPr>
        <w:t>，</w:t>
      </w:r>
      <w:r>
        <w:rPr/>
        <w:t>诉讼请求如下</w:t>
      </w:r>
      <w:r>
        <w:rPr>
          <w:spacing w:val="-84"/>
        </w:rPr>
        <w:t>：</w:t>
      </w:r>
      <w:r>
        <w:rPr>
          <w:rFonts w:ascii="Times New Roman" w:hAnsi="Times New Roman" w:cs="Times New Roman" w:eastAsia="Times New Roman" w:hint="default"/>
          <w:spacing w:val="-1"/>
        </w:rPr>
        <w:t>“</w:t>
      </w:r>
      <w:r>
        <w:rPr>
          <w:spacing w:val="1"/>
        </w:rPr>
        <w:t>判</w:t>
      </w:r>
      <w:r>
        <w:rPr/>
        <w:t>令被告向原告支付</w:t>
      </w:r>
      <w:r>
        <w:rPr>
          <w:spacing w:val="-53"/>
        </w:rPr>
        <w:t> </w:t>
      </w:r>
      <w:r>
        <w:rPr>
          <w:rFonts w:ascii="Times New Roman" w:hAnsi="Times New Roman" w:cs="Times New Roman" w:eastAsia="Times New Roman" w:hint="default"/>
        </w:rPr>
        <w:t>31,248,900.00</w:t>
      </w:r>
    </w:p>
    <w:p>
      <w:pPr>
        <w:spacing w:line="240" w:lineRule="auto" w:before="2"/>
        <w:rPr>
          <w:rFonts w:ascii="Times New Roman" w:hAnsi="Times New Roman" w:cs="Times New Roman" w:eastAsia="Times New Roman" w:hint="default"/>
          <w:sz w:val="18"/>
          <w:szCs w:val="18"/>
        </w:rPr>
      </w:pPr>
    </w:p>
    <w:p>
      <w:pPr>
        <w:pStyle w:val="BodyText"/>
        <w:spacing w:line="240" w:lineRule="auto"/>
        <w:ind w:left="298" w:right="0"/>
        <w:jc w:val="both"/>
      </w:pPr>
      <w:r>
        <w:rPr/>
        <w:t>元人民币；判令被告向原告支付按同期银行贷款基准利率计算的利息（以</w:t>
      </w:r>
      <w:r>
        <w:rPr>
          <w:spacing w:val="-67"/>
        </w:rPr>
        <w:t> </w:t>
      </w:r>
      <w:r>
        <w:rPr>
          <w:rFonts w:ascii="Times New Roman" w:hAnsi="Times New Roman" w:cs="Times New Roman" w:eastAsia="Times New Roman" w:hint="default"/>
        </w:rPr>
        <w:t>31,248,900.00</w:t>
      </w:r>
      <w:r>
        <w:rPr>
          <w:rFonts w:ascii="Times New Roman" w:hAnsi="Times New Roman" w:cs="Times New Roman" w:eastAsia="Times New Roman" w:hint="default"/>
          <w:spacing w:val="-15"/>
        </w:rPr>
        <w:t> </w:t>
      </w:r>
      <w:r>
        <w:rPr/>
        <w:t>元人</w:t>
      </w:r>
    </w:p>
    <w:p>
      <w:pPr>
        <w:spacing w:line="240" w:lineRule="auto" w:before="0"/>
        <w:rPr>
          <w:rFonts w:ascii="宋体" w:hAnsi="宋体" w:cs="宋体" w:eastAsia="宋体" w:hint="default"/>
          <w:sz w:val="16"/>
          <w:szCs w:val="16"/>
        </w:rPr>
      </w:pPr>
    </w:p>
    <w:p>
      <w:pPr>
        <w:pStyle w:val="BodyText"/>
        <w:spacing w:line="240" w:lineRule="auto"/>
        <w:ind w:left="298" w:right="0"/>
        <w:jc w:val="both"/>
      </w:pPr>
      <w:r>
        <w:rPr/>
        <w:t>民币为本金，自</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t>日起至实际支付日止按中国人民银行公布的一至三年期银行</w:t>
      </w:r>
    </w:p>
    <w:p>
      <w:pPr>
        <w:spacing w:line="240" w:lineRule="auto" w:before="0"/>
        <w:rPr>
          <w:rFonts w:ascii="宋体" w:hAnsi="宋体" w:cs="宋体" w:eastAsia="宋体" w:hint="default"/>
          <w:sz w:val="16"/>
          <w:szCs w:val="16"/>
        </w:rPr>
      </w:pPr>
    </w:p>
    <w:p>
      <w:pPr>
        <w:pStyle w:val="BodyText"/>
        <w:spacing w:line="240" w:lineRule="auto"/>
        <w:ind w:left="298" w:right="0"/>
        <w:jc w:val="both"/>
      </w:pPr>
      <w:r>
        <w:rPr/>
        <w:t>贷款基准利率计算利息</w:t>
      </w:r>
      <w:r>
        <w:rPr>
          <w:spacing w:val="-11"/>
        </w:rPr>
        <w:t>。</w:t>
      </w:r>
      <w:r>
        <w:rPr/>
        <w:t>暂计至</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9 </w:t>
      </w:r>
      <w:r>
        <w:rPr/>
        <w:t>年</w:t>
      </w:r>
      <w:r>
        <w:rPr>
          <w:spacing w:val="-54"/>
        </w:rPr>
        <w:t> </w:t>
      </w:r>
      <w:r>
        <w:rPr>
          <w:rFonts w:ascii="Times New Roman" w:hAnsi="Times New Roman" w:cs="Times New Roman" w:eastAsia="Times New Roman" w:hint="default"/>
        </w:rPr>
        <w:t>2 </w:t>
      </w: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日为</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8</w:t>
      </w:r>
      <w:r>
        <w:rPr>
          <w:rFonts w:ascii="Times New Roman" w:hAnsi="Times New Roman" w:cs="Times New Roman" w:eastAsia="Times New Roman" w:hint="default"/>
        </w:rPr>
        <w:t>0,</w:t>
      </w:r>
      <w:r>
        <w:rPr>
          <w:rFonts w:ascii="Times New Roman" w:hAnsi="Times New Roman" w:cs="Times New Roman" w:eastAsia="Times New Roman" w:hint="default"/>
          <w:spacing w:val="-1"/>
        </w:rPr>
        <w:t>55</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 </w:t>
      </w:r>
      <w:r>
        <w:rPr/>
        <w:t>元人</w:t>
      </w:r>
      <w:r>
        <w:rPr>
          <w:spacing w:val="-2"/>
        </w:rPr>
        <w:t>民</w:t>
      </w:r>
      <w:r>
        <w:rPr/>
        <w:t>币</w:t>
      </w:r>
      <w:r>
        <w:rPr>
          <w:spacing w:val="-105"/>
        </w:rPr>
        <w:t>。</w:t>
      </w:r>
      <w:r>
        <w:rPr>
          <w:spacing w:val="-11"/>
        </w:rPr>
        <w:t>）</w:t>
      </w:r>
      <w:r>
        <w:rPr/>
        <w:t>前述两项诉讼</w:t>
      </w:r>
    </w:p>
    <w:p>
      <w:pPr>
        <w:spacing w:line="240" w:lineRule="auto" w:before="12"/>
        <w:rPr>
          <w:rFonts w:ascii="宋体" w:hAnsi="宋体" w:cs="宋体" w:eastAsia="宋体" w:hint="default"/>
          <w:sz w:val="15"/>
          <w:szCs w:val="15"/>
        </w:rPr>
      </w:pPr>
    </w:p>
    <w:p>
      <w:pPr>
        <w:pStyle w:val="BodyText"/>
        <w:spacing w:line="412" w:lineRule="auto"/>
        <w:ind w:left="718" w:right="196" w:hanging="420"/>
        <w:jc w:val="left"/>
      </w:pPr>
      <w:r>
        <w:rPr/>
        <w:t>请求合计金额为</w:t>
      </w:r>
      <w:r>
        <w:rPr>
          <w:spacing w:val="-54"/>
        </w:rPr>
        <w:t> </w:t>
      </w:r>
      <w:r>
        <w:rPr>
          <w:rFonts w:ascii="Times New Roman" w:hAnsi="Times New Roman" w:cs="Times New Roman" w:eastAsia="Times New Roman" w:hint="default"/>
        </w:rPr>
        <w:t>35,529,452.00</w:t>
      </w:r>
      <w:r>
        <w:rPr>
          <w:rFonts w:ascii="Times New Roman" w:hAnsi="Times New Roman" w:cs="Times New Roman" w:eastAsia="Times New Roman" w:hint="default"/>
          <w:spacing w:val="-1"/>
        </w:rPr>
        <w:t> </w:t>
      </w:r>
      <w:r>
        <w:rPr/>
        <w:t>元人民币；判令被告承担本案诉讼费用。 此案在审理过程中，经龙岗区法院主持调解，公司与正中置业自愿达调解协议，并以法</w:t>
      </w:r>
    </w:p>
    <w:p>
      <w:pPr>
        <w:pStyle w:val="BodyText"/>
        <w:spacing w:line="240" w:lineRule="auto" w:before="74"/>
        <w:ind w:left="298" w:right="0"/>
        <w:jc w:val="both"/>
      </w:pPr>
      <w:r>
        <w:rPr/>
        <w:t>院调解书形式确认，主要内容为：</w:t>
      </w:r>
      <w:r>
        <w:rPr>
          <w:rFonts w:ascii="Times New Roman" w:hAnsi="Times New Roman" w:cs="Times New Roman" w:eastAsia="Times New Roman" w:hint="default"/>
        </w:rPr>
        <w:t>1</w:t>
      </w:r>
      <w:r>
        <w:rPr/>
        <w:t>、原、被告双方同意将 </w:t>
      </w:r>
      <w:r>
        <w:rPr>
          <w:rFonts w:ascii="Times New Roman" w:hAnsi="Times New Roman" w:cs="Times New Roman" w:eastAsia="Times New Roman" w:hint="default"/>
        </w:rPr>
        <w:t>31,248,900.00</w:t>
      </w:r>
      <w:r>
        <w:rPr>
          <w:rFonts w:ascii="Times New Roman" w:hAnsi="Times New Roman" w:cs="Times New Roman" w:eastAsia="Times New Roman" w:hint="default"/>
          <w:spacing w:val="23"/>
        </w:rPr>
        <w:t> </w:t>
      </w:r>
      <w:r>
        <w:rPr/>
        <w:t>元按四六的比例进</w:t>
      </w:r>
    </w:p>
    <w:p>
      <w:pPr>
        <w:spacing w:after="0" w:line="240" w:lineRule="auto"/>
        <w:jc w:val="both"/>
        <w:sectPr>
          <w:pgSz w:w="11900" w:h="16840"/>
          <w:pgMar w:header="0" w:footer="982" w:top="1320" w:bottom="1180" w:left="1680" w:right="1280"/>
        </w:sectPr>
      </w:pPr>
    </w:p>
    <w:p>
      <w:pPr>
        <w:pStyle w:val="BodyText"/>
        <w:spacing w:line="240" w:lineRule="auto" w:before="6"/>
        <w:ind w:left="298" w:right="140"/>
        <w:jc w:val="left"/>
      </w:pPr>
      <w:r>
        <w:rPr/>
        <w:t>行分配</w:t>
      </w:r>
      <w:r>
        <w:rPr>
          <w:rFonts w:ascii="Times New Roman" w:hAnsi="Times New Roman" w:cs="Times New Roman" w:eastAsia="Times New Roman" w:hint="default"/>
        </w:rPr>
        <w:t>,</w:t>
      </w:r>
      <w:r>
        <w:rPr/>
        <w:t>即原告应分得款项为</w:t>
      </w:r>
      <w:r>
        <w:rPr>
          <w:spacing w:val="-56"/>
        </w:rPr>
        <w:t> </w:t>
      </w:r>
      <w:r>
        <w:rPr>
          <w:rFonts w:ascii="Times New Roman" w:hAnsi="Times New Roman" w:cs="Times New Roman" w:eastAsia="Times New Roman" w:hint="default"/>
        </w:rPr>
        <w:t>12,499,560.00</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被告应分的款项为</w:t>
      </w:r>
      <w:r>
        <w:rPr>
          <w:spacing w:val="-56"/>
        </w:rPr>
        <w:t> </w:t>
      </w:r>
      <w:r>
        <w:rPr>
          <w:rFonts w:ascii="Times New Roman" w:hAnsi="Times New Roman" w:cs="Times New Roman" w:eastAsia="Times New Roman" w:hint="default"/>
        </w:rPr>
        <w:t>18,749,340</w:t>
      </w:r>
      <w:r>
        <w:rPr>
          <w:rFonts w:ascii="Times New Roman" w:hAnsi="Times New Roman" w:cs="Times New Roman" w:eastAsia="Times New Roman" w:hint="default"/>
          <w:spacing w:val="-3"/>
        </w:rPr>
        <w:t> </w:t>
      </w:r>
      <w:r>
        <w:rPr>
          <w:spacing w:val="-3"/>
        </w:rPr>
        <w:t>元。</w:t>
      </w:r>
      <w:r>
        <w:rPr>
          <w:rFonts w:ascii="Times New Roman" w:hAnsi="Times New Roman" w:cs="Times New Roman" w:eastAsia="Times New Roman" w:hint="default"/>
          <w:spacing w:val="-3"/>
        </w:rPr>
        <w:t>2</w:t>
      </w:r>
      <w:r>
        <w:rPr>
          <w:spacing w:val="-3"/>
        </w:rPr>
        <w:t>、被告承诺</w:t>
      </w:r>
    </w:p>
    <w:p>
      <w:pPr>
        <w:spacing w:line="240" w:lineRule="auto" w:before="0"/>
        <w:rPr>
          <w:rFonts w:ascii="宋体" w:hAnsi="宋体" w:cs="宋体" w:eastAsia="宋体" w:hint="default"/>
          <w:sz w:val="16"/>
          <w:szCs w:val="16"/>
        </w:rPr>
      </w:pPr>
    </w:p>
    <w:p>
      <w:pPr>
        <w:pStyle w:val="BodyText"/>
        <w:spacing w:line="240" w:lineRule="auto"/>
        <w:ind w:left="298" w:right="140"/>
        <w:jc w:val="left"/>
      </w:pPr>
      <w:r>
        <w:rPr/>
        <w:t>以</w:t>
      </w:r>
      <w:r>
        <w:rPr>
          <w:rFonts w:ascii="Times New Roman" w:hAnsi="Times New Roman" w:cs="Times New Roman" w:eastAsia="Times New Roman" w:hint="default"/>
        </w:rPr>
        <w:t>”</w:t>
      </w:r>
      <w:r>
        <w:rPr/>
        <w:t>龙岗鸿基花园三期</w:t>
      </w:r>
      <w:r>
        <w:rPr>
          <w:rFonts w:ascii="Times New Roman" w:hAnsi="Times New Roman" w:cs="Times New Roman" w:eastAsia="Times New Roman" w:hint="default"/>
        </w:rPr>
        <w:t>”</w:t>
      </w:r>
      <w:r>
        <w:rPr/>
        <w:t>中价值 </w:t>
      </w:r>
      <w:r>
        <w:rPr>
          <w:rFonts w:ascii="Times New Roman" w:hAnsi="Times New Roman" w:cs="Times New Roman" w:eastAsia="Times New Roman" w:hint="default"/>
        </w:rPr>
        <w:t>12,499,560.00 </w:t>
      </w:r>
      <w:r>
        <w:rPr>
          <w:rFonts w:ascii="Times New Roman" w:hAnsi="Times New Roman" w:cs="Times New Roman" w:eastAsia="Times New Roman" w:hint="default"/>
          <w:spacing w:val="37"/>
        </w:rPr>
        <w:t> </w:t>
      </w:r>
      <w:r>
        <w:rPr/>
        <w:t>元的未售房产抵偿债权</w:t>
      </w:r>
      <w:r>
        <w:rPr>
          <w:rFonts w:ascii="Times New Roman" w:hAnsi="Times New Roman" w:cs="Times New Roman" w:eastAsia="Times New Roman" w:hint="default"/>
        </w:rPr>
        <w:t>,</w:t>
      </w:r>
      <w:r>
        <w:rPr/>
        <w:t>原告亦予以同意。截止</w:t>
      </w:r>
    </w:p>
    <w:p>
      <w:pPr>
        <w:spacing w:line="240" w:lineRule="auto" w:before="12"/>
        <w:rPr>
          <w:rFonts w:ascii="宋体" w:hAnsi="宋体" w:cs="宋体" w:eastAsia="宋体" w:hint="default"/>
          <w:sz w:val="15"/>
          <w:szCs w:val="15"/>
        </w:rPr>
      </w:pPr>
    </w:p>
    <w:p>
      <w:pPr>
        <w:pStyle w:val="BodyText"/>
        <w:spacing w:line="240" w:lineRule="auto"/>
        <w:ind w:left="298" w:right="14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日，公司已按调解书执行完毕，并调整入账。</w:t>
      </w:r>
    </w:p>
    <w:p>
      <w:pPr>
        <w:spacing w:line="240" w:lineRule="auto" w:before="0"/>
        <w:rPr>
          <w:rFonts w:ascii="宋体" w:hAnsi="宋体" w:cs="宋体" w:eastAsia="宋体" w:hint="default"/>
          <w:sz w:val="16"/>
          <w:szCs w:val="16"/>
        </w:rPr>
      </w:pPr>
    </w:p>
    <w:p>
      <w:pPr>
        <w:pStyle w:val="BodyText"/>
        <w:spacing w:line="240" w:lineRule="auto"/>
        <w:ind w:left="718" w:right="140"/>
        <w:jc w:val="left"/>
      </w:pPr>
      <w:r>
        <w:rPr/>
        <w:t>（</w:t>
      </w:r>
      <w:r>
        <w:rPr>
          <w:rFonts w:ascii="Times New Roman" w:hAnsi="Times New Roman" w:cs="Times New Roman" w:eastAsia="Times New Roman" w:hint="default"/>
        </w:rPr>
        <w:t>3</w:t>
      </w:r>
      <w:r>
        <w:rPr/>
        <w:t>）公司目前正与正中公司协商对该项目进行税务清算事宜。</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9"/>
          <w:szCs w:val="29"/>
        </w:rPr>
      </w:pPr>
    </w:p>
    <w:p>
      <w:pPr>
        <w:pStyle w:val="BodyText"/>
        <w:spacing w:line="240" w:lineRule="auto"/>
        <w:ind w:right="140"/>
        <w:jc w:val="left"/>
      </w:pPr>
      <w:r>
        <w:rPr>
          <w:rFonts w:ascii="Times New Roman" w:hAnsi="Times New Roman" w:cs="Times New Roman" w:eastAsia="Times New Roman" w:hint="default"/>
          <w:b/>
          <w:bCs/>
        </w:rPr>
        <w:t>6</w:t>
      </w:r>
      <w:r>
        <w:rPr/>
        <w:t>、关联方应收应付款项</w:t>
      </w:r>
    </w:p>
    <w:p>
      <w:pPr>
        <w:pStyle w:val="BodyText"/>
        <w:tabs>
          <w:tab w:pos="1049" w:val="left" w:leader="none"/>
        </w:tabs>
        <w:spacing w:line="240" w:lineRule="auto" w:before="189"/>
        <w:ind w:left="0" w:right="150"/>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41" w:type="dxa"/>
        <w:tblLayout w:type="fixed"/>
        <w:tblCellMar>
          <w:top w:w="0" w:type="dxa"/>
          <w:left w:w="0" w:type="dxa"/>
          <w:bottom w:w="0" w:type="dxa"/>
          <w:right w:w="0" w:type="dxa"/>
        </w:tblCellMar>
        <w:tblLook w:val="01E0"/>
      </w:tblPr>
      <w:tblGrid>
        <w:gridCol w:w="1744"/>
        <w:gridCol w:w="3120"/>
        <w:gridCol w:w="1914"/>
        <w:gridCol w:w="1914"/>
      </w:tblGrid>
      <w:tr>
        <w:trPr>
          <w:trHeight w:val="490" w:hRule="exact"/>
        </w:trPr>
        <w:tc>
          <w:tcPr>
            <w:tcW w:w="1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期初金额</w:t>
            </w:r>
          </w:p>
        </w:tc>
      </w:tr>
      <w:tr>
        <w:trPr>
          <w:trHeight w:val="490" w:hRule="exact"/>
        </w:trPr>
        <w:tc>
          <w:tcPr>
            <w:tcW w:w="1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深圳市赛德隆投资有限公司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Times New Roman"/>
                <w:spacing w:val="-1"/>
                <w:sz w:val="18"/>
              </w:rPr>
              <w:t>47,438,461.73</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47,438,461.73</w:t>
            </w:r>
          </w:p>
        </w:tc>
      </w:tr>
      <w:tr>
        <w:trPr>
          <w:trHeight w:val="491" w:hRule="exact"/>
        </w:trPr>
        <w:tc>
          <w:tcPr>
            <w:tcW w:w="1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深圳市鸿丰酒店管理有限公司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Times New Roman"/>
                <w:spacing w:val="-1"/>
                <w:sz w:val="18"/>
              </w:rPr>
              <w:t>1,601,164.27</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30"/>
              <w:jc w:val="right"/>
              <w:rPr>
                <w:rFonts w:ascii="Times New Roman" w:hAnsi="Times New Roman" w:cs="Times New Roman" w:eastAsia="Times New Roman" w:hint="default"/>
                <w:sz w:val="18"/>
                <w:szCs w:val="18"/>
              </w:rPr>
            </w:pPr>
            <w:r>
              <w:rPr>
                <w:rFonts w:ascii="Times New Roman"/>
                <w:spacing w:val="-1"/>
                <w:sz w:val="18"/>
              </w:rPr>
              <w:t>1,639,301.86</w:t>
            </w:r>
          </w:p>
        </w:tc>
      </w:tr>
      <w:tr>
        <w:trPr>
          <w:trHeight w:val="490" w:hRule="exact"/>
        </w:trPr>
        <w:tc>
          <w:tcPr>
            <w:tcW w:w="1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福建东南广播电视网络有限公司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50"/>
              <w:jc w:val="right"/>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30"/>
              <w:jc w:val="right"/>
              <w:rPr>
                <w:rFonts w:ascii="Times New Roman" w:hAnsi="Times New Roman" w:cs="Times New Roman" w:eastAsia="Times New Roman" w:hint="default"/>
                <w:sz w:val="18"/>
                <w:szCs w:val="18"/>
              </w:rPr>
            </w:pPr>
            <w:r>
              <w:rPr>
                <w:rFonts w:ascii="Times New Roman"/>
                <w:spacing w:val="-1"/>
                <w:sz w:val="18"/>
              </w:rPr>
              <w:t>130,934,941.00</w:t>
            </w:r>
          </w:p>
        </w:tc>
      </w:tr>
      <w:tr>
        <w:trPr>
          <w:trHeight w:val="490" w:hRule="exact"/>
        </w:trPr>
        <w:tc>
          <w:tcPr>
            <w:tcW w:w="1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深圳市泉源实业发展有限公司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Times New Roman"/>
                <w:spacing w:val="-1"/>
                <w:sz w:val="18"/>
              </w:rPr>
              <w:t>3,750,000.00</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30"/>
              <w:jc w:val="right"/>
              <w:rPr>
                <w:rFonts w:ascii="Times New Roman" w:hAnsi="Times New Roman" w:cs="Times New Roman" w:eastAsia="Times New Roman" w:hint="default"/>
                <w:sz w:val="18"/>
                <w:szCs w:val="18"/>
              </w:rPr>
            </w:pPr>
            <w:r>
              <w:rPr>
                <w:rFonts w:ascii="Times New Roman"/>
                <w:spacing w:val="-1"/>
                <w:sz w:val="18"/>
              </w:rPr>
              <w:t>3,750,000.00</w:t>
            </w:r>
          </w:p>
        </w:tc>
      </w:tr>
      <w:tr>
        <w:trPr>
          <w:trHeight w:val="491" w:hRule="exact"/>
        </w:trPr>
        <w:tc>
          <w:tcPr>
            <w:tcW w:w="1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深圳市鸿基广源贸易有限公司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Times New Roman"/>
                <w:spacing w:val="-1"/>
                <w:sz w:val="18"/>
              </w:rPr>
              <w:t>3,260,739.46</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30"/>
              <w:jc w:val="right"/>
              <w:rPr>
                <w:rFonts w:ascii="Times New Roman" w:hAnsi="Times New Roman" w:cs="Times New Roman" w:eastAsia="Times New Roman" w:hint="default"/>
                <w:sz w:val="18"/>
                <w:szCs w:val="18"/>
              </w:rPr>
            </w:pPr>
            <w:r>
              <w:rPr>
                <w:rFonts w:ascii="Times New Roman"/>
                <w:spacing w:val="-1"/>
                <w:sz w:val="18"/>
              </w:rPr>
              <w:t>4,077,739.46</w:t>
            </w:r>
          </w:p>
        </w:tc>
      </w:tr>
      <w:tr>
        <w:trPr>
          <w:trHeight w:val="490" w:hRule="exact"/>
        </w:trPr>
        <w:tc>
          <w:tcPr>
            <w:tcW w:w="1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深圳市鸿基影视文化发展有限公司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50"/>
              <w:jc w:val="right"/>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30"/>
              <w:jc w:val="right"/>
              <w:rPr>
                <w:rFonts w:ascii="Times New Roman" w:hAnsi="Times New Roman" w:cs="Times New Roman" w:eastAsia="Times New Roman" w:hint="default"/>
                <w:sz w:val="18"/>
                <w:szCs w:val="18"/>
              </w:rPr>
            </w:pPr>
            <w:r>
              <w:rPr>
                <w:rFonts w:ascii="Times New Roman"/>
                <w:spacing w:val="-1"/>
                <w:sz w:val="18"/>
              </w:rPr>
              <w:t>6,238,491.81</w:t>
            </w:r>
          </w:p>
        </w:tc>
      </w:tr>
      <w:tr>
        <w:trPr>
          <w:trHeight w:val="490" w:hRule="exact"/>
        </w:trPr>
        <w:tc>
          <w:tcPr>
            <w:tcW w:w="1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正中置业集团有限公司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Times New Roman"/>
                <w:spacing w:val="-1"/>
                <w:sz w:val="18"/>
              </w:rPr>
              <w:t>15,020,889.67</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30"/>
              <w:jc w:val="right"/>
              <w:rPr>
                <w:rFonts w:ascii="Times New Roman" w:hAnsi="Times New Roman" w:cs="Times New Roman" w:eastAsia="Times New Roman" w:hint="default"/>
                <w:sz w:val="18"/>
                <w:szCs w:val="18"/>
              </w:rPr>
            </w:pPr>
            <w:r>
              <w:rPr>
                <w:rFonts w:ascii="Times New Roman"/>
                <w:spacing w:val="-1"/>
                <w:sz w:val="18"/>
              </w:rPr>
              <w:t>38,541,703.18</w:t>
            </w:r>
          </w:p>
        </w:tc>
      </w:tr>
      <w:tr>
        <w:trPr>
          <w:trHeight w:val="491" w:hRule="exact"/>
        </w:trPr>
        <w:tc>
          <w:tcPr>
            <w:tcW w:w="1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深圳市鸿基雅喆电梯有限公司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50"/>
              <w:jc w:val="right"/>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30"/>
              <w:jc w:val="right"/>
              <w:rPr>
                <w:rFonts w:ascii="Times New Roman" w:hAnsi="Times New Roman" w:cs="Times New Roman" w:eastAsia="Times New Roman" w:hint="default"/>
                <w:sz w:val="18"/>
                <w:szCs w:val="18"/>
              </w:rPr>
            </w:pPr>
            <w:r>
              <w:rPr>
                <w:rFonts w:ascii="Times New Roman"/>
                <w:spacing w:val="-1"/>
                <w:sz w:val="18"/>
              </w:rPr>
              <w:t>3,157,400.00</w:t>
            </w:r>
          </w:p>
        </w:tc>
      </w:tr>
      <w:tr>
        <w:trPr>
          <w:trHeight w:val="490" w:hRule="exact"/>
        </w:trPr>
        <w:tc>
          <w:tcPr>
            <w:tcW w:w="1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深圳市鸿基雅喆电梯有限公司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Times New Roman"/>
                <w:sz w:val="18"/>
              </w:rPr>
              <w:t>16,220.00</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55"/>
              <w:jc w:val="right"/>
              <w:rPr>
                <w:rFonts w:ascii="Times New Roman" w:hAnsi="Times New Roman" w:cs="Times New Roman" w:eastAsia="Times New Roman" w:hint="default"/>
                <w:sz w:val="18"/>
                <w:szCs w:val="18"/>
              </w:rPr>
            </w:pPr>
            <w:r>
              <w:rPr>
                <w:rFonts w:ascii="Times New Roman"/>
                <w:sz w:val="18"/>
              </w:rPr>
              <w:t>-</w:t>
            </w:r>
          </w:p>
        </w:tc>
      </w:tr>
      <w:tr>
        <w:trPr>
          <w:trHeight w:val="490" w:hRule="exact"/>
        </w:trPr>
        <w:tc>
          <w:tcPr>
            <w:tcW w:w="1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深圳赛德隆投资发展有限公司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Times New Roman"/>
                <w:spacing w:val="-1"/>
                <w:sz w:val="18"/>
              </w:rPr>
              <w:t>4,004,613.09</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30"/>
              <w:jc w:val="right"/>
              <w:rPr>
                <w:rFonts w:ascii="Times New Roman" w:hAnsi="Times New Roman" w:cs="Times New Roman" w:eastAsia="Times New Roman" w:hint="default"/>
                <w:sz w:val="18"/>
                <w:szCs w:val="18"/>
              </w:rPr>
            </w:pPr>
            <w:r>
              <w:rPr>
                <w:rFonts w:ascii="Times New Roman"/>
                <w:spacing w:val="-1"/>
                <w:sz w:val="18"/>
              </w:rPr>
              <w:t>9,604,613.09</w:t>
            </w:r>
          </w:p>
        </w:tc>
      </w:tr>
      <w:tr>
        <w:trPr>
          <w:trHeight w:val="491" w:hRule="exact"/>
        </w:trPr>
        <w:tc>
          <w:tcPr>
            <w:tcW w:w="1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深圳市新鸿泰投资发展有限公司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Times New Roman"/>
                <w:spacing w:val="-1"/>
                <w:sz w:val="18"/>
              </w:rPr>
              <w:t>8,709,959.12</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30"/>
              <w:jc w:val="right"/>
              <w:rPr>
                <w:rFonts w:ascii="Times New Roman" w:hAnsi="Times New Roman" w:cs="Times New Roman" w:eastAsia="Times New Roman" w:hint="default"/>
                <w:sz w:val="18"/>
                <w:szCs w:val="18"/>
              </w:rPr>
            </w:pPr>
            <w:r>
              <w:rPr>
                <w:rFonts w:ascii="Times New Roman"/>
                <w:spacing w:val="-1"/>
                <w:sz w:val="18"/>
              </w:rPr>
              <w:t>9,059,959.12</w:t>
            </w:r>
          </w:p>
        </w:tc>
      </w:tr>
      <w:tr>
        <w:trPr>
          <w:trHeight w:val="490" w:hRule="exact"/>
        </w:trPr>
        <w:tc>
          <w:tcPr>
            <w:tcW w:w="1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深运工贸翠苑旅店</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Times New Roman"/>
                <w:spacing w:val="-1"/>
                <w:sz w:val="18"/>
              </w:rPr>
              <w:t>1,292,872.73</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30"/>
              <w:jc w:val="right"/>
              <w:rPr>
                <w:rFonts w:ascii="Times New Roman" w:hAnsi="Times New Roman" w:cs="Times New Roman" w:eastAsia="Times New Roman" w:hint="default"/>
                <w:sz w:val="18"/>
                <w:szCs w:val="18"/>
              </w:rPr>
            </w:pPr>
            <w:r>
              <w:rPr>
                <w:rFonts w:ascii="Times New Roman"/>
                <w:spacing w:val="-1"/>
                <w:sz w:val="18"/>
              </w:rPr>
              <w:t>1,292,872.73</w:t>
            </w:r>
          </w:p>
        </w:tc>
      </w:tr>
      <w:tr>
        <w:trPr>
          <w:trHeight w:val="490" w:hRule="exact"/>
        </w:trPr>
        <w:tc>
          <w:tcPr>
            <w:tcW w:w="1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罗秦川、毛艳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50"/>
              <w:jc w:val="right"/>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31"/>
              <w:jc w:val="right"/>
              <w:rPr>
                <w:rFonts w:ascii="Times New Roman" w:hAnsi="Times New Roman" w:cs="Times New Roman" w:eastAsia="Times New Roman" w:hint="default"/>
                <w:sz w:val="18"/>
                <w:szCs w:val="18"/>
              </w:rPr>
            </w:pPr>
            <w:r>
              <w:rPr>
                <w:rFonts w:ascii="Times New Roman"/>
                <w:sz w:val="18"/>
              </w:rPr>
              <w:t>80,000.00</w:t>
            </w:r>
          </w:p>
        </w:tc>
      </w:tr>
      <w:tr>
        <w:trPr>
          <w:trHeight w:val="491" w:hRule="exact"/>
        </w:trPr>
        <w:tc>
          <w:tcPr>
            <w:tcW w:w="1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林引福</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50"/>
              <w:jc w:val="right"/>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30"/>
              <w:jc w:val="right"/>
              <w:rPr>
                <w:rFonts w:ascii="Times New Roman" w:hAnsi="Times New Roman" w:cs="Times New Roman" w:eastAsia="Times New Roman" w:hint="default"/>
                <w:sz w:val="18"/>
                <w:szCs w:val="18"/>
              </w:rPr>
            </w:pPr>
            <w:r>
              <w:rPr>
                <w:rFonts w:ascii="Times New Roman"/>
                <w:sz w:val="18"/>
              </w:rPr>
              <w:t>306,840.00</w:t>
            </w:r>
          </w:p>
        </w:tc>
      </w:tr>
      <w:tr>
        <w:trPr>
          <w:trHeight w:val="490" w:hRule="exact"/>
        </w:trPr>
        <w:tc>
          <w:tcPr>
            <w:tcW w:w="1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深圳市鸿基雅喆电梯有限公司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560,000.00</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360,000.00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right="140"/>
        <w:jc w:val="left"/>
        <w:rPr>
          <w:rFonts w:ascii="黑体" w:hAnsi="黑体" w:cs="黑体" w:eastAsia="黑体" w:hint="default"/>
        </w:rPr>
      </w:pPr>
      <w:r>
        <w:rPr>
          <w:rFonts w:ascii="黑体" w:hAnsi="黑体" w:cs="黑体" w:eastAsia="黑体" w:hint="default"/>
        </w:rPr>
        <w:t>七、或有事项</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15"/>
          <w:szCs w:val="15"/>
        </w:rPr>
      </w:pPr>
    </w:p>
    <w:p>
      <w:pPr>
        <w:pStyle w:val="BodyText"/>
        <w:spacing w:line="240" w:lineRule="auto"/>
        <w:ind w:right="140"/>
        <w:jc w:val="left"/>
      </w:pPr>
      <w:r>
        <w:rPr>
          <w:rFonts w:ascii="Times New Roman" w:hAnsi="Times New Roman" w:cs="Times New Roman" w:eastAsia="Times New Roman" w:hint="default"/>
          <w:b/>
          <w:bCs/>
        </w:rPr>
        <w:t>1</w:t>
      </w:r>
      <w:r>
        <w:rPr/>
        <w:t>、未决诉讼仲裁形成的或有负债及其财务影响</w:t>
      </w:r>
    </w:p>
    <w:p>
      <w:pPr>
        <w:spacing w:line="240" w:lineRule="auto" w:before="0"/>
        <w:rPr>
          <w:rFonts w:ascii="宋体" w:hAnsi="宋体" w:cs="宋体" w:eastAsia="宋体" w:hint="default"/>
          <w:sz w:val="16"/>
          <w:szCs w:val="16"/>
        </w:rPr>
      </w:pPr>
    </w:p>
    <w:p>
      <w:pPr>
        <w:pStyle w:val="BodyText"/>
        <w:spacing w:line="240" w:lineRule="auto"/>
        <w:ind w:left="720" w:right="140"/>
        <w:jc w:val="left"/>
      </w:pPr>
      <w:r>
        <w:rPr/>
        <w:t>截止</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日，本公司无未决诉讼仲裁形成的或有负债。</w:t>
      </w:r>
    </w:p>
    <w:p>
      <w:pPr>
        <w:spacing w:after="0" w:line="240" w:lineRule="auto"/>
        <w:jc w:val="left"/>
        <w:sectPr>
          <w:pgSz w:w="11900" w:h="16840"/>
          <w:pgMar w:header="0" w:footer="982" w:top="1320" w:bottom="1180" w:left="1680" w:right="1260"/>
        </w:sectPr>
      </w:pPr>
    </w:p>
    <w:p>
      <w:pPr>
        <w:spacing w:line="240" w:lineRule="auto" w:before="9"/>
        <w:rPr>
          <w:rFonts w:ascii="宋体" w:hAnsi="宋体" w:cs="宋体" w:eastAsia="宋体" w:hint="default"/>
          <w:sz w:val="14"/>
          <w:szCs w:val="14"/>
        </w:rPr>
      </w:pPr>
    </w:p>
    <w:p>
      <w:pPr>
        <w:pStyle w:val="BodyText"/>
        <w:spacing w:line="412" w:lineRule="auto" w:before="35"/>
        <w:ind w:left="718" w:right="142" w:hanging="468"/>
        <w:jc w:val="left"/>
      </w:pPr>
      <w:r>
        <w:rPr>
          <w:rFonts w:ascii="Times New Roman" w:hAnsi="Times New Roman" w:cs="Times New Roman" w:eastAsia="Times New Roman" w:hint="default"/>
          <w:b/>
          <w:bCs/>
        </w:rPr>
        <w:t>2</w:t>
      </w:r>
      <w:r>
        <w:rPr/>
        <w:t>、为其他单位提供债务担保形成的或有负债及其财务影响</w:t>
      </w:r>
      <w:r>
        <w:rPr>
          <w:spacing w:val="-91"/>
        </w:rPr>
        <w:t> </w:t>
      </w:r>
      <w:r>
        <w:rPr>
          <w:spacing w:val="-91"/>
        </w:rPr>
      </w:r>
      <w:r>
        <w:rPr>
          <w:spacing w:val="-2"/>
        </w:rPr>
        <w:t>本公司按房地产经营惯例为商品房承购人提供抵押贷款担保。担保类型为阶段性担保。截</w:t>
      </w:r>
    </w:p>
    <w:p>
      <w:pPr>
        <w:pStyle w:val="BodyText"/>
        <w:spacing w:line="240" w:lineRule="auto" w:before="74"/>
        <w:ind w:left="358" w:right="142"/>
        <w:jc w:val="left"/>
      </w:pPr>
      <w:r>
        <w:rPr/>
        <w:t>止</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日，共承担阶段性担保额为</w:t>
      </w:r>
      <w:r>
        <w:rPr>
          <w:spacing w:val="-55"/>
        </w:rPr>
        <w:t> </w:t>
      </w:r>
      <w:r>
        <w:rPr>
          <w:rFonts w:ascii="Times New Roman" w:hAnsi="Times New Roman" w:cs="Times New Roman" w:eastAsia="Times New Roman" w:hint="default"/>
        </w:rPr>
        <w:t>44,304</w:t>
      </w:r>
      <w:r>
        <w:rPr>
          <w:rFonts w:ascii="Times New Roman" w:hAnsi="Times New Roman" w:cs="Times New Roman" w:eastAsia="Times New Roman" w:hint="default"/>
          <w:spacing w:val="-1"/>
        </w:rPr>
        <w:t> </w:t>
      </w:r>
      <w:r>
        <w:rPr/>
        <w:t>万元。</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pStyle w:val="BodyText"/>
        <w:spacing w:line="240" w:lineRule="auto"/>
        <w:ind w:left="250" w:right="142"/>
        <w:jc w:val="left"/>
      </w:pPr>
      <w:r>
        <w:rPr>
          <w:rFonts w:ascii="Times New Roman" w:hAnsi="Times New Roman" w:cs="Times New Roman" w:eastAsia="Times New Roman" w:hint="default"/>
          <w:b/>
          <w:bCs/>
        </w:rPr>
        <w:t>3</w:t>
      </w:r>
      <w:r>
        <w:rPr/>
        <w:t>、</w:t>
      </w:r>
      <w:r>
        <w:rPr>
          <w:spacing w:val="-55"/>
        </w:rPr>
        <w:t> </w:t>
      </w:r>
      <w:r>
        <w:rPr/>
        <w:t>为子公司提供贷款担保</w:t>
      </w:r>
    </w:p>
    <w:p>
      <w:pPr>
        <w:spacing w:line="240" w:lineRule="auto" w:before="0"/>
        <w:rPr>
          <w:rFonts w:ascii="宋体" w:hAnsi="宋体" w:cs="宋体" w:eastAsia="宋体" w:hint="default"/>
          <w:sz w:val="16"/>
          <w:szCs w:val="16"/>
        </w:rPr>
      </w:pPr>
    </w:p>
    <w:p>
      <w:pPr>
        <w:pStyle w:val="BodyText"/>
        <w:spacing w:line="240" w:lineRule="auto"/>
        <w:ind w:left="0" w:right="231"/>
        <w:jc w:val="right"/>
      </w:pPr>
      <w:r>
        <w:rPr/>
        <w:t>截止</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日，本公司为子公司提供货款担保余额共计</w:t>
      </w:r>
      <w:r>
        <w:rPr>
          <w:spacing w:val="-57"/>
        </w:rPr>
        <w:t> </w:t>
      </w:r>
      <w:r>
        <w:rPr>
          <w:rFonts w:ascii="Times New Roman" w:hAnsi="Times New Roman" w:cs="Times New Roman" w:eastAsia="Times New Roman" w:hint="default"/>
        </w:rPr>
        <w:t>34,500</w:t>
      </w:r>
      <w:r>
        <w:rPr>
          <w:rFonts w:ascii="Times New Roman" w:hAnsi="Times New Roman" w:cs="Times New Roman" w:eastAsia="Times New Roman" w:hint="default"/>
          <w:spacing w:val="-4"/>
        </w:rPr>
        <w:t> </w:t>
      </w:r>
      <w:r>
        <w:rPr>
          <w:spacing w:val="-4"/>
        </w:rPr>
        <w:t>万元。其中为深</w:t>
      </w:r>
    </w:p>
    <w:p>
      <w:pPr>
        <w:spacing w:line="240" w:lineRule="auto" w:before="0"/>
        <w:rPr>
          <w:rFonts w:ascii="宋体" w:hAnsi="宋体" w:cs="宋体" w:eastAsia="宋体" w:hint="default"/>
          <w:sz w:val="16"/>
          <w:szCs w:val="16"/>
        </w:rPr>
      </w:pPr>
    </w:p>
    <w:p>
      <w:pPr>
        <w:pStyle w:val="BodyText"/>
        <w:spacing w:line="240" w:lineRule="auto"/>
        <w:ind w:left="358" w:right="142"/>
        <w:jc w:val="left"/>
        <w:rPr>
          <w:rFonts w:ascii="Times New Roman" w:hAnsi="Times New Roman" w:cs="Times New Roman" w:eastAsia="Times New Roman" w:hint="default"/>
        </w:rPr>
      </w:pPr>
      <w:r>
        <w:rPr/>
        <w:t>圳市迅达运输企业公司提供担保，余额为</w:t>
      </w:r>
      <w:r>
        <w:rPr>
          <w:spacing w:val="-42"/>
        </w:rPr>
        <w:t> </w:t>
      </w:r>
      <w:r>
        <w:rPr>
          <w:rFonts w:ascii="Times New Roman" w:hAnsi="Times New Roman" w:cs="Times New Roman" w:eastAsia="Times New Roman" w:hint="default"/>
        </w:rPr>
        <w:t>2,500</w:t>
      </w:r>
      <w:r>
        <w:rPr>
          <w:rFonts w:ascii="Times New Roman" w:hAnsi="Times New Roman" w:cs="Times New Roman" w:eastAsia="Times New Roman" w:hint="default"/>
          <w:spacing w:val="11"/>
        </w:rPr>
        <w:t> </w:t>
      </w:r>
      <w:r>
        <w:rPr/>
        <w:t>万元，担保期限为</w:t>
      </w:r>
      <w:r>
        <w:rPr>
          <w:spacing w:val="-4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0"/>
        </w:rPr>
        <w:t> </w:t>
      </w:r>
      <w:r>
        <w:rPr/>
        <w:t>年</w:t>
      </w:r>
      <w:r>
        <w:rPr>
          <w:spacing w:val="-42"/>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27</w:t>
      </w:r>
      <w:r>
        <w:rPr>
          <w:rFonts w:ascii="Times New Roman" w:hAnsi="Times New Roman" w:cs="Times New Roman" w:eastAsia="Times New Roman" w:hint="default"/>
          <w:spacing w:val="11"/>
        </w:rPr>
        <w:t> </w:t>
      </w:r>
      <w:r>
        <w:rPr/>
        <w:t>日至</w:t>
      </w:r>
      <w:r>
        <w:rPr>
          <w:spacing w:val="-42"/>
        </w:rPr>
        <w:t> </w:t>
      </w:r>
      <w:r>
        <w:rPr>
          <w:rFonts w:ascii="Times New Roman" w:hAnsi="Times New Roman" w:cs="Times New Roman" w:eastAsia="Times New Roman" w:hint="default"/>
        </w:rPr>
        <w:t>2010</w:t>
      </w:r>
    </w:p>
    <w:p>
      <w:pPr>
        <w:spacing w:line="240" w:lineRule="auto" w:before="2"/>
        <w:rPr>
          <w:rFonts w:ascii="Times New Roman" w:hAnsi="Times New Roman" w:cs="Times New Roman" w:eastAsia="Times New Roman" w:hint="default"/>
          <w:sz w:val="18"/>
          <w:szCs w:val="18"/>
        </w:rPr>
      </w:pPr>
    </w:p>
    <w:p>
      <w:pPr>
        <w:pStyle w:val="BodyText"/>
        <w:spacing w:line="240" w:lineRule="auto"/>
        <w:ind w:left="358" w:right="142"/>
        <w:jc w:val="left"/>
        <w:rPr>
          <w:rFonts w:ascii="Times New Roman" w:hAnsi="Times New Roman" w:cs="Times New Roman" w:eastAsia="Times New Roman" w:hint="default"/>
        </w:rPr>
      </w:pPr>
      <w:r>
        <w:rPr/>
        <w:t>年</w:t>
      </w:r>
      <w:r>
        <w:rPr>
          <w:spacing w:val="-53"/>
        </w:rPr>
        <w:t> </w:t>
      </w:r>
      <w:r>
        <w:rPr>
          <w:rFonts w:ascii="Times New Roman" w:hAnsi="Times New Roman" w:cs="Times New Roman" w:eastAsia="Times New Roman" w:hint="default"/>
        </w:rPr>
        <w:t>2 </w:t>
      </w:r>
      <w:r>
        <w:rPr/>
        <w:t>月</w:t>
      </w:r>
      <w:r>
        <w:rPr>
          <w:spacing w:val="-54"/>
        </w:rPr>
        <w:t> </w:t>
      </w:r>
      <w:r>
        <w:rPr>
          <w:rFonts w:ascii="Times New Roman" w:hAnsi="Times New Roman" w:cs="Times New Roman" w:eastAsia="Times New Roman" w:hint="default"/>
        </w:rPr>
        <w:t>5 </w:t>
      </w:r>
      <w:r>
        <w:rPr>
          <w:spacing w:val="-6"/>
        </w:rPr>
        <w:t>日；为西安新鸿业投资发展有限公司提供担保，余额为</w:t>
      </w:r>
      <w:r>
        <w:rPr>
          <w:spacing w:val="-53"/>
        </w:rPr>
        <w:t> </w:t>
      </w:r>
      <w:r>
        <w:rPr>
          <w:rFonts w:ascii="Times New Roman" w:hAnsi="Times New Roman" w:cs="Times New Roman" w:eastAsia="Times New Roman" w:hint="default"/>
        </w:rPr>
        <w:t>20,000 </w:t>
      </w:r>
      <w:r>
        <w:rPr>
          <w:spacing w:val="-9"/>
        </w:rPr>
        <w:t>万元，担保期限为</w:t>
      </w:r>
      <w:r>
        <w:rPr>
          <w:spacing w:val="-53"/>
        </w:rPr>
        <w:t> </w:t>
      </w:r>
      <w:r>
        <w:rPr>
          <w:rFonts w:ascii="Times New Roman" w:hAnsi="Times New Roman" w:cs="Times New Roman" w:eastAsia="Times New Roman" w:hint="default"/>
        </w:rPr>
        <w:t>2008</w:t>
      </w:r>
    </w:p>
    <w:p>
      <w:pPr>
        <w:spacing w:line="240" w:lineRule="auto" w:before="3"/>
        <w:rPr>
          <w:rFonts w:ascii="Times New Roman" w:hAnsi="Times New Roman" w:cs="Times New Roman" w:eastAsia="Times New Roman" w:hint="default"/>
          <w:sz w:val="18"/>
          <w:szCs w:val="18"/>
        </w:rPr>
      </w:pPr>
    </w:p>
    <w:p>
      <w:pPr>
        <w:pStyle w:val="BodyText"/>
        <w:spacing w:line="240" w:lineRule="auto"/>
        <w:ind w:left="358" w:right="0"/>
        <w:jc w:val="left"/>
      </w:pP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日至</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t>日；为西安鸿基房地产有限公司提供担保，余额为</w:t>
      </w:r>
      <w:r>
        <w:rPr>
          <w:spacing w:val="-57"/>
        </w:rPr>
        <w:t> </w:t>
      </w:r>
      <w:r>
        <w:rPr>
          <w:rFonts w:ascii="Times New Roman" w:hAnsi="Times New Roman" w:cs="Times New Roman" w:eastAsia="Times New Roman" w:hint="default"/>
        </w:rPr>
        <w:t>12,000</w:t>
      </w:r>
      <w:r>
        <w:rPr>
          <w:rFonts w:ascii="Times New Roman" w:hAnsi="Times New Roman" w:cs="Times New Roman" w:eastAsia="Times New Roman" w:hint="default"/>
          <w:spacing w:val="-4"/>
        </w:rPr>
        <w:t> </w:t>
      </w:r>
      <w:r>
        <w:rPr/>
        <w:t>万元，</w:t>
      </w:r>
    </w:p>
    <w:p>
      <w:pPr>
        <w:spacing w:line="240" w:lineRule="auto" w:before="0"/>
        <w:rPr>
          <w:rFonts w:ascii="宋体" w:hAnsi="宋体" w:cs="宋体" w:eastAsia="宋体" w:hint="default"/>
          <w:sz w:val="16"/>
          <w:szCs w:val="16"/>
        </w:rPr>
      </w:pPr>
    </w:p>
    <w:p>
      <w:pPr>
        <w:pStyle w:val="BodyText"/>
        <w:spacing w:line="240" w:lineRule="auto"/>
        <w:ind w:left="358" w:right="142"/>
        <w:jc w:val="left"/>
      </w:pPr>
      <w:r>
        <w:rPr/>
        <w:t>担保期限为</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日至</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pStyle w:val="BodyText"/>
        <w:spacing w:line="240" w:lineRule="auto"/>
        <w:ind w:left="250" w:right="142"/>
        <w:jc w:val="left"/>
        <w:rPr>
          <w:rFonts w:ascii="黑体" w:hAnsi="黑体" w:cs="黑体" w:eastAsia="黑体" w:hint="default"/>
        </w:rPr>
      </w:pPr>
      <w:r>
        <w:rPr>
          <w:rFonts w:ascii="黑体" w:hAnsi="黑体" w:cs="黑体" w:eastAsia="黑体" w:hint="default"/>
        </w:rPr>
        <w:t>八、承诺事项</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15"/>
          <w:szCs w:val="15"/>
        </w:rPr>
      </w:pPr>
    </w:p>
    <w:p>
      <w:pPr>
        <w:pStyle w:val="BodyText"/>
        <w:spacing w:line="240" w:lineRule="auto"/>
        <w:ind w:left="250" w:right="142"/>
        <w:jc w:val="left"/>
      </w:pPr>
      <w:r>
        <w:rPr/>
        <w:t>租赁承诺</w:t>
      </w:r>
    </w:p>
    <w:p>
      <w:pPr>
        <w:spacing w:line="240" w:lineRule="auto" w:before="3"/>
        <w:rPr>
          <w:rFonts w:ascii="宋体" w:hAnsi="宋体" w:cs="宋体" w:eastAsia="宋体" w:hint="default"/>
          <w:sz w:val="17"/>
          <w:szCs w:val="17"/>
        </w:rPr>
      </w:pPr>
    </w:p>
    <w:p>
      <w:pPr>
        <w:pStyle w:val="BodyText"/>
        <w:tabs>
          <w:tab w:pos="1049" w:val="left" w:leader="none"/>
        </w:tabs>
        <w:spacing w:line="240" w:lineRule="auto"/>
        <w:ind w:left="0" w:right="2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664"/>
        <w:gridCol w:w="2012"/>
        <w:gridCol w:w="1766"/>
        <w:gridCol w:w="1709"/>
        <w:gridCol w:w="1696"/>
      </w:tblGrid>
      <w:tr>
        <w:trPr>
          <w:trHeight w:val="520" w:hRule="exact"/>
        </w:trPr>
        <w:tc>
          <w:tcPr>
            <w:tcW w:w="1664" w:type="dxa"/>
            <w:vMerge w:val="restart"/>
            <w:tcBorders>
              <w:top w:val="single" w:sz="8"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12"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71" w:right="0"/>
              <w:jc w:val="left"/>
              <w:rPr>
                <w:rFonts w:ascii="宋体" w:hAnsi="宋体" w:cs="宋体" w:eastAsia="宋体" w:hint="default"/>
                <w:sz w:val="21"/>
                <w:szCs w:val="21"/>
              </w:rPr>
            </w:pPr>
            <w:r>
              <w:rPr>
                <w:rFonts w:ascii="宋体" w:hAnsi="宋体" w:cs="宋体" w:eastAsia="宋体" w:hint="default"/>
                <w:sz w:val="21"/>
                <w:szCs w:val="21"/>
              </w:rPr>
              <w:t>合同总金额</w:t>
            </w:r>
          </w:p>
        </w:tc>
        <w:tc>
          <w:tcPr>
            <w:tcW w:w="5171" w:type="dxa"/>
            <w:gridSpan w:val="3"/>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sz w:val="21"/>
                <w:szCs w:val="21"/>
              </w:rPr>
              <w:t>预计租金支出</w:t>
            </w:r>
          </w:p>
        </w:tc>
      </w:tr>
      <w:tr>
        <w:trPr>
          <w:trHeight w:val="520" w:hRule="exact"/>
        </w:trPr>
        <w:tc>
          <w:tcPr>
            <w:tcW w:w="1664" w:type="dxa"/>
            <w:vMerge/>
            <w:tcBorders>
              <w:left w:val="nil" w:sz="6" w:space="0" w:color="auto"/>
              <w:bottom w:val="single" w:sz="8" w:space="0" w:color="000000"/>
              <w:right w:val="single" w:sz="8" w:space="0" w:color="000000"/>
            </w:tcBorders>
          </w:tcPr>
          <w:p>
            <w:pPr/>
          </w:p>
        </w:tc>
        <w:tc>
          <w:tcPr>
            <w:tcW w:w="2012" w:type="dxa"/>
            <w:vMerge/>
            <w:tcBorders>
              <w:left w:val="single" w:sz="8" w:space="0" w:color="000000"/>
              <w:bottom w:val="single" w:sz="8" w:space="0" w:color="000000"/>
              <w:right w:val="single" w:sz="8" w:space="0" w:color="000000"/>
            </w:tcBorders>
          </w:tcPr>
          <w:p>
            <w:pPr/>
          </w:p>
        </w:tc>
        <w:tc>
          <w:tcPr>
            <w:tcW w:w="17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4"/>
              <w:ind w:left="2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年内支付</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4"/>
              <w:ind w:left="2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年支付</w:t>
            </w:r>
          </w:p>
        </w:tc>
        <w:tc>
          <w:tcPr>
            <w:tcW w:w="169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94"/>
              <w:ind w:left="28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年以后</w:t>
            </w:r>
          </w:p>
        </w:tc>
      </w:tr>
      <w:tr>
        <w:trPr>
          <w:trHeight w:val="521" w:hRule="exact"/>
        </w:trPr>
        <w:tc>
          <w:tcPr>
            <w:tcW w:w="166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办公室租入</w:t>
            </w:r>
          </w:p>
        </w:tc>
        <w:tc>
          <w:tcPr>
            <w:tcW w:w="2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66,099,004.50</w:t>
            </w:r>
          </w:p>
        </w:tc>
        <w:tc>
          <w:tcPr>
            <w:tcW w:w="17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5,948,441.77</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5,809,451.17</w:t>
            </w:r>
          </w:p>
        </w:tc>
        <w:tc>
          <w:tcPr>
            <w:tcW w:w="169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25" w:right="0"/>
              <w:jc w:val="left"/>
              <w:rPr>
                <w:rFonts w:ascii="Times New Roman" w:hAnsi="Times New Roman" w:cs="Times New Roman" w:eastAsia="Times New Roman" w:hint="default"/>
                <w:sz w:val="21"/>
                <w:szCs w:val="21"/>
              </w:rPr>
            </w:pPr>
            <w:r>
              <w:rPr>
                <w:rFonts w:ascii="Times New Roman"/>
                <w:sz w:val="21"/>
              </w:rPr>
              <w:t>23,671,012.69</w:t>
            </w:r>
          </w:p>
        </w:tc>
      </w:tr>
      <w:tr>
        <w:trPr>
          <w:trHeight w:val="520" w:hRule="exact"/>
        </w:trPr>
        <w:tc>
          <w:tcPr>
            <w:tcW w:w="166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经营场所租入</w:t>
            </w:r>
          </w:p>
        </w:tc>
        <w:tc>
          <w:tcPr>
            <w:tcW w:w="2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12,276,654.39</w:t>
            </w:r>
          </w:p>
        </w:tc>
        <w:tc>
          <w:tcPr>
            <w:tcW w:w="17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4,217,495.78</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4,042,495.96</w:t>
            </w:r>
          </w:p>
        </w:tc>
        <w:tc>
          <w:tcPr>
            <w:tcW w:w="169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13"/>
              <w:jc w:val="right"/>
              <w:rPr>
                <w:rFonts w:ascii="Times New Roman" w:hAnsi="Times New Roman" w:cs="Times New Roman" w:eastAsia="Times New Roman" w:hint="default"/>
                <w:sz w:val="21"/>
                <w:szCs w:val="21"/>
              </w:rPr>
            </w:pPr>
            <w:r>
              <w:rPr>
                <w:rFonts w:ascii="Times New Roman"/>
                <w:sz w:val="21"/>
              </w:rPr>
              <w:t>-</w:t>
            </w:r>
          </w:p>
        </w:tc>
      </w:tr>
      <w:tr>
        <w:trPr>
          <w:trHeight w:val="520" w:hRule="exact"/>
        </w:trPr>
        <w:tc>
          <w:tcPr>
            <w:tcW w:w="166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土地租入</w:t>
            </w:r>
          </w:p>
        </w:tc>
        <w:tc>
          <w:tcPr>
            <w:tcW w:w="2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87,802,558.32</w:t>
            </w:r>
          </w:p>
        </w:tc>
        <w:tc>
          <w:tcPr>
            <w:tcW w:w="17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10,479,276.00</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10,479,276.00</w:t>
            </w:r>
          </w:p>
        </w:tc>
        <w:tc>
          <w:tcPr>
            <w:tcW w:w="169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25" w:right="0"/>
              <w:jc w:val="left"/>
              <w:rPr>
                <w:rFonts w:ascii="Times New Roman" w:hAnsi="Times New Roman" w:cs="Times New Roman" w:eastAsia="Times New Roman" w:hint="default"/>
                <w:sz w:val="21"/>
                <w:szCs w:val="21"/>
              </w:rPr>
            </w:pPr>
            <w:r>
              <w:rPr>
                <w:rFonts w:ascii="Times New Roman"/>
                <w:sz w:val="21"/>
              </w:rPr>
              <w:t>19,781,427.85</w:t>
            </w:r>
          </w:p>
        </w:tc>
      </w:tr>
      <w:tr>
        <w:trPr>
          <w:trHeight w:val="521" w:hRule="exact"/>
        </w:trPr>
        <w:tc>
          <w:tcPr>
            <w:tcW w:w="166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166,178,217.21</w:t>
            </w:r>
          </w:p>
        </w:tc>
        <w:tc>
          <w:tcPr>
            <w:tcW w:w="17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20,645,213.55</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20,331,223.13</w:t>
            </w:r>
          </w:p>
        </w:tc>
        <w:tc>
          <w:tcPr>
            <w:tcW w:w="169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25" w:right="0"/>
              <w:jc w:val="left"/>
              <w:rPr>
                <w:rFonts w:ascii="Times New Roman" w:hAnsi="Times New Roman" w:cs="Times New Roman" w:eastAsia="Times New Roman" w:hint="default"/>
                <w:sz w:val="21"/>
                <w:szCs w:val="21"/>
              </w:rPr>
            </w:pPr>
            <w:r>
              <w:rPr>
                <w:rFonts w:ascii="Times New Roman"/>
                <w:sz w:val="21"/>
              </w:rPr>
              <w:t>43,452,440.54</w:t>
            </w:r>
          </w:p>
        </w:tc>
      </w:tr>
    </w:tbl>
    <w:p>
      <w:pPr>
        <w:spacing w:line="240" w:lineRule="auto" w:before="0"/>
        <w:rPr>
          <w:rFonts w:ascii="宋体" w:hAnsi="宋体" w:cs="宋体" w:eastAsia="宋体" w:hint="default"/>
          <w:sz w:val="12"/>
          <w:szCs w:val="12"/>
        </w:rPr>
      </w:pPr>
    </w:p>
    <w:p>
      <w:pPr>
        <w:pStyle w:val="BodyText"/>
        <w:spacing w:line="240" w:lineRule="auto" w:before="35"/>
        <w:ind w:left="671" w:right="142"/>
        <w:jc w:val="left"/>
        <w:rPr>
          <w:rFonts w:ascii="Times New Roman" w:hAnsi="Times New Roman" w:cs="Times New Roman" w:eastAsia="Times New Roman" w:hint="default"/>
        </w:rPr>
      </w:pPr>
      <w:r>
        <w:rPr/>
        <w:t>以上</w:t>
      </w:r>
      <w:r>
        <w:rPr>
          <w:spacing w:val="-2"/>
        </w:rPr>
        <w:t>约</w:t>
      </w:r>
      <w:r>
        <w:rPr/>
        <w:t>定租金支出金额中</w:t>
      </w:r>
      <w:r>
        <w:rPr>
          <w:spacing w:val="-99"/>
        </w:rPr>
        <w:t>，</w:t>
      </w:r>
      <w:r>
        <w:rPr/>
        <w:t>包括本公司之子公司物流公司承租的深圳市盐田区田坳</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3</w:t>
      </w:r>
      <w:r>
        <w:rPr>
          <w:rFonts w:ascii="Times New Roman" w:hAnsi="Times New Roman" w:cs="Times New Roman" w:eastAsia="Times New Roman" w:hint="default"/>
        </w:rPr>
        <w:t>9</w:t>
      </w:r>
      <w:r>
        <w:rPr>
          <w:rFonts w:ascii="Times New Roman" w:hAnsi="Times New Roman" w:cs="Times New Roman" w:eastAsia="Times New Roman" w:hint="default"/>
          <w:spacing w:val="-1"/>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6</w:t>
      </w:r>
      <w:r>
        <w:rPr>
          <w:rFonts w:ascii="Times New Roman" w:hAnsi="Times New Roman" w:cs="Times New Roman" w:eastAsia="Times New Roman" w:hint="default"/>
        </w:rPr>
        <w:t>1</w:t>
      </w:r>
    </w:p>
    <w:p>
      <w:pPr>
        <w:spacing w:line="240" w:lineRule="auto" w:before="3"/>
        <w:rPr>
          <w:rFonts w:ascii="Times New Roman" w:hAnsi="Times New Roman" w:cs="Times New Roman" w:eastAsia="Times New Roman" w:hint="default"/>
          <w:sz w:val="18"/>
          <w:szCs w:val="18"/>
        </w:rPr>
      </w:pPr>
    </w:p>
    <w:p>
      <w:pPr>
        <w:pStyle w:val="BodyText"/>
        <w:spacing w:line="240" w:lineRule="auto"/>
        <w:ind w:left="250" w:right="142"/>
        <w:jc w:val="left"/>
      </w:pPr>
      <w:r>
        <w:rPr/>
        <w:t>平方米的土地</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年的租金计</w:t>
      </w:r>
      <w:r>
        <w:rPr>
          <w:spacing w:val="-55"/>
        </w:rPr>
        <w:t> </w:t>
      </w:r>
      <w:r>
        <w:rPr>
          <w:rFonts w:ascii="Times New Roman" w:hAnsi="Times New Roman" w:cs="Times New Roman" w:eastAsia="Times New Roman" w:hint="default"/>
        </w:rPr>
        <w:t>10,497,276.00</w:t>
      </w:r>
      <w:r>
        <w:rPr>
          <w:rFonts w:ascii="Times New Roman" w:hAnsi="Times New Roman" w:cs="Times New Roman" w:eastAsia="Times New Roman" w:hint="default"/>
          <w:spacing w:val="-1"/>
        </w:rPr>
        <w:t> </w:t>
      </w:r>
      <w:r>
        <w:rPr>
          <w:spacing w:val="-5"/>
        </w:rPr>
        <w:t>元。根据租赁双方于</w:t>
      </w:r>
      <w:r>
        <w:rPr>
          <w:spacing w:val="-55"/>
        </w:rPr>
        <w:t> </w:t>
      </w:r>
      <w:r>
        <w:rPr>
          <w:rFonts w:ascii="Times New Roman" w:hAnsi="Times New Roman" w:cs="Times New Roman" w:eastAsia="Times New Roman" w:hint="default"/>
        </w:rPr>
        <w:t>2002</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日签订的租</w:t>
      </w:r>
    </w:p>
    <w:p>
      <w:pPr>
        <w:spacing w:line="240" w:lineRule="auto" w:before="0"/>
        <w:rPr>
          <w:rFonts w:ascii="宋体" w:hAnsi="宋体" w:cs="宋体" w:eastAsia="宋体" w:hint="default"/>
          <w:sz w:val="16"/>
          <w:szCs w:val="16"/>
        </w:rPr>
      </w:pPr>
    </w:p>
    <w:p>
      <w:pPr>
        <w:pStyle w:val="BodyText"/>
        <w:spacing w:line="240" w:lineRule="auto"/>
        <w:ind w:left="250" w:right="142"/>
        <w:jc w:val="left"/>
      </w:pPr>
      <w:r>
        <w:rPr/>
        <w:t>赁合同约定，租赁期限为</w:t>
      </w:r>
      <w:r>
        <w:rPr>
          <w:spacing w:val="-56"/>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年</w:t>
      </w:r>
      <w:r>
        <w:rPr>
          <w:rFonts w:ascii="Times New Roman" w:hAnsi="Times New Roman" w:cs="Times New Roman" w:eastAsia="Times New Roman" w:hint="default"/>
        </w:rPr>
        <w:t>(</w:t>
      </w:r>
      <w:r>
        <w:rPr/>
        <w:t>自</w:t>
      </w:r>
      <w:r>
        <w:rPr>
          <w:spacing w:val="-56"/>
        </w:rPr>
        <w:t> </w:t>
      </w:r>
      <w:r>
        <w:rPr>
          <w:rFonts w:ascii="Times New Roman" w:hAnsi="Times New Roman" w:cs="Times New Roman" w:eastAsia="Times New Roman" w:hint="default"/>
        </w:rPr>
        <w:t>2002</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日至</w:t>
      </w:r>
      <w:r>
        <w:rPr>
          <w:spacing w:val="-56"/>
        </w:rPr>
        <w:t> </w:t>
      </w:r>
      <w:r>
        <w:rPr>
          <w:rFonts w:ascii="Times New Roman" w:hAnsi="Times New Roman" w:cs="Times New Roman" w:eastAsia="Times New Roman" w:hint="default"/>
        </w:rPr>
        <w:t>2022</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日止</w:t>
      </w:r>
      <w:r>
        <w:rPr>
          <w:rFonts w:ascii="Times New Roman" w:hAnsi="Times New Roman" w:cs="Times New Roman" w:eastAsia="Times New Roman" w:hint="default"/>
        </w:rPr>
        <w:t>)</w:t>
      </w:r>
      <w:r>
        <w:rPr/>
        <w:t>，租金自合同签</w:t>
      </w:r>
    </w:p>
    <w:p>
      <w:pPr>
        <w:spacing w:line="240" w:lineRule="auto" w:before="12"/>
        <w:rPr>
          <w:rFonts w:ascii="宋体" w:hAnsi="宋体" w:cs="宋体" w:eastAsia="宋体" w:hint="default"/>
          <w:sz w:val="15"/>
          <w:szCs w:val="15"/>
        </w:rPr>
      </w:pPr>
    </w:p>
    <w:p>
      <w:pPr>
        <w:pStyle w:val="BodyText"/>
        <w:spacing w:line="240" w:lineRule="auto"/>
        <w:ind w:left="250" w:right="142"/>
        <w:jc w:val="left"/>
      </w:pPr>
      <w:r>
        <w:rPr/>
        <w:t>订之日起五年内不变，以后每五年对租金重新商讨。</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w:t>
      </w:r>
      <w:r>
        <w:rPr>
          <w:spacing w:val="-64"/>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w:t>
      </w:r>
      <w:r>
        <w:rPr>
          <w:spacing w:val="-64"/>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日签订补充协议，约定租金</w:t>
      </w:r>
    </w:p>
    <w:p>
      <w:pPr>
        <w:spacing w:line="240" w:lineRule="auto" w:before="0"/>
        <w:rPr>
          <w:rFonts w:ascii="宋体" w:hAnsi="宋体" w:cs="宋体" w:eastAsia="宋体" w:hint="default"/>
          <w:sz w:val="16"/>
          <w:szCs w:val="16"/>
        </w:rPr>
      </w:pPr>
    </w:p>
    <w:p>
      <w:pPr>
        <w:pStyle w:val="BodyText"/>
        <w:spacing w:line="240" w:lineRule="auto"/>
        <w:ind w:left="250" w:right="142"/>
        <w:jc w:val="left"/>
      </w:pPr>
      <w:r>
        <w:rPr/>
        <w:t>标准在</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日签订的租赁合同约定的租金基础上每平方米增加</w:t>
      </w:r>
      <w:r>
        <w:rPr>
          <w:spacing w:val="-53"/>
        </w:rPr>
        <w:t> </w:t>
      </w:r>
      <w:r>
        <w:rPr>
          <w:rFonts w:ascii="Times New Roman" w:hAnsi="Times New Roman" w:cs="Times New Roman" w:eastAsia="Times New Roman" w:hint="default"/>
        </w:rPr>
        <w:t>1 </w:t>
      </w:r>
      <w:r>
        <w:rPr/>
        <w:t>元</w:t>
      </w:r>
      <w:r>
        <w:rPr>
          <w:spacing w:val="-90"/>
        </w:rPr>
        <w:t>，</w:t>
      </w:r>
      <w:r>
        <w:rPr>
          <w:spacing w:val="-2"/>
        </w:rPr>
        <w:t>租</w:t>
      </w:r>
      <w:r>
        <w:rPr/>
        <w:t>金自协议签</w:t>
      </w:r>
    </w:p>
    <w:p>
      <w:pPr>
        <w:spacing w:line="240" w:lineRule="auto" w:before="0"/>
        <w:rPr>
          <w:rFonts w:ascii="宋体" w:hAnsi="宋体" w:cs="宋体" w:eastAsia="宋体" w:hint="default"/>
          <w:sz w:val="16"/>
          <w:szCs w:val="16"/>
        </w:rPr>
      </w:pPr>
    </w:p>
    <w:p>
      <w:pPr>
        <w:pStyle w:val="BodyText"/>
        <w:spacing w:line="240" w:lineRule="auto"/>
        <w:ind w:left="250" w:right="142"/>
        <w:jc w:val="left"/>
      </w:pPr>
      <w:r>
        <w:rPr/>
        <w:t>订之日起五年内不变，因此本次约定租金支出仅计算至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w:t>
      </w:r>
    </w:p>
    <w:p>
      <w:pPr>
        <w:spacing w:after="0" w:line="240" w:lineRule="auto"/>
        <w:jc w:val="left"/>
        <w:sectPr>
          <w:pgSz w:w="11900" w:h="16840"/>
          <w:pgMar w:header="0" w:footer="982" w:top="1600" w:bottom="1180" w:left="1620" w:right="1180"/>
        </w:sectPr>
      </w:pPr>
    </w:p>
    <w:p>
      <w:pPr>
        <w:pStyle w:val="BodyText"/>
        <w:spacing w:line="240" w:lineRule="auto" w:before="7"/>
        <w:ind w:left="230" w:right="217"/>
        <w:jc w:val="left"/>
        <w:rPr>
          <w:rFonts w:ascii="黑体" w:hAnsi="黑体" w:cs="黑体" w:eastAsia="黑体" w:hint="default"/>
        </w:rPr>
      </w:pPr>
      <w:r>
        <w:rPr>
          <w:rFonts w:ascii="黑体" w:hAnsi="黑体" w:cs="黑体" w:eastAsia="黑体" w:hint="default"/>
        </w:rPr>
        <w:t>九、资产负债表日后事项</w:t>
      </w: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29"/>
          <w:szCs w:val="29"/>
        </w:rPr>
      </w:pPr>
    </w:p>
    <w:p>
      <w:pPr>
        <w:pStyle w:val="BodyText"/>
        <w:spacing w:line="379" w:lineRule="auto"/>
        <w:ind w:left="230" w:right="231" w:firstLine="419"/>
        <w:jc w:val="both"/>
      </w:pPr>
      <w:r>
        <w:rPr/>
        <w:t>经本公司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日第六届董事局第三次定期会议决议通过，本年净利润用于弥 补以前年度亏损。</w:t>
      </w:r>
    </w:p>
    <w:p>
      <w:pPr>
        <w:pStyle w:val="BodyText"/>
        <w:spacing w:line="240" w:lineRule="auto" w:before="63"/>
        <w:ind w:left="650" w:right="217"/>
        <w:jc w:val="left"/>
      </w:pPr>
      <w:r>
        <w:rPr/>
        <w:t>本公司无重大资产负债表日后事项。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ind w:left="230" w:right="217"/>
        <w:jc w:val="left"/>
        <w:rPr>
          <w:rFonts w:ascii="黑体" w:hAnsi="黑体" w:cs="黑体" w:eastAsia="黑体" w:hint="default"/>
        </w:rPr>
      </w:pPr>
      <w:r>
        <w:rPr>
          <w:rFonts w:ascii="黑体" w:hAnsi="黑体" w:cs="黑体" w:eastAsia="黑体" w:hint="default"/>
        </w:rPr>
        <w:t>十、其他重要事项</w:t>
      </w: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29"/>
          <w:szCs w:val="29"/>
        </w:rPr>
      </w:pPr>
    </w:p>
    <w:p>
      <w:pPr>
        <w:pStyle w:val="BodyText"/>
        <w:spacing w:line="240" w:lineRule="auto"/>
        <w:ind w:left="230" w:right="217"/>
        <w:jc w:val="left"/>
      </w:pPr>
      <w:r>
        <w:rPr>
          <w:rFonts w:ascii="Times New Roman" w:hAnsi="Times New Roman" w:cs="Times New Roman" w:eastAsia="Times New Roman" w:hint="default"/>
          <w:b/>
          <w:bCs/>
        </w:rPr>
        <w:t>1</w:t>
      </w:r>
      <w:r>
        <w:rPr/>
        <w:t>、子公司处置情况</w:t>
      </w:r>
    </w:p>
    <w:p>
      <w:pPr>
        <w:pStyle w:val="BodyText"/>
        <w:spacing w:line="384" w:lineRule="auto" w:before="169"/>
        <w:ind w:left="230" w:right="228" w:firstLine="420"/>
        <w:jc w:val="both"/>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2009</w:t>
      </w:r>
      <w:r>
        <w:rPr>
          <w:rFonts w:ascii="Times New Roman" w:hAnsi="Times New Roman" w:cs="Times New Roman" w:eastAsia="Times New Roman" w:hint="default"/>
        </w:rPr>
        <w:t> </w:t>
      </w:r>
      <w:r>
        <w:rPr/>
        <w:t>年</w:t>
      </w:r>
      <w:r>
        <w:rPr>
          <w:spacing w:val="-5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19</w:t>
      </w:r>
      <w:r>
        <w:rPr>
          <w:rFonts w:ascii="Times New Roman" w:hAnsi="Times New Roman" w:cs="Times New Roman" w:eastAsia="Times New Roman" w:hint="default"/>
        </w:rPr>
        <w:t> </w:t>
      </w:r>
      <w:r>
        <w:rPr>
          <w:spacing w:val="-4"/>
        </w:rPr>
        <w:t>日，公司与湖南汽车城永通有限公司（以下简称</w:t>
      </w:r>
      <w:r>
        <w:rPr>
          <w:rFonts w:ascii="Times New Roman" w:hAnsi="Times New Roman" w:cs="Times New Roman" w:eastAsia="Times New Roman" w:hint="default"/>
          <w:spacing w:val="-4"/>
        </w:rPr>
        <w:t>“</w:t>
      </w:r>
      <w:r>
        <w:rPr>
          <w:spacing w:val="-4"/>
        </w:rPr>
        <w:t>永通公司</w:t>
      </w:r>
      <w:r>
        <w:rPr>
          <w:rFonts w:ascii="Times New Roman" w:hAnsi="Times New Roman" w:cs="Times New Roman" w:eastAsia="Times New Roman" w:hint="default"/>
          <w:spacing w:val="-4"/>
        </w:rPr>
        <w:t>”</w:t>
      </w:r>
      <w:r>
        <w:rPr>
          <w:spacing w:val="-4"/>
        </w:rPr>
        <w:t>）、自然</w:t>
      </w:r>
      <w:r>
        <w:rPr/>
        <w:t> </w:t>
      </w:r>
      <w:r>
        <w:rPr>
          <w:spacing w:val="-5"/>
        </w:rPr>
        <w:t>人蒋宗平，签订了《长沙鸿基运输实业有限公司股权转让协议》，公司控股子公司长沙鸿基运输</w:t>
      </w:r>
      <w:r>
        <w:rPr>
          <w:spacing w:val="-100"/>
        </w:rPr>
        <w:t> </w:t>
      </w:r>
      <w:r>
        <w:rPr>
          <w:spacing w:val="-100"/>
        </w:rPr>
      </w:r>
      <w:r>
        <w:rPr/>
        <w:t>实业有限公司（以下简称</w:t>
      </w:r>
      <w:r>
        <w:rPr>
          <w:rFonts w:ascii="Times New Roman" w:hAnsi="Times New Roman" w:cs="Times New Roman" w:eastAsia="Times New Roman" w:hint="default"/>
        </w:rPr>
        <w:t>“</w:t>
      </w:r>
      <w:r>
        <w:rPr/>
        <w:t>长沙鸿基运输公司</w:t>
      </w:r>
      <w:r>
        <w:rPr>
          <w:rFonts w:ascii="Times New Roman" w:hAnsi="Times New Roman" w:cs="Times New Roman" w:eastAsia="Times New Roman" w:hint="default"/>
        </w:rPr>
        <w:t>”</w:t>
      </w:r>
      <w:r>
        <w:rPr/>
        <w:t>）经具有证券从业资格的资产评估公司及会计师</w:t>
      </w:r>
      <w:r>
        <w:rPr>
          <w:spacing w:val="-81"/>
        </w:rPr>
        <w:t> </w:t>
      </w:r>
      <w:r>
        <w:rPr>
          <w:spacing w:val="-81"/>
        </w:rPr>
      </w:r>
      <w:r>
        <w:rPr/>
        <w:t>事务所评估、审计后的净资产评估值为依据，协商确定长沙鸿基运输公司</w:t>
      </w:r>
      <w:r>
        <w:rPr>
          <w:spacing w:val="30"/>
        </w:rPr>
        <w:t> </w:t>
      </w:r>
      <w:r>
        <w:rPr>
          <w:rFonts w:ascii="Times New Roman" w:hAnsi="Times New Roman" w:cs="Times New Roman" w:eastAsia="Times New Roman" w:hint="default"/>
        </w:rPr>
        <w:t>100%</w:t>
      </w:r>
      <w:r>
        <w:rPr/>
        <w:t>股权转让价格</w:t>
      </w:r>
      <w:r>
        <w:rPr>
          <w:spacing w:val="-102"/>
        </w:rPr>
        <w:t> </w:t>
      </w:r>
      <w:r>
        <w:rPr>
          <w:spacing w:val="-102"/>
        </w:rPr>
      </w:r>
      <w:r>
        <w:rPr/>
        <w:t>为</w:t>
      </w:r>
      <w:r>
        <w:rPr>
          <w:spacing w:val="-39"/>
        </w:rPr>
        <w:t> </w:t>
      </w:r>
      <w:r>
        <w:rPr>
          <w:rFonts w:ascii="Times New Roman" w:hAnsi="Times New Roman" w:cs="Times New Roman" w:eastAsia="Times New Roman" w:hint="default"/>
        </w:rPr>
        <w:t>4,880.00</w:t>
      </w:r>
      <w:r>
        <w:rPr>
          <w:rFonts w:ascii="Times New Roman" w:hAnsi="Times New Roman" w:cs="Times New Roman" w:eastAsia="Times New Roman" w:hint="default"/>
          <w:spacing w:val="13"/>
        </w:rPr>
        <w:t> </w:t>
      </w:r>
      <w:r>
        <w:rPr/>
        <w:t>万元，公司已于</w:t>
      </w:r>
      <w:r>
        <w:rPr>
          <w:spacing w:val="-3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w:t>
      </w:r>
      <w:r>
        <w:rPr>
          <w:spacing w:val="-39"/>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4"/>
        </w:rPr>
        <w:t> </w:t>
      </w:r>
      <w:r>
        <w:rPr/>
        <w:t>月</w:t>
      </w:r>
      <w:r>
        <w:rPr>
          <w:spacing w:val="-39"/>
        </w:rPr>
        <w:t> </w:t>
      </w:r>
      <w:r>
        <w:rPr>
          <w:rFonts w:ascii="Times New Roman" w:hAnsi="Times New Roman" w:cs="Times New Roman" w:eastAsia="Times New Roman" w:hint="default"/>
        </w:rPr>
        <w:t>30</w:t>
      </w:r>
      <w:r>
        <w:rPr>
          <w:rFonts w:ascii="Times New Roman" w:hAnsi="Times New Roman" w:cs="Times New Roman" w:eastAsia="Times New Roman" w:hint="default"/>
          <w:spacing w:val="13"/>
        </w:rPr>
        <w:t> </w:t>
      </w:r>
      <w:r>
        <w:rPr/>
        <w:t>日已全额收到转让价款，以及长沙鸿基运输公司</w:t>
      </w:r>
    </w:p>
    <w:p>
      <w:pPr>
        <w:pStyle w:val="BodyText"/>
        <w:spacing w:line="379" w:lineRule="auto" w:before="30"/>
        <w:ind w:left="230" w:right="217"/>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日以前留存的未分配利润和</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年形成的未分配利润共计</w:t>
      </w:r>
      <w:r>
        <w:rPr>
          <w:spacing w:val="-54"/>
        </w:rPr>
        <w:t> </w:t>
      </w:r>
      <w:r>
        <w:rPr>
          <w:rFonts w:ascii="Times New Roman" w:hAnsi="Times New Roman" w:cs="Times New Roman" w:eastAsia="Times New Roman" w:hint="default"/>
        </w:rPr>
        <w:t>756.58</w:t>
      </w:r>
      <w:r>
        <w:rPr>
          <w:rFonts w:ascii="Times New Roman" w:hAnsi="Times New Roman" w:cs="Times New Roman" w:eastAsia="Times New Roman" w:hint="default"/>
          <w:spacing w:val="-1"/>
        </w:rPr>
        <w:t> </w:t>
      </w:r>
      <w:r>
        <w:rPr/>
        <w:t>万元。此股 权转让已办理了股权工商变更登记过户手续。</w:t>
      </w:r>
    </w:p>
    <w:p>
      <w:pPr>
        <w:pStyle w:val="BodyText"/>
        <w:spacing w:line="386" w:lineRule="auto" w:before="63"/>
        <w:ind w:left="230" w:right="228" w:firstLine="42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10"/>
        </w:rPr>
        <w:t> </w:t>
      </w:r>
      <w:r>
        <w:rPr/>
        <w:t>年</w:t>
      </w:r>
      <w:r>
        <w:rPr>
          <w:spacing w:val="-6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9"/>
        </w:rPr>
        <w:t> </w:t>
      </w:r>
      <w:r>
        <w:rPr/>
        <w:t>月</w:t>
      </w:r>
      <w:r>
        <w:rPr>
          <w:spacing w:val="-63"/>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日，本公司之控股子公司深圳市鸿基物流有限公司、深圳市新鸿泰投 </w:t>
      </w:r>
      <w:r>
        <w:rPr>
          <w:spacing w:val="-5"/>
        </w:rPr>
        <w:t>资发展有限公司（以下简称“新鸿泰”）与自然人赵州芝，签订了《深圳市鸿基恒安汽车租赁有</w:t>
      </w:r>
      <w:r>
        <w:rPr>
          <w:spacing w:val="-102"/>
        </w:rPr>
        <w:t> </w:t>
      </w:r>
      <w:r>
        <w:rPr>
          <w:spacing w:val="-102"/>
        </w:rPr>
      </w:r>
      <w:r>
        <w:rPr>
          <w:spacing w:val="-6"/>
        </w:rPr>
        <w:t>限公司股权转让协议》，协商确定将其持有</w:t>
      </w:r>
      <w:r>
        <w:rPr/>
        <w:t> </w:t>
      </w:r>
      <w:r>
        <w:rPr>
          <w:rFonts w:ascii="Times New Roman" w:hAnsi="Times New Roman" w:cs="Times New Roman" w:eastAsia="Times New Roman" w:hint="default"/>
          <w:spacing w:val="-1"/>
        </w:rPr>
        <w:t>90%</w:t>
      </w:r>
      <w:r>
        <w:rPr>
          <w:spacing w:val="-1"/>
        </w:rPr>
        <w:t>股权与新鸿泰持有 </w:t>
      </w:r>
      <w:r>
        <w:rPr>
          <w:rFonts w:ascii="Times New Roman" w:hAnsi="Times New Roman" w:cs="Times New Roman" w:eastAsia="Times New Roman" w:hint="default"/>
          <w:spacing w:val="-1"/>
        </w:rPr>
        <w:t>10%</w:t>
      </w:r>
      <w:r>
        <w:rPr>
          <w:spacing w:val="-1"/>
        </w:rPr>
        <w:t>股权的深圳市鸿基恒安</w:t>
      </w:r>
      <w:r>
        <w:rPr/>
        <w:t> 汽车租赁有限公司以人民币</w:t>
      </w:r>
      <w:r>
        <w:rPr>
          <w:spacing w:val="-45"/>
        </w:rPr>
        <w:t> </w:t>
      </w:r>
      <w:r>
        <w:rPr>
          <w:rFonts w:ascii="Times New Roman" w:hAnsi="Times New Roman" w:cs="Times New Roman" w:eastAsia="Times New Roman" w:hint="default"/>
        </w:rPr>
        <w:t>150.00</w:t>
      </w:r>
      <w:r>
        <w:rPr>
          <w:rFonts w:ascii="Times New Roman" w:hAnsi="Times New Roman" w:cs="Times New Roman" w:eastAsia="Times New Roman" w:hint="default"/>
          <w:spacing w:val="7"/>
        </w:rPr>
        <w:t> </w:t>
      </w:r>
      <w:r>
        <w:rPr/>
        <w:t>万元转让予自然人赵州芝。公司已于</w:t>
      </w:r>
      <w:r>
        <w:rPr>
          <w:spacing w:val="-4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24</w:t>
      </w:r>
      <w:r>
        <w:rPr>
          <w:rFonts w:ascii="Times New Roman" w:hAnsi="Times New Roman" w:cs="Times New Roman" w:eastAsia="Times New Roman" w:hint="default"/>
          <w:spacing w:val="8"/>
        </w:rPr>
        <w:t> </w:t>
      </w:r>
      <w:r>
        <w:rPr/>
        <w:t>日已 全额收到转让价款。此股权转让已办理股权工商变更登记过户手续。</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BodyText"/>
        <w:spacing w:line="240" w:lineRule="auto"/>
        <w:ind w:left="230" w:right="217"/>
        <w:jc w:val="left"/>
      </w:pPr>
      <w:r>
        <w:rPr>
          <w:rFonts w:ascii="Times New Roman" w:hAnsi="Times New Roman" w:cs="Times New Roman" w:eastAsia="Times New Roman" w:hint="default"/>
          <w:b/>
          <w:bCs/>
        </w:rPr>
        <w:t>2</w:t>
      </w:r>
      <w:r>
        <w:rPr/>
        <w:t>、以公允价值计量的资产和负债</w:t>
      </w:r>
    </w:p>
    <w:p>
      <w:pPr>
        <w:pStyle w:val="BodyText"/>
        <w:tabs>
          <w:tab w:pos="1049" w:val="left" w:leader="none"/>
        </w:tabs>
        <w:spacing w:line="240" w:lineRule="auto" w:before="170"/>
        <w:ind w:left="0" w:right="230"/>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50"/>
        <w:gridCol w:w="1280"/>
        <w:gridCol w:w="1114"/>
        <w:gridCol w:w="1580"/>
        <w:gridCol w:w="1272"/>
        <w:gridCol w:w="1351"/>
      </w:tblGrid>
      <w:tr>
        <w:trPr>
          <w:trHeight w:val="950"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37" w:lineRule="auto"/>
              <w:ind w:left="191" w:right="190"/>
              <w:jc w:val="center"/>
              <w:rPr>
                <w:rFonts w:ascii="宋体" w:hAnsi="宋体" w:cs="宋体" w:eastAsia="宋体" w:hint="default"/>
                <w:sz w:val="18"/>
                <w:szCs w:val="18"/>
              </w:rPr>
            </w:pPr>
            <w:r>
              <w:rPr>
                <w:rFonts w:ascii="宋体" w:hAnsi="宋体" w:cs="宋体" w:eastAsia="宋体" w:hint="default"/>
                <w:sz w:val="18"/>
                <w:szCs w:val="18"/>
              </w:rPr>
              <w:t>本期公允 价值变动 损益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6" w:right="152"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51" w:right="179" w:hanging="270"/>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510"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6598" w:type="dxa"/>
            <w:gridSpan w:val="5"/>
            <w:tcBorders>
              <w:top w:val="single" w:sz="4" w:space="0" w:color="000000"/>
              <w:left w:val="single" w:sz="4" w:space="0" w:color="000000"/>
              <w:bottom w:val="single" w:sz="4" w:space="0" w:color="000000"/>
              <w:right w:val="nil" w:sz="6" w:space="0" w:color="auto"/>
            </w:tcBorders>
          </w:tcPr>
          <w:p>
            <w:pPr/>
          </w:p>
        </w:tc>
      </w:tr>
      <w:tr>
        <w:trPr>
          <w:trHeight w:val="481" w:hRule="exact"/>
        </w:trPr>
        <w:tc>
          <w:tcPr>
            <w:tcW w:w="2250" w:type="dxa"/>
            <w:tcBorders>
              <w:top w:val="single" w:sz="4" w:space="0" w:color="000000"/>
              <w:left w:val="nil" w:sz="6" w:space="0" w:color="auto"/>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以公允价值计量且其变</w:t>
            </w:r>
            <w:r>
              <w:rPr>
                <w:rFonts w:ascii="宋体" w:hAnsi="宋体" w:cs="宋体" w:eastAsia="宋体" w:hint="default"/>
                <w:sz w:val="18"/>
                <w:szCs w:val="18"/>
              </w:rPr>
            </w:r>
          </w:p>
        </w:tc>
        <w:tc>
          <w:tcPr>
            <w:tcW w:w="1280" w:type="dxa"/>
            <w:tcBorders>
              <w:top w:val="single" w:sz="4" w:space="0" w:color="000000"/>
              <w:left w:val="single" w:sz="4" w:space="0" w:color="000000"/>
              <w:bottom w:val="nil" w:sz="6" w:space="0" w:color="auto"/>
              <w:right w:val="single" w:sz="4" w:space="0" w:color="000000"/>
            </w:tcBorders>
          </w:tcPr>
          <w:p>
            <w:pPr/>
          </w:p>
        </w:tc>
        <w:tc>
          <w:tcPr>
            <w:tcW w:w="1114" w:type="dxa"/>
            <w:tcBorders>
              <w:top w:val="single" w:sz="4" w:space="0" w:color="000000"/>
              <w:left w:val="single" w:sz="4" w:space="0" w:color="000000"/>
              <w:bottom w:val="nil" w:sz="6" w:space="0" w:color="auto"/>
              <w:right w:val="single" w:sz="4" w:space="0" w:color="000000"/>
            </w:tcBorders>
          </w:tcPr>
          <w:p>
            <w:pPr/>
          </w:p>
        </w:tc>
        <w:tc>
          <w:tcPr>
            <w:tcW w:w="1580" w:type="dxa"/>
            <w:tcBorders>
              <w:top w:val="single" w:sz="4" w:space="0" w:color="000000"/>
              <w:left w:val="single" w:sz="4" w:space="0" w:color="000000"/>
              <w:bottom w:val="nil" w:sz="6" w:space="0" w:color="auto"/>
              <w:right w:val="single" w:sz="4" w:space="0" w:color="000000"/>
            </w:tcBorders>
          </w:tcPr>
          <w:p>
            <w:pPr/>
          </w:p>
        </w:tc>
        <w:tc>
          <w:tcPr>
            <w:tcW w:w="1272" w:type="dxa"/>
            <w:tcBorders>
              <w:top w:val="single" w:sz="4" w:space="0" w:color="000000"/>
              <w:left w:val="single" w:sz="4" w:space="0" w:color="000000"/>
              <w:bottom w:val="nil" w:sz="6" w:space="0" w:color="auto"/>
              <w:right w:val="single" w:sz="4" w:space="0" w:color="000000"/>
            </w:tcBorders>
          </w:tcPr>
          <w:p>
            <w:pPr/>
          </w:p>
        </w:tc>
        <w:tc>
          <w:tcPr>
            <w:tcW w:w="1351" w:type="dxa"/>
            <w:tcBorders>
              <w:top w:val="single" w:sz="4" w:space="0" w:color="000000"/>
              <w:left w:val="single" w:sz="4" w:space="0" w:color="000000"/>
              <w:bottom w:val="nil" w:sz="6" w:space="0" w:color="auto"/>
              <w:right w:val="nil" w:sz="6" w:space="0" w:color="auto"/>
            </w:tcBorders>
          </w:tcPr>
          <w:p>
            <w:pPr/>
          </w:p>
        </w:tc>
      </w:tr>
      <w:tr>
        <w:trPr>
          <w:trHeight w:val="232" w:hRule="exact"/>
        </w:trPr>
        <w:tc>
          <w:tcPr>
            <w:tcW w:w="2250" w:type="dxa"/>
            <w:tcBorders>
              <w:top w:val="nil" w:sz="6" w:space="0" w:color="auto"/>
              <w:left w:val="nil" w:sz="6" w:space="0" w:color="auto"/>
              <w:bottom w:val="nil" w:sz="6" w:space="0" w:color="auto"/>
              <w:right w:val="single" w:sz="4" w:space="0" w:color="000000"/>
            </w:tcBorders>
          </w:tcPr>
          <w:p>
            <w:pPr>
              <w:pStyle w:val="TableParagraph"/>
              <w:spacing w:line="201"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动计入当期损益的金融资</w:t>
            </w:r>
            <w:r>
              <w:rPr>
                <w:rFonts w:ascii="宋体" w:hAnsi="宋体" w:cs="宋体" w:eastAsia="宋体" w:hint="default"/>
                <w:sz w:val="18"/>
                <w:szCs w:val="18"/>
              </w:rPr>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326"/>
              <w:jc w:val="right"/>
              <w:rPr>
                <w:rFonts w:ascii="Times New Roman" w:hAnsi="Times New Roman" w:cs="Times New Roman" w:eastAsia="Times New Roman" w:hint="default"/>
                <w:sz w:val="18"/>
                <w:szCs w:val="18"/>
              </w:rPr>
            </w:pPr>
            <w:r>
              <w:rPr>
                <w:rFonts w:ascii="Times New Roman"/>
                <w:sz w:val="18"/>
              </w:rPr>
              <w:t>-</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330"/>
              <w:jc w:val="right"/>
              <w:rPr>
                <w:rFonts w:ascii="Times New Roman" w:hAnsi="Times New Roman" w:cs="Times New Roman" w:eastAsia="Times New Roman" w:hint="default"/>
                <w:sz w:val="18"/>
                <w:szCs w:val="18"/>
              </w:rPr>
            </w:pPr>
            <w:r>
              <w:rPr>
                <w:rFonts w:ascii="Times New Roman"/>
                <w:sz w:val="18"/>
              </w:rPr>
              <w:t>-</w:t>
            </w:r>
          </w:p>
        </w:tc>
        <w:tc>
          <w:tcPr>
            <w:tcW w:w="15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325"/>
              <w:jc w:val="right"/>
              <w:rPr>
                <w:rFonts w:ascii="Times New Roman" w:hAnsi="Times New Roman" w:cs="Times New Roman" w:eastAsia="Times New Roman" w:hint="default"/>
                <w:sz w:val="18"/>
                <w:szCs w:val="18"/>
              </w:rPr>
            </w:pPr>
            <w:r>
              <w:rPr>
                <w:rFonts w:ascii="Times New Roman"/>
                <w:sz w:val="18"/>
              </w:rPr>
              <w:t>-</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344"/>
              <w:jc w:val="right"/>
              <w:rPr>
                <w:rFonts w:ascii="Times New Roman" w:hAnsi="Times New Roman" w:cs="Times New Roman" w:eastAsia="Times New Roman" w:hint="default"/>
                <w:sz w:val="18"/>
                <w:szCs w:val="18"/>
              </w:rPr>
            </w:pPr>
            <w:r>
              <w:rPr>
                <w:rFonts w:ascii="Times New Roman"/>
                <w:sz w:val="18"/>
              </w:rPr>
              <w:t>-</w:t>
            </w:r>
          </w:p>
        </w:tc>
        <w:tc>
          <w:tcPr>
            <w:tcW w:w="1351"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366"/>
              <w:jc w:val="right"/>
              <w:rPr>
                <w:rFonts w:ascii="Times New Roman" w:hAnsi="Times New Roman" w:cs="Times New Roman" w:eastAsia="Times New Roman" w:hint="default"/>
                <w:sz w:val="18"/>
                <w:szCs w:val="18"/>
              </w:rPr>
            </w:pPr>
            <w:r>
              <w:rPr>
                <w:rFonts w:ascii="Times New Roman"/>
                <w:sz w:val="18"/>
              </w:rPr>
              <w:t>-</w:t>
            </w:r>
          </w:p>
        </w:tc>
      </w:tr>
      <w:tr>
        <w:trPr>
          <w:trHeight w:val="237" w:hRule="exact"/>
        </w:trPr>
        <w:tc>
          <w:tcPr>
            <w:tcW w:w="2250" w:type="dxa"/>
            <w:tcBorders>
              <w:top w:val="nil" w:sz="6" w:space="0" w:color="auto"/>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产（不含衍生金融资产）</w:t>
            </w:r>
          </w:p>
        </w:tc>
        <w:tc>
          <w:tcPr>
            <w:tcW w:w="1280" w:type="dxa"/>
            <w:tcBorders>
              <w:top w:val="nil" w:sz="6" w:space="0" w:color="auto"/>
              <w:left w:val="single" w:sz="4" w:space="0" w:color="000000"/>
              <w:bottom w:val="single" w:sz="4" w:space="0" w:color="000000"/>
              <w:right w:val="single" w:sz="4" w:space="0" w:color="000000"/>
            </w:tcBorders>
          </w:tcPr>
          <w:p>
            <w:pPr/>
          </w:p>
        </w:tc>
        <w:tc>
          <w:tcPr>
            <w:tcW w:w="1114" w:type="dxa"/>
            <w:tcBorders>
              <w:top w:val="nil" w:sz="6" w:space="0" w:color="auto"/>
              <w:left w:val="single" w:sz="4" w:space="0" w:color="000000"/>
              <w:bottom w:val="single" w:sz="4" w:space="0" w:color="000000"/>
              <w:right w:val="single" w:sz="4" w:space="0" w:color="000000"/>
            </w:tcBorders>
          </w:tcPr>
          <w:p>
            <w:pPr/>
          </w:p>
        </w:tc>
        <w:tc>
          <w:tcPr>
            <w:tcW w:w="1580"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
        </w:tc>
        <w:tc>
          <w:tcPr>
            <w:tcW w:w="1351" w:type="dxa"/>
            <w:tcBorders>
              <w:top w:val="nil" w:sz="6" w:space="0" w:color="auto"/>
              <w:left w:val="single" w:sz="4" w:space="0" w:color="000000"/>
              <w:bottom w:val="single" w:sz="4" w:space="0" w:color="000000"/>
              <w:right w:val="nil" w:sz="6" w:space="0" w:color="auto"/>
            </w:tcBorders>
          </w:tcPr>
          <w:p>
            <w:pPr/>
          </w:p>
        </w:tc>
      </w:tr>
      <w:tr>
        <w:trPr>
          <w:trHeight w:val="490"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26"/>
              <w:jc w:val="right"/>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30"/>
              <w:jc w:val="right"/>
              <w:rPr>
                <w:rFonts w:ascii="Times New Roman" w:hAnsi="Times New Roman" w:cs="Times New Roman" w:eastAsia="Times New Roman" w:hint="default"/>
                <w:sz w:val="18"/>
                <w:szCs w:val="18"/>
              </w:rPr>
            </w:pPr>
            <w:r>
              <w:rPr>
                <w:rFonts w:ascii="Times New Roman"/>
                <w:sz w:val="18"/>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25"/>
              <w:jc w:val="right"/>
              <w:rPr>
                <w:rFonts w:ascii="Times New Roman" w:hAnsi="Times New Roman" w:cs="Times New Roman" w:eastAsia="Times New Roman" w:hint="default"/>
                <w:sz w:val="18"/>
                <w:szCs w:val="18"/>
              </w:rPr>
            </w:pPr>
            <w:r>
              <w:rPr>
                <w:rFonts w:ascii="Times New Roman"/>
                <w:sz w:val="18"/>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44"/>
              <w:jc w:val="right"/>
              <w:rPr>
                <w:rFonts w:ascii="Times New Roman" w:hAnsi="Times New Roman" w:cs="Times New Roman" w:eastAsia="Times New Roman" w:hint="default"/>
                <w:sz w:val="18"/>
                <w:szCs w:val="18"/>
              </w:rPr>
            </w:pPr>
            <w:r>
              <w:rPr>
                <w:rFonts w:ascii="Times New Roman"/>
                <w:sz w:val="18"/>
              </w:rPr>
              <w:t>-</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66"/>
              <w:jc w:val="right"/>
              <w:rPr>
                <w:rFonts w:ascii="Times New Roman" w:hAnsi="Times New Roman" w:cs="Times New Roman" w:eastAsia="Times New Roman" w:hint="default"/>
                <w:sz w:val="18"/>
                <w:szCs w:val="18"/>
              </w:rPr>
            </w:pPr>
            <w:r>
              <w:rPr>
                <w:rFonts w:ascii="Times New Roman"/>
                <w:sz w:val="18"/>
              </w:rPr>
              <w:t>-</w:t>
            </w:r>
          </w:p>
        </w:tc>
      </w:tr>
      <w:tr>
        <w:trPr>
          <w:trHeight w:val="491"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22,240,000.00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30"/>
              <w:jc w:val="right"/>
              <w:rPr>
                <w:rFonts w:ascii="Times New Roman" w:hAnsi="Times New Roman" w:cs="Times New Roman" w:eastAsia="Times New Roman" w:hint="default"/>
                <w:sz w:val="18"/>
                <w:szCs w:val="18"/>
              </w:rPr>
            </w:pPr>
            <w:r>
              <w:rPr>
                <w:rFonts w:ascii="Times New Roman"/>
                <w:sz w:val="18"/>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28,935,054.68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45"/>
              <w:jc w:val="right"/>
              <w:rPr>
                <w:rFonts w:ascii="Times New Roman" w:hAnsi="Times New Roman" w:cs="Times New Roman" w:eastAsia="Times New Roman" w:hint="default"/>
                <w:sz w:val="18"/>
                <w:szCs w:val="18"/>
              </w:rPr>
            </w:pPr>
            <w:r>
              <w:rPr>
                <w:rFonts w:ascii="Times New Roman"/>
                <w:sz w:val="18"/>
              </w:rPr>
              <w:t>-</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39,034,475.45</w:t>
            </w:r>
          </w:p>
        </w:tc>
      </w:tr>
    </w:tbl>
    <w:p>
      <w:pPr>
        <w:spacing w:after="0" w:line="240" w:lineRule="auto"/>
        <w:jc w:val="left"/>
        <w:rPr>
          <w:rFonts w:ascii="Times New Roman" w:hAnsi="Times New Roman" w:cs="Times New Roman" w:eastAsia="Times New Roman" w:hint="default"/>
          <w:sz w:val="18"/>
          <w:szCs w:val="18"/>
        </w:rPr>
        <w:sectPr>
          <w:pgSz w:w="11900" w:h="16840"/>
          <w:pgMar w:header="0" w:footer="982" w:top="1280" w:bottom="1180" w:left="1640" w:right="1180"/>
        </w:sectPr>
      </w:pPr>
    </w:p>
    <w:p>
      <w:pPr>
        <w:spacing w:line="240" w:lineRule="auto" w:before="9"/>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2250"/>
        <w:gridCol w:w="1280"/>
        <w:gridCol w:w="1114"/>
        <w:gridCol w:w="1580"/>
        <w:gridCol w:w="1272"/>
        <w:gridCol w:w="1351"/>
      </w:tblGrid>
      <w:tr>
        <w:trPr>
          <w:trHeight w:val="950"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37" w:lineRule="auto"/>
              <w:ind w:left="191" w:right="190"/>
              <w:jc w:val="center"/>
              <w:rPr>
                <w:rFonts w:ascii="宋体" w:hAnsi="宋体" w:cs="宋体" w:eastAsia="宋体" w:hint="default"/>
                <w:sz w:val="18"/>
                <w:szCs w:val="18"/>
              </w:rPr>
            </w:pPr>
            <w:r>
              <w:rPr>
                <w:rFonts w:ascii="宋体" w:hAnsi="宋体" w:cs="宋体" w:eastAsia="宋体" w:hint="default"/>
                <w:sz w:val="18"/>
                <w:szCs w:val="18"/>
              </w:rPr>
              <w:t>本期公允 价值变动 损益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5" w:right="152"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51" w:right="179" w:hanging="270"/>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490"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22,240,000.00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30"/>
              <w:jc w:val="right"/>
              <w:rPr>
                <w:rFonts w:ascii="Times New Roman" w:hAnsi="Times New Roman" w:cs="Times New Roman" w:eastAsia="Times New Roman" w:hint="default"/>
                <w:sz w:val="18"/>
                <w:szCs w:val="18"/>
              </w:rPr>
            </w:pPr>
            <w:r>
              <w:rPr>
                <w:rFonts w:ascii="Times New Roman"/>
                <w:sz w:val="18"/>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28,935,054.68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45"/>
              <w:jc w:val="right"/>
              <w:rPr>
                <w:rFonts w:ascii="Times New Roman" w:hAnsi="Times New Roman" w:cs="Times New Roman" w:eastAsia="Times New Roman" w:hint="default"/>
                <w:sz w:val="18"/>
                <w:szCs w:val="18"/>
              </w:rPr>
            </w:pPr>
            <w:r>
              <w:rPr>
                <w:rFonts w:ascii="Times New Roman"/>
                <w:sz w:val="18"/>
              </w:rPr>
              <w:t>-</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41"/>
              <w:jc w:val="right"/>
              <w:rPr>
                <w:rFonts w:ascii="Times New Roman" w:hAnsi="Times New Roman" w:cs="Times New Roman" w:eastAsia="Times New Roman" w:hint="default"/>
                <w:sz w:val="18"/>
                <w:szCs w:val="18"/>
              </w:rPr>
            </w:pPr>
            <w:r>
              <w:rPr>
                <w:rFonts w:ascii="Times New Roman"/>
                <w:spacing w:val="-1"/>
                <w:sz w:val="18"/>
              </w:rPr>
              <w:t>39,034,475.45</w:t>
            </w:r>
          </w:p>
        </w:tc>
      </w:tr>
      <w:tr>
        <w:trPr>
          <w:trHeight w:val="491"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26"/>
              <w:jc w:val="right"/>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30"/>
              <w:jc w:val="right"/>
              <w:rPr>
                <w:rFonts w:ascii="Times New Roman" w:hAnsi="Times New Roman" w:cs="Times New Roman" w:eastAsia="Times New Roman" w:hint="default"/>
                <w:sz w:val="18"/>
                <w:szCs w:val="18"/>
              </w:rPr>
            </w:pPr>
            <w:r>
              <w:rPr>
                <w:rFonts w:ascii="Times New Roman"/>
                <w:sz w:val="18"/>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25"/>
              <w:jc w:val="right"/>
              <w:rPr>
                <w:rFonts w:ascii="Times New Roman" w:hAnsi="Times New Roman" w:cs="Times New Roman" w:eastAsia="Times New Roman" w:hint="default"/>
                <w:sz w:val="18"/>
                <w:szCs w:val="18"/>
              </w:rPr>
            </w:pPr>
            <w:r>
              <w:rPr>
                <w:rFonts w:ascii="Times New Roman"/>
                <w:sz w:val="18"/>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44"/>
              <w:jc w:val="right"/>
              <w:rPr>
                <w:rFonts w:ascii="Times New Roman" w:hAnsi="Times New Roman" w:cs="Times New Roman" w:eastAsia="Times New Roman" w:hint="default"/>
                <w:sz w:val="18"/>
                <w:szCs w:val="18"/>
              </w:rPr>
            </w:pPr>
            <w:r>
              <w:rPr>
                <w:rFonts w:ascii="Times New Roman"/>
                <w:sz w:val="18"/>
              </w:rPr>
              <w:t>-</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66"/>
              <w:jc w:val="right"/>
              <w:rPr>
                <w:rFonts w:ascii="Times New Roman" w:hAnsi="Times New Roman" w:cs="Times New Roman" w:eastAsia="Times New Roman" w:hint="default"/>
                <w:sz w:val="18"/>
                <w:szCs w:val="18"/>
              </w:rPr>
            </w:pPr>
            <w:r>
              <w:rPr>
                <w:rFonts w:ascii="Times New Roman"/>
                <w:sz w:val="18"/>
              </w:rPr>
              <w:t>-</w:t>
            </w:r>
          </w:p>
        </w:tc>
      </w:tr>
      <w:tr>
        <w:trPr>
          <w:trHeight w:val="490"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26"/>
              <w:jc w:val="right"/>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30"/>
              <w:jc w:val="right"/>
              <w:rPr>
                <w:rFonts w:ascii="Times New Roman" w:hAnsi="Times New Roman" w:cs="Times New Roman" w:eastAsia="Times New Roman" w:hint="default"/>
                <w:sz w:val="18"/>
                <w:szCs w:val="18"/>
              </w:rPr>
            </w:pPr>
            <w:r>
              <w:rPr>
                <w:rFonts w:ascii="Times New Roman"/>
                <w:sz w:val="18"/>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25"/>
              <w:jc w:val="right"/>
              <w:rPr>
                <w:rFonts w:ascii="Times New Roman" w:hAnsi="Times New Roman" w:cs="Times New Roman" w:eastAsia="Times New Roman" w:hint="default"/>
                <w:sz w:val="18"/>
                <w:szCs w:val="18"/>
              </w:rPr>
            </w:pPr>
            <w:r>
              <w:rPr>
                <w:rFonts w:ascii="Times New Roman"/>
                <w:sz w:val="18"/>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44"/>
              <w:jc w:val="right"/>
              <w:rPr>
                <w:rFonts w:ascii="Times New Roman" w:hAnsi="Times New Roman" w:cs="Times New Roman" w:eastAsia="Times New Roman" w:hint="default"/>
                <w:sz w:val="18"/>
                <w:szCs w:val="18"/>
              </w:rPr>
            </w:pPr>
            <w:r>
              <w:rPr>
                <w:rFonts w:ascii="Times New Roman"/>
                <w:sz w:val="18"/>
              </w:rPr>
              <w:t>-</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66"/>
              <w:jc w:val="right"/>
              <w:rPr>
                <w:rFonts w:ascii="Times New Roman" w:hAnsi="Times New Roman" w:cs="Times New Roman" w:eastAsia="Times New Roman" w:hint="default"/>
                <w:sz w:val="18"/>
                <w:szCs w:val="18"/>
              </w:rPr>
            </w:pPr>
            <w:r>
              <w:rPr>
                <w:rFonts w:ascii="Times New Roman"/>
                <w:sz w:val="18"/>
              </w:rPr>
              <w:t>-</w:t>
            </w:r>
          </w:p>
        </w:tc>
      </w:tr>
      <w:tr>
        <w:trPr>
          <w:trHeight w:val="490"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26"/>
              <w:jc w:val="right"/>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30"/>
              <w:jc w:val="right"/>
              <w:rPr>
                <w:rFonts w:ascii="Times New Roman" w:hAnsi="Times New Roman" w:cs="Times New Roman" w:eastAsia="Times New Roman" w:hint="default"/>
                <w:sz w:val="18"/>
                <w:szCs w:val="18"/>
              </w:rPr>
            </w:pPr>
            <w:r>
              <w:rPr>
                <w:rFonts w:ascii="Times New Roman"/>
                <w:sz w:val="18"/>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25"/>
              <w:jc w:val="right"/>
              <w:rPr>
                <w:rFonts w:ascii="Times New Roman" w:hAnsi="Times New Roman" w:cs="Times New Roman" w:eastAsia="Times New Roman" w:hint="default"/>
                <w:sz w:val="18"/>
                <w:szCs w:val="18"/>
              </w:rPr>
            </w:pPr>
            <w:r>
              <w:rPr>
                <w:rFonts w:ascii="Times New Roman"/>
                <w:sz w:val="18"/>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44"/>
              <w:jc w:val="right"/>
              <w:rPr>
                <w:rFonts w:ascii="Times New Roman" w:hAnsi="Times New Roman" w:cs="Times New Roman" w:eastAsia="Times New Roman" w:hint="default"/>
                <w:sz w:val="18"/>
                <w:szCs w:val="18"/>
              </w:rPr>
            </w:pPr>
            <w:r>
              <w:rPr>
                <w:rFonts w:ascii="Times New Roman"/>
                <w:sz w:val="18"/>
              </w:rPr>
              <w:t>-</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66"/>
              <w:jc w:val="right"/>
              <w:rPr>
                <w:rFonts w:ascii="Times New Roman" w:hAnsi="Times New Roman" w:cs="Times New Roman" w:eastAsia="Times New Roman" w:hint="default"/>
                <w:sz w:val="18"/>
                <w:szCs w:val="18"/>
              </w:rPr>
            </w:pPr>
            <w:r>
              <w:rPr>
                <w:rFonts w:ascii="Times New Roman"/>
                <w:sz w:val="18"/>
              </w:rPr>
              <w:t>-</w:t>
            </w:r>
          </w:p>
        </w:tc>
      </w:tr>
      <w:tr>
        <w:trPr>
          <w:trHeight w:val="491"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22,240,000.00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30"/>
              <w:jc w:val="right"/>
              <w:rPr>
                <w:rFonts w:ascii="Times New Roman" w:hAnsi="Times New Roman" w:cs="Times New Roman" w:eastAsia="Times New Roman" w:hint="default"/>
                <w:sz w:val="18"/>
                <w:szCs w:val="18"/>
              </w:rPr>
            </w:pPr>
            <w:r>
              <w:rPr>
                <w:rFonts w:ascii="Times New Roman"/>
                <w:sz w:val="18"/>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28,935,054.68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45"/>
              <w:jc w:val="right"/>
              <w:rPr>
                <w:rFonts w:ascii="Times New Roman" w:hAnsi="Times New Roman" w:cs="Times New Roman" w:eastAsia="Times New Roman" w:hint="default"/>
                <w:sz w:val="18"/>
                <w:szCs w:val="18"/>
              </w:rPr>
            </w:pPr>
            <w:r>
              <w:rPr>
                <w:rFonts w:ascii="Times New Roman"/>
                <w:sz w:val="18"/>
              </w:rPr>
              <w:t>-</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41"/>
              <w:jc w:val="right"/>
              <w:rPr>
                <w:rFonts w:ascii="Times New Roman" w:hAnsi="Times New Roman" w:cs="Times New Roman" w:eastAsia="Times New Roman" w:hint="default"/>
                <w:sz w:val="18"/>
                <w:szCs w:val="18"/>
              </w:rPr>
            </w:pPr>
            <w:r>
              <w:rPr>
                <w:rFonts w:ascii="Times New Roman"/>
                <w:spacing w:val="-1"/>
                <w:sz w:val="18"/>
              </w:rPr>
              <w:t>39,034,475.45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before="35"/>
        <w:ind w:left="230" w:right="217"/>
        <w:jc w:val="left"/>
        <w:rPr>
          <w:rFonts w:ascii="黑体" w:hAnsi="黑体" w:cs="黑体" w:eastAsia="黑体" w:hint="default"/>
        </w:rPr>
      </w:pPr>
      <w:r>
        <w:rPr>
          <w:rFonts w:ascii="黑体" w:hAnsi="黑体" w:cs="黑体" w:eastAsia="黑体" w:hint="default"/>
        </w:rPr>
        <w:t>十一、母公司财务报表主要项目注释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pStyle w:val="BodyText"/>
        <w:spacing w:line="240" w:lineRule="auto" w:before="161"/>
        <w:ind w:left="230" w:right="217"/>
        <w:jc w:val="left"/>
      </w:pPr>
      <w:r>
        <w:rPr>
          <w:rFonts w:ascii="Times New Roman" w:hAnsi="Times New Roman" w:cs="Times New Roman" w:eastAsia="Times New Roman" w:hint="default"/>
          <w:b/>
          <w:bCs/>
        </w:rPr>
        <w:t>1</w:t>
      </w:r>
      <w:r>
        <w:rPr/>
        <w:t>、其他应收款</w:t>
      </w:r>
    </w:p>
    <w:p>
      <w:pPr>
        <w:pStyle w:val="BodyText"/>
        <w:spacing w:line="240" w:lineRule="auto" w:before="189"/>
        <w:ind w:left="230" w:right="217"/>
        <w:jc w:val="left"/>
      </w:pPr>
      <w:r>
        <w:rPr/>
        <w:t>（</w:t>
      </w:r>
      <w:r>
        <w:rPr>
          <w:rFonts w:ascii="Times New Roman" w:hAnsi="Times New Roman" w:cs="Times New Roman" w:eastAsia="Times New Roman" w:hint="default"/>
        </w:rPr>
        <w:t>1</w:t>
      </w:r>
      <w:r>
        <w:rPr/>
        <w:t>）其他应收款</w:t>
      </w:r>
    </w:p>
    <w:p>
      <w:pPr>
        <w:spacing w:line="240" w:lineRule="auto" w:before="10"/>
        <w:rPr>
          <w:rFonts w:ascii="宋体" w:hAnsi="宋体" w:cs="宋体" w:eastAsia="宋体" w:hint="default"/>
          <w:sz w:val="11"/>
          <w:szCs w:val="11"/>
        </w:rPr>
      </w:pPr>
    </w:p>
    <w:p>
      <w:pPr>
        <w:pStyle w:val="BodyText"/>
        <w:tabs>
          <w:tab w:pos="1049" w:val="left" w:leader="none"/>
        </w:tabs>
        <w:spacing w:line="240" w:lineRule="auto" w:before="35"/>
        <w:ind w:left="0" w:right="229"/>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45"/>
        <w:gridCol w:w="1523"/>
        <w:gridCol w:w="1110"/>
        <w:gridCol w:w="1662"/>
        <w:gridCol w:w="1108"/>
      </w:tblGrid>
      <w:tr>
        <w:trPr>
          <w:trHeight w:val="490" w:hRule="exact"/>
        </w:trPr>
        <w:tc>
          <w:tcPr>
            <w:tcW w:w="344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402"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91" w:hRule="exact"/>
        </w:trPr>
        <w:tc>
          <w:tcPr>
            <w:tcW w:w="3445" w:type="dxa"/>
            <w:vMerge/>
            <w:tcBorders>
              <w:left w:val="nil" w:sz="6" w:space="0" w:color="auto"/>
              <w:right w:val="single" w:sz="4" w:space="0" w:color="000000"/>
            </w:tcBorders>
          </w:tcPr>
          <w:p>
            <w:pPr/>
          </w:p>
        </w:tc>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7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0" w:hRule="exact"/>
        </w:trPr>
        <w:tc>
          <w:tcPr>
            <w:tcW w:w="3445" w:type="dxa"/>
            <w:vMerge/>
            <w:tcBorders>
              <w:left w:val="nil" w:sz="6" w:space="0" w:color="auto"/>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36"/>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90" w:hRule="exact"/>
        </w:trPr>
        <w:tc>
          <w:tcPr>
            <w:tcW w:w="3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单项金额重大的其他应收款</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571,997,386.71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99.16%</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157,802,999.87</w:t>
            </w:r>
          </w:p>
        </w:tc>
        <w:tc>
          <w:tcPr>
            <w:tcW w:w="11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74"/>
              <w:jc w:val="right"/>
              <w:rPr>
                <w:rFonts w:ascii="Times New Roman" w:hAnsi="Times New Roman" w:cs="Times New Roman" w:eastAsia="Times New Roman" w:hint="default"/>
                <w:sz w:val="18"/>
                <w:szCs w:val="18"/>
              </w:rPr>
            </w:pPr>
            <w:r>
              <w:rPr>
                <w:rFonts w:ascii="Times New Roman"/>
                <w:sz w:val="18"/>
              </w:rPr>
              <w:t>97.70%</w:t>
            </w:r>
          </w:p>
        </w:tc>
      </w:tr>
      <w:tr>
        <w:trPr>
          <w:trHeight w:val="598" w:hRule="exact"/>
        </w:trPr>
        <w:tc>
          <w:tcPr>
            <w:tcW w:w="3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257"/>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 后该组合的风险较大的其他应收款</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3,947,908.11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0.68%</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3,713,915.35</w:t>
            </w:r>
          </w:p>
        </w:tc>
        <w:tc>
          <w:tcPr>
            <w:tcW w:w="11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15" w:right="0"/>
              <w:jc w:val="left"/>
              <w:rPr>
                <w:rFonts w:ascii="Times New Roman" w:hAnsi="Times New Roman" w:cs="Times New Roman" w:eastAsia="Times New Roman" w:hint="default"/>
                <w:sz w:val="18"/>
                <w:szCs w:val="18"/>
              </w:rPr>
            </w:pPr>
            <w:r>
              <w:rPr>
                <w:rFonts w:ascii="Times New Roman"/>
                <w:sz w:val="18"/>
              </w:rPr>
              <w:t>2.30%</w:t>
            </w:r>
          </w:p>
        </w:tc>
      </w:tr>
      <w:tr>
        <w:trPr>
          <w:trHeight w:val="510" w:hRule="exact"/>
        </w:trPr>
        <w:tc>
          <w:tcPr>
            <w:tcW w:w="3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其他不重大其他应收款</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918,827.59</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0.16%</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05"/>
              <w:jc w:val="right"/>
              <w:rPr>
                <w:rFonts w:ascii="Times New Roman" w:hAnsi="Times New Roman" w:cs="Times New Roman" w:eastAsia="Times New Roman" w:hint="default"/>
                <w:sz w:val="18"/>
                <w:szCs w:val="18"/>
              </w:rPr>
            </w:pPr>
            <w:r>
              <w:rPr>
                <w:rFonts w:ascii="Times New Roman"/>
                <w:sz w:val="18"/>
              </w:rPr>
              <w:t>-</w:t>
            </w:r>
          </w:p>
        </w:tc>
        <w:tc>
          <w:tcPr>
            <w:tcW w:w="110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3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576,864,122.41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100.00%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161,516,915.22</w:t>
            </w:r>
          </w:p>
        </w:tc>
        <w:tc>
          <w:tcPr>
            <w:tcW w:w="110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3445"/>
        <w:gridCol w:w="1523"/>
        <w:gridCol w:w="1110"/>
        <w:gridCol w:w="1662"/>
        <w:gridCol w:w="1108"/>
      </w:tblGrid>
      <w:tr>
        <w:trPr>
          <w:trHeight w:val="510" w:hRule="exact"/>
        </w:trPr>
        <w:tc>
          <w:tcPr>
            <w:tcW w:w="344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402"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0" w:hRule="exact"/>
        </w:trPr>
        <w:tc>
          <w:tcPr>
            <w:tcW w:w="3445" w:type="dxa"/>
            <w:vMerge/>
            <w:tcBorders>
              <w:left w:val="nil" w:sz="6" w:space="0" w:color="auto"/>
              <w:right w:val="single" w:sz="4" w:space="0" w:color="000000"/>
            </w:tcBorders>
          </w:tcPr>
          <w:p>
            <w:pPr/>
          </w:p>
        </w:tc>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7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0" w:hRule="exact"/>
        </w:trPr>
        <w:tc>
          <w:tcPr>
            <w:tcW w:w="3445" w:type="dxa"/>
            <w:vMerge/>
            <w:tcBorders>
              <w:left w:val="nil" w:sz="6" w:space="0" w:color="auto"/>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36"/>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10" w:hRule="exact"/>
        </w:trPr>
        <w:tc>
          <w:tcPr>
            <w:tcW w:w="3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单项金额重大的其他应收款</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8"/>
              <w:jc w:val="right"/>
              <w:rPr>
                <w:rFonts w:ascii="Times New Roman" w:hAnsi="Times New Roman" w:cs="Times New Roman" w:eastAsia="Times New Roman" w:hint="default"/>
                <w:sz w:val="18"/>
                <w:szCs w:val="18"/>
              </w:rPr>
            </w:pPr>
            <w:r>
              <w:rPr>
                <w:rFonts w:ascii="Times New Roman"/>
                <w:spacing w:val="-1"/>
                <w:sz w:val="18"/>
              </w:rPr>
              <w:t>845,034,844.47</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99.39%</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pacing w:val="-1"/>
                <w:sz w:val="18"/>
              </w:rPr>
              <w:t>249,115,543.79</w:t>
            </w:r>
          </w:p>
        </w:tc>
        <w:tc>
          <w:tcPr>
            <w:tcW w:w="110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74"/>
              <w:jc w:val="right"/>
              <w:rPr>
                <w:rFonts w:ascii="Times New Roman" w:hAnsi="Times New Roman" w:cs="Times New Roman" w:eastAsia="Times New Roman" w:hint="default"/>
                <w:sz w:val="18"/>
                <w:szCs w:val="18"/>
              </w:rPr>
            </w:pPr>
            <w:r>
              <w:rPr>
                <w:rFonts w:ascii="Times New Roman"/>
                <w:sz w:val="18"/>
              </w:rPr>
              <w:t>98.33%</w:t>
            </w:r>
          </w:p>
        </w:tc>
      </w:tr>
      <w:tr>
        <w:trPr>
          <w:trHeight w:val="596" w:hRule="exact"/>
        </w:trPr>
        <w:tc>
          <w:tcPr>
            <w:tcW w:w="3445"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122" w:right="257"/>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 后该组合的风险较大的其他应收款</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9"/>
              <w:jc w:val="right"/>
              <w:rPr>
                <w:rFonts w:ascii="Times New Roman" w:hAnsi="Times New Roman" w:cs="Times New Roman" w:eastAsia="Times New Roman" w:hint="default"/>
                <w:sz w:val="18"/>
                <w:szCs w:val="18"/>
              </w:rPr>
            </w:pPr>
            <w:r>
              <w:rPr>
                <w:rFonts w:ascii="Times New Roman"/>
                <w:spacing w:val="-1"/>
                <w:sz w:val="18"/>
              </w:rPr>
              <w:t>5,199,303.11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0.61%</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pacing w:val="-1"/>
                <w:sz w:val="18"/>
              </w:rPr>
              <w:t>4,226,918.21</w:t>
            </w:r>
          </w:p>
        </w:tc>
        <w:tc>
          <w:tcPr>
            <w:tcW w:w="11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5" w:right="0"/>
              <w:jc w:val="left"/>
              <w:rPr>
                <w:rFonts w:ascii="Times New Roman" w:hAnsi="Times New Roman" w:cs="Times New Roman" w:eastAsia="Times New Roman" w:hint="default"/>
                <w:sz w:val="18"/>
                <w:szCs w:val="18"/>
              </w:rPr>
            </w:pPr>
            <w:r>
              <w:rPr>
                <w:rFonts w:ascii="Times New Roman"/>
                <w:sz w:val="18"/>
              </w:rPr>
              <w:t>1.67%</w:t>
            </w:r>
          </w:p>
        </w:tc>
      </w:tr>
      <w:tr>
        <w:trPr>
          <w:trHeight w:val="510" w:hRule="exact"/>
        </w:trPr>
        <w:tc>
          <w:tcPr>
            <w:tcW w:w="3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其他不重大其他应收款</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439"/>
              <w:jc w:val="right"/>
              <w:rPr>
                <w:rFonts w:ascii="Times New Roman" w:hAnsi="Times New Roman" w:cs="Times New Roman" w:eastAsia="Times New Roman" w:hint="default"/>
                <w:sz w:val="18"/>
                <w:szCs w:val="18"/>
              </w:rPr>
            </w:pPr>
            <w:r>
              <w:rPr>
                <w:rFonts w:ascii="Times New Roman"/>
                <w:sz w:val="18"/>
              </w:rPr>
              <w:t>-</w:t>
            </w:r>
          </w:p>
        </w:tc>
        <w:tc>
          <w:tcPr>
            <w:tcW w:w="110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3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8"/>
              <w:jc w:val="right"/>
              <w:rPr>
                <w:rFonts w:ascii="Times New Roman" w:hAnsi="Times New Roman" w:cs="Times New Roman" w:eastAsia="Times New Roman" w:hint="default"/>
                <w:sz w:val="18"/>
                <w:szCs w:val="18"/>
              </w:rPr>
            </w:pPr>
            <w:r>
              <w:rPr>
                <w:rFonts w:ascii="Times New Roman"/>
                <w:spacing w:val="-1"/>
                <w:sz w:val="18"/>
              </w:rPr>
              <w:t>850,234,147.58</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pacing w:val="-1"/>
                <w:sz w:val="18"/>
              </w:rPr>
              <w:t>253,342,462.00</w:t>
            </w:r>
          </w:p>
        </w:tc>
        <w:tc>
          <w:tcPr>
            <w:tcW w:w="110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00" w:h="16840"/>
          <w:pgMar w:header="0" w:footer="982" w:top="1060" w:bottom="1180" w:left="1640" w:right="1180"/>
        </w:sectPr>
      </w:pPr>
    </w:p>
    <w:p>
      <w:pPr>
        <w:spacing w:line="240" w:lineRule="auto" w:before="9"/>
        <w:rPr>
          <w:rFonts w:ascii="宋体" w:hAnsi="宋体" w:cs="宋体" w:eastAsia="宋体" w:hint="default"/>
          <w:sz w:val="14"/>
          <w:szCs w:val="14"/>
        </w:rPr>
      </w:pPr>
    </w:p>
    <w:p>
      <w:pPr>
        <w:pStyle w:val="BodyText"/>
        <w:spacing w:line="240" w:lineRule="auto" w:before="35"/>
        <w:ind w:left="250" w:right="217"/>
        <w:jc w:val="left"/>
      </w:pPr>
      <w:r>
        <w:rPr/>
        <w:t>（</w:t>
      </w:r>
      <w:r>
        <w:rPr>
          <w:rFonts w:ascii="Times New Roman" w:hAnsi="Times New Roman" w:cs="Times New Roman" w:eastAsia="Times New Roman" w:hint="default"/>
        </w:rPr>
        <w:t>2</w:t>
      </w:r>
      <w:r>
        <w:rPr/>
        <w:t>）期末单项金额重大前十名的其他应收款坏账准备计提：</w:t>
      </w:r>
    </w:p>
    <w:p>
      <w:pPr>
        <w:spacing w:line="240" w:lineRule="auto" w:before="3"/>
        <w:rPr>
          <w:rFonts w:ascii="宋体" w:hAnsi="宋体" w:cs="宋体" w:eastAsia="宋体" w:hint="default"/>
          <w:sz w:val="13"/>
          <w:szCs w:val="13"/>
        </w:rPr>
      </w:pPr>
    </w:p>
    <w:p>
      <w:pPr>
        <w:pStyle w:val="BodyText"/>
        <w:tabs>
          <w:tab w:pos="1049" w:val="left" w:leader="none"/>
        </w:tabs>
        <w:spacing w:line="240" w:lineRule="auto" w:before="35"/>
        <w:ind w:left="0" w:right="21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240"/>
        <w:gridCol w:w="1703"/>
        <w:gridCol w:w="1416"/>
        <w:gridCol w:w="1330"/>
        <w:gridCol w:w="1132"/>
      </w:tblGrid>
      <w:tr>
        <w:trPr>
          <w:trHeight w:val="520" w:hRule="exact"/>
        </w:trPr>
        <w:tc>
          <w:tcPr>
            <w:tcW w:w="32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96"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经济内容</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1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521" w:hRule="exact"/>
        </w:trPr>
        <w:tc>
          <w:tcPr>
            <w:tcW w:w="32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西安深鸿基房地产开发有限公司</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内部往来</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131,115,698.20</w:t>
            </w:r>
          </w:p>
        </w:tc>
        <w:tc>
          <w:tcPr>
            <w:tcW w:w="1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7"/>
              <w:jc w:val="right"/>
              <w:rPr>
                <w:rFonts w:ascii="Times New Roman" w:hAnsi="Times New Roman" w:cs="Times New Roman" w:eastAsia="Times New Roman" w:hint="default"/>
                <w:sz w:val="18"/>
                <w:szCs w:val="18"/>
              </w:rPr>
            </w:pPr>
            <w:r>
              <w:rPr>
                <w:rFonts w:ascii="Times New Roman"/>
                <w:sz w:val="18"/>
              </w:rPr>
              <w:t>-</w:t>
            </w:r>
          </w:p>
        </w:tc>
        <w:tc>
          <w:tcPr>
            <w:tcW w:w="11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w:t>
            </w:r>
          </w:p>
        </w:tc>
      </w:tr>
      <w:tr>
        <w:trPr>
          <w:trHeight w:val="520" w:hRule="exact"/>
        </w:trPr>
        <w:tc>
          <w:tcPr>
            <w:tcW w:w="32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深圳市凯方实业发展有限公司</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内部往来</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84,165,711.90</w:t>
            </w:r>
          </w:p>
        </w:tc>
        <w:tc>
          <w:tcPr>
            <w:tcW w:w="1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7"/>
              <w:jc w:val="right"/>
              <w:rPr>
                <w:rFonts w:ascii="Times New Roman" w:hAnsi="Times New Roman" w:cs="Times New Roman" w:eastAsia="Times New Roman" w:hint="default"/>
                <w:sz w:val="18"/>
                <w:szCs w:val="18"/>
              </w:rPr>
            </w:pPr>
            <w:r>
              <w:rPr>
                <w:rFonts w:ascii="Times New Roman"/>
                <w:sz w:val="18"/>
              </w:rPr>
              <w:t>-</w:t>
            </w:r>
          </w:p>
        </w:tc>
        <w:tc>
          <w:tcPr>
            <w:tcW w:w="11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w:t>
            </w:r>
          </w:p>
        </w:tc>
      </w:tr>
      <w:tr>
        <w:trPr>
          <w:trHeight w:val="520" w:hRule="exact"/>
        </w:trPr>
        <w:tc>
          <w:tcPr>
            <w:tcW w:w="32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深圳市鸿基房地产有限公司</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内部往来</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61,945,390.16</w:t>
            </w:r>
          </w:p>
        </w:tc>
        <w:tc>
          <w:tcPr>
            <w:tcW w:w="1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7"/>
              <w:jc w:val="right"/>
              <w:rPr>
                <w:rFonts w:ascii="Times New Roman" w:hAnsi="Times New Roman" w:cs="Times New Roman" w:eastAsia="Times New Roman" w:hint="default"/>
                <w:sz w:val="18"/>
                <w:szCs w:val="18"/>
              </w:rPr>
            </w:pPr>
            <w:r>
              <w:rPr>
                <w:rFonts w:ascii="Times New Roman"/>
                <w:sz w:val="18"/>
              </w:rPr>
              <w:t>-</w:t>
            </w:r>
          </w:p>
        </w:tc>
        <w:tc>
          <w:tcPr>
            <w:tcW w:w="11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w:t>
            </w:r>
          </w:p>
        </w:tc>
      </w:tr>
      <w:tr>
        <w:trPr>
          <w:trHeight w:val="521" w:hRule="exact"/>
        </w:trPr>
        <w:tc>
          <w:tcPr>
            <w:tcW w:w="32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深圳市龙岗鸿基房地产开发有限公司</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内部往来</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61,031,932.20</w:t>
            </w:r>
          </w:p>
        </w:tc>
        <w:tc>
          <w:tcPr>
            <w:tcW w:w="1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30,093,000.00</w:t>
            </w:r>
          </w:p>
        </w:tc>
        <w:tc>
          <w:tcPr>
            <w:tcW w:w="11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49.31%</w:t>
            </w:r>
          </w:p>
        </w:tc>
      </w:tr>
      <w:tr>
        <w:trPr>
          <w:trHeight w:val="520" w:hRule="exact"/>
        </w:trPr>
        <w:tc>
          <w:tcPr>
            <w:tcW w:w="32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北京中关村通信网络发展有限公司</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4"/>
              <w:jc w:val="center"/>
              <w:rPr>
                <w:rFonts w:ascii="宋体" w:hAnsi="宋体" w:cs="宋体" w:eastAsia="宋体" w:hint="default"/>
                <w:sz w:val="18"/>
                <w:szCs w:val="18"/>
              </w:rPr>
            </w:pPr>
            <w:r>
              <w:rPr>
                <w:rFonts w:ascii="宋体" w:hAnsi="宋体" w:cs="宋体" w:eastAsia="宋体" w:hint="default"/>
                <w:sz w:val="18"/>
                <w:szCs w:val="18"/>
              </w:rPr>
              <w:t>见附注五、</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59,000,000.00</w:t>
            </w:r>
          </w:p>
        </w:tc>
        <w:tc>
          <w:tcPr>
            <w:tcW w:w="1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295,000.00</w:t>
            </w:r>
          </w:p>
        </w:tc>
        <w:tc>
          <w:tcPr>
            <w:tcW w:w="11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0.50%</w:t>
            </w:r>
          </w:p>
        </w:tc>
      </w:tr>
      <w:tr>
        <w:trPr>
          <w:trHeight w:val="520" w:hRule="exact"/>
        </w:trPr>
        <w:tc>
          <w:tcPr>
            <w:tcW w:w="32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深圳市海龙王房地产开发有限公司</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见附注五、</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50,119,685.55</w:t>
            </w:r>
          </w:p>
        </w:tc>
        <w:tc>
          <w:tcPr>
            <w:tcW w:w="1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50,119,685.55</w:t>
            </w:r>
          </w:p>
        </w:tc>
        <w:tc>
          <w:tcPr>
            <w:tcW w:w="11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100.00%</w:t>
            </w:r>
          </w:p>
        </w:tc>
      </w:tr>
      <w:tr>
        <w:trPr>
          <w:trHeight w:val="521" w:hRule="exact"/>
        </w:trPr>
        <w:tc>
          <w:tcPr>
            <w:tcW w:w="32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西安新鸿业投资发展有限公司</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内部往来</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40,592,800.43</w:t>
            </w:r>
          </w:p>
        </w:tc>
        <w:tc>
          <w:tcPr>
            <w:tcW w:w="1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7"/>
              <w:jc w:val="right"/>
              <w:rPr>
                <w:rFonts w:ascii="Times New Roman" w:hAnsi="Times New Roman" w:cs="Times New Roman" w:eastAsia="Times New Roman" w:hint="default"/>
                <w:sz w:val="18"/>
                <w:szCs w:val="18"/>
              </w:rPr>
            </w:pPr>
            <w:r>
              <w:rPr>
                <w:rFonts w:ascii="Times New Roman"/>
                <w:sz w:val="18"/>
              </w:rPr>
              <w:t>-</w:t>
            </w:r>
          </w:p>
        </w:tc>
        <w:tc>
          <w:tcPr>
            <w:tcW w:w="11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w:t>
            </w:r>
          </w:p>
        </w:tc>
      </w:tr>
      <w:tr>
        <w:trPr>
          <w:trHeight w:val="520" w:hRule="exact"/>
        </w:trPr>
        <w:tc>
          <w:tcPr>
            <w:tcW w:w="32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广州金宇房地产开发公司</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见附注五、</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25,597,688.50</w:t>
            </w:r>
          </w:p>
        </w:tc>
        <w:tc>
          <w:tcPr>
            <w:tcW w:w="1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25,597,688.50</w:t>
            </w:r>
          </w:p>
        </w:tc>
        <w:tc>
          <w:tcPr>
            <w:tcW w:w="11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100.00%</w:t>
            </w:r>
          </w:p>
        </w:tc>
      </w:tr>
      <w:tr>
        <w:trPr>
          <w:trHeight w:val="520" w:hRule="exact"/>
        </w:trPr>
        <w:tc>
          <w:tcPr>
            <w:tcW w:w="32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深圳桂兴贸易发展公司</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见附注五、</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18,588,821.90</w:t>
            </w:r>
          </w:p>
        </w:tc>
        <w:tc>
          <w:tcPr>
            <w:tcW w:w="1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18,588,821.90</w:t>
            </w:r>
          </w:p>
        </w:tc>
        <w:tc>
          <w:tcPr>
            <w:tcW w:w="11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100.00%</w:t>
            </w:r>
          </w:p>
        </w:tc>
      </w:tr>
      <w:tr>
        <w:trPr>
          <w:trHeight w:val="521" w:hRule="exact"/>
        </w:trPr>
        <w:tc>
          <w:tcPr>
            <w:tcW w:w="32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正中置业集团有限公司</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见附注五、</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15,020,889.67</w:t>
            </w:r>
          </w:p>
        </w:tc>
        <w:tc>
          <w:tcPr>
            <w:tcW w:w="1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15,020,889.67</w:t>
            </w:r>
          </w:p>
        </w:tc>
        <w:tc>
          <w:tcPr>
            <w:tcW w:w="11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250" w:right="217"/>
        <w:jc w:val="left"/>
      </w:pPr>
      <w:r>
        <w:rPr/>
        <w:t>（</w:t>
      </w:r>
      <w:r>
        <w:rPr>
          <w:rFonts w:ascii="Times New Roman" w:hAnsi="Times New Roman" w:cs="Times New Roman" w:eastAsia="Times New Roman" w:hint="default"/>
        </w:rPr>
        <w:t>3</w:t>
      </w:r>
      <w:r>
        <w:rPr/>
        <w:t>）单项金额不重大但按信用风险特征组合后该组合的风险较大的其他应收款</w:t>
      </w:r>
    </w:p>
    <w:p>
      <w:pPr>
        <w:spacing w:line="240" w:lineRule="auto" w:before="0"/>
        <w:rPr>
          <w:rFonts w:ascii="宋体" w:hAnsi="宋体" w:cs="宋体" w:eastAsia="宋体" w:hint="default"/>
          <w:sz w:val="16"/>
          <w:szCs w:val="16"/>
        </w:rPr>
      </w:pPr>
    </w:p>
    <w:p>
      <w:pPr>
        <w:pStyle w:val="BodyText"/>
        <w:tabs>
          <w:tab w:pos="1049" w:val="left" w:leader="none"/>
        </w:tabs>
        <w:spacing w:line="240" w:lineRule="auto"/>
        <w:ind w:left="0" w:right="211"/>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254"/>
        <w:gridCol w:w="1398"/>
        <w:gridCol w:w="1144"/>
        <w:gridCol w:w="1289"/>
        <w:gridCol w:w="1417"/>
        <w:gridCol w:w="1002"/>
        <w:gridCol w:w="1266"/>
      </w:tblGrid>
      <w:tr>
        <w:trPr>
          <w:trHeight w:val="521" w:hRule="exact"/>
        </w:trPr>
        <w:tc>
          <w:tcPr>
            <w:tcW w:w="1254" w:type="dxa"/>
            <w:vMerge w:val="restart"/>
            <w:tcBorders>
              <w:top w:val="single" w:sz="8"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85" w:type="dxa"/>
            <w:gridSpan w:val="3"/>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20" w:hRule="exact"/>
        </w:trPr>
        <w:tc>
          <w:tcPr>
            <w:tcW w:w="1254" w:type="dxa"/>
            <w:vMerge/>
            <w:tcBorders>
              <w:left w:val="nil" w:sz="6" w:space="0" w:color="auto"/>
              <w:right w:val="single" w:sz="8" w:space="0" w:color="000000"/>
            </w:tcBorders>
          </w:tcPr>
          <w:p>
            <w:pPr/>
          </w:p>
        </w:tc>
        <w:tc>
          <w:tcPr>
            <w:tcW w:w="254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89"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419"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66" w:type="dxa"/>
            <w:vMerge w:val="restart"/>
            <w:tcBorders>
              <w:top w:val="single" w:sz="8" w:space="0" w:color="000000"/>
              <w:left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20" w:hRule="exact"/>
        </w:trPr>
        <w:tc>
          <w:tcPr>
            <w:tcW w:w="1254" w:type="dxa"/>
            <w:vMerge/>
            <w:tcBorders>
              <w:left w:val="nil" w:sz="6" w:space="0" w:color="auto"/>
              <w:bottom w:val="single" w:sz="8" w:space="0" w:color="000000"/>
              <w:right w:val="single" w:sz="8" w:space="0" w:color="000000"/>
            </w:tcBorders>
          </w:tcPr>
          <w:p>
            <w:pPr/>
          </w:p>
        </w:tc>
        <w:tc>
          <w:tcPr>
            <w:tcW w:w="1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89" w:type="dxa"/>
            <w:vMerge/>
            <w:tcBorders>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66" w:type="dxa"/>
            <w:vMerge/>
            <w:tcBorders>
              <w:left w:val="single" w:sz="8" w:space="0" w:color="000000"/>
              <w:bottom w:val="single" w:sz="8" w:space="0" w:color="000000"/>
              <w:right w:val="nil" w:sz="6" w:space="0" w:color="auto"/>
            </w:tcBorders>
          </w:tcPr>
          <w:p>
            <w:pPr/>
          </w:p>
        </w:tc>
      </w:tr>
      <w:tr>
        <w:trPr>
          <w:trHeight w:val="521" w:hRule="exact"/>
        </w:trPr>
        <w:tc>
          <w:tcPr>
            <w:tcW w:w="12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47"/>
              <w:jc w:val="right"/>
              <w:rPr>
                <w:rFonts w:ascii="Times New Roman" w:hAnsi="Times New Roman" w:cs="Times New Roman" w:eastAsia="Times New Roman" w:hint="default"/>
                <w:sz w:val="18"/>
                <w:szCs w:val="18"/>
              </w:rPr>
            </w:pPr>
            <w:r>
              <w:rPr>
                <w:rFonts w:ascii="Times New Roman"/>
                <w:sz w:val="18"/>
              </w:rPr>
              <w:t>582.00</w:t>
            </w:r>
          </w:p>
        </w:tc>
        <w:tc>
          <w:tcPr>
            <w:tcW w:w="1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0.01%</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29.10</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13,079.00</w:t>
            </w:r>
          </w:p>
        </w:tc>
        <w:tc>
          <w:tcPr>
            <w:tcW w:w="1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0.25%</w:t>
            </w:r>
          </w:p>
        </w:tc>
        <w:tc>
          <w:tcPr>
            <w:tcW w:w="126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653.95</w:t>
            </w:r>
          </w:p>
        </w:tc>
      </w:tr>
      <w:tr>
        <w:trPr>
          <w:trHeight w:val="520" w:hRule="exact"/>
        </w:trPr>
        <w:tc>
          <w:tcPr>
            <w:tcW w:w="12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48"/>
              <w:jc w:val="right"/>
              <w:rPr>
                <w:rFonts w:ascii="Times New Roman" w:hAnsi="Times New Roman" w:cs="Times New Roman" w:eastAsia="Times New Roman" w:hint="default"/>
                <w:sz w:val="18"/>
                <w:szCs w:val="18"/>
              </w:rPr>
            </w:pPr>
            <w:r>
              <w:rPr>
                <w:rFonts w:ascii="Times New Roman"/>
                <w:sz w:val="18"/>
              </w:rPr>
              <w:t>57,000.00</w:t>
            </w:r>
          </w:p>
        </w:tc>
        <w:tc>
          <w:tcPr>
            <w:tcW w:w="1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1.44%</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8,550.00</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131,790.00</w:t>
            </w:r>
          </w:p>
        </w:tc>
        <w:tc>
          <w:tcPr>
            <w:tcW w:w="1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2.53%</w:t>
            </w:r>
          </w:p>
        </w:tc>
        <w:tc>
          <w:tcPr>
            <w:tcW w:w="126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19,768.50</w:t>
            </w:r>
          </w:p>
        </w:tc>
      </w:tr>
      <w:tr>
        <w:trPr>
          <w:trHeight w:val="520" w:hRule="exact"/>
        </w:trPr>
        <w:tc>
          <w:tcPr>
            <w:tcW w:w="12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73"/>
              <w:jc w:val="right"/>
              <w:rPr>
                <w:rFonts w:ascii="Times New Roman" w:hAnsi="Times New Roman" w:cs="Times New Roman" w:eastAsia="Times New Roman" w:hint="default"/>
                <w:sz w:val="18"/>
                <w:szCs w:val="18"/>
              </w:rPr>
            </w:pPr>
            <w:r>
              <w:rPr>
                <w:rFonts w:ascii="Times New Roman"/>
                <w:sz w:val="18"/>
              </w:rPr>
              <w:t>-</w:t>
            </w:r>
          </w:p>
        </w:tc>
        <w:tc>
          <w:tcPr>
            <w:tcW w:w="1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85"/>
              <w:jc w:val="right"/>
              <w:rPr>
                <w:rFonts w:ascii="Times New Roman" w:hAnsi="Times New Roman" w:cs="Times New Roman" w:eastAsia="Times New Roman" w:hint="default"/>
                <w:sz w:val="18"/>
                <w:szCs w:val="18"/>
              </w:rPr>
            </w:pPr>
            <w:r>
              <w:rPr>
                <w:rFonts w:ascii="Times New Roman"/>
                <w:sz w:val="18"/>
              </w:rPr>
              <w:t>-</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275,746.00</w:t>
            </w:r>
          </w:p>
        </w:tc>
        <w:tc>
          <w:tcPr>
            <w:tcW w:w="1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5.30%</w:t>
            </w:r>
          </w:p>
        </w:tc>
        <w:tc>
          <w:tcPr>
            <w:tcW w:w="126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82,723.80</w:t>
            </w:r>
          </w:p>
        </w:tc>
      </w:tr>
      <w:tr>
        <w:trPr>
          <w:trHeight w:val="521" w:hRule="exact"/>
        </w:trPr>
        <w:tc>
          <w:tcPr>
            <w:tcW w:w="12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48"/>
              <w:jc w:val="right"/>
              <w:rPr>
                <w:rFonts w:ascii="Times New Roman" w:hAnsi="Times New Roman" w:cs="Times New Roman" w:eastAsia="Times New Roman" w:hint="default"/>
                <w:sz w:val="18"/>
                <w:szCs w:val="18"/>
              </w:rPr>
            </w:pPr>
            <w:r>
              <w:rPr>
                <w:rFonts w:ascii="Times New Roman"/>
                <w:sz w:val="18"/>
              </w:rPr>
              <w:t>21,000.00</w:t>
            </w:r>
          </w:p>
        </w:tc>
        <w:tc>
          <w:tcPr>
            <w:tcW w:w="1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0.53%</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10,500.00</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882,734.00</w:t>
            </w:r>
          </w:p>
        </w:tc>
        <w:tc>
          <w:tcPr>
            <w:tcW w:w="1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16.98%</w:t>
            </w:r>
          </w:p>
        </w:tc>
        <w:tc>
          <w:tcPr>
            <w:tcW w:w="126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441,367.00</w:t>
            </w:r>
          </w:p>
        </w:tc>
      </w:tr>
      <w:tr>
        <w:trPr>
          <w:trHeight w:val="520" w:hRule="exact"/>
        </w:trPr>
        <w:tc>
          <w:tcPr>
            <w:tcW w:w="12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48"/>
              <w:jc w:val="right"/>
              <w:rPr>
                <w:rFonts w:ascii="Times New Roman" w:hAnsi="Times New Roman" w:cs="Times New Roman" w:eastAsia="Times New Roman" w:hint="default"/>
                <w:sz w:val="18"/>
                <w:szCs w:val="18"/>
              </w:rPr>
            </w:pPr>
            <w:r>
              <w:rPr>
                <w:rFonts w:ascii="Times New Roman"/>
                <w:sz w:val="18"/>
              </w:rPr>
              <w:t>872,449.32</w:t>
            </w:r>
          </w:p>
        </w:tc>
        <w:tc>
          <w:tcPr>
            <w:tcW w:w="1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22.10%</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697,959.46</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1,067,745.72</w:t>
            </w:r>
          </w:p>
        </w:tc>
        <w:tc>
          <w:tcPr>
            <w:tcW w:w="1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20.54%</w:t>
            </w:r>
          </w:p>
        </w:tc>
        <w:tc>
          <w:tcPr>
            <w:tcW w:w="126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854,196.57</w:t>
            </w:r>
          </w:p>
        </w:tc>
      </w:tr>
      <w:tr>
        <w:trPr>
          <w:trHeight w:val="520" w:hRule="exact"/>
        </w:trPr>
        <w:tc>
          <w:tcPr>
            <w:tcW w:w="12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48"/>
              <w:jc w:val="right"/>
              <w:rPr>
                <w:rFonts w:ascii="Times New Roman" w:hAnsi="Times New Roman" w:cs="Times New Roman" w:eastAsia="Times New Roman" w:hint="default"/>
                <w:sz w:val="18"/>
                <w:szCs w:val="18"/>
              </w:rPr>
            </w:pPr>
            <w:r>
              <w:rPr>
                <w:rFonts w:ascii="Times New Roman"/>
                <w:spacing w:val="-1"/>
                <w:sz w:val="18"/>
              </w:rPr>
              <w:t>2,996,876.79</w:t>
            </w:r>
          </w:p>
        </w:tc>
        <w:tc>
          <w:tcPr>
            <w:tcW w:w="1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75.92%</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2,996,876.79</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2,828,208.39</w:t>
            </w:r>
          </w:p>
        </w:tc>
        <w:tc>
          <w:tcPr>
            <w:tcW w:w="1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54.40%</w:t>
            </w:r>
          </w:p>
        </w:tc>
        <w:tc>
          <w:tcPr>
            <w:tcW w:w="126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2,828,208.39</w:t>
            </w:r>
          </w:p>
        </w:tc>
      </w:tr>
      <w:tr>
        <w:trPr>
          <w:trHeight w:val="521" w:hRule="exact"/>
        </w:trPr>
        <w:tc>
          <w:tcPr>
            <w:tcW w:w="12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48"/>
              <w:jc w:val="right"/>
              <w:rPr>
                <w:rFonts w:ascii="Times New Roman" w:hAnsi="Times New Roman" w:cs="Times New Roman" w:eastAsia="Times New Roman" w:hint="default"/>
                <w:sz w:val="18"/>
                <w:szCs w:val="18"/>
              </w:rPr>
            </w:pPr>
            <w:r>
              <w:rPr>
                <w:rFonts w:ascii="Times New Roman"/>
                <w:spacing w:val="-1"/>
                <w:sz w:val="18"/>
              </w:rPr>
              <w:t>3,947,908.11</w:t>
            </w:r>
          </w:p>
        </w:tc>
        <w:tc>
          <w:tcPr>
            <w:tcW w:w="11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3,713,915.35</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5,199,303.11</w:t>
            </w:r>
          </w:p>
        </w:tc>
        <w:tc>
          <w:tcPr>
            <w:tcW w:w="1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126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4,226,918.21</w:t>
            </w:r>
          </w:p>
        </w:tc>
      </w:tr>
    </w:tbl>
    <w:p>
      <w:pPr>
        <w:spacing w:after="0" w:line="240" w:lineRule="auto"/>
        <w:jc w:val="right"/>
        <w:rPr>
          <w:rFonts w:ascii="Times New Roman" w:hAnsi="Times New Roman" w:cs="Times New Roman" w:eastAsia="Times New Roman" w:hint="default"/>
          <w:sz w:val="18"/>
          <w:szCs w:val="18"/>
        </w:rPr>
        <w:sectPr>
          <w:pgSz w:w="11900" w:h="16840"/>
          <w:pgMar w:header="0" w:footer="982" w:top="1600" w:bottom="1180" w:left="1620" w:right="1200"/>
        </w:sectPr>
      </w:pPr>
    </w:p>
    <w:p>
      <w:pPr>
        <w:pStyle w:val="BodyText"/>
        <w:spacing w:line="240" w:lineRule="auto" w:before="6"/>
        <w:ind w:left="250" w:right="142"/>
        <w:jc w:val="left"/>
      </w:pPr>
      <w:r>
        <w:rPr/>
        <w:t>（</w:t>
      </w:r>
      <w:r>
        <w:rPr>
          <w:rFonts w:ascii="Times New Roman" w:hAnsi="Times New Roman" w:cs="Times New Roman" w:eastAsia="Times New Roman" w:hint="default"/>
        </w:rPr>
        <w:t>4</w:t>
      </w:r>
      <w:r>
        <w:rPr/>
        <w:t>）本报告期实际核销的其他应收款情况</w:t>
      </w:r>
    </w:p>
    <w:p>
      <w:pPr>
        <w:spacing w:line="240" w:lineRule="auto" w:before="4"/>
        <w:rPr>
          <w:rFonts w:ascii="宋体" w:hAnsi="宋体" w:cs="宋体" w:eastAsia="宋体" w:hint="default"/>
          <w:sz w:val="13"/>
          <w:szCs w:val="13"/>
        </w:rPr>
      </w:pPr>
    </w:p>
    <w:p>
      <w:pPr>
        <w:pStyle w:val="BodyText"/>
        <w:tabs>
          <w:tab w:pos="1049" w:val="left" w:leader="none"/>
        </w:tabs>
        <w:spacing w:line="240" w:lineRule="auto" w:before="35"/>
        <w:ind w:left="0" w:right="231"/>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782"/>
        <w:gridCol w:w="1519"/>
        <w:gridCol w:w="1277"/>
        <w:gridCol w:w="1490"/>
        <w:gridCol w:w="1780"/>
      </w:tblGrid>
      <w:tr>
        <w:trPr>
          <w:trHeight w:val="1020" w:hRule="exact"/>
        </w:trPr>
        <w:tc>
          <w:tcPr>
            <w:tcW w:w="2782"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780" w:type="dxa"/>
            <w:tcBorders>
              <w:top w:val="single" w:sz="8" w:space="0" w:color="000000"/>
              <w:left w:val="single" w:sz="8" w:space="0" w:color="000000"/>
              <w:bottom w:val="single" w:sz="8" w:space="0" w:color="000000"/>
              <w:right w:val="nil" w:sz="6" w:space="0" w:color="auto"/>
            </w:tcBorders>
          </w:tcPr>
          <w:p>
            <w:pPr>
              <w:pStyle w:val="TableParagraph"/>
              <w:spacing w:line="500" w:lineRule="exact" w:before="47"/>
              <w:ind w:left="789" w:right="168" w:hanging="630"/>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521" w:hRule="exact"/>
        </w:trPr>
        <w:tc>
          <w:tcPr>
            <w:tcW w:w="27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福建东南电视网络公司</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往来款及借款</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24,690,279.00</w:t>
            </w:r>
          </w:p>
        </w:tc>
        <w:tc>
          <w:tcPr>
            <w:tcW w:w="1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pacing w:val="-9"/>
                <w:sz w:val="18"/>
                <w:szCs w:val="18"/>
              </w:rPr>
              <w:t>见附注五、</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w:t>
            </w:r>
          </w:p>
        </w:tc>
        <w:tc>
          <w:tcPr>
            <w:tcW w:w="17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20" w:hRule="exact"/>
        </w:trPr>
        <w:tc>
          <w:tcPr>
            <w:tcW w:w="27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深圳市鸿基影视文化有限公司</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6,238,491.81</w:t>
            </w:r>
          </w:p>
        </w:tc>
        <w:tc>
          <w:tcPr>
            <w:tcW w:w="1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公司清算</w:t>
            </w:r>
          </w:p>
        </w:tc>
        <w:tc>
          <w:tcPr>
            <w:tcW w:w="17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1" w:hRule="exact"/>
        </w:trPr>
        <w:tc>
          <w:tcPr>
            <w:tcW w:w="27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30,928,770.81</w:t>
            </w:r>
          </w:p>
        </w:tc>
        <w:tc>
          <w:tcPr>
            <w:tcW w:w="1490" w:type="dxa"/>
            <w:tcBorders>
              <w:top w:val="single" w:sz="8" w:space="0" w:color="000000"/>
              <w:left w:val="single" w:sz="8" w:space="0" w:color="000000"/>
              <w:bottom w:val="single" w:sz="8" w:space="0" w:color="000000"/>
              <w:right w:val="single" w:sz="8" w:space="0" w:color="000000"/>
            </w:tcBorders>
          </w:tcPr>
          <w:p>
            <w:pPr/>
          </w:p>
        </w:tc>
        <w:tc>
          <w:tcPr>
            <w:tcW w:w="1780" w:type="dxa"/>
            <w:tcBorders>
              <w:top w:val="single" w:sz="8" w:space="0" w:color="000000"/>
              <w:left w:val="single" w:sz="8" w:space="0" w:color="000000"/>
              <w:bottom w:val="single" w:sz="8"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250" w:right="142"/>
        <w:jc w:val="left"/>
      </w:pPr>
      <w:r>
        <w:rPr/>
        <w:t>（</w:t>
      </w:r>
      <w:r>
        <w:rPr>
          <w:rFonts w:ascii="Times New Roman" w:hAnsi="Times New Roman" w:cs="Times New Roman" w:eastAsia="Times New Roman" w:hint="default"/>
        </w:rPr>
        <w:t>5</w:t>
      </w:r>
      <w:r>
        <w:rPr/>
        <w:t>）期末其他应收款中无持有公司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以上表决权股份的股东款项。</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pStyle w:val="BodyText"/>
        <w:spacing w:line="240" w:lineRule="auto"/>
        <w:ind w:left="250" w:right="142"/>
        <w:jc w:val="left"/>
      </w:pPr>
      <w:r>
        <w:rPr/>
        <w:t>（</w:t>
      </w:r>
      <w:r>
        <w:rPr>
          <w:rFonts w:ascii="Times New Roman" w:hAnsi="Times New Roman" w:cs="Times New Roman" w:eastAsia="Times New Roman" w:hint="default"/>
        </w:rPr>
        <w:t>6</w:t>
      </w:r>
      <w:r>
        <w:rPr/>
        <w:t>）其他应收关联方款项情况</w:t>
      </w:r>
    </w:p>
    <w:p>
      <w:pPr>
        <w:spacing w:line="240" w:lineRule="auto" w:before="0"/>
        <w:rPr>
          <w:rFonts w:ascii="宋体" w:hAnsi="宋体" w:cs="宋体" w:eastAsia="宋体" w:hint="default"/>
          <w:sz w:val="16"/>
          <w:szCs w:val="16"/>
        </w:rPr>
      </w:pPr>
    </w:p>
    <w:p>
      <w:pPr>
        <w:pStyle w:val="BodyText"/>
        <w:tabs>
          <w:tab w:pos="1049" w:val="left" w:leader="none"/>
        </w:tabs>
        <w:spacing w:line="240" w:lineRule="auto"/>
        <w:ind w:left="0" w:right="229"/>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675"/>
        <w:gridCol w:w="1986"/>
        <w:gridCol w:w="1558"/>
        <w:gridCol w:w="2629"/>
      </w:tblGrid>
      <w:tr>
        <w:trPr>
          <w:trHeight w:val="521" w:hRule="exact"/>
        </w:trPr>
        <w:tc>
          <w:tcPr>
            <w:tcW w:w="26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4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62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1193" w:hRule="exact"/>
        </w:trPr>
        <w:tc>
          <w:tcPr>
            <w:tcW w:w="2675"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正中置业集团有限公司</w:t>
            </w:r>
          </w:p>
        </w:tc>
        <w:tc>
          <w:tcPr>
            <w:tcW w:w="19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28" w:lineRule="auto"/>
              <w:ind w:left="98" w:right="75"/>
              <w:jc w:val="both"/>
              <w:rPr>
                <w:rFonts w:ascii="宋体" w:hAnsi="宋体" w:cs="宋体" w:eastAsia="宋体" w:hint="default"/>
                <w:sz w:val="18"/>
                <w:szCs w:val="18"/>
              </w:rPr>
            </w:pPr>
            <w:r>
              <w:rPr>
                <w:rFonts w:ascii="宋体" w:hAnsi="宋体" w:cs="宋体" w:eastAsia="宋体" w:hint="default"/>
                <w:spacing w:val="11"/>
                <w:sz w:val="18"/>
                <w:szCs w:val="18"/>
              </w:rPr>
              <w:t>持有本公司</w:t>
            </w:r>
            <w:r>
              <w:rPr>
                <w:rFonts w:ascii="宋体" w:hAnsi="宋体" w:cs="宋体" w:eastAsia="宋体" w:hint="default"/>
                <w:spacing w:val="16"/>
                <w:sz w:val="18"/>
                <w:szCs w:val="18"/>
              </w:rPr>
              <w:t> </w:t>
            </w:r>
            <w:r>
              <w:rPr>
                <w:rFonts w:ascii="Times New Roman" w:hAnsi="Times New Roman" w:cs="Times New Roman" w:eastAsia="Times New Roman" w:hint="default"/>
                <w:spacing w:val="7"/>
                <w:sz w:val="18"/>
                <w:szCs w:val="18"/>
              </w:rPr>
              <w:t>2.21</w:t>
            </w:r>
            <w:r>
              <w:rPr>
                <w:rFonts w:ascii="宋体" w:hAnsi="宋体" w:cs="宋体" w:eastAsia="宋体" w:hint="default"/>
                <w:spacing w:val="7"/>
                <w:sz w:val="18"/>
                <w:szCs w:val="18"/>
              </w:rPr>
              <w:t>％股</w:t>
            </w:r>
            <w:r>
              <w:rPr>
                <w:rFonts w:ascii="宋体" w:hAnsi="宋体" w:cs="宋体" w:eastAsia="宋体" w:hint="default"/>
                <w:spacing w:val="14"/>
                <w:sz w:val="18"/>
                <w:szCs w:val="18"/>
              </w:rPr>
              <w:t> </w:t>
            </w:r>
            <w:r>
              <w:rPr>
                <w:rFonts w:ascii="宋体" w:hAnsi="宋体" w:cs="宋体" w:eastAsia="宋体" w:hint="default"/>
                <w:spacing w:val="17"/>
                <w:sz w:val="18"/>
                <w:szCs w:val="18"/>
              </w:rPr>
              <w:t>份的第三大股东</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pacing w:val="16"/>
                <w:sz w:val="18"/>
                <w:szCs w:val="18"/>
              </w:rPr>
              <w:t>深圳市正中投资发展</w:t>
            </w:r>
            <w:r>
              <w:rPr>
                <w:rFonts w:ascii="宋体" w:hAnsi="宋体" w:cs="宋体" w:eastAsia="宋体" w:hint="default"/>
                <w:spacing w:val="-85"/>
                <w:sz w:val="18"/>
                <w:szCs w:val="18"/>
              </w:rPr>
              <w:t> </w:t>
            </w:r>
            <w:r>
              <w:rPr>
                <w:rFonts w:ascii="宋体" w:hAnsi="宋体" w:cs="宋体" w:eastAsia="宋体" w:hint="default"/>
                <w:sz w:val="18"/>
                <w:szCs w:val="18"/>
              </w:rPr>
              <w:t>有限公司之控股企业</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6"/>
              <w:jc w:val="right"/>
              <w:rPr>
                <w:rFonts w:ascii="Times New Roman" w:hAnsi="Times New Roman" w:cs="Times New Roman" w:eastAsia="Times New Roman" w:hint="default"/>
                <w:sz w:val="18"/>
                <w:szCs w:val="18"/>
              </w:rPr>
            </w:pPr>
            <w:r>
              <w:rPr>
                <w:rFonts w:ascii="Times New Roman"/>
                <w:spacing w:val="-1"/>
                <w:sz w:val="18"/>
              </w:rPr>
              <w:t>15,020,889.67</w:t>
            </w:r>
          </w:p>
        </w:tc>
        <w:tc>
          <w:tcPr>
            <w:tcW w:w="2629"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
              <w:jc w:val="center"/>
              <w:rPr>
                <w:rFonts w:ascii="Times New Roman" w:hAnsi="Times New Roman" w:cs="Times New Roman" w:eastAsia="Times New Roman" w:hint="default"/>
                <w:sz w:val="18"/>
                <w:szCs w:val="18"/>
              </w:rPr>
            </w:pPr>
            <w:r>
              <w:rPr>
                <w:rFonts w:ascii="Times New Roman"/>
                <w:sz w:val="18"/>
              </w:rPr>
              <w:t>2.60%</w:t>
            </w:r>
          </w:p>
        </w:tc>
      </w:tr>
      <w:tr>
        <w:trPr>
          <w:trHeight w:val="727" w:hRule="exact"/>
        </w:trPr>
        <w:tc>
          <w:tcPr>
            <w:tcW w:w="26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深圳市鸿基广源贸易有限公司</w:t>
            </w:r>
          </w:p>
        </w:tc>
        <w:tc>
          <w:tcPr>
            <w:tcW w:w="19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8" w:right="75"/>
              <w:jc w:val="left"/>
              <w:rPr>
                <w:rFonts w:ascii="宋体" w:hAnsi="宋体" w:cs="宋体" w:eastAsia="宋体" w:hint="default"/>
                <w:sz w:val="18"/>
                <w:szCs w:val="18"/>
              </w:rPr>
            </w:pPr>
            <w:r>
              <w:rPr>
                <w:rFonts w:ascii="宋体" w:hAnsi="宋体" w:cs="宋体" w:eastAsia="宋体" w:hint="default"/>
                <w:spacing w:val="16"/>
                <w:sz w:val="18"/>
                <w:szCs w:val="18"/>
              </w:rPr>
              <w:t>已进入清算程序的子</w:t>
            </w:r>
            <w:r>
              <w:rPr>
                <w:rFonts w:ascii="宋体" w:hAnsi="宋体" w:cs="宋体" w:eastAsia="宋体" w:hint="default"/>
                <w:spacing w:val="-85"/>
                <w:sz w:val="18"/>
                <w:szCs w:val="18"/>
              </w:rPr>
              <w:t> </w:t>
            </w:r>
            <w:r>
              <w:rPr>
                <w:rFonts w:ascii="宋体" w:hAnsi="宋体" w:cs="宋体" w:eastAsia="宋体" w:hint="default"/>
                <w:sz w:val="18"/>
                <w:szCs w:val="18"/>
              </w:rPr>
              <w:t>公司</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6"/>
              <w:jc w:val="right"/>
              <w:rPr>
                <w:rFonts w:ascii="Times New Roman" w:hAnsi="Times New Roman" w:cs="Times New Roman" w:eastAsia="Times New Roman" w:hint="default"/>
                <w:sz w:val="18"/>
                <w:szCs w:val="18"/>
              </w:rPr>
            </w:pPr>
            <w:r>
              <w:rPr>
                <w:rFonts w:ascii="Times New Roman"/>
                <w:spacing w:val="-1"/>
                <w:sz w:val="18"/>
              </w:rPr>
              <w:t>3,260,739.46</w:t>
            </w:r>
          </w:p>
        </w:tc>
        <w:tc>
          <w:tcPr>
            <w:tcW w:w="2629"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
              <w:jc w:val="center"/>
              <w:rPr>
                <w:rFonts w:ascii="Times New Roman" w:hAnsi="Times New Roman" w:cs="Times New Roman" w:eastAsia="Times New Roman" w:hint="default"/>
                <w:sz w:val="18"/>
                <w:szCs w:val="18"/>
              </w:rPr>
            </w:pPr>
            <w:r>
              <w:rPr>
                <w:rFonts w:ascii="Times New Roman"/>
                <w:sz w:val="18"/>
              </w:rPr>
              <w:t>0.57%</w:t>
            </w:r>
          </w:p>
        </w:tc>
      </w:tr>
      <w:tr>
        <w:trPr>
          <w:trHeight w:val="960" w:hRule="exact"/>
        </w:trPr>
        <w:tc>
          <w:tcPr>
            <w:tcW w:w="2675"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深圳市泉源实业发展有限公司</w:t>
            </w:r>
          </w:p>
        </w:tc>
        <w:tc>
          <w:tcPr>
            <w:tcW w:w="19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37" w:lineRule="auto"/>
              <w:ind w:left="98" w:right="75"/>
              <w:jc w:val="both"/>
              <w:rPr>
                <w:rFonts w:ascii="宋体" w:hAnsi="宋体" w:cs="宋体" w:eastAsia="宋体" w:hint="default"/>
                <w:sz w:val="18"/>
                <w:szCs w:val="18"/>
              </w:rPr>
            </w:pPr>
            <w:r>
              <w:rPr>
                <w:rFonts w:ascii="宋体" w:hAnsi="宋体" w:cs="宋体" w:eastAsia="宋体" w:hint="default"/>
                <w:spacing w:val="16"/>
                <w:sz w:val="18"/>
                <w:szCs w:val="18"/>
              </w:rPr>
              <w:t>子公司深圳市凯方实</w:t>
            </w:r>
            <w:r>
              <w:rPr>
                <w:rFonts w:ascii="宋体" w:hAnsi="宋体" w:cs="宋体" w:eastAsia="宋体" w:hint="default"/>
                <w:spacing w:val="-85"/>
                <w:sz w:val="18"/>
                <w:szCs w:val="18"/>
              </w:rPr>
              <w:t> </w:t>
            </w:r>
            <w:r>
              <w:rPr>
                <w:rFonts w:ascii="宋体" w:hAnsi="宋体" w:cs="宋体" w:eastAsia="宋体" w:hint="default"/>
                <w:spacing w:val="16"/>
                <w:sz w:val="18"/>
                <w:szCs w:val="18"/>
              </w:rPr>
              <w:t>业发展有限公司之联</w:t>
            </w:r>
            <w:r>
              <w:rPr>
                <w:rFonts w:ascii="宋体" w:hAnsi="宋体" w:cs="宋体" w:eastAsia="宋体" w:hint="default"/>
                <w:spacing w:val="-85"/>
                <w:sz w:val="18"/>
                <w:szCs w:val="18"/>
              </w:rPr>
              <w:t> </w:t>
            </w:r>
            <w:r>
              <w:rPr>
                <w:rFonts w:ascii="宋体" w:hAnsi="宋体" w:cs="宋体" w:eastAsia="宋体" w:hint="default"/>
                <w:sz w:val="18"/>
                <w:szCs w:val="18"/>
              </w:rPr>
              <w:t>营企业</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2,600,000.00</w:t>
            </w:r>
          </w:p>
        </w:tc>
        <w:tc>
          <w:tcPr>
            <w:tcW w:w="2629"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0.45%</w:t>
            </w:r>
          </w:p>
        </w:tc>
      </w:tr>
      <w:tr>
        <w:trPr>
          <w:trHeight w:val="521" w:hRule="exact"/>
        </w:trPr>
        <w:tc>
          <w:tcPr>
            <w:tcW w:w="26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6" w:type="dxa"/>
            <w:tcBorders>
              <w:top w:val="single" w:sz="8" w:space="0" w:color="000000"/>
              <w:left w:val="single" w:sz="8" w:space="0" w:color="000000"/>
              <w:bottom w:val="single" w:sz="8" w:space="0" w:color="000000"/>
              <w:right w:val="single" w:sz="8" w:space="0" w:color="000000"/>
            </w:tcBorders>
          </w:tcPr>
          <w:p>
            <w:pP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20,881,629.13</w:t>
            </w:r>
          </w:p>
        </w:tc>
        <w:tc>
          <w:tcPr>
            <w:tcW w:w="262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3.62%</w:t>
            </w:r>
          </w:p>
        </w:tc>
      </w:tr>
    </w:tbl>
    <w:p>
      <w:pPr>
        <w:spacing w:after="0" w:line="240" w:lineRule="auto"/>
        <w:jc w:val="center"/>
        <w:rPr>
          <w:rFonts w:ascii="Times New Roman" w:hAnsi="Times New Roman" w:cs="Times New Roman" w:eastAsia="Times New Roman" w:hint="default"/>
          <w:sz w:val="18"/>
          <w:szCs w:val="18"/>
        </w:rPr>
        <w:sectPr>
          <w:pgSz w:w="11900" w:h="16840"/>
          <w:pgMar w:header="0" w:footer="982" w:top="1320" w:bottom="1180" w:left="1620" w:right="1180"/>
        </w:sectPr>
      </w:pPr>
    </w:p>
    <w:p>
      <w:pPr>
        <w:spacing w:line="240" w:lineRule="auto" w:before="8"/>
        <w:rPr>
          <w:rFonts w:ascii="宋体" w:hAnsi="宋体" w:cs="宋体" w:eastAsia="宋体" w:hint="default"/>
          <w:sz w:val="14"/>
          <w:szCs w:val="14"/>
        </w:rPr>
      </w:pPr>
    </w:p>
    <w:p>
      <w:pPr>
        <w:pStyle w:val="BodyText"/>
        <w:spacing w:line="240" w:lineRule="auto" w:before="35"/>
        <w:ind w:left="230" w:right="0"/>
        <w:jc w:val="left"/>
      </w:pPr>
      <w:r>
        <w:rPr>
          <w:rFonts w:ascii="Times New Roman" w:hAnsi="Times New Roman" w:cs="Times New Roman" w:eastAsia="Times New Roman" w:hint="default"/>
          <w:b/>
          <w:bCs/>
        </w:rPr>
        <w:t>2</w:t>
      </w:r>
      <w:r>
        <w:rPr/>
        <w:t>、长期股权投资</w:t>
      </w:r>
    </w:p>
    <w:p>
      <w:pPr>
        <w:spacing w:line="240" w:lineRule="auto" w:before="4"/>
        <w:rPr>
          <w:rFonts w:ascii="宋体" w:hAnsi="宋体" w:cs="宋体" w:eastAsia="宋体" w:hint="default"/>
          <w:sz w:val="13"/>
          <w:szCs w:val="13"/>
        </w:rPr>
      </w:pPr>
    </w:p>
    <w:p>
      <w:pPr>
        <w:pStyle w:val="BodyText"/>
        <w:tabs>
          <w:tab w:pos="1049" w:val="left" w:leader="none"/>
        </w:tabs>
        <w:spacing w:line="240" w:lineRule="auto" w:before="35"/>
        <w:ind w:left="0" w:right="218"/>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800"/>
        <w:gridCol w:w="1182"/>
        <w:gridCol w:w="1224"/>
        <w:gridCol w:w="1210"/>
        <w:gridCol w:w="1208"/>
        <w:gridCol w:w="1255"/>
        <w:gridCol w:w="752"/>
        <w:gridCol w:w="866"/>
        <w:gridCol w:w="1297"/>
        <w:gridCol w:w="1079"/>
        <w:gridCol w:w="884"/>
      </w:tblGrid>
      <w:tr>
        <w:trPr>
          <w:trHeight w:val="443" w:hRule="exact"/>
        </w:trPr>
        <w:tc>
          <w:tcPr>
            <w:tcW w:w="2800" w:type="dxa"/>
            <w:tcBorders>
              <w:top w:val="single" w:sz="4" w:space="0" w:color="000000"/>
              <w:left w:val="nil" w:sz="6" w:space="0" w:color="auto"/>
              <w:bottom w:val="nil" w:sz="6" w:space="0" w:color="auto"/>
              <w:right w:val="single" w:sz="4" w:space="0" w:color="000000"/>
            </w:tcBorders>
          </w:tcPr>
          <w:p>
            <w:pPr/>
          </w:p>
        </w:tc>
        <w:tc>
          <w:tcPr>
            <w:tcW w:w="1182" w:type="dxa"/>
            <w:tcBorders>
              <w:top w:val="single" w:sz="4" w:space="0" w:color="000000"/>
              <w:left w:val="single" w:sz="4" w:space="0" w:color="000000"/>
              <w:bottom w:val="nil" w:sz="6" w:space="0" w:color="auto"/>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
        </w:tc>
        <w:tc>
          <w:tcPr>
            <w:tcW w:w="1210" w:type="dxa"/>
            <w:tcBorders>
              <w:top w:val="single" w:sz="4" w:space="0" w:color="000000"/>
              <w:left w:val="single" w:sz="4" w:space="0" w:color="000000"/>
              <w:bottom w:val="nil" w:sz="6" w:space="0" w:color="auto"/>
              <w:right w:val="single" w:sz="4" w:space="0" w:color="000000"/>
            </w:tcBorders>
          </w:tcPr>
          <w:p>
            <w:pPr/>
          </w:p>
        </w:tc>
        <w:tc>
          <w:tcPr>
            <w:tcW w:w="1208" w:type="dxa"/>
            <w:tcBorders>
              <w:top w:val="single" w:sz="4" w:space="0" w:color="000000"/>
              <w:left w:val="single" w:sz="4" w:space="0" w:color="000000"/>
              <w:bottom w:val="nil" w:sz="6" w:space="0" w:color="auto"/>
              <w:right w:val="single" w:sz="4" w:space="0" w:color="000000"/>
            </w:tcBorders>
          </w:tcPr>
          <w:p>
            <w:pPr/>
          </w:p>
        </w:tc>
        <w:tc>
          <w:tcPr>
            <w:tcW w:w="1255" w:type="dxa"/>
            <w:tcBorders>
              <w:top w:val="single" w:sz="4" w:space="0" w:color="000000"/>
              <w:left w:val="single" w:sz="4" w:space="0" w:color="000000"/>
              <w:bottom w:val="nil" w:sz="6" w:space="0" w:color="auto"/>
              <w:right w:val="single" w:sz="4" w:space="0" w:color="000000"/>
            </w:tcBorders>
          </w:tcPr>
          <w:p>
            <w:pPr/>
          </w:p>
        </w:tc>
        <w:tc>
          <w:tcPr>
            <w:tcW w:w="7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在被投</w:t>
            </w:r>
          </w:p>
        </w:tc>
        <w:tc>
          <w:tcPr>
            <w:tcW w:w="8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在被投资</w:t>
            </w:r>
          </w:p>
        </w:tc>
        <w:tc>
          <w:tcPr>
            <w:tcW w:w="1297" w:type="dxa"/>
            <w:tcBorders>
              <w:top w:val="single" w:sz="4" w:space="0" w:color="000000"/>
              <w:left w:val="single" w:sz="4" w:space="0" w:color="000000"/>
              <w:bottom w:val="nil" w:sz="6" w:space="0" w:color="auto"/>
              <w:right w:val="single" w:sz="4" w:space="0" w:color="000000"/>
            </w:tcBorders>
          </w:tcPr>
          <w:p>
            <w:pPr/>
          </w:p>
        </w:tc>
        <w:tc>
          <w:tcPr>
            <w:tcW w:w="1079" w:type="dxa"/>
            <w:tcBorders>
              <w:top w:val="single" w:sz="4" w:space="0" w:color="000000"/>
              <w:left w:val="single" w:sz="4" w:space="0" w:color="000000"/>
              <w:bottom w:val="nil" w:sz="6" w:space="0" w:color="auto"/>
              <w:right w:val="single" w:sz="4" w:space="0" w:color="000000"/>
            </w:tcBorders>
          </w:tcPr>
          <w:p>
            <w:pPr/>
          </w:p>
        </w:tc>
        <w:tc>
          <w:tcPr>
            <w:tcW w:w="884" w:type="dxa"/>
            <w:tcBorders>
              <w:top w:val="single" w:sz="4" w:space="0" w:color="000000"/>
              <w:left w:val="single" w:sz="4" w:space="0" w:color="000000"/>
              <w:bottom w:val="nil" w:sz="6" w:space="0" w:color="auto"/>
              <w:right w:val="nil" w:sz="6" w:space="0" w:color="auto"/>
            </w:tcBorders>
          </w:tcPr>
          <w:p>
            <w:pPr/>
          </w:p>
        </w:tc>
      </w:tr>
      <w:tr>
        <w:trPr>
          <w:trHeight w:val="390" w:hRule="exact"/>
        </w:trPr>
        <w:tc>
          <w:tcPr>
            <w:tcW w:w="2800"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2" w:right="0"/>
              <w:jc w:val="center"/>
              <w:rPr>
                <w:rFonts w:ascii="宋体" w:hAnsi="宋体" w:cs="宋体" w:eastAsia="宋体" w:hint="default"/>
                <w:sz w:val="15"/>
                <w:szCs w:val="15"/>
              </w:rPr>
            </w:pPr>
            <w:r>
              <w:rPr>
                <w:rFonts w:ascii="宋体" w:hAnsi="宋体" w:cs="宋体" w:eastAsia="宋体" w:hint="default"/>
                <w:sz w:val="15"/>
                <w:szCs w:val="15"/>
              </w:rPr>
              <w:t>被投资单位</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left="286" w:right="0"/>
              <w:jc w:val="left"/>
              <w:rPr>
                <w:rFonts w:ascii="宋体" w:hAnsi="宋体" w:cs="宋体" w:eastAsia="宋体" w:hint="default"/>
                <w:sz w:val="15"/>
                <w:szCs w:val="15"/>
              </w:rPr>
            </w:pPr>
            <w:r>
              <w:rPr>
                <w:rFonts w:ascii="宋体" w:hAnsi="宋体" w:cs="宋体" w:eastAsia="宋体" w:hint="default"/>
                <w:sz w:val="15"/>
                <w:szCs w:val="15"/>
              </w:rPr>
              <w:t>核算方法</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left="157" w:right="0"/>
              <w:jc w:val="left"/>
              <w:rPr>
                <w:rFonts w:ascii="宋体" w:hAnsi="宋体" w:cs="宋体" w:eastAsia="宋体" w:hint="default"/>
                <w:sz w:val="15"/>
                <w:szCs w:val="15"/>
              </w:rPr>
            </w:pPr>
            <w:r>
              <w:rPr>
                <w:rFonts w:ascii="宋体" w:hAnsi="宋体" w:cs="宋体" w:eastAsia="宋体" w:hint="default"/>
                <w:sz w:val="15"/>
                <w:szCs w:val="15"/>
              </w:rPr>
              <w:t>初始投资成本</w:t>
            </w:r>
          </w:p>
        </w:tc>
        <w:tc>
          <w:tcPr>
            <w:tcW w:w="1210"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left="298"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208"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left="298" w:right="0"/>
              <w:jc w:val="left"/>
              <w:rPr>
                <w:rFonts w:ascii="宋体" w:hAnsi="宋体" w:cs="宋体" w:eastAsia="宋体" w:hint="default"/>
                <w:sz w:val="15"/>
                <w:szCs w:val="15"/>
              </w:rPr>
            </w:pPr>
            <w:r>
              <w:rPr>
                <w:rFonts w:ascii="宋体" w:hAnsi="宋体" w:cs="宋体" w:eastAsia="宋体" w:hint="default"/>
                <w:sz w:val="15"/>
                <w:szCs w:val="15"/>
              </w:rPr>
              <w:t>增减变动</w:t>
            </w:r>
          </w:p>
        </w:tc>
        <w:tc>
          <w:tcPr>
            <w:tcW w:w="1255"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left="322"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752" w:type="dxa"/>
            <w:tcBorders>
              <w:top w:val="nil" w:sz="6" w:space="0" w:color="auto"/>
              <w:left w:val="single" w:sz="4" w:space="0" w:color="000000"/>
              <w:bottom w:val="nil" w:sz="6" w:space="0" w:color="auto"/>
              <w:right w:val="single" w:sz="4" w:space="0" w:color="000000"/>
            </w:tcBorders>
          </w:tcPr>
          <w:p>
            <w:pPr>
              <w:pStyle w:val="TableParagraph"/>
              <w:spacing w:line="166" w:lineRule="exact"/>
              <w:ind w:left="146" w:right="0"/>
              <w:jc w:val="left"/>
              <w:rPr>
                <w:rFonts w:ascii="宋体" w:hAnsi="宋体" w:cs="宋体" w:eastAsia="宋体" w:hint="default"/>
                <w:sz w:val="15"/>
                <w:szCs w:val="15"/>
              </w:rPr>
            </w:pPr>
            <w:r>
              <w:rPr>
                <w:rFonts w:ascii="宋体" w:hAnsi="宋体" w:cs="宋体" w:eastAsia="宋体" w:hint="default"/>
                <w:sz w:val="15"/>
                <w:szCs w:val="15"/>
              </w:rPr>
              <w:t>资单位</w:t>
            </w:r>
          </w:p>
          <w:p>
            <w:pPr>
              <w:pStyle w:val="TableParagraph"/>
              <w:spacing w:line="196" w:lineRule="exact"/>
              <w:ind w:left="146" w:right="0"/>
              <w:jc w:val="left"/>
              <w:rPr>
                <w:rFonts w:ascii="宋体" w:hAnsi="宋体" w:cs="宋体" w:eastAsia="宋体" w:hint="default"/>
                <w:sz w:val="15"/>
                <w:szCs w:val="15"/>
              </w:rPr>
            </w:pPr>
            <w:r>
              <w:rPr>
                <w:rFonts w:ascii="宋体" w:hAnsi="宋体" w:cs="宋体" w:eastAsia="宋体" w:hint="default"/>
                <w:sz w:val="15"/>
                <w:szCs w:val="15"/>
              </w:rPr>
              <w:t>持股比</w:t>
            </w:r>
          </w:p>
        </w:tc>
        <w:tc>
          <w:tcPr>
            <w:tcW w:w="866" w:type="dxa"/>
            <w:tcBorders>
              <w:top w:val="nil" w:sz="6" w:space="0" w:color="auto"/>
              <w:left w:val="single" w:sz="4" w:space="0" w:color="000000"/>
              <w:bottom w:val="nil" w:sz="6" w:space="0" w:color="auto"/>
              <w:right w:val="single" w:sz="4" w:space="0" w:color="000000"/>
            </w:tcBorders>
          </w:tcPr>
          <w:p>
            <w:pPr>
              <w:pStyle w:val="TableParagraph"/>
              <w:spacing w:line="196" w:lineRule="exact"/>
              <w:ind w:left="203" w:right="126" w:hanging="76"/>
              <w:jc w:val="left"/>
              <w:rPr>
                <w:rFonts w:ascii="宋体" w:hAnsi="宋体" w:cs="宋体" w:eastAsia="宋体" w:hint="default"/>
                <w:sz w:val="15"/>
                <w:szCs w:val="15"/>
              </w:rPr>
            </w:pPr>
            <w:r>
              <w:rPr>
                <w:rFonts w:ascii="宋体" w:hAnsi="宋体" w:cs="宋体" w:eastAsia="宋体" w:hint="default"/>
                <w:sz w:val="15"/>
                <w:szCs w:val="15"/>
              </w:rPr>
              <w:t>单位表决 权比例</w:t>
            </w:r>
          </w:p>
        </w:tc>
        <w:tc>
          <w:tcPr>
            <w:tcW w:w="1297"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left="343" w:right="0"/>
              <w:jc w:val="left"/>
              <w:rPr>
                <w:rFonts w:ascii="宋体" w:hAnsi="宋体" w:cs="宋体" w:eastAsia="宋体" w:hint="default"/>
                <w:sz w:val="15"/>
                <w:szCs w:val="15"/>
              </w:rPr>
            </w:pPr>
            <w:r>
              <w:rPr>
                <w:rFonts w:ascii="宋体" w:hAnsi="宋体" w:cs="宋体" w:eastAsia="宋体" w:hint="default"/>
                <w:sz w:val="15"/>
                <w:szCs w:val="15"/>
              </w:rPr>
              <w:t>减值准备</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166" w:lineRule="exact"/>
              <w:ind w:right="0"/>
              <w:jc w:val="center"/>
              <w:rPr>
                <w:rFonts w:ascii="宋体" w:hAnsi="宋体" w:cs="宋体" w:eastAsia="宋体" w:hint="default"/>
                <w:sz w:val="15"/>
                <w:szCs w:val="15"/>
              </w:rPr>
            </w:pPr>
            <w:r>
              <w:rPr>
                <w:rFonts w:ascii="宋体" w:hAnsi="宋体" w:cs="宋体" w:eastAsia="宋体" w:hint="default"/>
                <w:sz w:val="15"/>
                <w:szCs w:val="15"/>
              </w:rPr>
              <w:t>本期计提减</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值准备</w:t>
            </w:r>
          </w:p>
        </w:tc>
        <w:tc>
          <w:tcPr>
            <w:tcW w:w="884" w:type="dxa"/>
            <w:tcBorders>
              <w:top w:val="nil" w:sz="6" w:space="0" w:color="auto"/>
              <w:left w:val="single" w:sz="4" w:space="0" w:color="000000"/>
              <w:bottom w:val="nil" w:sz="6" w:space="0" w:color="auto"/>
              <w:right w:val="nil" w:sz="6" w:space="0" w:color="auto"/>
            </w:tcBorders>
          </w:tcPr>
          <w:p>
            <w:pPr>
              <w:pStyle w:val="TableParagraph"/>
              <w:spacing w:line="240" w:lineRule="auto" w:before="67"/>
              <w:ind w:left="140" w:right="0"/>
              <w:jc w:val="left"/>
              <w:rPr>
                <w:rFonts w:ascii="宋体" w:hAnsi="宋体" w:cs="宋体" w:eastAsia="宋体" w:hint="default"/>
                <w:sz w:val="15"/>
                <w:szCs w:val="15"/>
              </w:rPr>
            </w:pPr>
            <w:r>
              <w:rPr>
                <w:rFonts w:ascii="宋体" w:hAnsi="宋体" w:cs="宋体" w:eastAsia="宋体" w:hint="default"/>
                <w:sz w:val="15"/>
                <w:szCs w:val="15"/>
              </w:rPr>
              <w:t>现金红利</w:t>
            </w:r>
          </w:p>
        </w:tc>
      </w:tr>
      <w:tr>
        <w:trPr>
          <w:trHeight w:val="195" w:hRule="exact"/>
        </w:trPr>
        <w:tc>
          <w:tcPr>
            <w:tcW w:w="2800" w:type="dxa"/>
            <w:tcBorders>
              <w:top w:val="nil" w:sz="6" w:space="0" w:color="auto"/>
              <w:left w:val="nil" w:sz="6" w:space="0" w:color="auto"/>
              <w:bottom w:val="single" w:sz="4" w:space="0" w:color="000000"/>
              <w:right w:val="single" w:sz="4" w:space="0" w:color="000000"/>
            </w:tcBorders>
          </w:tcPr>
          <w:p>
            <w:pPr/>
          </w:p>
        </w:tc>
        <w:tc>
          <w:tcPr>
            <w:tcW w:w="1182" w:type="dxa"/>
            <w:tcBorders>
              <w:top w:val="nil" w:sz="6" w:space="0" w:color="auto"/>
              <w:left w:val="single" w:sz="4" w:space="0" w:color="000000"/>
              <w:bottom w:val="single" w:sz="4" w:space="0" w:color="000000"/>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
        </w:tc>
        <w:tc>
          <w:tcPr>
            <w:tcW w:w="1210" w:type="dxa"/>
            <w:tcBorders>
              <w:top w:val="nil" w:sz="6" w:space="0" w:color="auto"/>
              <w:left w:val="single" w:sz="4" w:space="0" w:color="000000"/>
              <w:bottom w:val="single" w:sz="4" w:space="0" w:color="000000"/>
              <w:right w:val="single" w:sz="4" w:space="0" w:color="000000"/>
            </w:tcBorders>
          </w:tcPr>
          <w:p>
            <w:pPr/>
          </w:p>
        </w:tc>
        <w:tc>
          <w:tcPr>
            <w:tcW w:w="1208" w:type="dxa"/>
            <w:tcBorders>
              <w:top w:val="nil" w:sz="6" w:space="0" w:color="auto"/>
              <w:left w:val="single" w:sz="4" w:space="0" w:color="000000"/>
              <w:bottom w:val="single" w:sz="4" w:space="0" w:color="000000"/>
              <w:right w:val="single" w:sz="4" w:space="0" w:color="000000"/>
            </w:tcBorders>
          </w:tcPr>
          <w:p>
            <w:pPr/>
          </w:p>
        </w:tc>
        <w:tc>
          <w:tcPr>
            <w:tcW w:w="1255" w:type="dxa"/>
            <w:tcBorders>
              <w:top w:val="nil" w:sz="6" w:space="0" w:color="auto"/>
              <w:left w:val="single" w:sz="4" w:space="0" w:color="000000"/>
              <w:bottom w:val="single" w:sz="4" w:space="0" w:color="000000"/>
              <w:right w:val="single" w:sz="4" w:space="0" w:color="000000"/>
            </w:tcBorders>
          </w:tcPr>
          <w:p>
            <w:pPr/>
          </w:p>
        </w:tc>
        <w:tc>
          <w:tcPr>
            <w:tcW w:w="752"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right="0"/>
              <w:jc w:val="center"/>
              <w:rPr>
                <w:rFonts w:ascii="Times New Roman" w:hAnsi="Times New Roman" w:cs="Times New Roman" w:eastAsia="Times New Roman" w:hint="default"/>
                <w:sz w:val="15"/>
                <w:szCs w:val="15"/>
              </w:rPr>
            </w:pP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8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15"/>
                <w:szCs w:val="15"/>
              </w:rPr>
            </w:pPr>
            <w:r>
              <w:rPr>
                <w:rFonts w:ascii="Times New Roman"/>
                <w:sz w:val="15"/>
              </w:rPr>
              <w:t>(%)</w:t>
            </w:r>
          </w:p>
        </w:tc>
        <w:tc>
          <w:tcPr>
            <w:tcW w:w="1297" w:type="dxa"/>
            <w:tcBorders>
              <w:top w:val="nil" w:sz="6" w:space="0" w:color="auto"/>
              <w:left w:val="single" w:sz="4" w:space="0" w:color="000000"/>
              <w:bottom w:val="single" w:sz="4" w:space="0" w:color="000000"/>
              <w:right w:val="single" w:sz="4" w:space="0" w:color="000000"/>
            </w:tcBorders>
          </w:tcPr>
          <w:p>
            <w:pPr/>
          </w:p>
        </w:tc>
        <w:tc>
          <w:tcPr>
            <w:tcW w:w="1079" w:type="dxa"/>
            <w:tcBorders>
              <w:top w:val="nil" w:sz="6" w:space="0" w:color="auto"/>
              <w:left w:val="single" w:sz="4" w:space="0" w:color="000000"/>
              <w:bottom w:val="single" w:sz="4" w:space="0" w:color="000000"/>
              <w:right w:val="single" w:sz="4" w:space="0" w:color="000000"/>
            </w:tcBorders>
          </w:tcPr>
          <w:p>
            <w:pPr/>
          </w:p>
        </w:tc>
        <w:tc>
          <w:tcPr>
            <w:tcW w:w="884" w:type="dxa"/>
            <w:tcBorders>
              <w:top w:val="nil" w:sz="6" w:space="0" w:color="auto"/>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17"/>
          <w:szCs w:val="17"/>
        </w:rPr>
      </w:pPr>
    </w:p>
    <w:p>
      <w:pPr>
        <w:spacing w:before="53"/>
        <w:ind w:left="230" w:right="0" w:firstLine="0"/>
        <w:jc w:val="left"/>
        <w:rPr>
          <w:rFonts w:ascii="宋体" w:hAnsi="宋体" w:cs="宋体" w:eastAsia="宋体" w:hint="default"/>
          <w:sz w:val="15"/>
          <w:szCs w:val="15"/>
        </w:rPr>
      </w:pPr>
      <w:r>
        <w:rPr>
          <w:rFonts w:ascii="宋体" w:hAnsi="宋体" w:cs="宋体" w:eastAsia="宋体" w:hint="default"/>
          <w:sz w:val="15"/>
          <w:szCs w:val="15"/>
        </w:rPr>
        <w:t>一、联营企业</w:t>
      </w:r>
    </w:p>
    <w:p>
      <w:pPr>
        <w:spacing w:line="240" w:lineRule="auto" w:before="0"/>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800"/>
        <w:gridCol w:w="1182"/>
        <w:gridCol w:w="1224"/>
        <w:gridCol w:w="1210"/>
        <w:gridCol w:w="1208"/>
        <w:gridCol w:w="1255"/>
        <w:gridCol w:w="752"/>
        <w:gridCol w:w="866"/>
        <w:gridCol w:w="1297"/>
        <w:gridCol w:w="1079"/>
        <w:gridCol w:w="884"/>
      </w:tblGrid>
      <w:tr>
        <w:trPr>
          <w:trHeight w:val="510" w:hRule="exact"/>
        </w:trPr>
        <w:tc>
          <w:tcPr>
            <w:tcW w:w="28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07" w:right="0"/>
              <w:jc w:val="left"/>
              <w:rPr>
                <w:rFonts w:ascii="宋体" w:hAnsi="宋体" w:cs="宋体" w:eastAsia="宋体" w:hint="default"/>
                <w:sz w:val="15"/>
                <w:szCs w:val="15"/>
              </w:rPr>
            </w:pPr>
            <w:r>
              <w:rPr>
                <w:rFonts w:ascii="宋体" w:hAnsi="宋体" w:cs="宋体" w:eastAsia="宋体" w:hint="default"/>
                <w:sz w:val="15"/>
                <w:szCs w:val="15"/>
              </w:rPr>
              <w:t>深圳市深威驳运有限公司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权益法</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18"/>
              <w:jc w:val="right"/>
              <w:rPr>
                <w:rFonts w:ascii="Times New Roman" w:hAnsi="Times New Roman" w:cs="Times New Roman" w:eastAsia="Times New Roman" w:hint="default"/>
                <w:sz w:val="15"/>
                <w:szCs w:val="15"/>
              </w:rPr>
            </w:pPr>
            <w:r>
              <w:rPr>
                <w:rFonts w:ascii="Times New Roman"/>
                <w:spacing w:val="-1"/>
                <w:sz w:val="15"/>
              </w:rPr>
              <w:t>5,400,000.00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6,821,079.93</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-239,145.84</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0"/>
              <w:jc w:val="right"/>
              <w:rPr>
                <w:rFonts w:ascii="Times New Roman" w:hAnsi="Times New Roman" w:cs="Times New Roman" w:eastAsia="Times New Roman" w:hint="default"/>
                <w:sz w:val="15"/>
                <w:szCs w:val="15"/>
              </w:rPr>
            </w:pPr>
            <w:r>
              <w:rPr>
                <w:rFonts w:ascii="Times New Roman"/>
                <w:spacing w:val="-1"/>
                <w:sz w:val="15"/>
              </w:rPr>
              <w:t>6,581,934.09</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45%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45%</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26"/>
              <w:jc w:val="right"/>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38"/>
              <w:jc w:val="right"/>
              <w:rPr>
                <w:rFonts w:ascii="Times New Roman" w:hAnsi="Times New Roman" w:cs="Times New Roman" w:eastAsia="Times New Roman" w:hint="default"/>
                <w:sz w:val="15"/>
                <w:szCs w:val="15"/>
              </w:rPr>
            </w:pPr>
            <w:r>
              <w:rPr>
                <w:rFonts w:ascii="Times New Roman"/>
                <w:sz w:val="15"/>
              </w:rPr>
              <w:t>-</w:t>
            </w:r>
          </w:p>
        </w:tc>
        <w:tc>
          <w:tcPr>
            <w:tcW w:w="8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13" w:right="0"/>
              <w:jc w:val="left"/>
              <w:rPr>
                <w:rFonts w:ascii="Times New Roman" w:hAnsi="Times New Roman" w:cs="Times New Roman" w:eastAsia="Times New Roman" w:hint="default"/>
                <w:sz w:val="15"/>
                <w:szCs w:val="15"/>
              </w:rPr>
            </w:pPr>
            <w:r>
              <w:rPr>
                <w:rFonts w:ascii="Times New Roman"/>
                <w:sz w:val="15"/>
              </w:rPr>
              <w:t>257643.79</w:t>
            </w:r>
          </w:p>
        </w:tc>
      </w:tr>
      <w:tr>
        <w:trPr>
          <w:trHeight w:val="510" w:hRule="exact"/>
        </w:trPr>
        <w:tc>
          <w:tcPr>
            <w:tcW w:w="28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07" w:right="0"/>
              <w:jc w:val="left"/>
              <w:rPr>
                <w:rFonts w:ascii="宋体" w:hAnsi="宋体" w:cs="宋体" w:eastAsia="宋体" w:hint="default"/>
                <w:sz w:val="15"/>
                <w:szCs w:val="15"/>
              </w:rPr>
            </w:pPr>
            <w:r>
              <w:rPr>
                <w:rFonts w:ascii="宋体" w:hAnsi="宋体" w:cs="宋体" w:eastAsia="宋体" w:hint="default"/>
                <w:sz w:val="15"/>
                <w:szCs w:val="15"/>
              </w:rPr>
              <w:t>福建东南广播电视网络有限公司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权益法</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17"/>
              <w:jc w:val="right"/>
              <w:rPr>
                <w:rFonts w:ascii="Times New Roman" w:hAnsi="Times New Roman" w:cs="Times New Roman" w:eastAsia="Times New Roman" w:hint="default"/>
                <w:sz w:val="15"/>
                <w:szCs w:val="15"/>
              </w:rPr>
            </w:pPr>
            <w:r>
              <w:rPr>
                <w:rFonts w:ascii="Times New Roman"/>
                <w:spacing w:val="-1"/>
                <w:sz w:val="15"/>
              </w:rPr>
              <w:t>17,393,000.00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93"/>
              <w:jc w:val="right"/>
              <w:rPr>
                <w:rFonts w:ascii="Times New Roman" w:hAnsi="Times New Roman" w:cs="Times New Roman" w:eastAsia="Times New Roman" w:hint="default"/>
                <w:sz w:val="15"/>
                <w:szCs w:val="15"/>
              </w:rPr>
            </w:pPr>
            <w:r>
              <w:rPr>
                <w:rFonts w:ascii="Times New Roman"/>
                <w:sz w:val="15"/>
              </w:rPr>
              <w:t>-</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90"/>
              <w:jc w:val="right"/>
              <w:rPr>
                <w:rFonts w:ascii="Times New Roman" w:hAnsi="Times New Roman" w:cs="Times New Roman" w:eastAsia="Times New Roman" w:hint="default"/>
                <w:sz w:val="15"/>
                <w:szCs w:val="15"/>
              </w:rPr>
            </w:pPr>
            <w:r>
              <w:rPr>
                <w:rFonts w:ascii="Times New Roman"/>
                <w:sz w:val="15"/>
              </w:rPr>
              <w:t>-</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37"/>
              <w:jc w:val="right"/>
              <w:rPr>
                <w:rFonts w:ascii="Times New Roman" w:hAnsi="Times New Roman" w:cs="Times New Roman" w:eastAsia="Times New Roman" w:hint="default"/>
                <w:sz w:val="15"/>
                <w:szCs w:val="15"/>
              </w:rPr>
            </w:pPr>
            <w:r>
              <w:rPr>
                <w:rFonts w:ascii="Times New Roman"/>
                <w:sz w:val="15"/>
              </w:rPr>
              <w:t>-</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18.51%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18.51%</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27"/>
              <w:jc w:val="right"/>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39"/>
              <w:jc w:val="right"/>
              <w:rPr>
                <w:rFonts w:ascii="Times New Roman" w:hAnsi="Times New Roman" w:cs="Times New Roman" w:eastAsia="Times New Roman" w:hint="default"/>
                <w:sz w:val="15"/>
                <w:szCs w:val="15"/>
              </w:rPr>
            </w:pPr>
            <w:r>
              <w:rPr>
                <w:rFonts w:ascii="Times New Roman"/>
                <w:sz w:val="15"/>
              </w:rPr>
              <w:t>-</w:t>
            </w:r>
          </w:p>
        </w:tc>
        <w:tc>
          <w:tcPr>
            <w:tcW w:w="8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96" w:right="0"/>
              <w:jc w:val="center"/>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8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tabs>
                <w:tab w:pos="556" w:val="left" w:leader="none"/>
              </w:tabs>
              <w:spacing w:line="240" w:lineRule="auto" w:before="96"/>
              <w:ind w:left="107" w:right="0"/>
              <w:jc w:val="left"/>
              <w:rPr>
                <w:rFonts w:ascii="宋体" w:hAnsi="宋体" w:cs="宋体" w:eastAsia="宋体" w:hint="default"/>
                <w:sz w:val="15"/>
                <w:szCs w:val="15"/>
              </w:rPr>
            </w:pPr>
            <w:r>
              <w:rPr>
                <w:rFonts w:ascii="宋体" w:hAnsi="宋体" w:cs="宋体" w:eastAsia="宋体" w:hint="default"/>
                <w:sz w:val="15"/>
                <w:szCs w:val="15"/>
              </w:rPr>
              <w:t>小</w:t>
              <w:tab/>
              <w:t>计</w:t>
            </w:r>
          </w:p>
        </w:tc>
        <w:tc>
          <w:tcPr>
            <w:tcW w:w="118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17"/>
              <w:jc w:val="right"/>
              <w:rPr>
                <w:rFonts w:ascii="Times New Roman" w:hAnsi="Times New Roman" w:cs="Times New Roman" w:eastAsia="Times New Roman" w:hint="default"/>
                <w:sz w:val="15"/>
                <w:szCs w:val="15"/>
              </w:rPr>
            </w:pPr>
            <w:r>
              <w:rPr>
                <w:rFonts w:ascii="Times New Roman"/>
                <w:spacing w:val="-1"/>
                <w:sz w:val="15"/>
              </w:rPr>
              <w:t>22,793,000.00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6,821,079.93</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-239,145.84</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0"/>
              <w:jc w:val="right"/>
              <w:rPr>
                <w:rFonts w:ascii="Times New Roman" w:hAnsi="Times New Roman" w:cs="Times New Roman" w:eastAsia="Times New Roman" w:hint="default"/>
                <w:sz w:val="15"/>
                <w:szCs w:val="15"/>
              </w:rPr>
            </w:pPr>
            <w:r>
              <w:rPr>
                <w:rFonts w:ascii="Times New Roman"/>
                <w:spacing w:val="-1"/>
                <w:sz w:val="15"/>
              </w:rPr>
              <w:t>6,581,934.09</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27"/>
              <w:jc w:val="right"/>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39"/>
              <w:jc w:val="right"/>
              <w:rPr>
                <w:rFonts w:ascii="Times New Roman" w:hAnsi="Times New Roman" w:cs="Times New Roman" w:eastAsia="Times New Roman" w:hint="default"/>
                <w:sz w:val="15"/>
                <w:szCs w:val="15"/>
              </w:rPr>
            </w:pPr>
            <w:r>
              <w:rPr>
                <w:rFonts w:ascii="Times New Roman"/>
                <w:sz w:val="15"/>
              </w:rPr>
              <w:t>-</w:t>
            </w:r>
          </w:p>
        </w:tc>
        <w:tc>
          <w:tcPr>
            <w:tcW w:w="8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257,643.79</w:t>
            </w:r>
          </w:p>
        </w:tc>
      </w:tr>
    </w:tbl>
    <w:p>
      <w:pPr>
        <w:spacing w:line="240" w:lineRule="auto" w:before="2"/>
        <w:rPr>
          <w:rFonts w:ascii="宋体" w:hAnsi="宋体" w:cs="宋体" w:eastAsia="宋体" w:hint="default"/>
          <w:sz w:val="17"/>
          <w:szCs w:val="17"/>
        </w:rPr>
      </w:pPr>
    </w:p>
    <w:p>
      <w:pPr>
        <w:spacing w:before="53"/>
        <w:ind w:left="230" w:right="0" w:firstLine="0"/>
        <w:jc w:val="left"/>
        <w:rPr>
          <w:rFonts w:ascii="宋体" w:hAnsi="宋体" w:cs="宋体" w:eastAsia="宋体" w:hint="default"/>
          <w:sz w:val="15"/>
          <w:szCs w:val="15"/>
        </w:rPr>
      </w:pPr>
      <w:r>
        <w:rPr>
          <w:rFonts w:ascii="宋体" w:hAnsi="宋体" w:cs="宋体" w:eastAsia="宋体" w:hint="default"/>
          <w:sz w:val="15"/>
          <w:szCs w:val="15"/>
        </w:rPr>
        <w:t>二、子公司</w:t>
      </w:r>
    </w:p>
    <w:p>
      <w:pPr>
        <w:spacing w:line="240" w:lineRule="auto" w:before="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14"/>
        <w:gridCol w:w="1182"/>
        <w:gridCol w:w="1224"/>
        <w:gridCol w:w="1210"/>
        <w:gridCol w:w="1208"/>
        <w:gridCol w:w="1255"/>
        <w:gridCol w:w="752"/>
        <w:gridCol w:w="866"/>
        <w:gridCol w:w="1297"/>
        <w:gridCol w:w="1079"/>
        <w:gridCol w:w="892"/>
      </w:tblGrid>
      <w:tr>
        <w:trPr>
          <w:trHeight w:val="510"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深圳市迅达汽车运输企业公司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65"/>
              <w:jc w:val="right"/>
              <w:rPr>
                <w:rFonts w:ascii="Times New Roman" w:hAnsi="Times New Roman" w:cs="Times New Roman" w:eastAsia="Times New Roman" w:hint="default"/>
                <w:sz w:val="15"/>
                <w:szCs w:val="15"/>
              </w:rPr>
            </w:pPr>
            <w:r>
              <w:rPr>
                <w:rFonts w:ascii="Times New Roman"/>
                <w:spacing w:val="-1"/>
                <w:sz w:val="15"/>
              </w:rPr>
              <w:t>12,800,000.00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1"/>
              <w:jc w:val="right"/>
              <w:rPr>
                <w:rFonts w:ascii="Times New Roman" w:hAnsi="Times New Roman" w:cs="Times New Roman" w:eastAsia="Times New Roman" w:hint="default"/>
                <w:sz w:val="15"/>
                <w:szCs w:val="15"/>
              </w:rPr>
            </w:pPr>
            <w:r>
              <w:rPr>
                <w:rFonts w:ascii="Times New Roman"/>
                <w:spacing w:val="-1"/>
                <w:sz w:val="15"/>
              </w:rPr>
              <w:t>12,800,000.00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38"/>
              <w:jc w:val="right"/>
              <w:rPr>
                <w:rFonts w:ascii="Times New Roman" w:hAnsi="Times New Roman" w:cs="Times New Roman" w:eastAsia="Times New Roman" w:hint="default"/>
                <w:sz w:val="15"/>
                <w:szCs w:val="15"/>
              </w:rPr>
            </w:pPr>
            <w:r>
              <w:rPr>
                <w:rFonts w:ascii="Times New Roman"/>
                <w:sz w:val="15"/>
              </w:rPr>
              <w:t>-</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6"/>
              <w:jc w:val="right"/>
              <w:rPr>
                <w:rFonts w:ascii="Times New Roman" w:hAnsi="Times New Roman" w:cs="Times New Roman" w:eastAsia="Times New Roman" w:hint="default"/>
                <w:sz w:val="15"/>
                <w:szCs w:val="15"/>
              </w:rPr>
            </w:pPr>
            <w:r>
              <w:rPr>
                <w:rFonts w:ascii="Times New Roman"/>
                <w:spacing w:val="-1"/>
                <w:sz w:val="15"/>
              </w:rPr>
              <w:t>12,800,000.00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28"/>
              <w:jc w:val="right"/>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678" w:right="0"/>
              <w:jc w:val="left"/>
              <w:rPr>
                <w:rFonts w:ascii="Times New Roman" w:hAnsi="Times New Roman" w:cs="Times New Roman" w:eastAsia="Times New Roman" w:hint="default"/>
                <w:sz w:val="15"/>
                <w:szCs w:val="15"/>
              </w:rPr>
            </w:pPr>
            <w:r>
              <w:rPr>
                <w:rFonts w:ascii="Times New Roman"/>
                <w:sz w:val="15"/>
              </w:rPr>
              <w:t>-</w:t>
            </w:r>
          </w:p>
        </w:tc>
        <w:tc>
          <w:tcPr>
            <w:tcW w:w="89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20"/>
              <w:jc w:val="right"/>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长沙鸿基运输实业有限公司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66"/>
              <w:jc w:val="right"/>
              <w:rPr>
                <w:rFonts w:ascii="Times New Roman" w:hAnsi="Times New Roman" w:cs="Times New Roman" w:eastAsia="Times New Roman" w:hint="default"/>
                <w:sz w:val="15"/>
                <w:szCs w:val="15"/>
              </w:rPr>
            </w:pPr>
            <w:r>
              <w:rPr>
                <w:rFonts w:ascii="Times New Roman"/>
                <w:spacing w:val="-1"/>
                <w:sz w:val="15"/>
              </w:rPr>
              <w:t>5,000,000.00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2"/>
              <w:jc w:val="right"/>
              <w:rPr>
                <w:rFonts w:ascii="Times New Roman" w:hAnsi="Times New Roman" w:cs="Times New Roman" w:eastAsia="Times New Roman" w:hint="default"/>
                <w:sz w:val="15"/>
                <w:szCs w:val="15"/>
              </w:rPr>
            </w:pPr>
            <w:r>
              <w:rPr>
                <w:rFonts w:ascii="Times New Roman"/>
                <w:spacing w:val="-1"/>
                <w:sz w:val="15"/>
              </w:rPr>
              <w:t>5,000,000.00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06" w:right="0"/>
              <w:jc w:val="left"/>
              <w:rPr>
                <w:rFonts w:ascii="Times New Roman" w:hAnsi="Times New Roman" w:cs="Times New Roman" w:eastAsia="Times New Roman" w:hint="default"/>
                <w:sz w:val="15"/>
                <w:szCs w:val="15"/>
              </w:rPr>
            </w:pPr>
            <w:r>
              <w:rPr>
                <w:rFonts w:ascii="Times New Roman"/>
                <w:sz w:val="15"/>
              </w:rPr>
              <w:t>-5,000,000.00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807" w:right="0"/>
              <w:jc w:val="left"/>
              <w:rPr>
                <w:rFonts w:ascii="Times New Roman" w:hAnsi="Times New Roman" w:cs="Times New Roman" w:eastAsia="Times New Roman" w:hint="default"/>
                <w:sz w:val="15"/>
                <w:szCs w:val="15"/>
              </w:rPr>
            </w:pPr>
            <w:r>
              <w:rPr>
                <w:rFonts w:ascii="Times New Roman"/>
                <w:sz w:val="15"/>
              </w:rPr>
              <w:t>-</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26"/>
              <w:jc w:val="right"/>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678" w:right="0"/>
              <w:jc w:val="left"/>
              <w:rPr>
                <w:rFonts w:ascii="Times New Roman" w:hAnsi="Times New Roman" w:cs="Times New Roman" w:eastAsia="Times New Roman" w:hint="default"/>
                <w:sz w:val="15"/>
                <w:szCs w:val="15"/>
              </w:rPr>
            </w:pPr>
            <w:r>
              <w:rPr>
                <w:rFonts w:ascii="Times New Roman"/>
                <w:sz w:val="15"/>
              </w:rPr>
              <w:t>-</w:t>
            </w:r>
          </w:p>
        </w:tc>
        <w:tc>
          <w:tcPr>
            <w:tcW w:w="89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20"/>
              <w:jc w:val="right"/>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西安鸿基运输实业有限公司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65"/>
              <w:jc w:val="right"/>
              <w:rPr>
                <w:rFonts w:ascii="Times New Roman" w:hAnsi="Times New Roman" w:cs="Times New Roman" w:eastAsia="Times New Roman" w:hint="default"/>
                <w:sz w:val="15"/>
                <w:szCs w:val="15"/>
              </w:rPr>
            </w:pPr>
            <w:r>
              <w:rPr>
                <w:rFonts w:ascii="Times New Roman"/>
                <w:spacing w:val="-1"/>
                <w:sz w:val="15"/>
              </w:rPr>
              <w:t>16,000,000.00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1"/>
              <w:jc w:val="right"/>
              <w:rPr>
                <w:rFonts w:ascii="Times New Roman" w:hAnsi="Times New Roman" w:cs="Times New Roman" w:eastAsia="Times New Roman" w:hint="default"/>
                <w:sz w:val="15"/>
                <w:szCs w:val="15"/>
              </w:rPr>
            </w:pPr>
            <w:r>
              <w:rPr>
                <w:rFonts w:ascii="Times New Roman"/>
                <w:spacing w:val="-1"/>
                <w:sz w:val="15"/>
              </w:rPr>
              <w:t>16,000,000.00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38"/>
              <w:jc w:val="right"/>
              <w:rPr>
                <w:rFonts w:ascii="Times New Roman" w:hAnsi="Times New Roman" w:cs="Times New Roman" w:eastAsia="Times New Roman" w:hint="default"/>
                <w:sz w:val="15"/>
                <w:szCs w:val="15"/>
              </w:rPr>
            </w:pPr>
            <w:r>
              <w:rPr>
                <w:rFonts w:ascii="Times New Roman"/>
                <w:sz w:val="15"/>
              </w:rPr>
              <w:t>-</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6"/>
              <w:jc w:val="right"/>
              <w:rPr>
                <w:rFonts w:ascii="Times New Roman" w:hAnsi="Times New Roman" w:cs="Times New Roman" w:eastAsia="Times New Roman" w:hint="default"/>
                <w:sz w:val="15"/>
                <w:szCs w:val="15"/>
              </w:rPr>
            </w:pPr>
            <w:r>
              <w:rPr>
                <w:rFonts w:ascii="Times New Roman"/>
                <w:spacing w:val="-1"/>
                <w:sz w:val="15"/>
              </w:rPr>
              <w:t>16,000,000.00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80%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80%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28"/>
              <w:jc w:val="right"/>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678" w:right="0"/>
              <w:jc w:val="left"/>
              <w:rPr>
                <w:rFonts w:ascii="Times New Roman" w:hAnsi="Times New Roman" w:cs="Times New Roman" w:eastAsia="Times New Roman" w:hint="default"/>
                <w:sz w:val="15"/>
                <w:szCs w:val="15"/>
              </w:rPr>
            </w:pPr>
            <w:r>
              <w:rPr>
                <w:rFonts w:ascii="Times New Roman"/>
                <w:sz w:val="15"/>
              </w:rPr>
              <w:t>-</w:t>
            </w:r>
          </w:p>
        </w:tc>
        <w:tc>
          <w:tcPr>
            <w:tcW w:w="89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20"/>
              <w:jc w:val="right"/>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深圳市鸿基物流有限公司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66"/>
              <w:jc w:val="right"/>
              <w:rPr>
                <w:rFonts w:ascii="Times New Roman" w:hAnsi="Times New Roman" w:cs="Times New Roman" w:eastAsia="Times New Roman" w:hint="default"/>
                <w:sz w:val="15"/>
                <w:szCs w:val="15"/>
              </w:rPr>
            </w:pPr>
            <w:r>
              <w:rPr>
                <w:rFonts w:ascii="Times New Roman"/>
                <w:spacing w:val="-1"/>
                <w:sz w:val="15"/>
              </w:rPr>
              <w:t>118,226,328.96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2"/>
              <w:jc w:val="right"/>
              <w:rPr>
                <w:rFonts w:ascii="Times New Roman" w:hAnsi="Times New Roman" w:cs="Times New Roman" w:eastAsia="Times New Roman" w:hint="default"/>
                <w:sz w:val="15"/>
                <w:szCs w:val="15"/>
              </w:rPr>
            </w:pPr>
            <w:r>
              <w:rPr>
                <w:rFonts w:ascii="Times New Roman"/>
                <w:spacing w:val="-1"/>
                <w:sz w:val="15"/>
              </w:rPr>
              <w:t>118,226,328.96</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38"/>
              <w:jc w:val="right"/>
              <w:rPr>
                <w:rFonts w:ascii="Times New Roman" w:hAnsi="Times New Roman" w:cs="Times New Roman" w:eastAsia="Times New Roman" w:hint="default"/>
                <w:sz w:val="15"/>
                <w:szCs w:val="15"/>
              </w:rPr>
            </w:pPr>
            <w:r>
              <w:rPr>
                <w:rFonts w:ascii="Times New Roman"/>
                <w:sz w:val="15"/>
              </w:rPr>
              <w:t>-</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8"/>
              <w:jc w:val="right"/>
              <w:rPr>
                <w:rFonts w:ascii="Times New Roman" w:hAnsi="Times New Roman" w:cs="Times New Roman" w:eastAsia="Times New Roman" w:hint="default"/>
                <w:sz w:val="15"/>
                <w:szCs w:val="15"/>
              </w:rPr>
            </w:pPr>
            <w:r>
              <w:rPr>
                <w:rFonts w:ascii="Times New Roman"/>
                <w:spacing w:val="-1"/>
                <w:sz w:val="15"/>
              </w:rPr>
              <w:t>118,226,328.96</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38"/>
              <w:jc w:val="right"/>
              <w:rPr>
                <w:rFonts w:ascii="Times New Roman" w:hAnsi="Times New Roman" w:cs="Times New Roman" w:eastAsia="Times New Roman" w:hint="default"/>
                <w:sz w:val="15"/>
                <w:szCs w:val="15"/>
              </w:rPr>
            </w:pPr>
            <w:r>
              <w:rPr>
                <w:rFonts w:ascii="Times New Roman"/>
                <w:spacing w:val="-1"/>
                <w:sz w:val="15"/>
              </w:rPr>
              <w:t>31,838,360.94</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678" w:right="0"/>
              <w:jc w:val="left"/>
              <w:rPr>
                <w:rFonts w:ascii="Times New Roman" w:hAnsi="Times New Roman" w:cs="Times New Roman" w:eastAsia="Times New Roman" w:hint="default"/>
                <w:sz w:val="15"/>
                <w:szCs w:val="15"/>
              </w:rPr>
            </w:pPr>
            <w:r>
              <w:rPr>
                <w:rFonts w:ascii="Times New Roman"/>
                <w:sz w:val="15"/>
              </w:rPr>
              <w:t>-</w:t>
            </w:r>
          </w:p>
        </w:tc>
        <w:tc>
          <w:tcPr>
            <w:tcW w:w="89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20"/>
              <w:jc w:val="right"/>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深圳市鸿基锦源运输有限公司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66"/>
              <w:jc w:val="right"/>
              <w:rPr>
                <w:rFonts w:ascii="Times New Roman" w:hAnsi="Times New Roman" w:cs="Times New Roman" w:eastAsia="Times New Roman" w:hint="default"/>
                <w:sz w:val="15"/>
                <w:szCs w:val="15"/>
              </w:rPr>
            </w:pPr>
            <w:r>
              <w:rPr>
                <w:rFonts w:ascii="Times New Roman"/>
                <w:spacing w:val="-1"/>
                <w:sz w:val="15"/>
              </w:rPr>
              <w:t>1,600,000.00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2"/>
              <w:jc w:val="right"/>
              <w:rPr>
                <w:rFonts w:ascii="Times New Roman" w:hAnsi="Times New Roman" w:cs="Times New Roman" w:eastAsia="Times New Roman" w:hint="default"/>
                <w:sz w:val="15"/>
                <w:szCs w:val="15"/>
              </w:rPr>
            </w:pPr>
            <w:r>
              <w:rPr>
                <w:rFonts w:ascii="Times New Roman"/>
                <w:spacing w:val="-1"/>
                <w:sz w:val="15"/>
              </w:rPr>
              <w:t>1,600,000.00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38"/>
              <w:jc w:val="right"/>
              <w:rPr>
                <w:rFonts w:ascii="Times New Roman" w:hAnsi="Times New Roman" w:cs="Times New Roman" w:eastAsia="Times New Roman" w:hint="default"/>
                <w:sz w:val="15"/>
                <w:szCs w:val="15"/>
              </w:rPr>
            </w:pPr>
            <w:r>
              <w:rPr>
                <w:rFonts w:ascii="Times New Roman"/>
                <w:sz w:val="15"/>
              </w:rPr>
              <w:t>-</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8"/>
              <w:jc w:val="right"/>
              <w:rPr>
                <w:rFonts w:ascii="Times New Roman" w:hAnsi="Times New Roman" w:cs="Times New Roman" w:eastAsia="Times New Roman" w:hint="default"/>
                <w:sz w:val="15"/>
                <w:szCs w:val="15"/>
              </w:rPr>
            </w:pPr>
            <w:r>
              <w:rPr>
                <w:rFonts w:ascii="Times New Roman"/>
                <w:spacing w:val="-1"/>
                <w:sz w:val="15"/>
              </w:rPr>
              <w:t>1,600,000.00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80%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80%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39"/>
              <w:jc w:val="right"/>
              <w:rPr>
                <w:rFonts w:ascii="Times New Roman" w:hAnsi="Times New Roman" w:cs="Times New Roman" w:eastAsia="Times New Roman" w:hint="default"/>
                <w:sz w:val="15"/>
                <w:szCs w:val="15"/>
              </w:rPr>
            </w:pPr>
            <w:r>
              <w:rPr>
                <w:rFonts w:ascii="Times New Roman"/>
                <w:spacing w:val="-1"/>
                <w:sz w:val="15"/>
              </w:rPr>
              <w:t>1,600,000.00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27" w:right="0"/>
              <w:jc w:val="left"/>
              <w:rPr>
                <w:rFonts w:ascii="Times New Roman" w:hAnsi="Times New Roman" w:cs="Times New Roman" w:eastAsia="Times New Roman" w:hint="default"/>
                <w:sz w:val="15"/>
                <w:szCs w:val="15"/>
              </w:rPr>
            </w:pPr>
            <w:r>
              <w:rPr>
                <w:rFonts w:ascii="Times New Roman"/>
                <w:sz w:val="15"/>
              </w:rPr>
              <w:t>1,600,000.00</w:t>
            </w:r>
          </w:p>
        </w:tc>
        <w:tc>
          <w:tcPr>
            <w:tcW w:w="89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21"/>
              <w:jc w:val="right"/>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深圳市华辉运输有限公司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66"/>
              <w:jc w:val="right"/>
              <w:rPr>
                <w:rFonts w:ascii="Times New Roman" w:hAnsi="Times New Roman" w:cs="Times New Roman" w:eastAsia="Times New Roman" w:hint="default"/>
                <w:sz w:val="15"/>
                <w:szCs w:val="15"/>
              </w:rPr>
            </w:pPr>
            <w:r>
              <w:rPr>
                <w:rFonts w:ascii="Times New Roman"/>
                <w:spacing w:val="-1"/>
                <w:sz w:val="15"/>
              </w:rPr>
              <w:t>1,600,000.00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2"/>
              <w:jc w:val="right"/>
              <w:rPr>
                <w:rFonts w:ascii="Times New Roman" w:hAnsi="Times New Roman" w:cs="Times New Roman" w:eastAsia="Times New Roman" w:hint="default"/>
                <w:sz w:val="15"/>
                <w:szCs w:val="15"/>
              </w:rPr>
            </w:pPr>
            <w:r>
              <w:rPr>
                <w:rFonts w:ascii="Times New Roman"/>
                <w:spacing w:val="-1"/>
                <w:sz w:val="15"/>
              </w:rPr>
              <w:t>1,600,000.00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38"/>
              <w:jc w:val="right"/>
              <w:rPr>
                <w:rFonts w:ascii="Times New Roman" w:hAnsi="Times New Roman" w:cs="Times New Roman" w:eastAsia="Times New Roman" w:hint="default"/>
                <w:sz w:val="15"/>
                <w:szCs w:val="15"/>
              </w:rPr>
            </w:pPr>
            <w:r>
              <w:rPr>
                <w:rFonts w:ascii="Times New Roman"/>
                <w:sz w:val="15"/>
              </w:rPr>
              <w:t>-</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8"/>
              <w:jc w:val="right"/>
              <w:rPr>
                <w:rFonts w:ascii="Times New Roman" w:hAnsi="Times New Roman" w:cs="Times New Roman" w:eastAsia="Times New Roman" w:hint="default"/>
                <w:sz w:val="15"/>
                <w:szCs w:val="15"/>
              </w:rPr>
            </w:pPr>
            <w:r>
              <w:rPr>
                <w:rFonts w:ascii="Times New Roman"/>
                <w:spacing w:val="-1"/>
                <w:sz w:val="15"/>
              </w:rPr>
              <w:t>1,600,000.00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80%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80%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26"/>
              <w:jc w:val="right"/>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678" w:right="0"/>
              <w:jc w:val="left"/>
              <w:rPr>
                <w:rFonts w:ascii="Times New Roman" w:hAnsi="Times New Roman" w:cs="Times New Roman" w:eastAsia="Times New Roman" w:hint="default"/>
                <w:sz w:val="15"/>
                <w:szCs w:val="15"/>
              </w:rPr>
            </w:pPr>
            <w:r>
              <w:rPr>
                <w:rFonts w:ascii="Times New Roman"/>
                <w:sz w:val="15"/>
              </w:rPr>
              <w:t>-</w:t>
            </w:r>
          </w:p>
        </w:tc>
        <w:tc>
          <w:tcPr>
            <w:tcW w:w="89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20"/>
              <w:jc w:val="right"/>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深圳市皇辉运输有限公司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66"/>
              <w:jc w:val="right"/>
              <w:rPr>
                <w:rFonts w:ascii="Times New Roman" w:hAnsi="Times New Roman" w:cs="Times New Roman" w:eastAsia="Times New Roman" w:hint="default"/>
                <w:sz w:val="15"/>
                <w:szCs w:val="15"/>
              </w:rPr>
            </w:pPr>
            <w:r>
              <w:rPr>
                <w:rFonts w:ascii="Times New Roman"/>
                <w:spacing w:val="-1"/>
                <w:sz w:val="15"/>
              </w:rPr>
              <w:t>1,600,000.00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2"/>
              <w:jc w:val="right"/>
              <w:rPr>
                <w:rFonts w:ascii="Times New Roman" w:hAnsi="Times New Roman" w:cs="Times New Roman" w:eastAsia="Times New Roman" w:hint="default"/>
                <w:sz w:val="15"/>
                <w:szCs w:val="15"/>
              </w:rPr>
            </w:pPr>
            <w:r>
              <w:rPr>
                <w:rFonts w:ascii="Times New Roman"/>
                <w:spacing w:val="-1"/>
                <w:sz w:val="15"/>
              </w:rPr>
              <w:t>1,600,000.00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38"/>
              <w:jc w:val="right"/>
              <w:rPr>
                <w:rFonts w:ascii="Times New Roman" w:hAnsi="Times New Roman" w:cs="Times New Roman" w:eastAsia="Times New Roman" w:hint="default"/>
                <w:sz w:val="15"/>
                <w:szCs w:val="15"/>
              </w:rPr>
            </w:pPr>
            <w:r>
              <w:rPr>
                <w:rFonts w:ascii="Times New Roman"/>
                <w:sz w:val="15"/>
              </w:rPr>
              <w:t>-</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8"/>
              <w:jc w:val="right"/>
              <w:rPr>
                <w:rFonts w:ascii="Times New Roman" w:hAnsi="Times New Roman" w:cs="Times New Roman" w:eastAsia="Times New Roman" w:hint="default"/>
                <w:sz w:val="15"/>
                <w:szCs w:val="15"/>
              </w:rPr>
            </w:pPr>
            <w:r>
              <w:rPr>
                <w:rFonts w:ascii="Times New Roman"/>
                <w:spacing w:val="-1"/>
                <w:sz w:val="15"/>
              </w:rPr>
              <w:t>1,600,000.00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80%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80%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26"/>
              <w:jc w:val="right"/>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678" w:right="0"/>
              <w:jc w:val="left"/>
              <w:rPr>
                <w:rFonts w:ascii="Times New Roman" w:hAnsi="Times New Roman" w:cs="Times New Roman" w:eastAsia="Times New Roman" w:hint="default"/>
                <w:sz w:val="15"/>
                <w:szCs w:val="15"/>
              </w:rPr>
            </w:pPr>
            <w:r>
              <w:rPr>
                <w:rFonts w:ascii="Times New Roman"/>
                <w:sz w:val="15"/>
              </w:rPr>
              <w:t>-</w:t>
            </w:r>
          </w:p>
        </w:tc>
        <w:tc>
          <w:tcPr>
            <w:tcW w:w="89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20"/>
              <w:jc w:val="right"/>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深圳市鸿基大型物件起重运输有限公司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65"/>
              <w:jc w:val="right"/>
              <w:rPr>
                <w:rFonts w:ascii="Times New Roman" w:hAnsi="Times New Roman" w:cs="Times New Roman" w:eastAsia="Times New Roman" w:hint="default"/>
                <w:sz w:val="15"/>
                <w:szCs w:val="15"/>
              </w:rPr>
            </w:pPr>
            <w:r>
              <w:rPr>
                <w:rFonts w:ascii="Times New Roman"/>
                <w:spacing w:val="-1"/>
                <w:sz w:val="15"/>
              </w:rPr>
              <w:t>4,500,000.00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38"/>
              <w:jc w:val="right"/>
              <w:rPr>
                <w:rFonts w:ascii="Times New Roman" w:hAnsi="Times New Roman" w:cs="Times New Roman" w:eastAsia="Times New Roman" w:hint="default"/>
                <w:sz w:val="15"/>
                <w:szCs w:val="15"/>
              </w:rPr>
            </w:pPr>
            <w:r>
              <w:rPr>
                <w:rFonts w:ascii="Times New Roman"/>
                <w:sz w:val="15"/>
              </w:rPr>
              <w:t>-</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37"/>
              <w:jc w:val="right"/>
              <w:rPr>
                <w:rFonts w:ascii="Times New Roman" w:hAnsi="Times New Roman" w:cs="Times New Roman" w:eastAsia="Times New Roman" w:hint="default"/>
                <w:sz w:val="15"/>
                <w:szCs w:val="15"/>
              </w:rPr>
            </w:pPr>
            <w:r>
              <w:rPr>
                <w:rFonts w:ascii="Times New Roman"/>
                <w:sz w:val="15"/>
              </w:rPr>
              <w:t>-</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809" w:right="0"/>
              <w:jc w:val="left"/>
              <w:rPr>
                <w:rFonts w:ascii="Times New Roman" w:hAnsi="Times New Roman" w:cs="Times New Roman" w:eastAsia="Times New Roman" w:hint="default"/>
                <w:sz w:val="15"/>
                <w:szCs w:val="15"/>
              </w:rPr>
            </w:pPr>
            <w:r>
              <w:rPr>
                <w:rFonts w:ascii="Times New Roman"/>
                <w:sz w:val="15"/>
              </w:rPr>
              <w:t>-</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26"/>
              <w:jc w:val="right"/>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678" w:right="0"/>
              <w:jc w:val="left"/>
              <w:rPr>
                <w:rFonts w:ascii="Times New Roman" w:hAnsi="Times New Roman" w:cs="Times New Roman" w:eastAsia="Times New Roman" w:hint="default"/>
                <w:sz w:val="15"/>
                <w:szCs w:val="15"/>
              </w:rPr>
            </w:pPr>
            <w:r>
              <w:rPr>
                <w:rFonts w:ascii="Times New Roman"/>
                <w:sz w:val="15"/>
              </w:rPr>
              <w:t>-</w:t>
            </w:r>
          </w:p>
        </w:tc>
        <w:tc>
          <w:tcPr>
            <w:tcW w:w="89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20"/>
              <w:jc w:val="right"/>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深圳市鸿基房地产有限公司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65"/>
              <w:jc w:val="right"/>
              <w:rPr>
                <w:rFonts w:ascii="Times New Roman" w:hAnsi="Times New Roman" w:cs="Times New Roman" w:eastAsia="Times New Roman" w:hint="default"/>
                <w:sz w:val="15"/>
                <w:szCs w:val="15"/>
              </w:rPr>
            </w:pPr>
            <w:r>
              <w:rPr>
                <w:rFonts w:ascii="Times New Roman"/>
                <w:spacing w:val="-1"/>
                <w:sz w:val="15"/>
              </w:rPr>
              <w:t>45,000,000.00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1"/>
              <w:jc w:val="right"/>
              <w:rPr>
                <w:rFonts w:ascii="Times New Roman" w:hAnsi="Times New Roman" w:cs="Times New Roman" w:eastAsia="Times New Roman" w:hint="default"/>
                <w:sz w:val="15"/>
                <w:szCs w:val="15"/>
              </w:rPr>
            </w:pPr>
            <w:r>
              <w:rPr>
                <w:rFonts w:ascii="Times New Roman"/>
                <w:spacing w:val="-1"/>
                <w:sz w:val="15"/>
              </w:rPr>
              <w:t>45,000,000.00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38"/>
              <w:jc w:val="right"/>
              <w:rPr>
                <w:rFonts w:ascii="Times New Roman" w:hAnsi="Times New Roman" w:cs="Times New Roman" w:eastAsia="Times New Roman" w:hint="default"/>
                <w:sz w:val="15"/>
                <w:szCs w:val="15"/>
              </w:rPr>
            </w:pPr>
            <w:r>
              <w:rPr>
                <w:rFonts w:ascii="Times New Roman"/>
                <w:sz w:val="15"/>
              </w:rPr>
              <w:t>-</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6"/>
              <w:jc w:val="right"/>
              <w:rPr>
                <w:rFonts w:ascii="Times New Roman" w:hAnsi="Times New Roman" w:cs="Times New Roman" w:eastAsia="Times New Roman" w:hint="default"/>
                <w:sz w:val="15"/>
                <w:szCs w:val="15"/>
              </w:rPr>
            </w:pPr>
            <w:r>
              <w:rPr>
                <w:rFonts w:ascii="Times New Roman"/>
                <w:spacing w:val="-1"/>
                <w:sz w:val="15"/>
              </w:rPr>
              <w:t>45,000,000.00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28"/>
              <w:jc w:val="right"/>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678" w:right="0"/>
              <w:jc w:val="left"/>
              <w:rPr>
                <w:rFonts w:ascii="Times New Roman" w:hAnsi="Times New Roman" w:cs="Times New Roman" w:eastAsia="Times New Roman" w:hint="default"/>
                <w:sz w:val="15"/>
                <w:szCs w:val="15"/>
              </w:rPr>
            </w:pPr>
            <w:r>
              <w:rPr>
                <w:rFonts w:ascii="Times New Roman"/>
                <w:sz w:val="15"/>
              </w:rPr>
              <w:t>-</w:t>
            </w:r>
          </w:p>
        </w:tc>
        <w:tc>
          <w:tcPr>
            <w:tcW w:w="89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20"/>
              <w:jc w:val="right"/>
              <w:rPr>
                <w:rFonts w:ascii="Times New Roman" w:hAnsi="Times New Roman" w:cs="Times New Roman" w:eastAsia="Times New Roman" w:hint="default"/>
                <w:sz w:val="15"/>
                <w:szCs w:val="15"/>
              </w:rPr>
            </w:pPr>
            <w:r>
              <w:rPr>
                <w:rFonts w:ascii="Times New Roman"/>
                <w:sz w:val="15"/>
              </w:rPr>
              <w:t>-</w:t>
            </w:r>
          </w:p>
        </w:tc>
      </w:tr>
    </w:tbl>
    <w:p>
      <w:pPr>
        <w:spacing w:after="0" w:line="240" w:lineRule="auto"/>
        <w:jc w:val="right"/>
        <w:rPr>
          <w:rFonts w:ascii="Times New Roman" w:hAnsi="Times New Roman" w:cs="Times New Roman" w:eastAsia="Times New Roman" w:hint="default"/>
          <w:sz w:val="15"/>
          <w:szCs w:val="15"/>
        </w:rPr>
        <w:sectPr>
          <w:footerReference w:type="default" r:id="rId21"/>
          <w:pgSz w:w="16840" w:h="11900" w:orient="landscape"/>
          <w:pgMar w:footer="954" w:header="0" w:top="1100" w:bottom="1140" w:left="1640" w:right="1200"/>
          <w:pgNumType w:start="82"/>
        </w:sectPr>
      </w:pPr>
    </w:p>
    <w:p>
      <w:pPr>
        <w:spacing w:line="240" w:lineRule="auto" w:before="9"/>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2800"/>
        <w:gridCol w:w="1182"/>
        <w:gridCol w:w="1224"/>
        <w:gridCol w:w="1210"/>
        <w:gridCol w:w="1208"/>
        <w:gridCol w:w="1255"/>
        <w:gridCol w:w="752"/>
        <w:gridCol w:w="866"/>
        <w:gridCol w:w="1297"/>
        <w:gridCol w:w="1079"/>
        <w:gridCol w:w="884"/>
      </w:tblGrid>
      <w:tr>
        <w:trPr>
          <w:trHeight w:val="1028" w:hRule="exact"/>
        </w:trPr>
        <w:tc>
          <w:tcPr>
            <w:tcW w:w="28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被投资单位</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核算方法</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5"/>
              <w:jc w:val="right"/>
              <w:rPr>
                <w:rFonts w:ascii="宋体" w:hAnsi="宋体" w:cs="宋体" w:eastAsia="宋体" w:hint="default"/>
                <w:sz w:val="15"/>
                <w:szCs w:val="15"/>
              </w:rPr>
            </w:pPr>
            <w:r>
              <w:rPr>
                <w:rFonts w:ascii="宋体" w:hAnsi="宋体" w:cs="宋体" w:eastAsia="宋体" w:hint="default"/>
                <w:sz w:val="15"/>
                <w:szCs w:val="15"/>
              </w:rPr>
              <w:t>初始投资成本</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98"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98" w:right="0"/>
              <w:jc w:val="left"/>
              <w:rPr>
                <w:rFonts w:ascii="宋体" w:hAnsi="宋体" w:cs="宋体" w:eastAsia="宋体" w:hint="default"/>
                <w:sz w:val="15"/>
                <w:szCs w:val="15"/>
              </w:rPr>
            </w:pPr>
            <w:r>
              <w:rPr>
                <w:rFonts w:ascii="宋体" w:hAnsi="宋体" w:cs="宋体" w:eastAsia="宋体" w:hint="default"/>
                <w:sz w:val="15"/>
                <w:szCs w:val="15"/>
              </w:rPr>
              <w:t>增减变动</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22"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46" w:right="144"/>
              <w:jc w:val="both"/>
              <w:rPr>
                <w:rFonts w:ascii="Times New Roman" w:hAnsi="Times New Roman" w:cs="Times New Roman" w:eastAsia="Times New Roman" w:hint="default"/>
                <w:sz w:val="15"/>
                <w:szCs w:val="15"/>
              </w:rPr>
            </w:pPr>
            <w:r>
              <w:rPr>
                <w:rFonts w:ascii="宋体" w:hAnsi="宋体" w:cs="宋体" w:eastAsia="宋体" w:hint="default"/>
                <w:sz w:val="15"/>
                <w:szCs w:val="15"/>
              </w:rPr>
              <w:t>在被投 资单位 持股比 例</w:t>
            </w:r>
            <w:r>
              <w:rPr>
                <w:rFonts w:ascii="Times New Roman" w:hAnsi="Times New Roman" w:cs="Times New Roman" w:eastAsia="Times New Roman" w:hint="default"/>
                <w:sz w:val="15"/>
                <w:szCs w:val="15"/>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7" w:lineRule="auto"/>
              <w:ind w:left="128" w:right="126"/>
              <w:jc w:val="center"/>
              <w:rPr>
                <w:rFonts w:ascii="Times New Roman" w:hAnsi="Times New Roman" w:cs="Times New Roman" w:eastAsia="Times New Roman" w:hint="default"/>
                <w:sz w:val="15"/>
                <w:szCs w:val="15"/>
              </w:rPr>
            </w:pPr>
            <w:r>
              <w:rPr>
                <w:rFonts w:ascii="宋体" w:hAnsi="宋体" w:cs="宋体" w:eastAsia="宋体" w:hint="default"/>
                <w:sz w:val="15"/>
                <w:szCs w:val="15"/>
              </w:rPr>
              <w:t>在被投资 单位表决 权比例 </w:t>
            </w:r>
            <w:r>
              <w:rPr>
                <w:rFonts w:ascii="Times New Roman" w:hAnsi="Times New Roman" w:cs="Times New Roman" w:eastAsia="Times New Roman" w:hint="default"/>
                <w:sz w:val="15"/>
                <w:szCs w:val="15"/>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43" w:right="0"/>
              <w:jc w:val="left"/>
              <w:rPr>
                <w:rFonts w:ascii="宋体" w:hAnsi="宋体" w:cs="宋体" w:eastAsia="宋体" w:hint="default"/>
                <w:sz w:val="15"/>
                <w:szCs w:val="15"/>
              </w:rPr>
            </w:pPr>
            <w:r>
              <w:rPr>
                <w:rFonts w:ascii="宋体" w:hAnsi="宋体" w:cs="宋体" w:eastAsia="宋体" w:hint="default"/>
                <w:sz w:val="15"/>
                <w:szCs w:val="15"/>
              </w:rPr>
              <w:t>减值准备</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09" w:right="157" w:hanging="150"/>
              <w:jc w:val="left"/>
              <w:rPr>
                <w:rFonts w:ascii="宋体" w:hAnsi="宋体" w:cs="宋体" w:eastAsia="宋体" w:hint="default"/>
                <w:sz w:val="15"/>
                <w:szCs w:val="15"/>
              </w:rPr>
            </w:pPr>
            <w:r>
              <w:rPr>
                <w:rFonts w:ascii="宋体" w:hAnsi="宋体" w:cs="宋体" w:eastAsia="宋体" w:hint="default"/>
                <w:sz w:val="15"/>
                <w:szCs w:val="15"/>
              </w:rPr>
              <w:t>本期计提减 值准备</w:t>
            </w:r>
          </w:p>
        </w:tc>
        <w:tc>
          <w:tcPr>
            <w:tcW w:w="8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40" w:right="0"/>
              <w:jc w:val="left"/>
              <w:rPr>
                <w:rFonts w:ascii="宋体" w:hAnsi="宋体" w:cs="宋体" w:eastAsia="宋体" w:hint="default"/>
                <w:sz w:val="15"/>
                <w:szCs w:val="15"/>
              </w:rPr>
            </w:pPr>
            <w:r>
              <w:rPr>
                <w:rFonts w:ascii="宋体" w:hAnsi="宋体" w:cs="宋体" w:eastAsia="宋体" w:hint="default"/>
                <w:sz w:val="15"/>
                <w:szCs w:val="15"/>
              </w:rPr>
              <w:t>现金红利</w:t>
            </w:r>
          </w:p>
        </w:tc>
      </w:tr>
      <w:tr>
        <w:trPr>
          <w:trHeight w:val="510" w:hRule="exact"/>
        </w:trPr>
        <w:tc>
          <w:tcPr>
            <w:tcW w:w="28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07" w:right="0"/>
              <w:jc w:val="left"/>
              <w:rPr>
                <w:rFonts w:ascii="宋体" w:hAnsi="宋体" w:cs="宋体" w:eastAsia="宋体" w:hint="default"/>
                <w:sz w:val="15"/>
                <w:szCs w:val="15"/>
              </w:rPr>
            </w:pPr>
            <w:r>
              <w:rPr>
                <w:rFonts w:ascii="宋体" w:hAnsi="宋体" w:cs="宋体" w:eastAsia="宋体" w:hint="default"/>
                <w:sz w:val="15"/>
                <w:szCs w:val="15"/>
              </w:rPr>
              <w:t>龙岗鸿基房地产开发有限公司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65"/>
              <w:jc w:val="right"/>
              <w:rPr>
                <w:rFonts w:ascii="Times New Roman" w:hAnsi="Times New Roman" w:cs="Times New Roman" w:eastAsia="Times New Roman" w:hint="default"/>
                <w:sz w:val="15"/>
                <w:szCs w:val="15"/>
              </w:rPr>
            </w:pPr>
            <w:r>
              <w:rPr>
                <w:rFonts w:ascii="Times New Roman"/>
                <w:spacing w:val="-1"/>
                <w:sz w:val="15"/>
              </w:rPr>
              <w:t>30,093,000.00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0"/>
              <w:jc w:val="right"/>
              <w:rPr>
                <w:rFonts w:ascii="Times New Roman" w:hAnsi="Times New Roman" w:cs="Times New Roman" w:eastAsia="Times New Roman" w:hint="default"/>
                <w:sz w:val="15"/>
                <w:szCs w:val="15"/>
              </w:rPr>
            </w:pPr>
            <w:r>
              <w:rPr>
                <w:rFonts w:ascii="Times New Roman"/>
                <w:spacing w:val="-1"/>
                <w:sz w:val="15"/>
              </w:rPr>
              <w:t>30,093,000.00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38"/>
              <w:jc w:val="right"/>
              <w:rPr>
                <w:rFonts w:ascii="Times New Roman" w:hAnsi="Times New Roman" w:cs="Times New Roman" w:eastAsia="Times New Roman" w:hint="default"/>
                <w:sz w:val="15"/>
                <w:szCs w:val="15"/>
              </w:rPr>
            </w:pPr>
            <w:r>
              <w:rPr>
                <w:rFonts w:ascii="Times New Roman"/>
                <w:sz w:val="15"/>
              </w:rPr>
              <w:t>-</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6"/>
              <w:jc w:val="right"/>
              <w:rPr>
                <w:rFonts w:ascii="Times New Roman" w:hAnsi="Times New Roman" w:cs="Times New Roman" w:eastAsia="Times New Roman" w:hint="default"/>
                <w:sz w:val="15"/>
                <w:szCs w:val="15"/>
              </w:rPr>
            </w:pPr>
            <w:r>
              <w:rPr>
                <w:rFonts w:ascii="Times New Roman"/>
                <w:spacing w:val="-1"/>
                <w:sz w:val="15"/>
              </w:rPr>
              <w:t>30,093,000.00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94.99%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94.99%</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27"/>
              <w:jc w:val="right"/>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30,093,000.00</w:t>
            </w:r>
          </w:p>
        </w:tc>
        <w:tc>
          <w:tcPr>
            <w:tcW w:w="8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97" w:right="0"/>
              <w:jc w:val="center"/>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8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07" w:right="0"/>
              <w:jc w:val="left"/>
              <w:rPr>
                <w:rFonts w:ascii="宋体" w:hAnsi="宋体" w:cs="宋体" w:eastAsia="宋体" w:hint="default"/>
                <w:sz w:val="15"/>
                <w:szCs w:val="15"/>
              </w:rPr>
            </w:pPr>
            <w:r>
              <w:rPr>
                <w:rFonts w:ascii="宋体" w:hAnsi="宋体" w:cs="宋体" w:eastAsia="宋体" w:hint="default"/>
                <w:sz w:val="15"/>
                <w:szCs w:val="15"/>
              </w:rPr>
              <w:t>深圳市鸿基物业管理有限公司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66"/>
              <w:jc w:val="right"/>
              <w:rPr>
                <w:rFonts w:ascii="Times New Roman" w:hAnsi="Times New Roman" w:cs="Times New Roman" w:eastAsia="Times New Roman" w:hint="default"/>
                <w:sz w:val="15"/>
                <w:szCs w:val="15"/>
              </w:rPr>
            </w:pPr>
            <w:r>
              <w:rPr>
                <w:rFonts w:ascii="Times New Roman"/>
                <w:spacing w:val="-1"/>
                <w:sz w:val="15"/>
              </w:rPr>
              <w:t>8,000,000.00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2"/>
              <w:jc w:val="right"/>
              <w:rPr>
                <w:rFonts w:ascii="Times New Roman" w:hAnsi="Times New Roman" w:cs="Times New Roman" w:eastAsia="Times New Roman" w:hint="default"/>
                <w:sz w:val="15"/>
                <w:szCs w:val="15"/>
              </w:rPr>
            </w:pPr>
            <w:r>
              <w:rPr>
                <w:rFonts w:ascii="Times New Roman"/>
                <w:spacing w:val="-1"/>
                <w:sz w:val="15"/>
              </w:rPr>
              <w:t>8,000,000.00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38"/>
              <w:jc w:val="right"/>
              <w:rPr>
                <w:rFonts w:ascii="Times New Roman" w:hAnsi="Times New Roman" w:cs="Times New Roman" w:eastAsia="Times New Roman" w:hint="default"/>
                <w:sz w:val="15"/>
                <w:szCs w:val="15"/>
              </w:rPr>
            </w:pPr>
            <w:r>
              <w:rPr>
                <w:rFonts w:ascii="Times New Roman"/>
                <w:sz w:val="15"/>
              </w:rPr>
              <w:t>-</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8"/>
              <w:jc w:val="right"/>
              <w:rPr>
                <w:rFonts w:ascii="Times New Roman" w:hAnsi="Times New Roman" w:cs="Times New Roman" w:eastAsia="Times New Roman" w:hint="default"/>
                <w:sz w:val="15"/>
                <w:szCs w:val="15"/>
              </w:rPr>
            </w:pPr>
            <w:r>
              <w:rPr>
                <w:rFonts w:ascii="Times New Roman"/>
                <w:spacing w:val="-1"/>
                <w:sz w:val="15"/>
              </w:rPr>
              <w:t>8,000,000.00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80%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80%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26"/>
              <w:jc w:val="right"/>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678" w:right="0"/>
              <w:jc w:val="left"/>
              <w:rPr>
                <w:rFonts w:ascii="Times New Roman" w:hAnsi="Times New Roman" w:cs="Times New Roman" w:eastAsia="Times New Roman" w:hint="default"/>
                <w:sz w:val="15"/>
                <w:szCs w:val="15"/>
              </w:rPr>
            </w:pPr>
            <w:r>
              <w:rPr>
                <w:rFonts w:ascii="Times New Roman"/>
                <w:sz w:val="15"/>
              </w:rPr>
              <w:t>-</w:t>
            </w:r>
          </w:p>
        </w:tc>
        <w:tc>
          <w:tcPr>
            <w:tcW w:w="8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98" w:right="0"/>
              <w:jc w:val="center"/>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8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07" w:right="0"/>
              <w:jc w:val="left"/>
              <w:rPr>
                <w:rFonts w:ascii="宋体" w:hAnsi="宋体" w:cs="宋体" w:eastAsia="宋体" w:hint="default"/>
                <w:sz w:val="15"/>
                <w:szCs w:val="15"/>
              </w:rPr>
            </w:pPr>
            <w:r>
              <w:rPr>
                <w:rFonts w:ascii="宋体" w:hAnsi="宋体" w:cs="宋体" w:eastAsia="宋体" w:hint="default"/>
                <w:sz w:val="15"/>
                <w:szCs w:val="15"/>
              </w:rPr>
              <w:t>深圳市凯方实业发展有限公司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65"/>
              <w:jc w:val="right"/>
              <w:rPr>
                <w:rFonts w:ascii="Times New Roman" w:hAnsi="Times New Roman" w:cs="Times New Roman" w:eastAsia="Times New Roman" w:hint="default"/>
                <w:sz w:val="15"/>
                <w:szCs w:val="15"/>
              </w:rPr>
            </w:pPr>
            <w:r>
              <w:rPr>
                <w:rFonts w:ascii="Times New Roman"/>
                <w:spacing w:val="-1"/>
                <w:sz w:val="15"/>
              </w:rPr>
              <w:t>10,500,000.00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0"/>
              <w:jc w:val="right"/>
              <w:rPr>
                <w:rFonts w:ascii="Times New Roman" w:hAnsi="Times New Roman" w:cs="Times New Roman" w:eastAsia="Times New Roman" w:hint="default"/>
                <w:sz w:val="15"/>
                <w:szCs w:val="15"/>
              </w:rPr>
            </w:pPr>
            <w:r>
              <w:rPr>
                <w:rFonts w:ascii="Times New Roman"/>
                <w:spacing w:val="-1"/>
                <w:sz w:val="15"/>
              </w:rPr>
              <w:t>10,500,000.00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38"/>
              <w:jc w:val="right"/>
              <w:rPr>
                <w:rFonts w:ascii="Times New Roman" w:hAnsi="Times New Roman" w:cs="Times New Roman" w:eastAsia="Times New Roman" w:hint="default"/>
                <w:sz w:val="15"/>
                <w:szCs w:val="15"/>
              </w:rPr>
            </w:pPr>
            <w:r>
              <w:rPr>
                <w:rFonts w:ascii="Times New Roman"/>
                <w:sz w:val="15"/>
              </w:rPr>
              <w:t>-</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6"/>
              <w:jc w:val="right"/>
              <w:rPr>
                <w:rFonts w:ascii="Times New Roman" w:hAnsi="Times New Roman" w:cs="Times New Roman" w:eastAsia="Times New Roman" w:hint="default"/>
                <w:sz w:val="15"/>
                <w:szCs w:val="15"/>
              </w:rPr>
            </w:pPr>
            <w:r>
              <w:rPr>
                <w:rFonts w:ascii="Times New Roman"/>
                <w:spacing w:val="-1"/>
                <w:sz w:val="15"/>
              </w:rPr>
              <w:t>10,500,000.00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70%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70%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spacing w:val="-1"/>
                <w:sz w:val="15"/>
              </w:rPr>
              <w:t>10,500,000.00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10,500,000.00</w:t>
            </w:r>
          </w:p>
        </w:tc>
        <w:tc>
          <w:tcPr>
            <w:tcW w:w="8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98" w:right="0"/>
              <w:jc w:val="center"/>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8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07" w:right="0"/>
              <w:jc w:val="left"/>
              <w:rPr>
                <w:rFonts w:ascii="宋体" w:hAnsi="宋体" w:cs="宋体" w:eastAsia="宋体" w:hint="default"/>
                <w:sz w:val="15"/>
                <w:szCs w:val="15"/>
              </w:rPr>
            </w:pPr>
            <w:r>
              <w:rPr>
                <w:rFonts w:ascii="宋体" w:hAnsi="宋体" w:cs="宋体" w:eastAsia="宋体" w:hint="default"/>
                <w:sz w:val="15"/>
                <w:szCs w:val="15"/>
              </w:rPr>
              <w:t>西安新鸿业投资发展有限公司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66"/>
              <w:jc w:val="right"/>
              <w:rPr>
                <w:rFonts w:ascii="Times New Roman" w:hAnsi="Times New Roman" w:cs="Times New Roman" w:eastAsia="Times New Roman" w:hint="default"/>
                <w:sz w:val="15"/>
                <w:szCs w:val="15"/>
              </w:rPr>
            </w:pPr>
            <w:r>
              <w:rPr>
                <w:rFonts w:ascii="Times New Roman"/>
                <w:spacing w:val="-1"/>
                <w:sz w:val="15"/>
              </w:rPr>
              <w:t>117,412,400.00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2"/>
              <w:jc w:val="right"/>
              <w:rPr>
                <w:rFonts w:ascii="Times New Roman" w:hAnsi="Times New Roman" w:cs="Times New Roman" w:eastAsia="Times New Roman" w:hint="default"/>
                <w:sz w:val="15"/>
                <w:szCs w:val="15"/>
              </w:rPr>
            </w:pPr>
            <w:r>
              <w:rPr>
                <w:rFonts w:ascii="Times New Roman"/>
                <w:spacing w:val="-1"/>
                <w:sz w:val="15"/>
              </w:rPr>
              <w:t>117,412,400.00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38"/>
              <w:jc w:val="right"/>
              <w:rPr>
                <w:rFonts w:ascii="Times New Roman" w:hAnsi="Times New Roman" w:cs="Times New Roman" w:eastAsia="Times New Roman" w:hint="default"/>
                <w:sz w:val="15"/>
                <w:szCs w:val="15"/>
              </w:rPr>
            </w:pPr>
            <w:r>
              <w:rPr>
                <w:rFonts w:ascii="Times New Roman"/>
                <w:sz w:val="15"/>
              </w:rPr>
              <w:t>-</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8"/>
              <w:jc w:val="right"/>
              <w:rPr>
                <w:rFonts w:ascii="Times New Roman" w:hAnsi="Times New Roman" w:cs="Times New Roman" w:eastAsia="Times New Roman" w:hint="default"/>
                <w:sz w:val="15"/>
                <w:szCs w:val="15"/>
              </w:rPr>
            </w:pPr>
            <w:r>
              <w:rPr>
                <w:rFonts w:ascii="Times New Roman"/>
                <w:spacing w:val="-1"/>
                <w:sz w:val="15"/>
              </w:rPr>
              <w:t>117,412,400.00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66.50%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66.50%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27"/>
              <w:jc w:val="right"/>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677" w:right="0"/>
              <w:jc w:val="left"/>
              <w:rPr>
                <w:rFonts w:ascii="Times New Roman" w:hAnsi="Times New Roman" w:cs="Times New Roman" w:eastAsia="Times New Roman" w:hint="default"/>
                <w:sz w:val="15"/>
                <w:szCs w:val="15"/>
              </w:rPr>
            </w:pPr>
            <w:r>
              <w:rPr>
                <w:rFonts w:ascii="Times New Roman"/>
                <w:sz w:val="15"/>
              </w:rPr>
              <w:t>-</w:t>
            </w:r>
          </w:p>
        </w:tc>
        <w:tc>
          <w:tcPr>
            <w:tcW w:w="8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96" w:right="0"/>
              <w:jc w:val="center"/>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8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07" w:right="0"/>
              <w:jc w:val="left"/>
              <w:rPr>
                <w:rFonts w:ascii="宋体" w:hAnsi="宋体" w:cs="宋体" w:eastAsia="宋体" w:hint="default"/>
                <w:sz w:val="15"/>
                <w:szCs w:val="15"/>
              </w:rPr>
            </w:pPr>
            <w:r>
              <w:rPr>
                <w:rFonts w:ascii="宋体" w:hAnsi="宋体" w:cs="宋体" w:eastAsia="宋体" w:hint="default"/>
                <w:sz w:val="15"/>
                <w:szCs w:val="15"/>
              </w:rPr>
              <w:t>西安新鸿基房地产开发有限公司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65"/>
              <w:jc w:val="right"/>
              <w:rPr>
                <w:rFonts w:ascii="Times New Roman" w:hAnsi="Times New Roman" w:cs="Times New Roman" w:eastAsia="Times New Roman" w:hint="default"/>
                <w:sz w:val="15"/>
                <w:szCs w:val="15"/>
              </w:rPr>
            </w:pPr>
            <w:r>
              <w:rPr>
                <w:rFonts w:ascii="Times New Roman"/>
                <w:spacing w:val="-1"/>
                <w:sz w:val="15"/>
              </w:rPr>
              <w:t>90,000,000.00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1"/>
              <w:jc w:val="right"/>
              <w:rPr>
                <w:rFonts w:ascii="Times New Roman" w:hAnsi="Times New Roman" w:cs="Times New Roman" w:eastAsia="Times New Roman" w:hint="default"/>
                <w:sz w:val="15"/>
                <w:szCs w:val="15"/>
              </w:rPr>
            </w:pPr>
            <w:r>
              <w:rPr>
                <w:rFonts w:ascii="Times New Roman"/>
                <w:spacing w:val="-1"/>
                <w:sz w:val="15"/>
              </w:rPr>
              <w:t>90,000,000.00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38"/>
              <w:jc w:val="right"/>
              <w:rPr>
                <w:rFonts w:ascii="Times New Roman" w:hAnsi="Times New Roman" w:cs="Times New Roman" w:eastAsia="Times New Roman" w:hint="default"/>
                <w:sz w:val="15"/>
                <w:szCs w:val="15"/>
              </w:rPr>
            </w:pPr>
            <w:r>
              <w:rPr>
                <w:rFonts w:ascii="Times New Roman"/>
                <w:sz w:val="15"/>
              </w:rPr>
              <w:t>-</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6"/>
              <w:jc w:val="right"/>
              <w:rPr>
                <w:rFonts w:ascii="Times New Roman" w:hAnsi="Times New Roman" w:cs="Times New Roman" w:eastAsia="Times New Roman" w:hint="default"/>
                <w:sz w:val="15"/>
                <w:szCs w:val="15"/>
              </w:rPr>
            </w:pPr>
            <w:r>
              <w:rPr>
                <w:rFonts w:ascii="Times New Roman"/>
                <w:spacing w:val="-1"/>
                <w:sz w:val="15"/>
              </w:rPr>
              <w:t>90,000,000.00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60%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60%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28"/>
              <w:jc w:val="right"/>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678" w:right="0"/>
              <w:jc w:val="left"/>
              <w:rPr>
                <w:rFonts w:ascii="Times New Roman" w:hAnsi="Times New Roman" w:cs="Times New Roman" w:eastAsia="Times New Roman" w:hint="default"/>
                <w:sz w:val="15"/>
                <w:szCs w:val="15"/>
              </w:rPr>
            </w:pPr>
            <w:r>
              <w:rPr>
                <w:rFonts w:ascii="Times New Roman"/>
                <w:sz w:val="15"/>
              </w:rPr>
              <w:t>-</w:t>
            </w:r>
          </w:p>
        </w:tc>
        <w:tc>
          <w:tcPr>
            <w:tcW w:w="8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98" w:right="0"/>
              <w:jc w:val="center"/>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8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07" w:right="0"/>
              <w:jc w:val="left"/>
              <w:rPr>
                <w:rFonts w:ascii="宋体" w:hAnsi="宋体" w:cs="宋体" w:eastAsia="宋体" w:hint="default"/>
                <w:sz w:val="15"/>
                <w:szCs w:val="15"/>
              </w:rPr>
            </w:pPr>
            <w:r>
              <w:rPr>
                <w:rFonts w:ascii="宋体" w:hAnsi="宋体" w:cs="宋体" w:eastAsia="宋体" w:hint="default"/>
                <w:sz w:val="15"/>
                <w:szCs w:val="15"/>
              </w:rPr>
              <w:t>深圳市鸿基装饰设计工程有限公司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66"/>
              <w:jc w:val="right"/>
              <w:rPr>
                <w:rFonts w:ascii="Times New Roman" w:hAnsi="Times New Roman" w:cs="Times New Roman" w:eastAsia="Times New Roman" w:hint="default"/>
                <w:sz w:val="15"/>
                <w:szCs w:val="15"/>
              </w:rPr>
            </w:pPr>
            <w:r>
              <w:rPr>
                <w:rFonts w:ascii="Times New Roman"/>
                <w:spacing w:val="-1"/>
                <w:sz w:val="15"/>
              </w:rPr>
              <w:t>4,200,000.00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2"/>
              <w:jc w:val="right"/>
              <w:rPr>
                <w:rFonts w:ascii="Times New Roman" w:hAnsi="Times New Roman" w:cs="Times New Roman" w:eastAsia="Times New Roman" w:hint="default"/>
                <w:sz w:val="15"/>
                <w:szCs w:val="15"/>
              </w:rPr>
            </w:pPr>
            <w:r>
              <w:rPr>
                <w:rFonts w:ascii="Times New Roman"/>
                <w:spacing w:val="-1"/>
                <w:sz w:val="15"/>
              </w:rPr>
              <w:t>4,200,000.00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38"/>
              <w:jc w:val="right"/>
              <w:rPr>
                <w:rFonts w:ascii="Times New Roman" w:hAnsi="Times New Roman" w:cs="Times New Roman" w:eastAsia="Times New Roman" w:hint="default"/>
                <w:sz w:val="15"/>
                <w:szCs w:val="15"/>
              </w:rPr>
            </w:pPr>
            <w:r>
              <w:rPr>
                <w:rFonts w:ascii="Times New Roman"/>
                <w:sz w:val="15"/>
              </w:rPr>
              <w:t>-</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8"/>
              <w:jc w:val="right"/>
              <w:rPr>
                <w:rFonts w:ascii="Times New Roman" w:hAnsi="Times New Roman" w:cs="Times New Roman" w:eastAsia="Times New Roman" w:hint="default"/>
                <w:sz w:val="15"/>
                <w:szCs w:val="15"/>
              </w:rPr>
            </w:pPr>
            <w:r>
              <w:rPr>
                <w:rFonts w:ascii="Times New Roman"/>
                <w:spacing w:val="-1"/>
                <w:sz w:val="15"/>
              </w:rPr>
              <w:t>4,200,000.00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70%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70%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26"/>
              <w:jc w:val="right"/>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678" w:right="0"/>
              <w:jc w:val="left"/>
              <w:rPr>
                <w:rFonts w:ascii="Times New Roman" w:hAnsi="Times New Roman" w:cs="Times New Roman" w:eastAsia="Times New Roman" w:hint="default"/>
                <w:sz w:val="15"/>
                <w:szCs w:val="15"/>
              </w:rPr>
            </w:pPr>
            <w:r>
              <w:rPr>
                <w:rFonts w:ascii="Times New Roman"/>
                <w:sz w:val="15"/>
              </w:rPr>
              <w:t>-</w:t>
            </w:r>
          </w:p>
        </w:tc>
        <w:tc>
          <w:tcPr>
            <w:tcW w:w="8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98" w:right="0"/>
              <w:jc w:val="center"/>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8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07" w:right="0"/>
              <w:jc w:val="left"/>
              <w:rPr>
                <w:rFonts w:ascii="宋体" w:hAnsi="宋体" w:cs="宋体" w:eastAsia="宋体" w:hint="default"/>
                <w:sz w:val="15"/>
                <w:szCs w:val="15"/>
              </w:rPr>
            </w:pPr>
            <w:r>
              <w:rPr>
                <w:rFonts w:ascii="宋体" w:hAnsi="宋体" w:cs="宋体" w:eastAsia="宋体" w:hint="default"/>
                <w:sz w:val="15"/>
                <w:szCs w:val="15"/>
              </w:rPr>
              <w:t>深圳市龙岗鸿基发展有限公司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66"/>
              <w:jc w:val="right"/>
              <w:rPr>
                <w:rFonts w:ascii="Times New Roman" w:hAnsi="Times New Roman" w:cs="Times New Roman" w:eastAsia="Times New Roman" w:hint="default"/>
                <w:sz w:val="15"/>
                <w:szCs w:val="15"/>
              </w:rPr>
            </w:pPr>
            <w:r>
              <w:rPr>
                <w:rFonts w:ascii="Times New Roman"/>
                <w:spacing w:val="-1"/>
                <w:sz w:val="15"/>
              </w:rPr>
              <w:t>8,262,000.00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2"/>
              <w:jc w:val="right"/>
              <w:rPr>
                <w:rFonts w:ascii="Times New Roman" w:hAnsi="Times New Roman" w:cs="Times New Roman" w:eastAsia="Times New Roman" w:hint="default"/>
                <w:sz w:val="15"/>
                <w:szCs w:val="15"/>
              </w:rPr>
            </w:pPr>
            <w:r>
              <w:rPr>
                <w:rFonts w:ascii="Times New Roman"/>
                <w:spacing w:val="-1"/>
                <w:sz w:val="15"/>
              </w:rPr>
              <w:t>8,262,000.00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38"/>
              <w:jc w:val="right"/>
              <w:rPr>
                <w:rFonts w:ascii="Times New Roman" w:hAnsi="Times New Roman" w:cs="Times New Roman" w:eastAsia="Times New Roman" w:hint="default"/>
                <w:sz w:val="15"/>
                <w:szCs w:val="15"/>
              </w:rPr>
            </w:pPr>
            <w:r>
              <w:rPr>
                <w:rFonts w:ascii="Times New Roman"/>
                <w:sz w:val="15"/>
              </w:rPr>
              <w:t>-</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8"/>
              <w:jc w:val="right"/>
              <w:rPr>
                <w:rFonts w:ascii="Times New Roman" w:hAnsi="Times New Roman" w:cs="Times New Roman" w:eastAsia="Times New Roman" w:hint="default"/>
                <w:sz w:val="15"/>
                <w:szCs w:val="15"/>
              </w:rPr>
            </w:pPr>
            <w:r>
              <w:rPr>
                <w:rFonts w:ascii="Times New Roman"/>
                <w:spacing w:val="-1"/>
                <w:sz w:val="15"/>
              </w:rPr>
              <w:t>8,262,000.00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94.97%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94.97%</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27"/>
              <w:jc w:val="right"/>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677" w:right="0"/>
              <w:jc w:val="left"/>
              <w:rPr>
                <w:rFonts w:ascii="Times New Roman" w:hAnsi="Times New Roman" w:cs="Times New Roman" w:eastAsia="Times New Roman" w:hint="default"/>
                <w:sz w:val="15"/>
                <w:szCs w:val="15"/>
              </w:rPr>
            </w:pPr>
            <w:r>
              <w:rPr>
                <w:rFonts w:ascii="Times New Roman"/>
                <w:sz w:val="15"/>
              </w:rPr>
              <w:t>-</w:t>
            </w:r>
          </w:p>
        </w:tc>
        <w:tc>
          <w:tcPr>
            <w:tcW w:w="8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97" w:right="0"/>
              <w:jc w:val="center"/>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8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07" w:right="0"/>
              <w:jc w:val="left"/>
              <w:rPr>
                <w:rFonts w:ascii="宋体" w:hAnsi="宋体" w:cs="宋体" w:eastAsia="宋体" w:hint="default"/>
                <w:sz w:val="15"/>
                <w:szCs w:val="15"/>
              </w:rPr>
            </w:pPr>
            <w:r>
              <w:rPr>
                <w:rFonts w:ascii="宋体" w:hAnsi="宋体" w:cs="宋体" w:eastAsia="宋体" w:hint="default"/>
                <w:sz w:val="15"/>
                <w:szCs w:val="15"/>
              </w:rPr>
              <w:t>深圳市深运工贸企业有限公司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65"/>
              <w:jc w:val="right"/>
              <w:rPr>
                <w:rFonts w:ascii="Times New Roman" w:hAnsi="Times New Roman" w:cs="Times New Roman" w:eastAsia="Times New Roman" w:hint="default"/>
                <w:sz w:val="15"/>
                <w:szCs w:val="15"/>
              </w:rPr>
            </w:pPr>
            <w:r>
              <w:rPr>
                <w:rFonts w:ascii="Times New Roman"/>
                <w:spacing w:val="-1"/>
                <w:sz w:val="15"/>
              </w:rPr>
              <w:t>19,000,000.00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1"/>
              <w:jc w:val="right"/>
              <w:rPr>
                <w:rFonts w:ascii="Times New Roman" w:hAnsi="Times New Roman" w:cs="Times New Roman" w:eastAsia="Times New Roman" w:hint="default"/>
                <w:sz w:val="15"/>
                <w:szCs w:val="15"/>
              </w:rPr>
            </w:pPr>
            <w:r>
              <w:rPr>
                <w:rFonts w:ascii="Times New Roman"/>
                <w:spacing w:val="-1"/>
                <w:sz w:val="15"/>
              </w:rPr>
              <w:t>19,000,000.00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38"/>
              <w:jc w:val="right"/>
              <w:rPr>
                <w:rFonts w:ascii="Times New Roman" w:hAnsi="Times New Roman" w:cs="Times New Roman" w:eastAsia="Times New Roman" w:hint="default"/>
                <w:sz w:val="15"/>
                <w:szCs w:val="15"/>
              </w:rPr>
            </w:pPr>
            <w:r>
              <w:rPr>
                <w:rFonts w:ascii="Times New Roman"/>
                <w:sz w:val="15"/>
              </w:rPr>
              <w:t>-</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6"/>
              <w:jc w:val="right"/>
              <w:rPr>
                <w:rFonts w:ascii="Times New Roman" w:hAnsi="Times New Roman" w:cs="Times New Roman" w:eastAsia="Times New Roman" w:hint="default"/>
                <w:sz w:val="15"/>
                <w:szCs w:val="15"/>
              </w:rPr>
            </w:pPr>
            <w:r>
              <w:rPr>
                <w:rFonts w:ascii="Times New Roman"/>
                <w:spacing w:val="-1"/>
                <w:sz w:val="15"/>
              </w:rPr>
              <w:t>19,000,000.00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95%</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28"/>
              <w:jc w:val="right"/>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678" w:right="0"/>
              <w:jc w:val="left"/>
              <w:rPr>
                <w:rFonts w:ascii="Times New Roman" w:hAnsi="Times New Roman" w:cs="Times New Roman" w:eastAsia="Times New Roman" w:hint="default"/>
                <w:sz w:val="15"/>
                <w:szCs w:val="15"/>
              </w:rPr>
            </w:pPr>
            <w:r>
              <w:rPr>
                <w:rFonts w:ascii="Times New Roman"/>
                <w:sz w:val="15"/>
              </w:rPr>
              <w:t>-</w:t>
            </w:r>
          </w:p>
        </w:tc>
        <w:tc>
          <w:tcPr>
            <w:tcW w:w="8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98" w:right="0"/>
              <w:jc w:val="center"/>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8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07" w:right="0"/>
              <w:jc w:val="left"/>
              <w:rPr>
                <w:rFonts w:ascii="宋体" w:hAnsi="宋体" w:cs="宋体" w:eastAsia="宋体" w:hint="default"/>
                <w:sz w:val="15"/>
                <w:szCs w:val="15"/>
              </w:rPr>
            </w:pPr>
            <w:r>
              <w:rPr>
                <w:rFonts w:ascii="宋体" w:hAnsi="宋体" w:cs="宋体" w:eastAsia="宋体" w:hint="default"/>
                <w:sz w:val="15"/>
                <w:szCs w:val="15"/>
              </w:rPr>
              <w:t>深圳市鸿基酒店管理有限公司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66"/>
              <w:jc w:val="right"/>
              <w:rPr>
                <w:rFonts w:ascii="Times New Roman" w:hAnsi="Times New Roman" w:cs="Times New Roman" w:eastAsia="Times New Roman" w:hint="default"/>
                <w:sz w:val="15"/>
                <w:szCs w:val="15"/>
              </w:rPr>
            </w:pPr>
            <w:r>
              <w:rPr>
                <w:rFonts w:ascii="Times New Roman"/>
                <w:spacing w:val="-1"/>
                <w:sz w:val="15"/>
              </w:rPr>
              <w:t>1,000,000.00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2"/>
              <w:jc w:val="right"/>
              <w:rPr>
                <w:rFonts w:ascii="Times New Roman" w:hAnsi="Times New Roman" w:cs="Times New Roman" w:eastAsia="Times New Roman" w:hint="default"/>
                <w:sz w:val="15"/>
                <w:szCs w:val="15"/>
              </w:rPr>
            </w:pPr>
            <w:r>
              <w:rPr>
                <w:rFonts w:ascii="Times New Roman"/>
                <w:spacing w:val="-1"/>
                <w:sz w:val="15"/>
              </w:rPr>
              <w:t>1,000,000.00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38"/>
              <w:jc w:val="right"/>
              <w:rPr>
                <w:rFonts w:ascii="Times New Roman" w:hAnsi="Times New Roman" w:cs="Times New Roman" w:eastAsia="Times New Roman" w:hint="default"/>
                <w:sz w:val="15"/>
                <w:szCs w:val="15"/>
              </w:rPr>
            </w:pPr>
            <w:r>
              <w:rPr>
                <w:rFonts w:ascii="Times New Roman"/>
                <w:sz w:val="15"/>
              </w:rPr>
              <w:t>-</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8"/>
              <w:jc w:val="right"/>
              <w:rPr>
                <w:rFonts w:ascii="Times New Roman" w:hAnsi="Times New Roman" w:cs="Times New Roman" w:eastAsia="Times New Roman" w:hint="default"/>
                <w:sz w:val="15"/>
                <w:szCs w:val="15"/>
              </w:rPr>
            </w:pPr>
            <w:r>
              <w:rPr>
                <w:rFonts w:ascii="Times New Roman"/>
                <w:spacing w:val="-1"/>
                <w:sz w:val="15"/>
              </w:rPr>
              <w:t>1,000,000.00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95.50%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95.50%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27"/>
              <w:jc w:val="right"/>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677" w:right="0"/>
              <w:jc w:val="left"/>
              <w:rPr>
                <w:rFonts w:ascii="Times New Roman" w:hAnsi="Times New Roman" w:cs="Times New Roman" w:eastAsia="Times New Roman" w:hint="default"/>
                <w:sz w:val="15"/>
                <w:szCs w:val="15"/>
              </w:rPr>
            </w:pPr>
            <w:r>
              <w:rPr>
                <w:rFonts w:ascii="Times New Roman"/>
                <w:sz w:val="15"/>
              </w:rPr>
              <w:t>-</w:t>
            </w:r>
          </w:p>
        </w:tc>
        <w:tc>
          <w:tcPr>
            <w:tcW w:w="8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97" w:right="0"/>
              <w:jc w:val="center"/>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8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07" w:right="0"/>
              <w:jc w:val="left"/>
              <w:rPr>
                <w:rFonts w:ascii="宋体" w:hAnsi="宋体" w:cs="宋体" w:eastAsia="宋体" w:hint="default"/>
                <w:sz w:val="15"/>
                <w:szCs w:val="15"/>
              </w:rPr>
            </w:pPr>
            <w:r>
              <w:rPr>
                <w:rFonts w:ascii="宋体" w:hAnsi="宋体" w:cs="宋体" w:eastAsia="宋体" w:hint="default"/>
                <w:sz w:val="15"/>
                <w:szCs w:val="15"/>
              </w:rPr>
              <w:t>西安海都饭店有限公司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808" w:right="0"/>
              <w:jc w:val="left"/>
              <w:rPr>
                <w:rFonts w:ascii="Times New Roman" w:hAnsi="Times New Roman" w:cs="Times New Roman" w:eastAsia="Times New Roman" w:hint="default"/>
                <w:sz w:val="15"/>
                <w:szCs w:val="15"/>
              </w:rPr>
            </w:pPr>
            <w:r>
              <w:rPr>
                <w:rFonts w:ascii="Times New Roman"/>
                <w:sz w:val="15"/>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39"/>
              <w:jc w:val="right"/>
              <w:rPr>
                <w:rFonts w:ascii="Times New Roman" w:hAnsi="Times New Roman" w:cs="Times New Roman" w:eastAsia="Times New Roman" w:hint="default"/>
                <w:sz w:val="15"/>
                <w:szCs w:val="15"/>
              </w:rPr>
            </w:pPr>
            <w:r>
              <w:rPr>
                <w:rFonts w:ascii="Times New Roman"/>
                <w:sz w:val="15"/>
              </w:rPr>
              <w:t>-</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38"/>
              <w:jc w:val="right"/>
              <w:rPr>
                <w:rFonts w:ascii="Times New Roman" w:hAnsi="Times New Roman" w:cs="Times New Roman" w:eastAsia="Times New Roman" w:hint="default"/>
                <w:sz w:val="15"/>
                <w:szCs w:val="15"/>
              </w:rPr>
            </w:pPr>
            <w:r>
              <w:rPr>
                <w:rFonts w:ascii="Times New Roman"/>
                <w:sz w:val="15"/>
              </w:rPr>
              <w:t>-</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808" w:right="0"/>
              <w:jc w:val="left"/>
              <w:rPr>
                <w:rFonts w:ascii="Times New Roman" w:hAnsi="Times New Roman" w:cs="Times New Roman" w:eastAsia="Times New Roman" w:hint="default"/>
                <w:sz w:val="15"/>
                <w:szCs w:val="15"/>
              </w:rPr>
            </w:pPr>
            <w:r>
              <w:rPr>
                <w:rFonts w:ascii="Times New Roman"/>
                <w:sz w:val="15"/>
              </w:rPr>
              <w:t>-</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27"/>
              <w:jc w:val="right"/>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678" w:right="0"/>
              <w:jc w:val="left"/>
              <w:rPr>
                <w:rFonts w:ascii="Times New Roman" w:hAnsi="Times New Roman" w:cs="Times New Roman" w:eastAsia="Times New Roman" w:hint="default"/>
                <w:sz w:val="15"/>
                <w:szCs w:val="15"/>
              </w:rPr>
            </w:pPr>
            <w:r>
              <w:rPr>
                <w:rFonts w:ascii="Times New Roman"/>
                <w:sz w:val="15"/>
              </w:rPr>
              <w:t>-</w:t>
            </w:r>
          </w:p>
        </w:tc>
        <w:tc>
          <w:tcPr>
            <w:tcW w:w="8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97" w:right="0"/>
              <w:jc w:val="center"/>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8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07" w:right="0"/>
              <w:jc w:val="left"/>
              <w:rPr>
                <w:rFonts w:ascii="宋体" w:hAnsi="宋体" w:cs="宋体" w:eastAsia="宋体" w:hint="default"/>
                <w:sz w:val="15"/>
                <w:szCs w:val="15"/>
              </w:rPr>
            </w:pPr>
            <w:r>
              <w:rPr>
                <w:rFonts w:ascii="宋体" w:hAnsi="宋体" w:cs="宋体" w:eastAsia="宋体" w:hint="default"/>
                <w:sz w:val="15"/>
                <w:szCs w:val="15"/>
              </w:rPr>
              <w:t>香港鸿业发展有限公司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65"/>
              <w:jc w:val="right"/>
              <w:rPr>
                <w:rFonts w:ascii="Times New Roman" w:hAnsi="Times New Roman" w:cs="Times New Roman" w:eastAsia="Times New Roman" w:hint="default"/>
                <w:sz w:val="15"/>
                <w:szCs w:val="15"/>
              </w:rPr>
            </w:pPr>
            <w:r>
              <w:rPr>
                <w:rFonts w:ascii="Times New Roman"/>
                <w:spacing w:val="-1"/>
                <w:sz w:val="15"/>
              </w:rPr>
              <w:t>10,212,500.00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1"/>
              <w:jc w:val="right"/>
              <w:rPr>
                <w:rFonts w:ascii="Times New Roman" w:hAnsi="Times New Roman" w:cs="Times New Roman" w:eastAsia="Times New Roman" w:hint="default"/>
                <w:sz w:val="15"/>
                <w:szCs w:val="15"/>
              </w:rPr>
            </w:pPr>
            <w:r>
              <w:rPr>
                <w:rFonts w:ascii="Times New Roman"/>
                <w:spacing w:val="-1"/>
                <w:sz w:val="15"/>
              </w:rPr>
              <w:t>10,212,500.00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38"/>
              <w:jc w:val="right"/>
              <w:rPr>
                <w:rFonts w:ascii="Times New Roman" w:hAnsi="Times New Roman" w:cs="Times New Roman" w:eastAsia="Times New Roman" w:hint="default"/>
                <w:sz w:val="15"/>
                <w:szCs w:val="15"/>
              </w:rPr>
            </w:pPr>
            <w:r>
              <w:rPr>
                <w:rFonts w:ascii="Times New Roman"/>
                <w:sz w:val="15"/>
              </w:rPr>
              <w:t>-</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6"/>
              <w:jc w:val="right"/>
              <w:rPr>
                <w:rFonts w:ascii="Times New Roman" w:hAnsi="Times New Roman" w:cs="Times New Roman" w:eastAsia="Times New Roman" w:hint="default"/>
                <w:sz w:val="15"/>
                <w:szCs w:val="15"/>
              </w:rPr>
            </w:pPr>
            <w:r>
              <w:rPr>
                <w:rFonts w:ascii="Times New Roman"/>
                <w:spacing w:val="-1"/>
                <w:sz w:val="15"/>
              </w:rPr>
              <w:t>10,212,500.00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95%</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28"/>
              <w:jc w:val="right"/>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678" w:right="0"/>
              <w:jc w:val="left"/>
              <w:rPr>
                <w:rFonts w:ascii="Times New Roman" w:hAnsi="Times New Roman" w:cs="Times New Roman" w:eastAsia="Times New Roman" w:hint="default"/>
                <w:sz w:val="15"/>
                <w:szCs w:val="15"/>
              </w:rPr>
            </w:pPr>
            <w:r>
              <w:rPr>
                <w:rFonts w:ascii="Times New Roman"/>
                <w:sz w:val="15"/>
              </w:rPr>
              <w:t>-</w:t>
            </w:r>
          </w:p>
        </w:tc>
        <w:tc>
          <w:tcPr>
            <w:tcW w:w="8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98" w:right="0"/>
              <w:jc w:val="center"/>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8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07" w:right="0"/>
              <w:jc w:val="left"/>
              <w:rPr>
                <w:rFonts w:ascii="宋体" w:hAnsi="宋体" w:cs="宋体" w:eastAsia="宋体" w:hint="default"/>
                <w:sz w:val="15"/>
                <w:szCs w:val="15"/>
              </w:rPr>
            </w:pPr>
            <w:r>
              <w:rPr>
                <w:rFonts w:ascii="宋体" w:hAnsi="宋体" w:cs="宋体" w:eastAsia="宋体" w:hint="default"/>
                <w:sz w:val="15"/>
                <w:szCs w:val="15"/>
              </w:rPr>
              <w:t>福建升通网络传媒有限公司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65"/>
              <w:jc w:val="right"/>
              <w:rPr>
                <w:rFonts w:ascii="Times New Roman" w:hAnsi="Times New Roman" w:cs="Times New Roman" w:eastAsia="Times New Roman" w:hint="default"/>
                <w:sz w:val="15"/>
                <w:szCs w:val="15"/>
              </w:rPr>
            </w:pPr>
            <w:r>
              <w:rPr>
                <w:rFonts w:ascii="Times New Roman"/>
                <w:spacing w:val="-1"/>
                <w:sz w:val="15"/>
              </w:rPr>
              <w:t>16,000,000.00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0"/>
              <w:jc w:val="right"/>
              <w:rPr>
                <w:rFonts w:ascii="Times New Roman" w:hAnsi="Times New Roman" w:cs="Times New Roman" w:eastAsia="Times New Roman" w:hint="default"/>
                <w:sz w:val="15"/>
                <w:szCs w:val="15"/>
              </w:rPr>
            </w:pPr>
            <w:r>
              <w:rPr>
                <w:rFonts w:ascii="Times New Roman"/>
                <w:spacing w:val="-1"/>
                <w:sz w:val="15"/>
              </w:rPr>
              <w:t>16,000,000.00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38"/>
              <w:jc w:val="right"/>
              <w:rPr>
                <w:rFonts w:ascii="Times New Roman" w:hAnsi="Times New Roman" w:cs="Times New Roman" w:eastAsia="Times New Roman" w:hint="default"/>
                <w:sz w:val="15"/>
                <w:szCs w:val="15"/>
              </w:rPr>
            </w:pPr>
            <w:r>
              <w:rPr>
                <w:rFonts w:ascii="Times New Roman"/>
                <w:sz w:val="15"/>
              </w:rPr>
              <w:t>-</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6"/>
              <w:jc w:val="right"/>
              <w:rPr>
                <w:rFonts w:ascii="Times New Roman" w:hAnsi="Times New Roman" w:cs="Times New Roman" w:eastAsia="Times New Roman" w:hint="default"/>
                <w:sz w:val="15"/>
                <w:szCs w:val="15"/>
              </w:rPr>
            </w:pPr>
            <w:r>
              <w:rPr>
                <w:rFonts w:ascii="Times New Roman"/>
                <w:spacing w:val="-1"/>
                <w:sz w:val="15"/>
              </w:rPr>
              <w:t>16,000,000.00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40"/>
              <w:jc w:val="right"/>
              <w:rPr>
                <w:rFonts w:ascii="Times New Roman" w:hAnsi="Times New Roman" w:cs="Times New Roman" w:eastAsia="Times New Roman" w:hint="default"/>
                <w:sz w:val="15"/>
                <w:szCs w:val="15"/>
              </w:rPr>
            </w:pPr>
            <w:r>
              <w:rPr>
                <w:rFonts w:ascii="Times New Roman"/>
                <w:spacing w:val="-1"/>
                <w:sz w:val="15"/>
              </w:rPr>
              <w:t>8,000,000.00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677" w:right="0"/>
              <w:jc w:val="left"/>
              <w:rPr>
                <w:rFonts w:ascii="Times New Roman" w:hAnsi="Times New Roman" w:cs="Times New Roman" w:eastAsia="Times New Roman" w:hint="default"/>
                <w:sz w:val="15"/>
                <w:szCs w:val="15"/>
              </w:rPr>
            </w:pPr>
            <w:r>
              <w:rPr>
                <w:rFonts w:ascii="Times New Roman"/>
                <w:sz w:val="15"/>
              </w:rPr>
              <w:t>-</w:t>
            </w:r>
          </w:p>
        </w:tc>
        <w:tc>
          <w:tcPr>
            <w:tcW w:w="8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96" w:right="0"/>
              <w:jc w:val="center"/>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8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07"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18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66"/>
              <w:jc w:val="right"/>
              <w:rPr>
                <w:rFonts w:ascii="Times New Roman" w:hAnsi="Times New Roman" w:cs="Times New Roman" w:eastAsia="Times New Roman" w:hint="default"/>
                <w:sz w:val="15"/>
                <w:szCs w:val="15"/>
              </w:rPr>
            </w:pPr>
            <w:r>
              <w:rPr>
                <w:rFonts w:ascii="Times New Roman"/>
                <w:spacing w:val="-1"/>
                <w:sz w:val="15"/>
              </w:rPr>
              <w:t>521,006,228.96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2"/>
              <w:jc w:val="right"/>
              <w:rPr>
                <w:rFonts w:ascii="Times New Roman" w:hAnsi="Times New Roman" w:cs="Times New Roman" w:eastAsia="Times New Roman" w:hint="default"/>
                <w:sz w:val="15"/>
                <w:szCs w:val="15"/>
              </w:rPr>
            </w:pPr>
            <w:r>
              <w:rPr>
                <w:rFonts w:ascii="Times New Roman"/>
                <w:spacing w:val="-1"/>
                <w:sz w:val="15"/>
              </w:rPr>
              <w:t>516,506,228.96</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07" w:right="0"/>
              <w:jc w:val="left"/>
              <w:rPr>
                <w:rFonts w:ascii="Times New Roman" w:hAnsi="Times New Roman" w:cs="Times New Roman" w:eastAsia="Times New Roman" w:hint="default"/>
                <w:sz w:val="15"/>
                <w:szCs w:val="15"/>
              </w:rPr>
            </w:pPr>
            <w:r>
              <w:rPr>
                <w:rFonts w:ascii="Times New Roman"/>
                <w:sz w:val="15"/>
              </w:rPr>
              <w:t>-5,000,000.00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8"/>
              <w:jc w:val="right"/>
              <w:rPr>
                <w:rFonts w:ascii="Times New Roman" w:hAnsi="Times New Roman" w:cs="Times New Roman" w:eastAsia="Times New Roman" w:hint="default"/>
                <w:sz w:val="15"/>
                <w:szCs w:val="15"/>
              </w:rPr>
            </w:pPr>
            <w:r>
              <w:rPr>
                <w:rFonts w:ascii="Times New Roman"/>
                <w:spacing w:val="-1"/>
                <w:sz w:val="15"/>
              </w:rPr>
              <w:t>511,506,228.96</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spacing w:val="-1"/>
                <w:sz w:val="15"/>
              </w:rPr>
              <w:t>51,938,360.94</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42,193,000.00</w:t>
            </w:r>
          </w:p>
        </w:tc>
        <w:tc>
          <w:tcPr>
            <w:tcW w:w="8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98" w:right="0"/>
              <w:jc w:val="center"/>
              <w:rPr>
                <w:rFonts w:ascii="Times New Roman" w:hAnsi="Times New Roman" w:cs="Times New Roman" w:eastAsia="Times New Roman" w:hint="default"/>
                <w:sz w:val="15"/>
                <w:szCs w:val="15"/>
              </w:rPr>
            </w:pPr>
            <w:r>
              <w:rPr>
                <w:rFonts w:ascii="Times New Roman"/>
                <w:sz w:val="15"/>
              </w:rPr>
              <w:t>-</w:t>
            </w:r>
          </w:p>
        </w:tc>
      </w:tr>
    </w:tbl>
    <w:p>
      <w:pPr>
        <w:spacing w:line="240" w:lineRule="auto" w:before="3"/>
        <w:rPr>
          <w:rFonts w:ascii="宋体" w:hAnsi="宋体" w:cs="宋体" w:eastAsia="宋体" w:hint="default"/>
          <w:sz w:val="17"/>
          <w:szCs w:val="17"/>
        </w:rPr>
      </w:pPr>
    </w:p>
    <w:p>
      <w:pPr>
        <w:spacing w:before="53"/>
        <w:ind w:left="230"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三、其他长期股权投资</w:t>
      </w:r>
      <w:r>
        <w:rPr>
          <w:rFonts w:ascii="Times New Roman" w:hAnsi="Times New Roman" w:cs="Times New Roman" w:eastAsia="Times New Roman" w:hint="default"/>
          <w:sz w:val="15"/>
          <w:szCs w:val="15"/>
        </w:rPr>
        <w:t>-</w:t>
      </w:r>
    </w:p>
    <w:tbl>
      <w:tblPr>
        <w:tblW w:w="0" w:type="auto"/>
        <w:jc w:val="left"/>
        <w:tblInd w:w="103" w:type="dxa"/>
        <w:tblLayout w:type="fixed"/>
        <w:tblCellMar>
          <w:top w:w="0" w:type="dxa"/>
          <w:left w:w="0" w:type="dxa"/>
          <w:bottom w:w="0" w:type="dxa"/>
          <w:right w:w="0" w:type="dxa"/>
        </w:tblCellMar>
        <w:tblLook w:val="01E0"/>
      </w:tblPr>
      <w:tblGrid>
        <w:gridCol w:w="2814"/>
        <w:gridCol w:w="1182"/>
        <w:gridCol w:w="1224"/>
        <w:gridCol w:w="1210"/>
        <w:gridCol w:w="1208"/>
        <w:gridCol w:w="1255"/>
        <w:gridCol w:w="752"/>
        <w:gridCol w:w="866"/>
        <w:gridCol w:w="1297"/>
        <w:gridCol w:w="1079"/>
        <w:gridCol w:w="892"/>
      </w:tblGrid>
      <w:tr>
        <w:trPr>
          <w:trHeight w:val="510"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122" w:right="0"/>
              <w:jc w:val="left"/>
              <w:rPr>
                <w:rFonts w:ascii="宋体" w:hAnsi="宋体" w:cs="宋体" w:eastAsia="宋体" w:hint="default"/>
                <w:sz w:val="15"/>
                <w:szCs w:val="15"/>
              </w:rPr>
            </w:pPr>
            <w:r>
              <w:rPr>
                <w:rFonts w:ascii="宋体" w:hAnsi="宋体" w:cs="宋体" w:eastAsia="宋体" w:hint="default"/>
                <w:sz w:val="15"/>
                <w:szCs w:val="15"/>
              </w:rPr>
              <w:t>三九胃泰股份有限公司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21"/>
              <w:jc w:val="right"/>
              <w:rPr>
                <w:rFonts w:ascii="Times New Roman" w:hAnsi="Times New Roman" w:cs="Times New Roman" w:eastAsia="Times New Roman" w:hint="default"/>
                <w:sz w:val="15"/>
                <w:szCs w:val="15"/>
              </w:rPr>
            </w:pPr>
            <w:r>
              <w:rPr>
                <w:rFonts w:ascii="Times New Roman"/>
                <w:spacing w:val="-1"/>
                <w:sz w:val="15"/>
              </w:rPr>
              <w:t>832,000.00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832,000.00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92"/>
              <w:jc w:val="right"/>
              <w:rPr>
                <w:rFonts w:ascii="Times New Roman" w:hAnsi="Times New Roman" w:cs="Times New Roman" w:eastAsia="Times New Roman" w:hint="default"/>
                <w:sz w:val="15"/>
                <w:szCs w:val="15"/>
              </w:rPr>
            </w:pPr>
            <w:r>
              <w:rPr>
                <w:rFonts w:ascii="Times New Roman"/>
                <w:sz w:val="15"/>
              </w:rPr>
              <w:t>-</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Times New Roman" w:hAnsi="Times New Roman" w:cs="Times New Roman" w:eastAsia="Times New Roman" w:hint="default"/>
                <w:sz w:val="15"/>
                <w:szCs w:val="15"/>
              </w:rPr>
            </w:pPr>
            <w:r>
              <w:rPr>
                <w:rFonts w:ascii="Times New Roman"/>
                <w:spacing w:val="-1"/>
                <w:sz w:val="15"/>
              </w:rPr>
              <w:t>832,000.00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401"/>
              <w:jc w:val="right"/>
              <w:rPr>
                <w:rFonts w:ascii="Times New Roman" w:hAnsi="Times New Roman" w:cs="Times New Roman" w:eastAsia="Times New Roman" w:hint="default"/>
                <w:sz w:val="15"/>
                <w:szCs w:val="15"/>
              </w:rPr>
            </w:pPr>
            <w:r>
              <w:rPr>
                <w:rFonts w:ascii="Times New Roman"/>
                <w:sz w:val="15"/>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470" w:right="0"/>
              <w:jc w:val="left"/>
              <w:rPr>
                <w:rFonts w:ascii="Times New Roman" w:hAnsi="Times New Roman" w:cs="Times New Roman" w:eastAsia="Times New Roman" w:hint="default"/>
                <w:sz w:val="15"/>
                <w:szCs w:val="15"/>
              </w:rPr>
            </w:pPr>
            <w:r>
              <w:rPr>
                <w:rFonts w:ascii="Times New Roman"/>
                <w:sz w:val="15"/>
              </w:rPr>
              <w:t>832,000.00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Times New Roman" w:hAnsi="Times New Roman" w:cs="Times New Roman" w:eastAsia="Times New Roman" w:hint="default"/>
                <w:sz w:val="15"/>
                <w:szCs w:val="15"/>
              </w:rPr>
            </w:pPr>
            <w:r>
              <w:rPr>
                <w:rFonts w:ascii="Times New Roman"/>
                <w:sz w:val="15"/>
              </w:rPr>
              <w:t>-</w:t>
            </w:r>
          </w:p>
        </w:tc>
        <w:tc>
          <w:tcPr>
            <w:tcW w:w="89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321"/>
              <w:jc w:val="right"/>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122" w:right="0"/>
              <w:jc w:val="left"/>
              <w:rPr>
                <w:rFonts w:ascii="宋体" w:hAnsi="宋体" w:cs="宋体" w:eastAsia="宋体" w:hint="default"/>
                <w:sz w:val="15"/>
                <w:szCs w:val="15"/>
              </w:rPr>
            </w:pPr>
            <w:r>
              <w:rPr>
                <w:rFonts w:ascii="宋体" w:hAnsi="宋体" w:cs="宋体" w:eastAsia="宋体" w:hint="default"/>
                <w:sz w:val="15"/>
                <w:szCs w:val="15"/>
              </w:rPr>
              <w:t>同人华塑股份有限公司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21"/>
              <w:jc w:val="right"/>
              <w:rPr>
                <w:rFonts w:ascii="Times New Roman" w:hAnsi="Times New Roman" w:cs="Times New Roman" w:eastAsia="Times New Roman" w:hint="default"/>
                <w:sz w:val="15"/>
                <w:szCs w:val="15"/>
              </w:rPr>
            </w:pPr>
            <w:r>
              <w:rPr>
                <w:rFonts w:ascii="Times New Roman"/>
                <w:spacing w:val="-1"/>
                <w:sz w:val="15"/>
              </w:rPr>
              <w:t>1,500,000.00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1,500,000.00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92"/>
              <w:jc w:val="right"/>
              <w:rPr>
                <w:rFonts w:ascii="Times New Roman" w:hAnsi="Times New Roman" w:cs="Times New Roman" w:eastAsia="Times New Roman" w:hint="default"/>
                <w:sz w:val="15"/>
                <w:szCs w:val="15"/>
              </w:rPr>
            </w:pPr>
            <w:r>
              <w:rPr>
                <w:rFonts w:ascii="Times New Roman"/>
                <w:sz w:val="15"/>
              </w:rPr>
              <w:t>-</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Times New Roman" w:hAnsi="Times New Roman" w:cs="Times New Roman" w:eastAsia="Times New Roman" w:hint="default"/>
                <w:sz w:val="15"/>
                <w:szCs w:val="15"/>
              </w:rPr>
            </w:pPr>
            <w:r>
              <w:rPr>
                <w:rFonts w:ascii="Times New Roman"/>
                <w:spacing w:val="-1"/>
                <w:sz w:val="15"/>
              </w:rPr>
              <w:t>1,500,000.00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402"/>
              <w:jc w:val="right"/>
              <w:rPr>
                <w:rFonts w:ascii="Times New Roman" w:hAnsi="Times New Roman" w:cs="Times New Roman" w:eastAsia="Times New Roman" w:hint="default"/>
                <w:sz w:val="15"/>
                <w:szCs w:val="15"/>
              </w:rPr>
            </w:pPr>
            <w:r>
              <w:rPr>
                <w:rFonts w:ascii="Times New Roman"/>
                <w:sz w:val="15"/>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327"/>
              <w:jc w:val="right"/>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Times New Roman" w:hAnsi="Times New Roman" w:cs="Times New Roman" w:eastAsia="Times New Roman" w:hint="default"/>
                <w:sz w:val="15"/>
                <w:szCs w:val="15"/>
              </w:rPr>
            </w:pPr>
            <w:r>
              <w:rPr>
                <w:rFonts w:ascii="Times New Roman"/>
                <w:sz w:val="15"/>
              </w:rPr>
              <w:t>-</w:t>
            </w:r>
          </w:p>
        </w:tc>
        <w:tc>
          <w:tcPr>
            <w:tcW w:w="89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321"/>
              <w:jc w:val="right"/>
              <w:rPr>
                <w:rFonts w:ascii="Times New Roman" w:hAnsi="Times New Roman" w:cs="Times New Roman" w:eastAsia="Times New Roman" w:hint="default"/>
                <w:sz w:val="15"/>
                <w:szCs w:val="15"/>
              </w:rPr>
            </w:pPr>
            <w:r>
              <w:rPr>
                <w:rFonts w:ascii="Times New Roman"/>
                <w:sz w:val="15"/>
              </w:rPr>
              <w:t>-</w:t>
            </w:r>
          </w:p>
        </w:tc>
      </w:tr>
    </w:tbl>
    <w:p>
      <w:pPr>
        <w:spacing w:after="0" w:line="240" w:lineRule="auto"/>
        <w:jc w:val="right"/>
        <w:rPr>
          <w:rFonts w:ascii="Times New Roman" w:hAnsi="Times New Roman" w:cs="Times New Roman" w:eastAsia="Times New Roman" w:hint="default"/>
          <w:sz w:val="15"/>
          <w:szCs w:val="15"/>
        </w:rPr>
        <w:sectPr>
          <w:pgSz w:w="16840" w:h="11900" w:orient="landscape"/>
          <w:pgMar w:header="0" w:footer="954" w:top="1060" w:bottom="1160" w:left="1640" w:right="1200"/>
        </w:sectPr>
      </w:pPr>
    </w:p>
    <w:p>
      <w:pPr>
        <w:spacing w:line="240" w:lineRule="auto" w:before="5"/>
        <w:rPr>
          <w:rFonts w:ascii="Times New Roman" w:hAnsi="Times New Roman" w:cs="Times New Roman" w:eastAsia="Times New Roman"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2814"/>
        <w:gridCol w:w="1182"/>
        <w:gridCol w:w="1224"/>
        <w:gridCol w:w="1210"/>
        <w:gridCol w:w="1208"/>
        <w:gridCol w:w="1255"/>
        <w:gridCol w:w="752"/>
        <w:gridCol w:w="866"/>
        <w:gridCol w:w="1297"/>
        <w:gridCol w:w="1079"/>
        <w:gridCol w:w="892"/>
      </w:tblGrid>
      <w:tr>
        <w:trPr>
          <w:trHeight w:val="443" w:hRule="exact"/>
        </w:trPr>
        <w:tc>
          <w:tcPr>
            <w:tcW w:w="2814" w:type="dxa"/>
            <w:tcBorders>
              <w:top w:val="single" w:sz="4" w:space="0" w:color="000000"/>
              <w:left w:val="nil" w:sz="6" w:space="0" w:color="auto"/>
              <w:bottom w:val="nil" w:sz="6" w:space="0" w:color="auto"/>
              <w:right w:val="single" w:sz="4" w:space="0" w:color="000000"/>
            </w:tcBorders>
          </w:tcPr>
          <w:p>
            <w:pPr/>
          </w:p>
        </w:tc>
        <w:tc>
          <w:tcPr>
            <w:tcW w:w="1182" w:type="dxa"/>
            <w:tcBorders>
              <w:top w:val="single" w:sz="4" w:space="0" w:color="000000"/>
              <w:left w:val="single" w:sz="4" w:space="0" w:color="000000"/>
              <w:bottom w:val="nil" w:sz="6" w:space="0" w:color="auto"/>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
        </w:tc>
        <w:tc>
          <w:tcPr>
            <w:tcW w:w="1210" w:type="dxa"/>
            <w:tcBorders>
              <w:top w:val="single" w:sz="4" w:space="0" w:color="000000"/>
              <w:left w:val="single" w:sz="4" w:space="0" w:color="000000"/>
              <w:bottom w:val="nil" w:sz="6" w:space="0" w:color="auto"/>
              <w:right w:val="single" w:sz="4" w:space="0" w:color="000000"/>
            </w:tcBorders>
          </w:tcPr>
          <w:p>
            <w:pPr/>
          </w:p>
        </w:tc>
        <w:tc>
          <w:tcPr>
            <w:tcW w:w="1208" w:type="dxa"/>
            <w:tcBorders>
              <w:top w:val="single" w:sz="4" w:space="0" w:color="000000"/>
              <w:left w:val="single" w:sz="4" w:space="0" w:color="000000"/>
              <w:bottom w:val="nil" w:sz="6" w:space="0" w:color="auto"/>
              <w:right w:val="single" w:sz="4" w:space="0" w:color="000000"/>
            </w:tcBorders>
          </w:tcPr>
          <w:p>
            <w:pPr/>
          </w:p>
        </w:tc>
        <w:tc>
          <w:tcPr>
            <w:tcW w:w="1255" w:type="dxa"/>
            <w:tcBorders>
              <w:top w:val="single" w:sz="4" w:space="0" w:color="000000"/>
              <w:left w:val="single" w:sz="4" w:space="0" w:color="000000"/>
              <w:bottom w:val="nil" w:sz="6" w:space="0" w:color="auto"/>
              <w:right w:val="single" w:sz="4" w:space="0" w:color="000000"/>
            </w:tcBorders>
          </w:tcPr>
          <w:p>
            <w:pPr/>
          </w:p>
        </w:tc>
        <w:tc>
          <w:tcPr>
            <w:tcW w:w="7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在被投</w:t>
            </w:r>
          </w:p>
        </w:tc>
        <w:tc>
          <w:tcPr>
            <w:tcW w:w="8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在被投资</w:t>
            </w:r>
          </w:p>
        </w:tc>
        <w:tc>
          <w:tcPr>
            <w:tcW w:w="1297" w:type="dxa"/>
            <w:tcBorders>
              <w:top w:val="single" w:sz="4" w:space="0" w:color="000000"/>
              <w:left w:val="single" w:sz="4" w:space="0" w:color="000000"/>
              <w:bottom w:val="nil" w:sz="6" w:space="0" w:color="auto"/>
              <w:right w:val="single" w:sz="4" w:space="0" w:color="000000"/>
            </w:tcBorders>
          </w:tcPr>
          <w:p>
            <w:pPr/>
          </w:p>
        </w:tc>
        <w:tc>
          <w:tcPr>
            <w:tcW w:w="1079" w:type="dxa"/>
            <w:tcBorders>
              <w:top w:val="single" w:sz="4" w:space="0" w:color="000000"/>
              <w:left w:val="single" w:sz="4" w:space="0" w:color="000000"/>
              <w:bottom w:val="nil" w:sz="6" w:space="0" w:color="auto"/>
              <w:right w:val="single" w:sz="4" w:space="0" w:color="000000"/>
            </w:tcBorders>
          </w:tcPr>
          <w:p>
            <w:pPr/>
          </w:p>
        </w:tc>
        <w:tc>
          <w:tcPr>
            <w:tcW w:w="892" w:type="dxa"/>
            <w:tcBorders>
              <w:top w:val="single" w:sz="4" w:space="0" w:color="000000"/>
              <w:left w:val="single" w:sz="4" w:space="0" w:color="000000"/>
              <w:bottom w:val="nil" w:sz="6" w:space="0" w:color="auto"/>
              <w:right w:val="nil" w:sz="6" w:space="0" w:color="auto"/>
            </w:tcBorders>
          </w:tcPr>
          <w:p>
            <w:pPr/>
          </w:p>
        </w:tc>
      </w:tr>
      <w:tr>
        <w:trPr>
          <w:trHeight w:val="389" w:hRule="exact"/>
        </w:trPr>
        <w:tc>
          <w:tcPr>
            <w:tcW w:w="2814"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16" w:right="0"/>
              <w:jc w:val="center"/>
              <w:rPr>
                <w:rFonts w:ascii="宋体" w:hAnsi="宋体" w:cs="宋体" w:eastAsia="宋体" w:hint="default"/>
                <w:sz w:val="15"/>
                <w:szCs w:val="15"/>
              </w:rPr>
            </w:pPr>
            <w:r>
              <w:rPr>
                <w:rFonts w:ascii="宋体" w:hAnsi="宋体" w:cs="宋体" w:eastAsia="宋体" w:hint="default"/>
                <w:sz w:val="15"/>
                <w:szCs w:val="15"/>
              </w:rPr>
              <w:t>被投资单位</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left="1" w:right="0"/>
              <w:jc w:val="center"/>
              <w:rPr>
                <w:rFonts w:ascii="宋体" w:hAnsi="宋体" w:cs="宋体" w:eastAsia="宋体" w:hint="default"/>
                <w:sz w:val="15"/>
                <w:szCs w:val="15"/>
              </w:rPr>
            </w:pPr>
            <w:r>
              <w:rPr>
                <w:rFonts w:ascii="宋体" w:hAnsi="宋体" w:cs="宋体" w:eastAsia="宋体" w:hint="default"/>
                <w:sz w:val="15"/>
                <w:szCs w:val="15"/>
              </w:rPr>
              <w:t>核算方法</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155"/>
              <w:jc w:val="right"/>
              <w:rPr>
                <w:rFonts w:ascii="宋体" w:hAnsi="宋体" w:cs="宋体" w:eastAsia="宋体" w:hint="default"/>
                <w:sz w:val="15"/>
                <w:szCs w:val="15"/>
              </w:rPr>
            </w:pPr>
            <w:r>
              <w:rPr>
                <w:rFonts w:ascii="宋体" w:hAnsi="宋体" w:cs="宋体" w:eastAsia="宋体" w:hint="default"/>
                <w:sz w:val="15"/>
                <w:szCs w:val="15"/>
              </w:rPr>
              <w:t>初始投资成本</w:t>
            </w:r>
          </w:p>
        </w:tc>
        <w:tc>
          <w:tcPr>
            <w:tcW w:w="1210"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left="298"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208"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left="298" w:right="0"/>
              <w:jc w:val="left"/>
              <w:rPr>
                <w:rFonts w:ascii="宋体" w:hAnsi="宋体" w:cs="宋体" w:eastAsia="宋体" w:hint="default"/>
                <w:sz w:val="15"/>
                <w:szCs w:val="15"/>
              </w:rPr>
            </w:pPr>
            <w:r>
              <w:rPr>
                <w:rFonts w:ascii="宋体" w:hAnsi="宋体" w:cs="宋体" w:eastAsia="宋体" w:hint="default"/>
                <w:sz w:val="15"/>
                <w:szCs w:val="15"/>
              </w:rPr>
              <w:t>增减变动</w:t>
            </w:r>
          </w:p>
        </w:tc>
        <w:tc>
          <w:tcPr>
            <w:tcW w:w="1255"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left="322"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752" w:type="dxa"/>
            <w:tcBorders>
              <w:top w:val="nil" w:sz="6" w:space="0" w:color="auto"/>
              <w:left w:val="single" w:sz="4" w:space="0" w:color="000000"/>
              <w:bottom w:val="nil" w:sz="6" w:space="0" w:color="auto"/>
              <w:right w:val="single" w:sz="4" w:space="0" w:color="000000"/>
            </w:tcBorders>
          </w:tcPr>
          <w:p>
            <w:pPr>
              <w:pStyle w:val="TableParagraph"/>
              <w:spacing w:line="166" w:lineRule="exact"/>
              <w:ind w:left="146" w:right="0"/>
              <w:jc w:val="left"/>
              <w:rPr>
                <w:rFonts w:ascii="宋体" w:hAnsi="宋体" w:cs="宋体" w:eastAsia="宋体" w:hint="default"/>
                <w:sz w:val="15"/>
                <w:szCs w:val="15"/>
              </w:rPr>
            </w:pPr>
            <w:r>
              <w:rPr>
                <w:rFonts w:ascii="宋体" w:hAnsi="宋体" w:cs="宋体" w:eastAsia="宋体" w:hint="default"/>
                <w:sz w:val="15"/>
                <w:szCs w:val="15"/>
              </w:rPr>
              <w:t>资单位</w:t>
            </w:r>
          </w:p>
          <w:p>
            <w:pPr>
              <w:pStyle w:val="TableParagraph"/>
              <w:spacing w:line="195" w:lineRule="exact"/>
              <w:ind w:left="146" w:right="0"/>
              <w:jc w:val="left"/>
              <w:rPr>
                <w:rFonts w:ascii="宋体" w:hAnsi="宋体" w:cs="宋体" w:eastAsia="宋体" w:hint="default"/>
                <w:sz w:val="15"/>
                <w:szCs w:val="15"/>
              </w:rPr>
            </w:pPr>
            <w:r>
              <w:rPr>
                <w:rFonts w:ascii="宋体" w:hAnsi="宋体" w:cs="宋体" w:eastAsia="宋体" w:hint="default"/>
                <w:sz w:val="15"/>
                <w:szCs w:val="15"/>
              </w:rPr>
              <w:t>持股比</w:t>
            </w:r>
          </w:p>
        </w:tc>
        <w:tc>
          <w:tcPr>
            <w:tcW w:w="866" w:type="dxa"/>
            <w:tcBorders>
              <w:top w:val="nil" w:sz="6" w:space="0" w:color="auto"/>
              <w:left w:val="single" w:sz="4" w:space="0" w:color="000000"/>
              <w:bottom w:val="nil" w:sz="6" w:space="0" w:color="auto"/>
              <w:right w:val="single" w:sz="4" w:space="0" w:color="000000"/>
            </w:tcBorders>
          </w:tcPr>
          <w:p>
            <w:pPr>
              <w:pStyle w:val="TableParagraph"/>
              <w:spacing w:line="194" w:lineRule="exact" w:before="1"/>
              <w:ind w:left="203" w:right="126" w:hanging="76"/>
              <w:jc w:val="left"/>
              <w:rPr>
                <w:rFonts w:ascii="宋体" w:hAnsi="宋体" w:cs="宋体" w:eastAsia="宋体" w:hint="default"/>
                <w:sz w:val="15"/>
                <w:szCs w:val="15"/>
              </w:rPr>
            </w:pPr>
            <w:r>
              <w:rPr>
                <w:rFonts w:ascii="宋体" w:hAnsi="宋体" w:cs="宋体" w:eastAsia="宋体" w:hint="default"/>
                <w:sz w:val="15"/>
                <w:szCs w:val="15"/>
              </w:rPr>
              <w:t>单位表决 权比例</w:t>
            </w:r>
          </w:p>
        </w:tc>
        <w:tc>
          <w:tcPr>
            <w:tcW w:w="1297"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left="343" w:right="0"/>
              <w:jc w:val="left"/>
              <w:rPr>
                <w:rFonts w:ascii="宋体" w:hAnsi="宋体" w:cs="宋体" w:eastAsia="宋体" w:hint="default"/>
                <w:sz w:val="15"/>
                <w:szCs w:val="15"/>
              </w:rPr>
            </w:pPr>
            <w:r>
              <w:rPr>
                <w:rFonts w:ascii="宋体" w:hAnsi="宋体" w:cs="宋体" w:eastAsia="宋体" w:hint="default"/>
                <w:sz w:val="15"/>
                <w:szCs w:val="15"/>
              </w:rPr>
              <w:t>减值准备</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166" w:lineRule="exact"/>
              <w:ind w:right="0"/>
              <w:jc w:val="center"/>
              <w:rPr>
                <w:rFonts w:ascii="宋体" w:hAnsi="宋体" w:cs="宋体" w:eastAsia="宋体" w:hint="default"/>
                <w:sz w:val="15"/>
                <w:szCs w:val="15"/>
              </w:rPr>
            </w:pPr>
            <w:r>
              <w:rPr>
                <w:rFonts w:ascii="宋体" w:hAnsi="宋体" w:cs="宋体" w:eastAsia="宋体" w:hint="default"/>
                <w:sz w:val="15"/>
                <w:szCs w:val="15"/>
              </w:rPr>
              <w:t>本期计提减</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值准备</w:t>
            </w:r>
          </w:p>
        </w:tc>
        <w:tc>
          <w:tcPr>
            <w:tcW w:w="892" w:type="dxa"/>
            <w:tcBorders>
              <w:top w:val="nil" w:sz="6" w:space="0" w:color="auto"/>
              <w:left w:val="single" w:sz="4" w:space="0" w:color="000000"/>
              <w:bottom w:val="nil" w:sz="6" w:space="0" w:color="auto"/>
              <w:right w:val="nil" w:sz="6" w:space="0" w:color="auto"/>
            </w:tcBorders>
          </w:tcPr>
          <w:p>
            <w:pPr>
              <w:pStyle w:val="TableParagraph"/>
              <w:spacing w:line="240" w:lineRule="auto" w:before="67"/>
              <w:ind w:left="140" w:right="0"/>
              <w:jc w:val="left"/>
              <w:rPr>
                <w:rFonts w:ascii="宋体" w:hAnsi="宋体" w:cs="宋体" w:eastAsia="宋体" w:hint="default"/>
                <w:sz w:val="15"/>
                <w:szCs w:val="15"/>
              </w:rPr>
            </w:pPr>
            <w:r>
              <w:rPr>
                <w:rFonts w:ascii="宋体" w:hAnsi="宋体" w:cs="宋体" w:eastAsia="宋体" w:hint="default"/>
                <w:sz w:val="15"/>
                <w:szCs w:val="15"/>
              </w:rPr>
              <w:t>现金红利</w:t>
            </w:r>
          </w:p>
        </w:tc>
      </w:tr>
      <w:tr>
        <w:trPr>
          <w:trHeight w:val="196" w:hRule="exact"/>
        </w:trPr>
        <w:tc>
          <w:tcPr>
            <w:tcW w:w="2814" w:type="dxa"/>
            <w:tcBorders>
              <w:top w:val="nil" w:sz="6" w:space="0" w:color="auto"/>
              <w:left w:val="nil" w:sz="6" w:space="0" w:color="auto"/>
              <w:bottom w:val="single" w:sz="4" w:space="0" w:color="000000"/>
              <w:right w:val="single" w:sz="4" w:space="0" w:color="000000"/>
            </w:tcBorders>
          </w:tcPr>
          <w:p>
            <w:pPr/>
          </w:p>
        </w:tc>
        <w:tc>
          <w:tcPr>
            <w:tcW w:w="1182" w:type="dxa"/>
            <w:tcBorders>
              <w:top w:val="nil" w:sz="6" w:space="0" w:color="auto"/>
              <w:left w:val="single" w:sz="4" w:space="0" w:color="000000"/>
              <w:bottom w:val="single" w:sz="4" w:space="0" w:color="000000"/>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
        </w:tc>
        <w:tc>
          <w:tcPr>
            <w:tcW w:w="1210" w:type="dxa"/>
            <w:tcBorders>
              <w:top w:val="nil" w:sz="6" w:space="0" w:color="auto"/>
              <w:left w:val="single" w:sz="4" w:space="0" w:color="000000"/>
              <w:bottom w:val="single" w:sz="4" w:space="0" w:color="000000"/>
              <w:right w:val="single" w:sz="4" w:space="0" w:color="000000"/>
            </w:tcBorders>
          </w:tcPr>
          <w:p>
            <w:pPr/>
          </w:p>
        </w:tc>
        <w:tc>
          <w:tcPr>
            <w:tcW w:w="1208" w:type="dxa"/>
            <w:tcBorders>
              <w:top w:val="nil" w:sz="6" w:space="0" w:color="auto"/>
              <w:left w:val="single" w:sz="4" w:space="0" w:color="000000"/>
              <w:bottom w:val="single" w:sz="4" w:space="0" w:color="000000"/>
              <w:right w:val="single" w:sz="4" w:space="0" w:color="000000"/>
            </w:tcBorders>
          </w:tcPr>
          <w:p>
            <w:pPr/>
          </w:p>
        </w:tc>
        <w:tc>
          <w:tcPr>
            <w:tcW w:w="1255" w:type="dxa"/>
            <w:tcBorders>
              <w:top w:val="nil" w:sz="6" w:space="0" w:color="auto"/>
              <w:left w:val="single" w:sz="4" w:space="0" w:color="000000"/>
              <w:bottom w:val="single" w:sz="4" w:space="0" w:color="000000"/>
              <w:right w:val="single" w:sz="4" w:space="0" w:color="000000"/>
            </w:tcBorders>
          </w:tcPr>
          <w:p>
            <w:pPr/>
          </w:p>
        </w:tc>
        <w:tc>
          <w:tcPr>
            <w:tcW w:w="752"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right="0"/>
              <w:jc w:val="center"/>
              <w:rPr>
                <w:rFonts w:ascii="Times New Roman" w:hAnsi="Times New Roman" w:cs="Times New Roman" w:eastAsia="Times New Roman" w:hint="default"/>
                <w:sz w:val="15"/>
                <w:szCs w:val="15"/>
              </w:rPr>
            </w:pP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8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15"/>
                <w:szCs w:val="15"/>
              </w:rPr>
            </w:pPr>
            <w:r>
              <w:rPr>
                <w:rFonts w:ascii="Times New Roman"/>
                <w:sz w:val="15"/>
              </w:rPr>
              <w:t>(%)</w:t>
            </w:r>
          </w:p>
        </w:tc>
        <w:tc>
          <w:tcPr>
            <w:tcW w:w="1297" w:type="dxa"/>
            <w:tcBorders>
              <w:top w:val="nil" w:sz="6" w:space="0" w:color="auto"/>
              <w:left w:val="single" w:sz="4" w:space="0" w:color="000000"/>
              <w:bottom w:val="single" w:sz="4" w:space="0" w:color="000000"/>
              <w:right w:val="single" w:sz="4" w:space="0" w:color="000000"/>
            </w:tcBorders>
          </w:tcPr>
          <w:p>
            <w:pPr/>
          </w:p>
        </w:tc>
        <w:tc>
          <w:tcPr>
            <w:tcW w:w="1079" w:type="dxa"/>
            <w:tcBorders>
              <w:top w:val="nil" w:sz="6" w:space="0" w:color="auto"/>
              <w:left w:val="single" w:sz="4" w:space="0" w:color="000000"/>
              <w:bottom w:val="single" w:sz="4" w:space="0" w:color="000000"/>
              <w:right w:val="single" w:sz="4" w:space="0" w:color="000000"/>
            </w:tcBorders>
          </w:tcPr>
          <w:p>
            <w:pPr/>
          </w:p>
        </w:tc>
        <w:tc>
          <w:tcPr>
            <w:tcW w:w="892" w:type="dxa"/>
            <w:tcBorders>
              <w:top w:val="nil" w:sz="6" w:space="0" w:color="auto"/>
              <w:left w:val="single" w:sz="4" w:space="0" w:color="000000"/>
              <w:bottom w:val="single" w:sz="4" w:space="0" w:color="000000"/>
              <w:right w:val="nil" w:sz="6" w:space="0" w:color="auto"/>
            </w:tcBorders>
          </w:tcPr>
          <w:p>
            <w:pPr/>
          </w:p>
        </w:tc>
      </w:tr>
      <w:tr>
        <w:trPr>
          <w:trHeight w:val="510"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122" w:right="0"/>
              <w:jc w:val="left"/>
              <w:rPr>
                <w:rFonts w:ascii="宋体" w:hAnsi="宋体" w:cs="宋体" w:eastAsia="宋体" w:hint="default"/>
                <w:sz w:val="15"/>
                <w:szCs w:val="15"/>
              </w:rPr>
            </w:pPr>
            <w:r>
              <w:rPr>
                <w:rFonts w:ascii="宋体" w:hAnsi="宋体" w:cs="宋体" w:eastAsia="宋体" w:hint="default"/>
                <w:sz w:val="15"/>
                <w:szCs w:val="15"/>
              </w:rPr>
              <w:t>四川通产物业股份有限公司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21"/>
              <w:jc w:val="right"/>
              <w:rPr>
                <w:rFonts w:ascii="Times New Roman" w:hAnsi="Times New Roman" w:cs="Times New Roman" w:eastAsia="Times New Roman" w:hint="default"/>
                <w:sz w:val="15"/>
                <w:szCs w:val="15"/>
              </w:rPr>
            </w:pPr>
            <w:r>
              <w:rPr>
                <w:rFonts w:ascii="Times New Roman"/>
                <w:spacing w:val="-1"/>
                <w:sz w:val="15"/>
              </w:rPr>
              <w:t>500,000.00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500,000.00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92"/>
              <w:jc w:val="right"/>
              <w:rPr>
                <w:rFonts w:ascii="Times New Roman" w:hAnsi="Times New Roman" w:cs="Times New Roman" w:eastAsia="Times New Roman" w:hint="default"/>
                <w:sz w:val="15"/>
                <w:szCs w:val="15"/>
              </w:rPr>
            </w:pPr>
            <w:r>
              <w:rPr>
                <w:rFonts w:ascii="Times New Roman"/>
                <w:sz w:val="15"/>
              </w:rPr>
              <w:t>-</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Times New Roman" w:hAnsi="Times New Roman" w:cs="Times New Roman" w:eastAsia="Times New Roman" w:hint="default"/>
                <w:sz w:val="15"/>
                <w:szCs w:val="15"/>
              </w:rPr>
            </w:pPr>
            <w:r>
              <w:rPr>
                <w:rFonts w:ascii="Times New Roman"/>
                <w:spacing w:val="-1"/>
                <w:sz w:val="15"/>
              </w:rPr>
              <w:t>500,000.00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40"/>
              <w:jc w:val="right"/>
              <w:rPr>
                <w:rFonts w:ascii="Times New Roman" w:hAnsi="Times New Roman" w:cs="Times New Roman" w:eastAsia="Times New Roman" w:hint="default"/>
                <w:sz w:val="15"/>
                <w:szCs w:val="15"/>
              </w:rPr>
            </w:pPr>
            <w:r>
              <w:rPr>
                <w:rFonts w:ascii="Times New Roman"/>
                <w:spacing w:val="-1"/>
                <w:sz w:val="15"/>
              </w:rPr>
              <w:t>500,000.00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677" w:right="0"/>
              <w:jc w:val="left"/>
              <w:rPr>
                <w:rFonts w:ascii="Times New Roman" w:hAnsi="Times New Roman" w:cs="Times New Roman" w:eastAsia="Times New Roman" w:hint="default"/>
                <w:sz w:val="15"/>
                <w:szCs w:val="15"/>
              </w:rPr>
            </w:pPr>
            <w:r>
              <w:rPr>
                <w:rFonts w:ascii="Times New Roman"/>
                <w:sz w:val="15"/>
              </w:rPr>
              <w:t>-</w:t>
            </w:r>
          </w:p>
        </w:tc>
        <w:tc>
          <w:tcPr>
            <w:tcW w:w="89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90" w:right="0"/>
              <w:jc w:val="center"/>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122" w:right="0"/>
              <w:jc w:val="left"/>
              <w:rPr>
                <w:rFonts w:ascii="宋体" w:hAnsi="宋体" w:cs="宋体" w:eastAsia="宋体" w:hint="default"/>
                <w:sz w:val="15"/>
                <w:szCs w:val="15"/>
              </w:rPr>
            </w:pPr>
            <w:r>
              <w:rPr>
                <w:rFonts w:ascii="宋体" w:hAnsi="宋体" w:cs="宋体" w:eastAsia="宋体" w:hint="default"/>
                <w:sz w:val="15"/>
                <w:szCs w:val="15"/>
              </w:rPr>
              <w:t>长春高斯达生物科技集团股份有限公司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21"/>
              <w:jc w:val="right"/>
              <w:rPr>
                <w:rFonts w:ascii="Times New Roman" w:hAnsi="Times New Roman" w:cs="Times New Roman" w:eastAsia="Times New Roman" w:hint="default"/>
                <w:sz w:val="15"/>
                <w:szCs w:val="15"/>
              </w:rPr>
            </w:pPr>
            <w:r>
              <w:rPr>
                <w:rFonts w:ascii="Times New Roman"/>
                <w:spacing w:val="-1"/>
                <w:sz w:val="15"/>
              </w:rPr>
              <w:t>8,724,000.00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8,724,000.00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92"/>
              <w:jc w:val="right"/>
              <w:rPr>
                <w:rFonts w:ascii="Times New Roman" w:hAnsi="Times New Roman" w:cs="Times New Roman" w:eastAsia="Times New Roman" w:hint="default"/>
                <w:sz w:val="15"/>
                <w:szCs w:val="15"/>
              </w:rPr>
            </w:pPr>
            <w:r>
              <w:rPr>
                <w:rFonts w:ascii="Times New Roman"/>
                <w:sz w:val="15"/>
              </w:rPr>
              <w:t>-</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Times New Roman" w:hAnsi="Times New Roman" w:cs="Times New Roman" w:eastAsia="Times New Roman" w:hint="default"/>
                <w:sz w:val="15"/>
                <w:szCs w:val="15"/>
              </w:rPr>
            </w:pPr>
            <w:r>
              <w:rPr>
                <w:rFonts w:ascii="Times New Roman"/>
                <w:spacing w:val="-1"/>
                <w:sz w:val="15"/>
              </w:rPr>
              <w:t>8,724,000.00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40"/>
              <w:jc w:val="right"/>
              <w:rPr>
                <w:rFonts w:ascii="Times New Roman" w:hAnsi="Times New Roman" w:cs="Times New Roman" w:eastAsia="Times New Roman" w:hint="default"/>
                <w:sz w:val="15"/>
                <w:szCs w:val="15"/>
              </w:rPr>
            </w:pPr>
            <w:r>
              <w:rPr>
                <w:rFonts w:ascii="Times New Roman"/>
                <w:spacing w:val="-1"/>
                <w:sz w:val="15"/>
              </w:rPr>
              <w:t>8,724,000.00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677" w:right="0"/>
              <w:jc w:val="left"/>
              <w:rPr>
                <w:rFonts w:ascii="Times New Roman" w:hAnsi="Times New Roman" w:cs="Times New Roman" w:eastAsia="Times New Roman" w:hint="default"/>
                <w:sz w:val="15"/>
                <w:szCs w:val="15"/>
              </w:rPr>
            </w:pPr>
            <w:r>
              <w:rPr>
                <w:rFonts w:ascii="Times New Roman"/>
                <w:sz w:val="15"/>
              </w:rPr>
              <w:t>-</w:t>
            </w:r>
          </w:p>
        </w:tc>
        <w:tc>
          <w:tcPr>
            <w:tcW w:w="89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90" w:right="0"/>
              <w:jc w:val="center"/>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122" w:right="0"/>
              <w:jc w:val="left"/>
              <w:rPr>
                <w:rFonts w:ascii="宋体" w:hAnsi="宋体" w:cs="宋体" w:eastAsia="宋体" w:hint="default"/>
                <w:sz w:val="15"/>
                <w:szCs w:val="15"/>
              </w:rPr>
            </w:pPr>
            <w:r>
              <w:rPr>
                <w:rFonts w:ascii="宋体" w:hAnsi="宋体" w:cs="宋体" w:eastAsia="宋体" w:hint="default"/>
                <w:sz w:val="15"/>
                <w:szCs w:val="15"/>
              </w:rPr>
              <w:t>四川东泰产业（控股）股份有限公司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21"/>
              <w:jc w:val="right"/>
              <w:rPr>
                <w:rFonts w:ascii="Times New Roman" w:hAnsi="Times New Roman" w:cs="Times New Roman" w:eastAsia="Times New Roman" w:hint="default"/>
                <w:sz w:val="15"/>
                <w:szCs w:val="15"/>
              </w:rPr>
            </w:pPr>
            <w:r>
              <w:rPr>
                <w:rFonts w:ascii="Times New Roman"/>
                <w:spacing w:val="-1"/>
                <w:sz w:val="15"/>
              </w:rPr>
              <w:t>3,172,173.65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3,172,173.65</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92"/>
              <w:jc w:val="right"/>
              <w:rPr>
                <w:rFonts w:ascii="Times New Roman" w:hAnsi="Times New Roman" w:cs="Times New Roman" w:eastAsia="Times New Roman" w:hint="default"/>
                <w:sz w:val="15"/>
                <w:szCs w:val="15"/>
              </w:rPr>
            </w:pPr>
            <w:r>
              <w:rPr>
                <w:rFonts w:ascii="Times New Roman"/>
                <w:sz w:val="15"/>
              </w:rPr>
              <w:t>-</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Times New Roman" w:hAnsi="Times New Roman" w:cs="Times New Roman" w:eastAsia="Times New Roman" w:hint="default"/>
                <w:sz w:val="15"/>
                <w:szCs w:val="15"/>
              </w:rPr>
            </w:pPr>
            <w:r>
              <w:rPr>
                <w:rFonts w:ascii="Times New Roman"/>
                <w:spacing w:val="-1"/>
                <w:sz w:val="15"/>
              </w:rPr>
              <w:t>3,172,173.65</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40"/>
              <w:jc w:val="right"/>
              <w:rPr>
                <w:rFonts w:ascii="Times New Roman" w:hAnsi="Times New Roman" w:cs="Times New Roman" w:eastAsia="Times New Roman" w:hint="default"/>
                <w:sz w:val="15"/>
                <w:szCs w:val="15"/>
              </w:rPr>
            </w:pPr>
            <w:r>
              <w:rPr>
                <w:rFonts w:ascii="Times New Roman"/>
                <w:spacing w:val="-1"/>
                <w:sz w:val="15"/>
              </w:rPr>
              <w:t>3,172,173.65</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677" w:right="0"/>
              <w:jc w:val="left"/>
              <w:rPr>
                <w:rFonts w:ascii="Times New Roman" w:hAnsi="Times New Roman" w:cs="Times New Roman" w:eastAsia="Times New Roman" w:hint="default"/>
                <w:sz w:val="15"/>
                <w:szCs w:val="15"/>
              </w:rPr>
            </w:pPr>
            <w:r>
              <w:rPr>
                <w:rFonts w:ascii="Times New Roman"/>
                <w:sz w:val="15"/>
              </w:rPr>
              <w:t>-</w:t>
            </w:r>
          </w:p>
        </w:tc>
        <w:tc>
          <w:tcPr>
            <w:tcW w:w="89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90" w:right="0"/>
              <w:jc w:val="center"/>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122" w:right="0"/>
              <w:jc w:val="left"/>
              <w:rPr>
                <w:rFonts w:ascii="宋体" w:hAnsi="宋体" w:cs="宋体" w:eastAsia="宋体" w:hint="default"/>
                <w:sz w:val="15"/>
                <w:szCs w:val="15"/>
              </w:rPr>
            </w:pPr>
            <w:r>
              <w:rPr>
                <w:rFonts w:ascii="宋体" w:hAnsi="宋体" w:cs="宋体" w:eastAsia="宋体" w:hint="default"/>
                <w:sz w:val="15"/>
                <w:szCs w:val="15"/>
              </w:rPr>
              <w:t>招商证券股份有限公司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21"/>
              <w:jc w:val="right"/>
              <w:rPr>
                <w:rFonts w:ascii="Times New Roman" w:hAnsi="Times New Roman" w:cs="Times New Roman" w:eastAsia="Times New Roman" w:hint="default"/>
                <w:sz w:val="15"/>
                <w:szCs w:val="15"/>
              </w:rPr>
            </w:pPr>
            <w:r>
              <w:rPr>
                <w:rFonts w:ascii="Times New Roman"/>
                <w:spacing w:val="-1"/>
                <w:sz w:val="15"/>
              </w:rPr>
              <w:t>1,938,251.50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1,938,251.50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-1,938,251.50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Times New Roman" w:hAnsi="Times New Roman" w:cs="Times New Roman" w:eastAsia="Times New Roman" w:hint="default"/>
                <w:sz w:val="15"/>
                <w:szCs w:val="15"/>
              </w:rPr>
            </w:pPr>
            <w:r>
              <w:rPr>
                <w:rFonts w:ascii="Times New Roman"/>
                <w:sz w:val="15"/>
              </w:rPr>
              <w:t>-</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327"/>
              <w:jc w:val="right"/>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677" w:right="0"/>
              <w:jc w:val="left"/>
              <w:rPr>
                <w:rFonts w:ascii="Times New Roman" w:hAnsi="Times New Roman" w:cs="Times New Roman" w:eastAsia="Times New Roman" w:hint="default"/>
                <w:sz w:val="15"/>
                <w:szCs w:val="15"/>
              </w:rPr>
            </w:pPr>
            <w:r>
              <w:rPr>
                <w:rFonts w:ascii="Times New Roman"/>
                <w:sz w:val="15"/>
              </w:rPr>
              <w:t>-</w:t>
            </w:r>
          </w:p>
        </w:tc>
        <w:tc>
          <w:tcPr>
            <w:tcW w:w="89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90" w:right="0"/>
              <w:jc w:val="center"/>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122" w:right="0"/>
              <w:jc w:val="left"/>
              <w:rPr>
                <w:rFonts w:ascii="宋体" w:hAnsi="宋体" w:cs="宋体" w:eastAsia="宋体" w:hint="default"/>
                <w:sz w:val="15"/>
                <w:szCs w:val="15"/>
              </w:rPr>
            </w:pPr>
            <w:r>
              <w:rPr>
                <w:rFonts w:ascii="宋体" w:hAnsi="宋体" w:cs="宋体" w:eastAsia="宋体" w:hint="default"/>
                <w:sz w:val="15"/>
                <w:szCs w:val="15"/>
              </w:rPr>
              <w:t>深运工贸翠苑旅店</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21"/>
              <w:jc w:val="right"/>
              <w:rPr>
                <w:rFonts w:ascii="Times New Roman" w:hAnsi="Times New Roman" w:cs="Times New Roman" w:eastAsia="Times New Roman" w:hint="default"/>
                <w:sz w:val="15"/>
                <w:szCs w:val="15"/>
              </w:rPr>
            </w:pPr>
            <w:r>
              <w:rPr>
                <w:rFonts w:ascii="Times New Roman"/>
                <w:spacing w:val="-1"/>
                <w:sz w:val="15"/>
              </w:rPr>
              <w:t>500,000.00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785,377.30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92"/>
              <w:jc w:val="right"/>
              <w:rPr>
                <w:rFonts w:ascii="Times New Roman" w:hAnsi="Times New Roman" w:cs="Times New Roman" w:eastAsia="Times New Roman" w:hint="default"/>
                <w:sz w:val="15"/>
                <w:szCs w:val="15"/>
              </w:rPr>
            </w:pPr>
            <w:r>
              <w:rPr>
                <w:rFonts w:ascii="Times New Roman"/>
                <w:sz w:val="15"/>
              </w:rPr>
              <w:t>-</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Times New Roman" w:hAnsi="Times New Roman" w:cs="Times New Roman" w:eastAsia="Times New Roman" w:hint="default"/>
                <w:sz w:val="15"/>
                <w:szCs w:val="15"/>
              </w:rPr>
            </w:pPr>
            <w:r>
              <w:rPr>
                <w:rFonts w:ascii="Times New Roman"/>
                <w:spacing w:val="-1"/>
                <w:sz w:val="15"/>
              </w:rPr>
              <w:t>785,377.30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40"/>
              <w:jc w:val="right"/>
              <w:rPr>
                <w:rFonts w:ascii="Times New Roman" w:hAnsi="Times New Roman" w:cs="Times New Roman" w:eastAsia="Times New Roman" w:hint="default"/>
                <w:sz w:val="15"/>
                <w:szCs w:val="15"/>
              </w:rPr>
            </w:pPr>
            <w:r>
              <w:rPr>
                <w:rFonts w:ascii="Times New Roman"/>
                <w:spacing w:val="-1"/>
                <w:sz w:val="15"/>
              </w:rPr>
              <w:t>785,377.30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677" w:right="0"/>
              <w:jc w:val="left"/>
              <w:rPr>
                <w:rFonts w:ascii="Times New Roman" w:hAnsi="Times New Roman" w:cs="Times New Roman" w:eastAsia="Times New Roman" w:hint="default"/>
                <w:sz w:val="15"/>
                <w:szCs w:val="15"/>
              </w:rPr>
            </w:pPr>
            <w:r>
              <w:rPr>
                <w:rFonts w:ascii="Times New Roman"/>
                <w:sz w:val="15"/>
              </w:rPr>
              <w:t>-</w:t>
            </w:r>
          </w:p>
        </w:tc>
        <w:tc>
          <w:tcPr>
            <w:tcW w:w="89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90" w:right="0"/>
              <w:jc w:val="center"/>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122" w:right="0"/>
              <w:jc w:val="left"/>
              <w:rPr>
                <w:rFonts w:ascii="宋体" w:hAnsi="宋体" w:cs="宋体" w:eastAsia="宋体" w:hint="default"/>
                <w:sz w:val="15"/>
                <w:szCs w:val="15"/>
              </w:rPr>
            </w:pPr>
            <w:r>
              <w:rPr>
                <w:rFonts w:ascii="宋体" w:hAnsi="宋体" w:cs="宋体" w:eastAsia="宋体" w:hint="default"/>
                <w:sz w:val="15"/>
                <w:szCs w:val="15"/>
              </w:rPr>
              <w:t>广东天鸿经济技术开发有限公司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19"/>
              <w:jc w:val="right"/>
              <w:rPr>
                <w:rFonts w:ascii="Times New Roman" w:hAnsi="Times New Roman" w:cs="Times New Roman" w:eastAsia="Times New Roman" w:hint="default"/>
                <w:sz w:val="15"/>
                <w:szCs w:val="15"/>
              </w:rPr>
            </w:pPr>
            <w:r>
              <w:rPr>
                <w:rFonts w:ascii="Times New Roman"/>
                <w:spacing w:val="-1"/>
                <w:sz w:val="15"/>
              </w:rPr>
              <w:t>15,095,137.50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15,095,137.50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-15,095,137.50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Times New Roman" w:hAnsi="Times New Roman" w:cs="Times New Roman" w:eastAsia="Times New Roman" w:hint="default"/>
                <w:sz w:val="15"/>
                <w:szCs w:val="15"/>
              </w:rPr>
            </w:pPr>
            <w:r>
              <w:rPr>
                <w:rFonts w:ascii="Times New Roman"/>
                <w:sz w:val="15"/>
              </w:rPr>
              <w:t>-</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327"/>
              <w:jc w:val="right"/>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677" w:right="0"/>
              <w:jc w:val="left"/>
              <w:rPr>
                <w:rFonts w:ascii="Times New Roman" w:hAnsi="Times New Roman" w:cs="Times New Roman" w:eastAsia="Times New Roman" w:hint="default"/>
                <w:sz w:val="15"/>
                <w:szCs w:val="15"/>
              </w:rPr>
            </w:pPr>
            <w:r>
              <w:rPr>
                <w:rFonts w:ascii="Times New Roman"/>
                <w:sz w:val="15"/>
              </w:rPr>
              <w:t>-</w:t>
            </w:r>
          </w:p>
        </w:tc>
        <w:tc>
          <w:tcPr>
            <w:tcW w:w="89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89" w:right="0"/>
              <w:jc w:val="center"/>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122"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18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19"/>
              <w:jc w:val="right"/>
              <w:rPr>
                <w:rFonts w:ascii="Times New Roman" w:hAnsi="Times New Roman" w:cs="Times New Roman" w:eastAsia="Times New Roman" w:hint="default"/>
                <w:sz w:val="15"/>
                <w:szCs w:val="15"/>
              </w:rPr>
            </w:pPr>
            <w:r>
              <w:rPr>
                <w:rFonts w:ascii="Times New Roman"/>
                <w:spacing w:val="-1"/>
                <w:sz w:val="15"/>
              </w:rPr>
              <w:t>32,261,562.65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32,546,939.95</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-17,033,389.00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50"/>
              <w:jc w:val="right"/>
              <w:rPr>
                <w:rFonts w:ascii="Times New Roman" w:hAnsi="Times New Roman" w:cs="Times New Roman" w:eastAsia="Times New Roman" w:hint="default"/>
                <w:sz w:val="15"/>
                <w:szCs w:val="15"/>
              </w:rPr>
            </w:pPr>
            <w:r>
              <w:rPr>
                <w:rFonts w:ascii="Times New Roman"/>
                <w:spacing w:val="-1"/>
                <w:sz w:val="15"/>
              </w:rPr>
              <w:t>15,513,550.95</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38"/>
              <w:jc w:val="right"/>
              <w:rPr>
                <w:rFonts w:ascii="Times New Roman" w:hAnsi="Times New Roman" w:cs="Times New Roman" w:eastAsia="Times New Roman" w:hint="default"/>
                <w:sz w:val="15"/>
                <w:szCs w:val="15"/>
              </w:rPr>
            </w:pPr>
            <w:r>
              <w:rPr>
                <w:rFonts w:ascii="Times New Roman"/>
                <w:spacing w:val="-1"/>
                <w:sz w:val="15"/>
              </w:rPr>
              <w:t>14,013,550.95</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677" w:right="0"/>
              <w:jc w:val="left"/>
              <w:rPr>
                <w:rFonts w:ascii="Times New Roman" w:hAnsi="Times New Roman" w:cs="Times New Roman" w:eastAsia="Times New Roman" w:hint="default"/>
                <w:sz w:val="15"/>
                <w:szCs w:val="15"/>
              </w:rPr>
            </w:pPr>
            <w:r>
              <w:rPr>
                <w:rFonts w:ascii="Times New Roman"/>
                <w:sz w:val="15"/>
              </w:rPr>
              <w:t>-</w:t>
            </w:r>
          </w:p>
        </w:tc>
        <w:tc>
          <w:tcPr>
            <w:tcW w:w="89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90" w:right="0"/>
              <w:jc w:val="center"/>
              <w:rPr>
                <w:rFonts w:ascii="Times New Roman" w:hAnsi="Times New Roman" w:cs="Times New Roman" w:eastAsia="Times New Roman" w:hint="default"/>
                <w:sz w:val="15"/>
                <w:szCs w:val="15"/>
              </w:rPr>
            </w:pPr>
            <w:r>
              <w:rPr>
                <w:rFonts w:ascii="Times New Roman"/>
                <w:sz w:val="15"/>
              </w:rPr>
              <w:t>-</w:t>
            </w:r>
          </w:p>
        </w:tc>
      </w:tr>
      <w:tr>
        <w:trPr>
          <w:trHeight w:val="510"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tabs>
                <w:tab w:pos="571" w:val="left" w:leader="none"/>
              </w:tabs>
              <w:spacing w:line="240" w:lineRule="auto" w:before="118"/>
              <w:ind w:left="122"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118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21"/>
              <w:jc w:val="right"/>
              <w:rPr>
                <w:rFonts w:ascii="Times New Roman" w:hAnsi="Times New Roman" w:cs="Times New Roman" w:eastAsia="Times New Roman" w:hint="default"/>
                <w:sz w:val="15"/>
                <w:szCs w:val="15"/>
              </w:rPr>
            </w:pPr>
            <w:r>
              <w:rPr>
                <w:rFonts w:ascii="Times New Roman"/>
                <w:spacing w:val="-1"/>
                <w:sz w:val="15"/>
              </w:rPr>
              <w:t>576,060,791.61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555,874,248.84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-22,272,534.84</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Times New Roman" w:hAnsi="Times New Roman" w:cs="Times New Roman" w:eastAsia="Times New Roman" w:hint="default"/>
                <w:sz w:val="15"/>
                <w:szCs w:val="15"/>
              </w:rPr>
            </w:pPr>
            <w:r>
              <w:rPr>
                <w:rFonts w:ascii="Times New Roman"/>
                <w:spacing w:val="-1"/>
                <w:sz w:val="15"/>
              </w:rPr>
              <w:t>533,601,714.00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38"/>
              <w:jc w:val="right"/>
              <w:rPr>
                <w:rFonts w:ascii="Times New Roman" w:hAnsi="Times New Roman" w:cs="Times New Roman" w:eastAsia="Times New Roman" w:hint="default"/>
                <w:sz w:val="15"/>
                <w:szCs w:val="15"/>
              </w:rPr>
            </w:pPr>
            <w:r>
              <w:rPr>
                <w:rFonts w:ascii="Times New Roman"/>
                <w:spacing w:val="-1"/>
                <w:sz w:val="15"/>
              </w:rPr>
              <w:t>65,951,911.89</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42,193,000.00</w:t>
            </w:r>
          </w:p>
        </w:tc>
        <w:tc>
          <w:tcPr>
            <w:tcW w:w="89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257,643.79</w:t>
            </w:r>
          </w:p>
        </w:tc>
      </w:tr>
    </w:tbl>
    <w:p>
      <w:pPr>
        <w:spacing w:after="0" w:line="240" w:lineRule="auto"/>
        <w:jc w:val="left"/>
        <w:rPr>
          <w:rFonts w:ascii="Times New Roman" w:hAnsi="Times New Roman" w:cs="Times New Roman" w:eastAsia="Times New Roman" w:hint="default"/>
          <w:sz w:val="15"/>
          <w:szCs w:val="15"/>
        </w:rPr>
        <w:sectPr>
          <w:pgSz w:w="16840" w:h="11900" w:orient="landscape"/>
          <w:pgMar w:header="0" w:footer="954" w:top="1060" w:bottom="1140" w:left="1640" w:right="1200"/>
        </w:sectPr>
      </w:pPr>
    </w:p>
    <w:p>
      <w:pPr>
        <w:spacing w:line="240" w:lineRule="auto" w:before="5"/>
        <w:rPr>
          <w:rFonts w:ascii="Times New Roman" w:hAnsi="Times New Roman" w:cs="Times New Roman" w:eastAsia="Times New Roman" w:hint="default"/>
          <w:sz w:val="6"/>
          <w:szCs w:val="6"/>
        </w:rPr>
      </w:pPr>
    </w:p>
    <w:p>
      <w:pPr>
        <w:spacing w:line="20" w:lineRule="exact"/>
        <w:ind w:left="2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4.65pt;height:.75pt;mso-position-horizontal-relative:char;mso-position-vertical-relative:line" coordorigin="0,0" coordsize="8693,15">
            <v:group style="position:absolute;left:7;top:7;width:8679;height:2" coordorigin="7,7" coordsize="8679,2">
              <v:shape style="position:absolute;left:7;top:7;width:8679;height:2" coordorigin="7,7" coordsize="8679,0" path="m7,7l868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pStyle w:val="BodyText"/>
        <w:spacing w:line="240" w:lineRule="auto" w:before="35"/>
        <w:ind w:left="244" w:right="142"/>
        <w:jc w:val="left"/>
      </w:pPr>
      <w:r>
        <w:rPr>
          <w:rFonts w:ascii="Times New Roman" w:hAnsi="Times New Roman" w:cs="Times New Roman" w:eastAsia="Times New Roman" w:hint="default"/>
          <w:b/>
          <w:bCs/>
        </w:rPr>
        <w:t>3</w:t>
      </w:r>
      <w:r>
        <w:rPr/>
        <w:t>、营业收入、营业成本</w:t>
      </w:r>
    </w:p>
    <w:p>
      <w:pPr>
        <w:spacing w:line="240" w:lineRule="auto" w:before="12"/>
        <w:rPr>
          <w:rFonts w:ascii="宋体" w:hAnsi="宋体" w:cs="宋体" w:eastAsia="宋体" w:hint="default"/>
          <w:sz w:val="15"/>
          <w:szCs w:val="15"/>
        </w:rPr>
      </w:pPr>
    </w:p>
    <w:p>
      <w:pPr>
        <w:pStyle w:val="BodyText"/>
        <w:spacing w:line="240" w:lineRule="auto"/>
        <w:ind w:left="244" w:right="142"/>
        <w:jc w:val="left"/>
      </w:pPr>
      <w:r>
        <w:rPr/>
        <w:t>（</w:t>
      </w:r>
      <w:r>
        <w:rPr>
          <w:rFonts w:ascii="Times New Roman" w:hAnsi="Times New Roman" w:cs="Times New Roman" w:eastAsia="Times New Roman" w:hint="default"/>
        </w:rPr>
        <w:t>1</w:t>
      </w:r>
      <w:r>
        <w:rPr/>
        <w:t>）营业收入、营业成本</w:t>
      </w:r>
    </w:p>
    <w:p>
      <w:pPr>
        <w:spacing w:line="240" w:lineRule="auto" w:before="4"/>
        <w:rPr>
          <w:rFonts w:ascii="宋体" w:hAnsi="宋体" w:cs="宋体" w:eastAsia="宋体" w:hint="default"/>
          <w:sz w:val="13"/>
          <w:szCs w:val="13"/>
        </w:rPr>
      </w:pPr>
    </w:p>
    <w:p>
      <w:pPr>
        <w:pStyle w:val="BodyText"/>
        <w:tabs>
          <w:tab w:pos="1049" w:val="left" w:leader="none"/>
        </w:tabs>
        <w:spacing w:line="240" w:lineRule="auto" w:before="35"/>
        <w:ind w:left="0" w:right="23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24" w:type="dxa"/>
        <w:tblLayout w:type="fixed"/>
        <w:tblCellMar>
          <w:top w:w="0" w:type="dxa"/>
          <w:left w:w="0" w:type="dxa"/>
          <w:bottom w:w="0" w:type="dxa"/>
          <w:right w:w="0" w:type="dxa"/>
        </w:tblCellMar>
        <w:tblLook w:val="01E0"/>
      </w:tblPr>
      <w:tblGrid>
        <w:gridCol w:w="2902"/>
        <w:gridCol w:w="2890"/>
        <w:gridCol w:w="2960"/>
      </w:tblGrid>
      <w:tr>
        <w:trPr>
          <w:trHeight w:val="510" w:hRule="exact"/>
        </w:trPr>
        <w:tc>
          <w:tcPr>
            <w:tcW w:w="29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91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95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0" w:hRule="exact"/>
        </w:trPr>
        <w:tc>
          <w:tcPr>
            <w:tcW w:w="29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375,967,822.00</w:t>
            </w:r>
          </w:p>
        </w:tc>
        <w:tc>
          <w:tcPr>
            <w:tcW w:w="2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474"/>
              <w:jc w:val="right"/>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29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12,112,433.74</w:t>
            </w:r>
          </w:p>
        </w:tc>
        <w:tc>
          <w:tcPr>
            <w:tcW w:w="2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1"/>
              <w:jc w:val="right"/>
              <w:rPr>
                <w:rFonts w:ascii="Times New Roman" w:hAnsi="Times New Roman" w:cs="Times New Roman" w:eastAsia="Times New Roman" w:hint="default"/>
                <w:sz w:val="21"/>
                <w:szCs w:val="21"/>
              </w:rPr>
            </w:pPr>
            <w:r>
              <w:rPr>
                <w:rFonts w:ascii="Times New Roman"/>
                <w:spacing w:val="-1"/>
                <w:sz w:val="21"/>
              </w:rPr>
              <w:t>5,021,742.88</w:t>
            </w:r>
          </w:p>
        </w:tc>
      </w:tr>
      <w:tr>
        <w:trPr>
          <w:trHeight w:val="510" w:hRule="exact"/>
        </w:trPr>
        <w:tc>
          <w:tcPr>
            <w:tcW w:w="29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264,301,198.99</w:t>
            </w:r>
          </w:p>
        </w:tc>
        <w:tc>
          <w:tcPr>
            <w:tcW w:w="2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1"/>
              <w:jc w:val="right"/>
              <w:rPr>
                <w:rFonts w:ascii="Times New Roman" w:hAnsi="Times New Roman" w:cs="Times New Roman" w:eastAsia="Times New Roman" w:hint="default"/>
                <w:sz w:val="21"/>
                <w:szCs w:val="21"/>
              </w:rPr>
            </w:pPr>
            <w:r>
              <w:rPr>
                <w:rFonts w:ascii="Times New Roman"/>
                <w:spacing w:val="-1"/>
                <w:sz w:val="21"/>
              </w:rPr>
              <w:t>7,431,939.45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244" w:right="142"/>
        <w:jc w:val="left"/>
      </w:pPr>
      <w:r>
        <w:rPr/>
        <w:t>（</w:t>
      </w:r>
      <w:r>
        <w:rPr>
          <w:rFonts w:ascii="Times New Roman" w:hAnsi="Times New Roman" w:cs="Times New Roman" w:eastAsia="Times New Roman" w:hint="default"/>
        </w:rPr>
        <w:t>2</w:t>
      </w:r>
      <w:r>
        <w:rPr/>
        <w:t>）主营业务（分行业）</w:t>
      </w:r>
    </w:p>
    <w:p>
      <w:pPr>
        <w:spacing w:line="240" w:lineRule="auto" w:before="3"/>
        <w:rPr>
          <w:rFonts w:ascii="宋体" w:hAnsi="宋体" w:cs="宋体" w:eastAsia="宋体" w:hint="default"/>
          <w:sz w:val="13"/>
          <w:szCs w:val="13"/>
        </w:rPr>
      </w:pPr>
    </w:p>
    <w:p>
      <w:pPr>
        <w:pStyle w:val="BodyText"/>
        <w:tabs>
          <w:tab w:pos="1049" w:val="left" w:leader="none"/>
        </w:tabs>
        <w:spacing w:line="240" w:lineRule="auto" w:before="35"/>
        <w:ind w:left="0" w:right="23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93" w:type="dxa"/>
        <w:tblLayout w:type="fixed"/>
        <w:tblCellMar>
          <w:top w:w="0" w:type="dxa"/>
          <w:left w:w="0" w:type="dxa"/>
          <w:bottom w:w="0" w:type="dxa"/>
          <w:right w:w="0" w:type="dxa"/>
        </w:tblCellMar>
        <w:tblLook w:val="01E0"/>
      </w:tblPr>
      <w:tblGrid>
        <w:gridCol w:w="2741"/>
        <w:gridCol w:w="1417"/>
        <w:gridCol w:w="1700"/>
        <w:gridCol w:w="1418"/>
        <w:gridCol w:w="1418"/>
      </w:tblGrid>
      <w:tr>
        <w:trPr>
          <w:trHeight w:val="510" w:hRule="exact"/>
        </w:trPr>
        <w:tc>
          <w:tcPr>
            <w:tcW w:w="274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行业名称</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2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3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8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0" w:hRule="exact"/>
        </w:trPr>
        <w:tc>
          <w:tcPr>
            <w:tcW w:w="2741" w:type="dxa"/>
            <w:vMerge/>
            <w:tcBorders>
              <w:left w:val="nil" w:sz="6" w:space="0" w:color="auto"/>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2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10" w:hRule="exact"/>
        </w:trPr>
        <w:tc>
          <w:tcPr>
            <w:tcW w:w="27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房地产开发及物业管理业务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1" w:right="0"/>
              <w:jc w:val="center"/>
              <w:rPr>
                <w:rFonts w:ascii="Times New Roman" w:hAnsi="Times New Roman" w:cs="Times New Roman" w:eastAsia="Times New Roman" w:hint="default"/>
                <w:sz w:val="21"/>
                <w:szCs w:val="21"/>
              </w:rPr>
            </w:pPr>
            <w:r>
              <w:rPr>
                <w:rFonts w:ascii="Times New Roman"/>
                <w:sz w:val="21"/>
              </w:rPr>
              <w:t>388,080,255.74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21"/>
                <w:szCs w:val="21"/>
              </w:rPr>
            </w:pPr>
            <w:r>
              <w:rPr>
                <w:rFonts w:ascii="Times New Roman"/>
                <w:sz w:val="21"/>
              </w:rPr>
              <w:t>264,301,198.99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79" w:right="0"/>
              <w:jc w:val="left"/>
              <w:rPr>
                <w:rFonts w:ascii="Times New Roman" w:hAnsi="Times New Roman" w:cs="Times New Roman" w:eastAsia="Times New Roman" w:hint="default"/>
                <w:sz w:val="21"/>
                <w:szCs w:val="21"/>
              </w:rPr>
            </w:pPr>
            <w:r>
              <w:rPr>
                <w:rFonts w:ascii="Times New Roman"/>
                <w:sz w:val="21"/>
              </w:rPr>
              <w:t>5,021,742.88</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79" w:right="0"/>
              <w:jc w:val="left"/>
              <w:rPr>
                <w:rFonts w:ascii="Times New Roman" w:hAnsi="Times New Roman" w:cs="Times New Roman" w:eastAsia="Times New Roman" w:hint="default"/>
                <w:sz w:val="21"/>
                <w:szCs w:val="21"/>
              </w:rPr>
            </w:pPr>
            <w:r>
              <w:rPr>
                <w:rFonts w:ascii="Times New Roman"/>
                <w:sz w:val="21"/>
              </w:rPr>
              <w:t>7,431,939.45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244" w:right="142"/>
        <w:jc w:val="left"/>
      </w:pPr>
      <w:r>
        <w:rPr/>
        <w:t>（</w:t>
      </w:r>
      <w:r>
        <w:rPr>
          <w:rFonts w:ascii="Times New Roman" w:hAnsi="Times New Roman" w:cs="Times New Roman" w:eastAsia="Times New Roman" w:hint="default"/>
        </w:rPr>
        <w:t>5</w:t>
      </w:r>
      <w:r>
        <w:rPr/>
        <w:t>）公司前五名客户的营业收入情况</w:t>
      </w:r>
    </w:p>
    <w:p>
      <w:pPr>
        <w:spacing w:line="240" w:lineRule="auto" w:before="4"/>
        <w:rPr>
          <w:rFonts w:ascii="宋体" w:hAnsi="宋体" w:cs="宋体" w:eastAsia="宋体" w:hint="default"/>
          <w:sz w:val="13"/>
          <w:szCs w:val="13"/>
        </w:rPr>
      </w:pPr>
    </w:p>
    <w:p>
      <w:pPr>
        <w:pStyle w:val="BodyText"/>
        <w:tabs>
          <w:tab w:pos="1049" w:val="left" w:leader="none"/>
        </w:tabs>
        <w:spacing w:line="240" w:lineRule="auto" w:before="35"/>
        <w:ind w:left="0" w:right="235"/>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392"/>
        <w:gridCol w:w="2178"/>
        <w:gridCol w:w="4279"/>
      </w:tblGrid>
      <w:tr>
        <w:trPr>
          <w:trHeight w:val="510" w:hRule="exact"/>
        </w:trPr>
        <w:tc>
          <w:tcPr>
            <w:tcW w:w="2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66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4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2"/>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占公司全部营业收入的比例</w:t>
            </w:r>
            <w:r>
              <w:rPr>
                <w:rFonts w:ascii="Times New Roman" w:hAnsi="Times New Roman" w:cs="Times New Roman" w:eastAsia="Times New Roman" w:hint="default"/>
                <w:sz w:val="21"/>
                <w:szCs w:val="21"/>
              </w:rPr>
              <w:t>(%)</w:t>
            </w:r>
          </w:p>
        </w:tc>
      </w:tr>
      <w:tr>
        <w:trPr>
          <w:trHeight w:val="510" w:hRule="exact"/>
        </w:trPr>
        <w:tc>
          <w:tcPr>
            <w:tcW w:w="2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自然人</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1,468,964.00</w:t>
            </w:r>
          </w:p>
        </w:tc>
        <w:tc>
          <w:tcPr>
            <w:tcW w:w="4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0.38%</w:t>
            </w:r>
          </w:p>
        </w:tc>
      </w:tr>
      <w:tr>
        <w:trPr>
          <w:trHeight w:val="510" w:hRule="exact"/>
        </w:trPr>
        <w:tc>
          <w:tcPr>
            <w:tcW w:w="2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自然人</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1,390,235.00</w:t>
            </w:r>
          </w:p>
        </w:tc>
        <w:tc>
          <w:tcPr>
            <w:tcW w:w="4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0.36%</w:t>
            </w:r>
          </w:p>
        </w:tc>
      </w:tr>
      <w:tr>
        <w:trPr>
          <w:trHeight w:val="510" w:hRule="exact"/>
        </w:trPr>
        <w:tc>
          <w:tcPr>
            <w:tcW w:w="2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自然人</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1,387,395.00</w:t>
            </w:r>
          </w:p>
        </w:tc>
        <w:tc>
          <w:tcPr>
            <w:tcW w:w="4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0.36%</w:t>
            </w:r>
          </w:p>
        </w:tc>
      </w:tr>
      <w:tr>
        <w:trPr>
          <w:trHeight w:val="510" w:hRule="exact"/>
        </w:trPr>
        <w:tc>
          <w:tcPr>
            <w:tcW w:w="2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自然人</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1,383,557.00</w:t>
            </w:r>
          </w:p>
        </w:tc>
        <w:tc>
          <w:tcPr>
            <w:tcW w:w="4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0.36%</w:t>
            </w:r>
          </w:p>
        </w:tc>
      </w:tr>
      <w:tr>
        <w:trPr>
          <w:trHeight w:val="510" w:hRule="exact"/>
        </w:trPr>
        <w:tc>
          <w:tcPr>
            <w:tcW w:w="2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自然人</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1,356,600.00</w:t>
            </w:r>
          </w:p>
        </w:tc>
        <w:tc>
          <w:tcPr>
            <w:tcW w:w="4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0.35%</w:t>
            </w:r>
          </w:p>
        </w:tc>
      </w:tr>
      <w:tr>
        <w:trPr>
          <w:trHeight w:val="511" w:hRule="exact"/>
        </w:trPr>
        <w:tc>
          <w:tcPr>
            <w:tcW w:w="2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6,986,751.00</w:t>
            </w:r>
          </w:p>
        </w:tc>
        <w:tc>
          <w:tcPr>
            <w:tcW w:w="4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1.81%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8"/>
        <w:ind w:left="244" w:right="142"/>
        <w:jc w:val="left"/>
      </w:pPr>
      <w:r>
        <w:rPr>
          <w:rFonts w:ascii="Times New Roman" w:hAnsi="Times New Roman" w:cs="Times New Roman" w:eastAsia="Times New Roman" w:hint="default"/>
          <w:b/>
          <w:bCs/>
        </w:rPr>
        <w:t>4</w:t>
      </w:r>
      <w:r>
        <w:rPr/>
        <w:t>、投资收益</w:t>
      </w:r>
    </w:p>
    <w:p>
      <w:pPr>
        <w:spacing w:line="240" w:lineRule="auto" w:before="0"/>
        <w:rPr>
          <w:rFonts w:ascii="宋体" w:hAnsi="宋体" w:cs="宋体" w:eastAsia="宋体" w:hint="default"/>
          <w:sz w:val="16"/>
          <w:szCs w:val="16"/>
        </w:rPr>
      </w:pPr>
    </w:p>
    <w:p>
      <w:pPr>
        <w:pStyle w:val="BodyText"/>
        <w:spacing w:line="240" w:lineRule="auto"/>
        <w:ind w:left="244" w:right="142"/>
        <w:jc w:val="left"/>
      </w:pPr>
      <w:r>
        <w:rPr/>
        <w:t>（</w:t>
      </w:r>
      <w:r>
        <w:rPr>
          <w:rFonts w:ascii="Times New Roman" w:hAnsi="Times New Roman" w:cs="Times New Roman" w:eastAsia="Times New Roman" w:hint="default"/>
        </w:rPr>
        <w:t>1</w:t>
      </w:r>
      <w:r>
        <w:rPr/>
        <w:t>）投资收益明细</w:t>
      </w:r>
    </w:p>
    <w:p>
      <w:pPr>
        <w:spacing w:after="0" w:line="240" w:lineRule="auto"/>
        <w:jc w:val="left"/>
        <w:sectPr>
          <w:footerReference w:type="default" r:id="rId22"/>
          <w:pgSz w:w="11900" w:h="16840"/>
          <w:pgMar w:footer="982" w:header="0" w:top="1040" w:bottom="1180" w:left="1400" w:right="1400"/>
          <w:pgNumType w:start="85"/>
        </w:sectPr>
      </w:pPr>
    </w:p>
    <w:p>
      <w:pPr>
        <w:spacing w:line="240" w:lineRule="auto" w:before="8"/>
        <w:rPr>
          <w:rFonts w:ascii="宋体" w:hAnsi="宋体" w:cs="宋体" w:eastAsia="宋体" w:hint="default"/>
          <w:sz w:val="5"/>
          <w:szCs w:val="5"/>
        </w:rPr>
      </w:pPr>
    </w:p>
    <w:p>
      <w:pPr>
        <w:spacing w:line="20" w:lineRule="exact"/>
        <w:ind w:left="206" w:right="0" w:firstLine="0"/>
        <w:rPr>
          <w:rFonts w:ascii="宋体" w:hAnsi="宋体" w:cs="宋体" w:eastAsia="宋体" w:hint="default"/>
          <w:sz w:val="2"/>
          <w:szCs w:val="2"/>
        </w:rPr>
      </w:pPr>
      <w:r>
        <w:rPr>
          <w:rFonts w:ascii="宋体" w:hAnsi="宋体" w:cs="宋体" w:eastAsia="宋体" w:hint="default"/>
          <w:sz w:val="2"/>
          <w:szCs w:val="2"/>
        </w:rPr>
        <w:pict>
          <v:group style="width:434.65pt;height:.75pt;mso-position-horizontal-relative:char;mso-position-vertical-relative:line" coordorigin="0,0" coordsize="8693,15">
            <v:group style="position:absolute;left:7;top:7;width:8679;height:2" coordorigin="7,7" coordsize="8679,2">
              <v:shape style="position:absolute;left:7;top:7;width:8679;height:2" coordorigin="7,7" coordsize="8679,0" path="m7,7l868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049" w:val="left" w:leader="none"/>
        </w:tabs>
        <w:spacing w:line="240" w:lineRule="auto" w:before="174"/>
        <w:ind w:left="0" w:right="215"/>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5068"/>
        <w:gridCol w:w="1844"/>
        <w:gridCol w:w="1842"/>
      </w:tblGrid>
      <w:tr>
        <w:trPr>
          <w:trHeight w:val="470" w:hRule="exact"/>
        </w:trPr>
        <w:tc>
          <w:tcPr>
            <w:tcW w:w="5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9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39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69" w:hRule="exact"/>
        </w:trPr>
        <w:tc>
          <w:tcPr>
            <w:tcW w:w="5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406"/>
              <w:jc w:val="right"/>
              <w:rPr>
                <w:rFonts w:ascii="Times New Roman" w:hAnsi="Times New Roman" w:cs="Times New Roman" w:eastAsia="Times New Roman" w:hint="default"/>
                <w:sz w:val="21"/>
                <w:szCs w:val="21"/>
              </w:rPr>
            </w:pPr>
            <w:r>
              <w:rPr>
                <w:rFonts w:ascii="Times New Roman"/>
                <w:sz w:val="21"/>
              </w:rPr>
              <w:t>-</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47"/>
              <w:jc w:val="right"/>
              <w:rPr>
                <w:rFonts w:ascii="Times New Roman" w:hAnsi="Times New Roman" w:cs="Times New Roman" w:eastAsia="Times New Roman" w:hint="default"/>
                <w:sz w:val="21"/>
                <w:szCs w:val="21"/>
              </w:rPr>
            </w:pPr>
            <w:r>
              <w:rPr>
                <w:rFonts w:ascii="Times New Roman"/>
                <w:spacing w:val="-1"/>
                <w:sz w:val="21"/>
              </w:rPr>
              <w:t>1,118,644.53</w:t>
            </w:r>
          </w:p>
        </w:tc>
      </w:tr>
      <w:tr>
        <w:trPr>
          <w:trHeight w:val="470" w:hRule="exact"/>
        </w:trPr>
        <w:tc>
          <w:tcPr>
            <w:tcW w:w="5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46"/>
              <w:jc w:val="right"/>
              <w:rPr>
                <w:rFonts w:ascii="Times New Roman" w:hAnsi="Times New Roman" w:cs="Times New Roman" w:eastAsia="Times New Roman" w:hint="default"/>
                <w:sz w:val="21"/>
                <w:szCs w:val="21"/>
              </w:rPr>
            </w:pPr>
            <w:r>
              <w:rPr>
                <w:rFonts w:ascii="Times New Roman"/>
                <w:spacing w:val="-1"/>
                <w:sz w:val="21"/>
              </w:rPr>
              <w:t>18,497.95</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47"/>
              <w:jc w:val="right"/>
              <w:rPr>
                <w:rFonts w:ascii="Times New Roman" w:hAnsi="Times New Roman" w:cs="Times New Roman" w:eastAsia="Times New Roman" w:hint="default"/>
                <w:sz w:val="21"/>
                <w:szCs w:val="21"/>
              </w:rPr>
            </w:pPr>
            <w:r>
              <w:rPr>
                <w:rFonts w:ascii="Times New Roman"/>
                <w:spacing w:val="-1"/>
                <w:sz w:val="21"/>
              </w:rPr>
              <w:t>-9,613,729.12</w:t>
            </w:r>
          </w:p>
        </w:tc>
      </w:tr>
      <w:tr>
        <w:trPr>
          <w:trHeight w:val="470" w:hRule="exact"/>
        </w:trPr>
        <w:tc>
          <w:tcPr>
            <w:tcW w:w="5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45"/>
              <w:jc w:val="right"/>
              <w:rPr>
                <w:rFonts w:ascii="Times New Roman" w:hAnsi="Times New Roman" w:cs="Times New Roman" w:eastAsia="Times New Roman" w:hint="default"/>
                <w:sz w:val="21"/>
                <w:szCs w:val="21"/>
              </w:rPr>
            </w:pPr>
            <w:r>
              <w:rPr>
                <w:rFonts w:ascii="Times New Roman"/>
                <w:spacing w:val="-1"/>
                <w:sz w:val="21"/>
              </w:rPr>
              <w:t>51,365,815.77</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46"/>
              <w:jc w:val="right"/>
              <w:rPr>
                <w:rFonts w:ascii="Times New Roman" w:hAnsi="Times New Roman" w:cs="Times New Roman" w:eastAsia="Times New Roman" w:hint="default"/>
                <w:sz w:val="21"/>
                <w:szCs w:val="21"/>
              </w:rPr>
            </w:pPr>
            <w:r>
              <w:rPr>
                <w:rFonts w:ascii="Times New Roman"/>
                <w:spacing w:val="-1"/>
                <w:sz w:val="21"/>
              </w:rPr>
              <w:t>-3,393,419.28</w:t>
            </w:r>
          </w:p>
        </w:tc>
      </w:tr>
      <w:tr>
        <w:trPr>
          <w:trHeight w:val="469" w:hRule="exact"/>
        </w:trPr>
        <w:tc>
          <w:tcPr>
            <w:tcW w:w="5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45"/>
              <w:jc w:val="right"/>
              <w:rPr>
                <w:rFonts w:ascii="Times New Roman" w:hAnsi="Times New Roman" w:cs="Times New Roman" w:eastAsia="Times New Roman" w:hint="default"/>
                <w:sz w:val="21"/>
                <w:szCs w:val="21"/>
              </w:rPr>
            </w:pPr>
            <w:r>
              <w:rPr>
                <w:rFonts w:ascii="Times New Roman"/>
                <w:spacing w:val="-1"/>
                <w:sz w:val="21"/>
              </w:rPr>
              <w:t>25,233,786.41</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410"/>
              <w:jc w:val="right"/>
              <w:rPr>
                <w:rFonts w:ascii="Times New Roman" w:hAnsi="Times New Roman" w:cs="Times New Roman" w:eastAsia="Times New Roman" w:hint="default"/>
                <w:sz w:val="21"/>
                <w:szCs w:val="21"/>
              </w:rPr>
            </w:pPr>
            <w:r>
              <w:rPr>
                <w:rFonts w:ascii="Times New Roman"/>
                <w:sz w:val="21"/>
              </w:rPr>
              <w:t>-</w:t>
            </w:r>
          </w:p>
        </w:tc>
      </w:tr>
      <w:tr>
        <w:trPr>
          <w:trHeight w:val="470" w:hRule="exact"/>
        </w:trPr>
        <w:tc>
          <w:tcPr>
            <w:tcW w:w="5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子公司分来的利润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44"/>
              <w:jc w:val="right"/>
              <w:rPr>
                <w:rFonts w:ascii="Times New Roman" w:hAnsi="Times New Roman" w:cs="Times New Roman" w:eastAsia="Times New Roman" w:hint="default"/>
                <w:sz w:val="21"/>
                <w:szCs w:val="21"/>
              </w:rPr>
            </w:pPr>
            <w:r>
              <w:rPr>
                <w:rFonts w:ascii="Times New Roman"/>
                <w:spacing w:val="-1"/>
                <w:sz w:val="21"/>
              </w:rPr>
              <w:t>1,118,704.12</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47"/>
              <w:jc w:val="right"/>
              <w:rPr>
                <w:rFonts w:ascii="Times New Roman" w:hAnsi="Times New Roman" w:cs="Times New Roman" w:eastAsia="Times New Roman" w:hint="default"/>
                <w:sz w:val="21"/>
                <w:szCs w:val="21"/>
              </w:rPr>
            </w:pPr>
            <w:r>
              <w:rPr>
                <w:rFonts w:ascii="Times New Roman"/>
                <w:spacing w:val="-1"/>
                <w:sz w:val="21"/>
              </w:rPr>
              <w:t>520,003.69</w:t>
            </w:r>
          </w:p>
        </w:tc>
      </w:tr>
      <w:tr>
        <w:trPr>
          <w:trHeight w:val="470" w:hRule="exact"/>
        </w:trPr>
        <w:tc>
          <w:tcPr>
            <w:tcW w:w="5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45"/>
              <w:jc w:val="right"/>
              <w:rPr>
                <w:rFonts w:ascii="Times New Roman" w:hAnsi="Times New Roman" w:cs="Times New Roman" w:eastAsia="Times New Roman" w:hint="default"/>
                <w:sz w:val="21"/>
                <w:szCs w:val="21"/>
              </w:rPr>
            </w:pPr>
            <w:r>
              <w:rPr>
                <w:rFonts w:ascii="Times New Roman"/>
                <w:spacing w:val="-1"/>
                <w:sz w:val="21"/>
              </w:rPr>
              <w:t>77,736,804.25</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48"/>
              <w:jc w:val="right"/>
              <w:rPr>
                <w:rFonts w:ascii="Times New Roman" w:hAnsi="Times New Roman" w:cs="Times New Roman" w:eastAsia="Times New Roman" w:hint="default"/>
                <w:sz w:val="21"/>
                <w:szCs w:val="21"/>
              </w:rPr>
            </w:pPr>
            <w:r>
              <w:rPr>
                <w:rFonts w:ascii="Times New Roman"/>
                <w:spacing w:val="-1"/>
                <w:sz w:val="21"/>
              </w:rPr>
              <w:t>-11,368,500.18</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left="244" w:right="217"/>
        <w:jc w:val="left"/>
      </w:pPr>
      <w:r>
        <w:rPr>
          <w:rFonts w:ascii="Times New Roman" w:hAnsi="Times New Roman" w:cs="Times New Roman" w:eastAsia="Times New Roman" w:hint="default"/>
          <w:b/>
          <w:bCs/>
        </w:rPr>
        <w:t>5</w:t>
      </w:r>
      <w:r>
        <w:rPr/>
        <w:t>、现金流量表补充资料</w:t>
      </w:r>
    </w:p>
    <w:p>
      <w:pPr>
        <w:spacing w:line="240" w:lineRule="auto" w:before="4"/>
        <w:rPr>
          <w:rFonts w:ascii="宋体" w:hAnsi="宋体" w:cs="宋体" w:eastAsia="宋体" w:hint="default"/>
          <w:sz w:val="10"/>
          <w:szCs w:val="10"/>
        </w:rPr>
      </w:pPr>
    </w:p>
    <w:p>
      <w:pPr>
        <w:pStyle w:val="BodyText"/>
        <w:tabs>
          <w:tab w:pos="1049" w:val="left" w:leader="none"/>
        </w:tabs>
        <w:spacing w:line="240" w:lineRule="auto" w:before="35"/>
        <w:ind w:left="0" w:right="215"/>
        <w:jc w:val="right"/>
      </w:pPr>
      <w:r>
        <w:rPr/>
        <w:t>单位：元</w:t>
        <w:tab/>
        <w:t>币种：人民币</w:t>
      </w:r>
    </w:p>
    <w:p>
      <w:pPr>
        <w:spacing w:line="240" w:lineRule="auto" w:before="6"/>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5958"/>
        <w:gridCol w:w="1446"/>
        <w:gridCol w:w="1445"/>
      </w:tblGrid>
      <w:tr>
        <w:trPr>
          <w:trHeight w:val="470" w:hRule="exact"/>
        </w:trPr>
        <w:tc>
          <w:tcPr>
            <w:tcW w:w="5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69" w:hRule="exact"/>
        </w:trPr>
        <w:tc>
          <w:tcPr>
            <w:tcW w:w="5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sz w:val="18"/>
                <w:szCs w:val="18"/>
              </w:rPr>
              <w:t>．将净利润调节为经营活动现金流量：</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5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spacing w:val="-1"/>
                <w:sz w:val="18"/>
              </w:rPr>
              <w:t>101,165,458.31</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1"/>
              <w:jc w:val="right"/>
              <w:rPr>
                <w:rFonts w:ascii="Times New Roman" w:hAnsi="Times New Roman" w:cs="Times New Roman" w:eastAsia="Times New Roman" w:hint="default"/>
                <w:sz w:val="18"/>
                <w:szCs w:val="18"/>
              </w:rPr>
            </w:pPr>
            <w:r>
              <w:rPr>
                <w:rFonts w:ascii="Times New Roman"/>
                <w:spacing w:val="-1"/>
                <w:sz w:val="18"/>
              </w:rPr>
              <w:t>-88,681,678.22</w:t>
            </w:r>
          </w:p>
        </w:tc>
      </w:tr>
      <w:tr>
        <w:trPr>
          <w:trHeight w:val="470" w:hRule="exact"/>
        </w:trPr>
        <w:tc>
          <w:tcPr>
            <w:tcW w:w="5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pacing w:val="-1"/>
                <w:sz w:val="18"/>
              </w:rPr>
              <w:t>-16,958,415.03</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1"/>
              <w:jc w:val="right"/>
              <w:rPr>
                <w:rFonts w:ascii="Times New Roman" w:hAnsi="Times New Roman" w:cs="Times New Roman" w:eastAsia="Times New Roman" w:hint="default"/>
                <w:sz w:val="18"/>
                <w:szCs w:val="18"/>
              </w:rPr>
            </w:pPr>
            <w:r>
              <w:rPr>
                <w:rFonts w:ascii="Times New Roman"/>
                <w:spacing w:val="-1"/>
                <w:sz w:val="18"/>
              </w:rPr>
              <w:t>28,124,190.45</w:t>
            </w:r>
          </w:p>
        </w:tc>
      </w:tr>
      <w:tr>
        <w:trPr>
          <w:trHeight w:val="469" w:hRule="exact"/>
        </w:trPr>
        <w:tc>
          <w:tcPr>
            <w:tcW w:w="5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spacing w:val="-1"/>
                <w:sz w:val="18"/>
              </w:rPr>
              <w:t>9,263,254.49</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2"/>
              <w:jc w:val="right"/>
              <w:rPr>
                <w:rFonts w:ascii="Times New Roman" w:hAnsi="Times New Roman" w:cs="Times New Roman" w:eastAsia="Times New Roman" w:hint="default"/>
                <w:sz w:val="18"/>
                <w:szCs w:val="18"/>
              </w:rPr>
            </w:pPr>
            <w:r>
              <w:rPr>
                <w:rFonts w:ascii="Times New Roman"/>
                <w:spacing w:val="-1"/>
                <w:sz w:val="18"/>
              </w:rPr>
              <w:t>9,417,481.53</w:t>
            </w:r>
          </w:p>
        </w:tc>
      </w:tr>
      <w:tr>
        <w:trPr>
          <w:trHeight w:val="470" w:hRule="exact"/>
        </w:trPr>
        <w:tc>
          <w:tcPr>
            <w:tcW w:w="5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sz w:val="18"/>
              </w:rPr>
              <w:t>405,260.90</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1"/>
              <w:jc w:val="right"/>
              <w:rPr>
                <w:rFonts w:ascii="Times New Roman" w:hAnsi="Times New Roman" w:cs="Times New Roman" w:eastAsia="Times New Roman" w:hint="default"/>
                <w:sz w:val="18"/>
                <w:szCs w:val="18"/>
              </w:rPr>
            </w:pPr>
            <w:r>
              <w:rPr>
                <w:rFonts w:ascii="Times New Roman"/>
                <w:sz w:val="18"/>
              </w:rPr>
              <w:t>489,142.68</w:t>
            </w:r>
          </w:p>
        </w:tc>
      </w:tr>
      <w:tr>
        <w:trPr>
          <w:trHeight w:val="470" w:hRule="exact"/>
        </w:trPr>
        <w:tc>
          <w:tcPr>
            <w:tcW w:w="5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43"/>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w:t>
            </w:r>
          </w:p>
        </w:tc>
      </w:tr>
      <w:tr>
        <w:trPr>
          <w:trHeight w:val="469" w:hRule="exact"/>
        </w:trPr>
        <w:tc>
          <w:tcPr>
            <w:tcW w:w="5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sz w:val="18"/>
              </w:rPr>
              <w:t>69,845.50</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1"/>
              <w:jc w:val="right"/>
              <w:rPr>
                <w:rFonts w:ascii="Times New Roman" w:hAnsi="Times New Roman" w:cs="Times New Roman" w:eastAsia="Times New Roman" w:hint="default"/>
                <w:sz w:val="18"/>
                <w:szCs w:val="18"/>
              </w:rPr>
            </w:pPr>
            <w:r>
              <w:rPr>
                <w:rFonts w:ascii="Times New Roman"/>
                <w:sz w:val="18"/>
              </w:rPr>
              <w:t>15,684.79</w:t>
            </w:r>
          </w:p>
        </w:tc>
      </w:tr>
      <w:tr>
        <w:trPr>
          <w:trHeight w:val="470" w:hRule="exact"/>
        </w:trPr>
        <w:tc>
          <w:tcPr>
            <w:tcW w:w="5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43"/>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1"/>
              <w:jc w:val="right"/>
              <w:rPr>
                <w:rFonts w:ascii="Times New Roman" w:hAnsi="Times New Roman" w:cs="Times New Roman" w:eastAsia="Times New Roman" w:hint="default"/>
                <w:sz w:val="18"/>
                <w:szCs w:val="18"/>
              </w:rPr>
            </w:pPr>
            <w:r>
              <w:rPr>
                <w:rFonts w:ascii="Times New Roman"/>
                <w:sz w:val="18"/>
              </w:rPr>
              <w:t>152,502.84</w:t>
            </w:r>
          </w:p>
        </w:tc>
      </w:tr>
      <w:tr>
        <w:trPr>
          <w:trHeight w:val="470" w:hRule="exact"/>
        </w:trPr>
        <w:tc>
          <w:tcPr>
            <w:tcW w:w="5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43"/>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w:t>
            </w:r>
          </w:p>
        </w:tc>
      </w:tr>
      <w:tr>
        <w:trPr>
          <w:trHeight w:val="469" w:hRule="exact"/>
        </w:trPr>
        <w:tc>
          <w:tcPr>
            <w:tcW w:w="5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spacing w:val="-1"/>
                <w:sz w:val="18"/>
              </w:rPr>
              <w:t>31,916,686.80</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1"/>
              <w:jc w:val="right"/>
              <w:rPr>
                <w:rFonts w:ascii="Times New Roman" w:hAnsi="Times New Roman" w:cs="Times New Roman" w:eastAsia="Times New Roman" w:hint="default"/>
                <w:sz w:val="18"/>
                <w:szCs w:val="18"/>
              </w:rPr>
            </w:pPr>
            <w:r>
              <w:rPr>
                <w:rFonts w:ascii="Times New Roman"/>
                <w:spacing w:val="-1"/>
                <w:sz w:val="18"/>
              </w:rPr>
              <w:t>37,629,408.80</w:t>
            </w:r>
          </w:p>
        </w:tc>
      </w:tr>
      <w:tr>
        <w:trPr>
          <w:trHeight w:val="470" w:hRule="exact"/>
        </w:trPr>
        <w:tc>
          <w:tcPr>
            <w:tcW w:w="5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pacing w:val="-1"/>
                <w:sz w:val="18"/>
              </w:rPr>
              <w:t>-77,736,804.25</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1"/>
              <w:jc w:val="right"/>
              <w:rPr>
                <w:rFonts w:ascii="Times New Roman" w:hAnsi="Times New Roman" w:cs="Times New Roman" w:eastAsia="Times New Roman" w:hint="default"/>
                <w:sz w:val="18"/>
                <w:szCs w:val="18"/>
              </w:rPr>
            </w:pPr>
            <w:r>
              <w:rPr>
                <w:rFonts w:ascii="Times New Roman"/>
                <w:spacing w:val="-1"/>
                <w:sz w:val="18"/>
              </w:rPr>
              <w:t>11,368,500.18</w:t>
            </w:r>
          </w:p>
        </w:tc>
      </w:tr>
      <w:tr>
        <w:trPr>
          <w:trHeight w:val="470" w:hRule="exact"/>
        </w:trPr>
        <w:tc>
          <w:tcPr>
            <w:tcW w:w="5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spacing w:val="-1"/>
                <w:sz w:val="18"/>
              </w:rPr>
              <w:t>1,252,894.51</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1"/>
              <w:jc w:val="right"/>
              <w:rPr>
                <w:rFonts w:ascii="Times New Roman" w:hAnsi="Times New Roman" w:cs="Times New Roman" w:eastAsia="Times New Roman" w:hint="default"/>
                <w:sz w:val="18"/>
                <w:szCs w:val="18"/>
              </w:rPr>
            </w:pPr>
            <w:r>
              <w:rPr>
                <w:rFonts w:ascii="Times New Roman"/>
                <w:spacing w:val="-1"/>
                <w:sz w:val="18"/>
              </w:rPr>
              <w:t>-17,804,620.96</w:t>
            </w:r>
          </w:p>
        </w:tc>
      </w:tr>
      <w:tr>
        <w:trPr>
          <w:trHeight w:val="469" w:hRule="exact"/>
        </w:trPr>
        <w:tc>
          <w:tcPr>
            <w:tcW w:w="5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43"/>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w:t>
            </w:r>
          </w:p>
        </w:tc>
      </w:tr>
      <w:tr>
        <w:trPr>
          <w:trHeight w:val="470" w:hRule="exact"/>
        </w:trPr>
        <w:tc>
          <w:tcPr>
            <w:tcW w:w="5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spacing w:val="-1"/>
                <w:sz w:val="18"/>
              </w:rPr>
              <w:t>110,908,263.54</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3"/>
              <w:jc w:val="right"/>
              <w:rPr>
                <w:rFonts w:ascii="Times New Roman" w:hAnsi="Times New Roman" w:cs="Times New Roman" w:eastAsia="Times New Roman" w:hint="default"/>
                <w:sz w:val="18"/>
                <w:szCs w:val="18"/>
              </w:rPr>
            </w:pPr>
            <w:r>
              <w:rPr>
                <w:rFonts w:ascii="Times New Roman"/>
                <w:spacing w:val="-1"/>
                <w:sz w:val="18"/>
              </w:rPr>
              <w:t>-147,116,876.69</w:t>
            </w:r>
          </w:p>
        </w:tc>
      </w:tr>
      <w:tr>
        <w:trPr>
          <w:trHeight w:val="470" w:hRule="exact"/>
        </w:trPr>
        <w:tc>
          <w:tcPr>
            <w:tcW w:w="5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spacing w:val="-1"/>
                <w:sz w:val="18"/>
              </w:rPr>
              <w:t>125,819,021.28</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1"/>
              <w:jc w:val="right"/>
              <w:rPr>
                <w:rFonts w:ascii="Times New Roman" w:hAnsi="Times New Roman" w:cs="Times New Roman" w:eastAsia="Times New Roman" w:hint="default"/>
                <w:sz w:val="18"/>
                <w:szCs w:val="18"/>
              </w:rPr>
            </w:pPr>
            <w:r>
              <w:rPr>
                <w:rFonts w:ascii="Times New Roman"/>
                <w:spacing w:val="-1"/>
                <w:sz w:val="18"/>
              </w:rPr>
              <w:t>29,187,144.00</w:t>
            </w:r>
          </w:p>
        </w:tc>
      </w:tr>
      <w:tr>
        <w:trPr>
          <w:trHeight w:val="470" w:hRule="exact"/>
        </w:trPr>
        <w:tc>
          <w:tcPr>
            <w:tcW w:w="5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spacing w:val="-1"/>
                <w:sz w:val="18"/>
              </w:rPr>
              <w:t>-115,047,822.29</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2"/>
              <w:jc w:val="right"/>
              <w:rPr>
                <w:rFonts w:ascii="Times New Roman" w:hAnsi="Times New Roman" w:cs="Times New Roman" w:eastAsia="Times New Roman" w:hint="default"/>
                <w:sz w:val="18"/>
                <w:szCs w:val="18"/>
              </w:rPr>
            </w:pPr>
            <w:r>
              <w:rPr>
                <w:rFonts w:ascii="Times New Roman"/>
                <w:spacing w:val="-1"/>
                <w:sz w:val="18"/>
              </w:rPr>
              <w:t>-40,025,961.73</w:t>
            </w:r>
          </w:p>
        </w:tc>
      </w:tr>
    </w:tbl>
    <w:p>
      <w:pPr>
        <w:spacing w:after="0" w:line="240" w:lineRule="auto"/>
        <w:jc w:val="right"/>
        <w:rPr>
          <w:rFonts w:ascii="Times New Roman" w:hAnsi="Times New Roman" w:cs="Times New Roman" w:eastAsia="Times New Roman" w:hint="default"/>
          <w:sz w:val="18"/>
          <w:szCs w:val="18"/>
        </w:rPr>
        <w:sectPr>
          <w:pgSz w:w="11900" w:h="16840"/>
          <w:pgMar w:header="0" w:footer="982" w:top="1040" w:bottom="1180" w:left="1400" w:right="1420"/>
        </w:sectPr>
      </w:pPr>
    </w:p>
    <w:p>
      <w:pPr>
        <w:spacing w:line="240" w:lineRule="auto" w:before="8"/>
        <w:rPr>
          <w:rFonts w:ascii="宋体" w:hAnsi="宋体" w:cs="宋体" w:eastAsia="宋体" w:hint="default"/>
          <w:sz w:val="5"/>
          <w:szCs w:val="5"/>
        </w:rPr>
      </w:pPr>
    </w:p>
    <w:p>
      <w:pPr>
        <w:spacing w:line="20" w:lineRule="exact"/>
        <w:ind w:left="246" w:right="0" w:firstLine="0"/>
        <w:rPr>
          <w:rFonts w:ascii="宋体" w:hAnsi="宋体" w:cs="宋体" w:eastAsia="宋体" w:hint="default"/>
          <w:sz w:val="2"/>
          <w:szCs w:val="2"/>
        </w:rPr>
      </w:pPr>
      <w:r>
        <w:rPr>
          <w:rFonts w:ascii="宋体" w:hAnsi="宋体" w:cs="宋体" w:eastAsia="宋体" w:hint="default"/>
          <w:sz w:val="2"/>
          <w:szCs w:val="2"/>
        </w:rPr>
        <w:pict>
          <v:group style="width:434.65pt;height:.75pt;mso-position-horizontal-relative:char;mso-position-vertical-relative:line" coordorigin="0,0" coordsize="8693,15">
            <v:group style="position:absolute;left:7;top:7;width:8679;height:2" coordorigin="7,7" coordsize="8679,2">
              <v:shape style="position:absolute;left:7;top:7;width:8679;height:2" coordorigin="7,7" coordsize="8679,0" path="m7,7l8686,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3"/>
          <w:szCs w:val="23"/>
        </w:rPr>
      </w:pPr>
    </w:p>
    <w:tbl>
      <w:tblPr>
        <w:tblW w:w="0" w:type="auto"/>
        <w:jc w:val="left"/>
        <w:tblInd w:w="156" w:type="dxa"/>
        <w:tblLayout w:type="fixed"/>
        <w:tblCellMar>
          <w:top w:w="0" w:type="dxa"/>
          <w:left w:w="0" w:type="dxa"/>
          <w:bottom w:w="0" w:type="dxa"/>
          <w:right w:w="0" w:type="dxa"/>
        </w:tblCellMar>
        <w:tblLook w:val="01E0"/>
      </w:tblPr>
      <w:tblGrid>
        <w:gridCol w:w="5958"/>
        <w:gridCol w:w="1446"/>
        <w:gridCol w:w="1445"/>
      </w:tblGrid>
      <w:tr>
        <w:trPr>
          <w:trHeight w:val="470" w:hRule="exact"/>
        </w:trPr>
        <w:tc>
          <w:tcPr>
            <w:tcW w:w="5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69" w:hRule="exact"/>
        </w:trPr>
        <w:tc>
          <w:tcPr>
            <w:tcW w:w="5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43"/>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w:t>
            </w:r>
          </w:p>
        </w:tc>
      </w:tr>
      <w:tr>
        <w:trPr>
          <w:trHeight w:val="470" w:hRule="exact"/>
        </w:trPr>
        <w:tc>
          <w:tcPr>
            <w:tcW w:w="5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spacing w:val="-1"/>
                <w:sz w:val="18"/>
              </w:rPr>
              <w:t>171,057,643.76</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2"/>
              <w:jc w:val="right"/>
              <w:rPr>
                <w:rFonts w:ascii="Times New Roman" w:hAnsi="Times New Roman" w:cs="Times New Roman" w:eastAsia="Times New Roman" w:hint="default"/>
                <w:sz w:val="18"/>
                <w:szCs w:val="18"/>
              </w:rPr>
            </w:pPr>
            <w:r>
              <w:rPr>
                <w:rFonts w:ascii="Times New Roman"/>
                <w:spacing w:val="-1"/>
                <w:sz w:val="18"/>
              </w:rPr>
              <w:t>-177,245,082.33</w:t>
            </w:r>
          </w:p>
        </w:tc>
      </w:tr>
      <w:tr>
        <w:trPr>
          <w:trHeight w:val="530" w:hRule="exact"/>
        </w:trPr>
        <w:tc>
          <w:tcPr>
            <w:tcW w:w="5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sz w:val="18"/>
                <w:szCs w:val="18"/>
              </w:rPr>
              <w:t>．不涉及现金收支的重大投资和筹资活动：</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5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343"/>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w:t>
            </w:r>
          </w:p>
        </w:tc>
      </w:tr>
      <w:tr>
        <w:trPr>
          <w:trHeight w:val="530" w:hRule="exact"/>
        </w:trPr>
        <w:tc>
          <w:tcPr>
            <w:tcW w:w="5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343"/>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w:t>
            </w:r>
          </w:p>
        </w:tc>
      </w:tr>
      <w:tr>
        <w:trPr>
          <w:trHeight w:val="530" w:hRule="exact"/>
        </w:trPr>
        <w:tc>
          <w:tcPr>
            <w:tcW w:w="5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343"/>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w:t>
            </w:r>
          </w:p>
        </w:tc>
      </w:tr>
      <w:tr>
        <w:trPr>
          <w:trHeight w:val="529" w:hRule="exact"/>
        </w:trPr>
        <w:tc>
          <w:tcPr>
            <w:tcW w:w="5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sz w:val="18"/>
                <w:szCs w:val="18"/>
              </w:rPr>
              <w:t>．现金及现金等价物净变动情况：</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nil" w:sz="6" w:space="0" w:color="auto"/>
            </w:tcBorders>
          </w:tcPr>
          <w:p>
            <w:pPr/>
          </w:p>
        </w:tc>
      </w:tr>
      <w:tr>
        <w:trPr>
          <w:trHeight w:val="530" w:hRule="exact"/>
        </w:trPr>
        <w:tc>
          <w:tcPr>
            <w:tcW w:w="5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spacing w:val="-1"/>
                <w:sz w:val="18"/>
              </w:rPr>
              <w:t>36,142,213.83</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21"/>
              <w:jc w:val="right"/>
              <w:rPr>
                <w:rFonts w:ascii="Times New Roman" w:hAnsi="Times New Roman" w:cs="Times New Roman" w:eastAsia="Times New Roman" w:hint="default"/>
                <w:sz w:val="18"/>
                <w:szCs w:val="18"/>
              </w:rPr>
            </w:pPr>
            <w:r>
              <w:rPr>
                <w:rFonts w:ascii="Times New Roman"/>
                <w:spacing w:val="-1"/>
                <w:sz w:val="18"/>
              </w:rPr>
              <w:t>6,316,110.85</w:t>
            </w:r>
          </w:p>
        </w:tc>
      </w:tr>
      <w:tr>
        <w:trPr>
          <w:trHeight w:val="530" w:hRule="exact"/>
        </w:trPr>
        <w:tc>
          <w:tcPr>
            <w:tcW w:w="5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spacing w:val="-1"/>
                <w:sz w:val="18"/>
              </w:rPr>
              <w:t>6,316,110.85</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21"/>
              <w:jc w:val="right"/>
              <w:rPr>
                <w:rFonts w:ascii="Times New Roman" w:hAnsi="Times New Roman" w:cs="Times New Roman" w:eastAsia="Times New Roman" w:hint="default"/>
                <w:sz w:val="18"/>
                <w:szCs w:val="18"/>
              </w:rPr>
            </w:pPr>
            <w:r>
              <w:rPr>
                <w:rFonts w:ascii="Times New Roman"/>
                <w:spacing w:val="-1"/>
                <w:sz w:val="18"/>
              </w:rPr>
              <w:t>70,769,130.04</w:t>
            </w:r>
          </w:p>
        </w:tc>
      </w:tr>
      <w:tr>
        <w:trPr>
          <w:trHeight w:val="529" w:hRule="exact"/>
        </w:trPr>
        <w:tc>
          <w:tcPr>
            <w:tcW w:w="5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343"/>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sz w:val="18"/>
              </w:rPr>
              <w:t>-</w:t>
            </w:r>
          </w:p>
        </w:tc>
      </w:tr>
      <w:tr>
        <w:trPr>
          <w:trHeight w:val="530" w:hRule="exact"/>
        </w:trPr>
        <w:tc>
          <w:tcPr>
            <w:tcW w:w="5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343"/>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530" w:hRule="exact"/>
        </w:trPr>
        <w:tc>
          <w:tcPr>
            <w:tcW w:w="5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spacing w:val="-1"/>
                <w:sz w:val="18"/>
              </w:rPr>
              <w:t>29,826,102.98</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22"/>
              <w:jc w:val="right"/>
              <w:rPr>
                <w:rFonts w:ascii="Times New Roman" w:hAnsi="Times New Roman" w:cs="Times New Roman" w:eastAsia="Times New Roman" w:hint="default"/>
                <w:sz w:val="18"/>
                <w:szCs w:val="18"/>
              </w:rPr>
            </w:pPr>
            <w:r>
              <w:rPr>
                <w:rFonts w:ascii="Times New Roman"/>
                <w:spacing w:val="-1"/>
                <w:sz w:val="18"/>
              </w:rPr>
              <w:t>-64,453,019.19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ind w:left="284" w:right="236"/>
        <w:jc w:val="left"/>
        <w:rPr>
          <w:rFonts w:ascii="黑体" w:hAnsi="黑体" w:cs="黑体" w:eastAsia="黑体" w:hint="default"/>
        </w:rPr>
      </w:pPr>
      <w:r>
        <w:rPr>
          <w:rFonts w:ascii="黑体" w:hAnsi="黑体" w:cs="黑体" w:eastAsia="黑体" w:hint="default"/>
        </w:rPr>
        <w:t>十四、补充资料</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18"/>
          <w:szCs w:val="18"/>
        </w:rPr>
      </w:pPr>
    </w:p>
    <w:p>
      <w:pPr>
        <w:pStyle w:val="BodyText"/>
        <w:spacing w:line="240" w:lineRule="auto"/>
        <w:ind w:left="284" w:right="236"/>
        <w:jc w:val="left"/>
      </w:pPr>
      <w:r>
        <w:rPr>
          <w:rFonts w:ascii="Times New Roman" w:hAnsi="Times New Roman" w:cs="Times New Roman" w:eastAsia="Times New Roman" w:hint="default"/>
          <w:b/>
          <w:bCs/>
        </w:rPr>
        <w:t>1</w:t>
      </w:r>
      <w:r>
        <w:rPr/>
        <w:t>、当期非经常性损益明细表</w:t>
      </w:r>
    </w:p>
    <w:p>
      <w:pPr>
        <w:spacing w:line="240" w:lineRule="auto" w:before="11"/>
        <w:rPr>
          <w:rFonts w:ascii="宋体" w:hAnsi="宋体" w:cs="宋体" w:eastAsia="宋体" w:hint="default"/>
          <w:sz w:val="14"/>
          <w:szCs w:val="14"/>
        </w:rPr>
      </w:pPr>
    </w:p>
    <w:p>
      <w:pPr>
        <w:pStyle w:val="BodyText"/>
        <w:tabs>
          <w:tab w:pos="1049" w:val="left" w:leader="none"/>
        </w:tabs>
        <w:spacing w:line="240" w:lineRule="auto" w:before="35"/>
        <w:ind w:left="0" w:right="23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5560"/>
        <w:gridCol w:w="1542"/>
        <w:gridCol w:w="1780"/>
      </w:tblGrid>
      <w:tr>
        <w:trPr>
          <w:trHeight w:val="540" w:hRule="exact"/>
        </w:trPr>
        <w:tc>
          <w:tcPr>
            <w:tcW w:w="556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7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98" w:hRule="exact"/>
        </w:trPr>
        <w:tc>
          <w:tcPr>
            <w:tcW w:w="5560"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42,540,477.08</w:t>
            </w:r>
          </w:p>
        </w:tc>
        <w:tc>
          <w:tcPr>
            <w:tcW w:w="17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34" w:lineRule="exact"/>
              <w:ind w:left="159" w:right="0"/>
              <w:jc w:val="left"/>
              <w:rPr>
                <w:rFonts w:ascii="宋体" w:hAnsi="宋体" w:cs="宋体" w:eastAsia="宋体" w:hint="default"/>
                <w:sz w:val="18"/>
                <w:szCs w:val="18"/>
              </w:rPr>
            </w:pPr>
            <w:r>
              <w:rPr>
                <w:rFonts w:ascii="宋体" w:hAnsi="宋体" w:cs="宋体" w:eastAsia="宋体" w:hint="default"/>
                <w:sz w:val="18"/>
                <w:szCs w:val="18"/>
              </w:rPr>
              <w:t>其中股权处置收益</w:t>
            </w:r>
          </w:p>
          <w:p>
            <w:pPr>
              <w:pStyle w:val="TableParagraph"/>
              <w:spacing w:line="248" w:lineRule="exact"/>
              <w:ind w:left="2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43,104,415.44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540" w:hRule="exact"/>
        </w:trPr>
        <w:tc>
          <w:tcPr>
            <w:tcW w:w="556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13,674,971.07</w:t>
            </w:r>
          </w:p>
        </w:tc>
        <w:tc>
          <w:tcPr>
            <w:tcW w:w="1780" w:type="dxa"/>
            <w:tcBorders>
              <w:top w:val="single" w:sz="8" w:space="0" w:color="000000"/>
              <w:left w:val="single" w:sz="8" w:space="0" w:color="000000"/>
              <w:bottom w:val="single" w:sz="8" w:space="0" w:color="000000"/>
              <w:right w:val="nil" w:sz="6" w:space="0" w:color="auto"/>
            </w:tcBorders>
          </w:tcPr>
          <w:p>
            <w:pPr/>
          </w:p>
        </w:tc>
      </w:tr>
      <w:tr>
        <w:trPr>
          <w:trHeight w:val="1033" w:hRule="exact"/>
        </w:trPr>
        <w:tc>
          <w:tcPr>
            <w:tcW w:w="556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37" w:lineRule="auto"/>
              <w:ind w:left="122" w:right="95"/>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除同公司正常经营业务相关的有效套期保值业务外，持有交易性金融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资产、交易性金融负债产生的公允价值变动损益，以及处置交易性金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融资产、交易性金融负债和可供出售金融资产取得的投资收益</w:t>
            </w:r>
          </w:p>
        </w:tc>
        <w:tc>
          <w:tcPr>
            <w:tcW w:w="15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25,233,786.41</w:t>
            </w:r>
          </w:p>
        </w:tc>
        <w:tc>
          <w:tcPr>
            <w:tcW w:w="1780" w:type="dxa"/>
            <w:tcBorders>
              <w:top w:val="single" w:sz="8" w:space="0" w:color="000000"/>
              <w:left w:val="single" w:sz="8" w:space="0" w:color="000000"/>
              <w:bottom w:val="single" w:sz="8" w:space="0" w:color="000000"/>
              <w:right w:val="nil" w:sz="6" w:space="0" w:color="auto"/>
            </w:tcBorders>
          </w:tcPr>
          <w:p>
            <w:pPr/>
          </w:p>
        </w:tc>
      </w:tr>
      <w:tr>
        <w:trPr>
          <w:trHeight w:val="540" w:hRule="exact"/>
        </w:trPr>
        <w:tc>
          <w:tcPr>
            <w:tcW w:w="556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5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108,744,662.00</w:t>
            </w:r>
          </w:p>
        </w:tc>
        <w:tc>
          <w:tcPr>
            <w:tcW w:w="1780" w:type="dxa"/>
            <w:tcBorders>
              <w:top w:val="single" w:sz="8" w:space="0" w:color="000000"/>
              <w:left w:val="single" w:sz="8" w:space="0" w:color="000000"/>
              <w:bottom w:val="single" w:sz="8" w:space="0" w:color="000000"/>
              <w:right w:val="nil" w:sz="6" w:space="0" w:color="auto"/>
            </w:tcBorders>
          </w:tcPr>
          <w:p>
            <w:pPr/>
          </w:p>
        </w:tc>
      </w:tr>
      <w:tr>
        <w:trPr>
          <w:trHeight w:val="540" w:hRule="exact"/>
        </w:trPr>
        <w:tc>
          <w:tcPr>
            <w:tcW w:w="556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-13,222,428.05</w:t>
            </w:r>
          </w:p>
        </w:tc>
        <w:tc>
          <w:tcPr>
            <w:tcW w:w="1780" w:type="dxa"/>
            <w:tcBorders>
              <w:top w:val="single" w:sz="8" w:space="0" w:color="000000"/>
              <w:left w:val="single" w:sz="8" w:space="0" w:color="000000"/>
              <w:bottom w:val="single" w:sz="8" w:space="0" w:color="000000"/>
              <w:right w:val="nil" w:sz="6" w:space="0" w:color="auto"/>
            </w:tcBorders>
          </w:tcPr>
          <w:p>
            <w:pPr/>
          </w:p>
        </w:tc>
      </w:tr>
      <w:tr>
        <w:trPr>
          <w:trHeight w:val="540" w:hRule="exact"/>
        </w:trPr>
        <w:tc>
          <w:tcPr>
            <w:tcW w:w="556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33,451,390.43</w:t>
            </w:r>
          </w:p>
        </w:tc>
        <w:tc>
          <w:tcPr>
            <w:tcW w:w="1780" w:type="dxa"/>
            <w:tcBorders>
              <w:top w:val="single" w:sz="8" w:space="0" w:color="000000"/>
              <w:left w:val="single" w:sz="8" w:space="0" w:color="000000"/>
              <w:bottom w:val="single" w:sz="8" w:space="0" w:color="000000"/>
              <w:right w:val="nil" w:sz="6" w:space="0" w:color="auto"/>
            </w:tcBorders>
          </w:tcPr>
          <w:p>
            <w:pPr/>
          </w:p>
        </w:tc>
      </w:tr>
    </w:tbl>
    <w:p>
      <w:pPr>
        <w:spacing w:after="0"/>
        <w:sectPr>
          <w:pgSz w:w="11900" w:h="16840"/>
          <w:pgMar w:header="0" w:footer="982" w:top="1040" w:bottom="1180" w:left="1360" w:right="1400"/>
        </w:sectPr>
      </w:pPr>
    </w:p>
    <w:p>
      <w:pPr>
        <w:spacing w:line="240" w:lineRule="auto" w:before="8"/>
        <w:rPr>
          <w:rFonts w:ascii="宋体" w:hAnsi="宋体" w:cs="宋体" w:eastAsia="宋体" w:hint="default"/>
          <w:sz w:val="5"/>
          <w:szCs w:val="5"/>
        </w:rPr>
      </w:pPr>
    </w:p>
    <w:p>
      <w:pPr>
        <w:spacing w:line="20" w:lineRule="exact"/>
        <w:ind w:left="246" w:right="0" w:firstLine="0"/>
        <w:rPr>
          <w:rFonts w:ascii="宋体" w:hAnsi="宋体" w:cs="宋体" w:eastAsia="宋体" w:hint="default"/>
          <w:sz w:val="2"/>
          <w:szCs w:val="2"/>
        </w:rPr>
      </w:pPr>
      <w:r>
        <w:rPr>
          <w:rFonts w:ascii="宋体" w:hAnsi="宋体" w:cs="宋体" w:eastAsia="宋体" w:hint="default"/>
          <w:sz w:val="2"/>
          <w:szCs w:val="2"/>
        </w:rPr>
        <w:pict>
          <v:group style="width:434.65pt;height:.75pt;mso-position-horizontal-relative:char;mso-position-vertical-relative:line" coordorigin="0,0" coordsize="8693,15">
            <v:group style="position:absolute;left:7;top:7;width:8679;height:2" coordorigin="7,7" coordsize="8679,2">
              <v:shape style="position:absolute;left:7;top:7;width:8679;height:2" coordorigin="7,7" coordsize="8679,0" path="m7,7l8686,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3"/>
          <w:szCs w:val="23"/>
        </w:rPr>
      </w:pPr>
    </w:p>
    <w:tbl>
      <w:tblPr>
        <w:tblW w:w="0" w:type="auto"/>
        <w:jc w:val="left"/>
        <w:tblInd w:w="118" w:type="dxa"/>
        <w:tblLayout w:type="fixed"/>
        <w:tblCellMar>
          <w:top w:w="0" w:type="dxa"/>
          <w:left w:w="0" w:type="dxa"/>
          <w:bottom w:w="0" w:type="dxa"/>
          <w:right w:w="0" w:type="dxa"/>
        </w:tblCellMar>
        <w:tblLook w:val="01E0"/>
      </w:tblPr>
      <w:tblGrid>
        <w:gridCol w:w="5560"/>
        <w:gridCol w:w="1542"/>
        <w:gridCol w:w="1780"/>
      </w:tblGrid>
      <w:tr>
        <w:trPr>
          <w:trHeight w:val="529" w:hRule="exact"/>
        </w:trPr>
        <w:tc>
          <w:tcPr>
            <w:tcW w:w="5560" w:type="dxa"/>
            <w:tcBorders>
              <w:top w:val="nil" w:sz="6" w:space="0" w:color="auto"/>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4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-622,097.71</w:t>
            </w:r>
          </w:p>
        </w:tc>
        <w:tc>
          <w:tcPr>
            <w:tcW w:w="1780" w:type="dxa"/>
            <w:tcBorders>
              <w:top w:val="nil" w:sz="6" w:space="0" w:color="auto"/>
              <w:left w:val="single" w:sz="8" w:space="0" w:color="000000"/>
              <w:bottom w:val="single" w:sz="8" w:space="0" w:color="000000"/>
              <w:right w:val="nil" w:sz="6" w:space="0" w:color="auto"/>
            </w:tcBorders>
          </w:tcPr>
          <w:p>
            <w:pPr/>
          </w:p>
        </w:tc>
      </w:tr>
      <w:tr>
        <w:trPr>
          <w:trHeight w:val="541" w:hRule="exact"/>
        </w:trPr>
        <w:tc>
          <w:tcPr>
            <w:tcW w:w="556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144,142,175.79</w:t>
            </w:r>
          </w:p>
        </w:tc>
        <w:tc>
          <w:tcPr>
            <w:tcW w:w="1780" w:type="dxa"/>
            <w:tcBorders>
              <w:top w:val="single" w:sz="8" w:space="0" w:color="000000"/>
              <w:left w:val="single" w:sz="8" w:space="0" w:color="000000"/>
              <w:bottom w:val="single" w:sz="8"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284" w:right="236"/>
        <w:jc w:val="left"/>
      </w:pPr>
      <w:r>
        <w:rPr>
          <w:rFonts w:ascii="Times New Roman" w:hAnsi="Times New Roman" w:cs="Times New Roman" w:eastAsia="Times New Roman" w:hint="default"/>
          <w:b/>
          <w:bCs/>
        </w:rPr>
        <w:t>2</w:t>
      </w:r>
      <w:r>
        <w:rPr/>
        <w:t>、净资产收益率及每股收益</w:t>
      </w:r>
    </w:p>
    <w:tbl>
      <w:tblPr>
        <w:tblW w:w="0" w:type="auto"/>
        <w:jc w:val="left"/>
        <w:tblInd w:w="156" w:type="dxa"/>
        <w:tblLayout w:type="fixed"/>
        <w:tblCellMar>
          <w:top w:w="0" w:type="dxa"/>
          <w:left w:w="0" w:type="dxa"/>
          <w:bottom w:w="0" w:type="dxa"/>
          <w:right w:w="0" w:type="dxa"/>
        </w:tblCellMar>
        <w:tblLook w:val="01E0"/>
      </w:tblPr>
      <w:tblGrid>
        <w:gridCol w:w="2816"/>
        <w:gridCol w:w="2446"/>
        <w:gridCol w:w="1782"/>
        <w:gridCol w:w="1805"/>
      </w:tblGrid>
      <w:tr>
        <w:trPr>
          <w:trHeight w:val="510" w:hRule="exact"/>
        </w:trPr>
        <w:tc>
          <w:tcPr>
            <w:tcW w:w="281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4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58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510" w:hRule="exact"/>
        </w:trPr>
        <w:tc>
          <w:tcPr>
            <w:tcW w:w="2816" w:type="dxa"/>
            <w:vMerge/>
            <w:tcBorders>
              <w:left w:val="nil" w:sz="6" w:space="0" w:color="auto"/>
              <w:bottom w:val="single" w:sz="4" w:space="0" w:color="000000"/>
              <w:right w:val="single" w:sz="4" w:space="0" w:color="000000"/>
            </w:tcBorders>
          </w:tcPr>
          <w:p>
            <w:pPr/>
          </w:p>
        </w:tc>
        <w:tc>
          <w:tcPr>
            <w:tcW w:w="2446" w:type="dxa"/>
            <w:vMerge/>
            <w:tcBorders>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10"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83" w:right="0"/>
              <w:jc w:val="left"/>
              <w:rPr>
                <w:rFonts w:ascii="Times New Roman" w:hAnsi="Times New Roman" w:cs="Times New Roman" w:eastAsia="Times New Roman" w:hint="default"/>
                <w:sz w:val="18"/>
                <w:szCs w:val="18"/>
              </w:rPr>
            </w:pPr>
            <w:r>
              <w:rPr>
                <w:rFonts w:ascii="Times New Roman"/>
                <w:sz w:val="18"/>
              </w:rPr>
              <w:t>7.51%</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0.14</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0.14</w:t>
            </w:r>
          </w:p>
        </w:tc>
      </w:tr>
      <w:tr>
        <w:trPr>
          <w:trHeight w:val="790"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2" w:right="16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53" w:right="0"/>
              <w:jc w:val="left"/>
              <w:rPr>
                <w:rFonts w:ascii="Times New Roman" w:hAnsi="Times New Roman" w:cs="Times New Roman" w:eastAsia="Times New Roman" w:hint="default"/>
                <w:sz w:val="18"/>
                <w:szCs w:val="18"/>
              </w:rPr>
            </w:pPr>
            <w:r>
              <w:rPr>
                <w:rFonts w:ascii="Times New Roman"/>
                <w:sz w:val="18"/>
              </w:rPr>
              <w:t>-9.31%</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-0.17</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-0.17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5"/>
        <w:ind w:left="284" w:right="236"/>
        <w:jc w:val="left"/>
      </w:pPr>
      <w:r>
        <w:rPr>
          <w:rFonts w:ascii="Times New Roman" w:hAnsi="Times New Roman" w:cs="Times New Roman" w:eastAsia="Times New Roman" w:hint="default"/>
          <w:b/>
          <w:bCs/>
        </w:rPr>
        <w:t>3</w:t>
      </w:r>
      <w:r>
        <w:rPr/>
        <w:t>、公司主要会计报表项目的异常情况及原因的说明</w:t>
      </w:r>
    </w:p>
    <w:p>
      <w:pPr>
        <w:spacing w:line="240" w:lineRule="auto" w:before="12"/>
        <w:rPr>
          <w:rFonts w:ascii="宋体" w:hAnsi="宋体" w:cs="宋体" w:eastAsia="宋体" w:hint="default"/>
          <w:sz w:val="15"/>
          <w:szCs w:val="15"/>
        </w:rPr>
      </w:pPr>
    </w:p>
    <w:p>
      <w:pPr>
        <w:pStyle w:val="BodyText"/>
        <w:spacing w:line="412" w:lineRule="auto"/>
        <w:ind w:left="392" w:right="236" w:firstLine="420"/>
        <w:jc w:val="left"/>
      </w:pPr>
      <w:r>
        <w:rPr>
          <w:rFonts w:ascii="Times New Roman" w:hAnsi="Times New Roman" w:cs="Times New Roman" w:eastAsia="Times New Roman" w:hint="default"/>
        </w:rPr>
        <w:t>1</w:t>
      </w:r>
      <w:r>
        <w:rPr/>
        <w:t>、货币资金期末余额较期初增加</w:t>
      </w:r>
      <w:r>
        <w:rPr>
          <w:spacing w:val="-31"/>
        </w:rPr>
        <w:t> </w:t>
      </w:r>
      <w:r>
        <w:rPr>
          <w:rFonts w:ascii="Times New Roman" w:hAnsi="Times New Roman" w:cs="Times New Roman" w:eastAsia="Times New Roman" w:hint="default"/>
        </w:rPr>
        <w:t>129.02%</w:t>
      </w:r>
      <w:r>
        <w:rPr/>
        <w:t>，原因是房地产项目售楼款增加及出售子公司 股权收到现金。</w:t>
      </w:r>
    </w:p>
    <w:p>
      <w:pPr>
        <w:pStyle w:val="BodyText"/>
        <w:spacing w:line="240" w:lineRule="auto" w:before="74"/>
        <w:ind w:left="812" w:right="236"/>
        <w:jc w:val="left"/>
      </w:pPr>
      <w:r>
        <w:rPr>
          <w:rFonts w:ascii="Times New Roman" w:hAnsi="Times New Roman" w:cs="Times New Roman" w:eastAsia="Times New Roman" w:hint="default"/>
        </w:rPr>
        <w:t>2</w:t>
      </w:r>
      <w:r>
        <w:rPr/>
        <w:t>、应收帐款期末余额较期初减少</w:t>
      </w:r>
      <w:r>
        <w:rPr>
          <w:spacing w:val="-56"/>
        </w:rPr>
        <w:t> </w:t>
      </w:r>
      <w:r>
        <w:rPr>
          <w:rFonts w:ascii="Times New Roman" w:hAnsi="Times New Roman" w:cs="Times New Roman" w:eastAsia="Times New Roman" w:hint="default"/>
        </w:rPr>
        <w:t>42%</w:t>
      </w:r>
      <w:r>
        <w:rPr/>
        <w:t>，原因为本期收回部分欠款。</w:t>
      </w:r>
    </w:p>
    <w:p>
      <w:pPr>
        <w:spacing w:line="240" w:lineRule="auto" w:before="12"/>
        <w:rPr>
          <w:rFonts w:ascii="宋体" w:hAnsi="宋体" w:cs="宋体" w:eastAsia="宋体" w:hint="default"/>
          <w:sz w:val="15"/>
          <w:szCs w:val="15"/>
        </w:rPr>
      </w:pPr>
    </w:p>
    <w:p>
      <w:pPr>
        <w:pStyle w:val="BodyText"/>
        <w:spacing w:line="412" w:lineRule="auto"/>
        <w:ind w:left="392" w:right="236" w:firstLine="420"/>
        <w:jc w:val="left"/>
      </w:pPr>
      <w:r>
        <w:rPr>
          <w:rFonts w:ascii="Times New Roman" w:hAnsi="Times New Roman" w:cs="Times New Roman" w:eastAsia="Times New Roman" w:hint="default"/>
        </w:rPr>
        <w:t>3</w:t>
      </w:r>
      <w:r>
        <w:rPr/>
        <w:t>、预付帐款期末余额较期初增加</w:t>
      </w:r>
      <w:r>
        <w:rPr>
          <w:spacing w:val="-31"/>
        </w:rPr>
        <w:t> </w:t>
      </w:r>
      <w:r>
        <w:rPr>
          <w:rFonts w:ascii="Times New Roman" w:hAnsi="Times New Roman" w:cs="Times New Roman" w:eastAsia="Times New Roman" w:hint="default"/>
        </w:rPr>
        <w:t>123.29%</w:t>
      </w:r>
      <w:r>
        <w:rPr/>
        <w:t>，原因为本期公司房地产项目增加预付工程款 及支付</w:t>
      </w:r>
      <w:r>
        <w:rPr>
          <w:spacing w:val="-54"/>
        </w:rPr>
        <w:t> </w:t>
      </w:r>
      <w:r>
        <w:rPr>
          <w:rFonts w:ascii="Times New Roman" w:hAnsi="Times New Roman" w:cs="Times New Roman" w:eastAsia="Times New Roman" w:hint="default"/>
        </w:rPr>
        <w:t>360</w:t>
      </w:r>
      <w:r>
        <w:rPr>
          <w:rFonts w:ascii="Times New Roman" w:hAnsi="Times New Roman" w:cs="Times New Roman" w:eastAsia="Times New Roman" w:hint="default"/>
          <w:spacing w:val="-2"/>
        </w:rPr>
        <w:t> </w:t>
      </w:r>
      <w:r>
        <w:rPr/>
        <w:t>台出租车更新车款。</w:t>
      </w:r>
    </w:p>
    <w:p>
      <w:pPr>
        <w:pStyle w:val="BodyText"/>
        <w:spacing w:line="412" w:lineRule="auto" w:before="42"/>
        <w:ind w:left="392" w:right="233" w:firstLine="419"/>
        <w:jc w:val="left"/>
      </w:pPr>
      <w:r>
        <w:rPr>
          <w:rFonts w:ascii="Times New Roman" w:hAnsi="Times New Roman" w:cs="Times New Roman" w:eastAsia="Times New Roman" w:hint="default"/>
          <w:spacing w:val="-3"/>
        </w:rPr>
        <w:t>4</w:t>
      </w:r>
      <w:r>
        <w:rPr>
          <w:spacing w:val="-3"/>
        </w:rPr>
        <w:t>、其他应收款期末余额较期初减少</w:t>
      </w:r>
      <w:r>
        <w:rPr>
          <w:spacing w:val="-84"/>
        </w:rPr>
        <w:t> </w:t>
      </w:r>
      <w:r>
        <w:rPr>
          <w:rFonts w:ascii="Times New Roman" w:hAnsi="Times New Roman" w:cs="Times New Roman" w:eastAsia="Times New Roman" w:hint="default"/>
        </w:rPr>
        <w:t>31.40%</w:t>
      </w:r>
      <w:r>
        <w:rPr/>
        <w:t>，原因为本期收回正中置业公司鸿基花园三期 项目固定收益尾款及富迪康贸易公司、正邦工程公司还款。</w:t>
      </w:r>
    </w:p>
    <w:p>
      <w:pPr>
        <w:pStyle w:val="BodyText"/>
        <w:spacing w:line="240" w:lineRule="auto" w:before="74"/>
        <w:ind w:left="812" w:right="236"/>
        <w:jc w:val="left"/>
      </w:pPr>
      <w:r>
        <w:rPr>
          <w:rFonts w:ascii="Times New Roman" w:hAnsi="Times New Roman" w:cs="Times New Roman" w:eastAsia="Times New Roman" w:hint="default"/>
        </w:rPr>
        <w:t>5</w:t>
      </w:r>
      <w:r>
        <w:rPr/>
        <w:t>、应收股利期末余额较期初减少</w:t>
      </w:r>
      <w:r>
        <w:rPr>
          <w:spacing w:val="-59"/>
        </w:rPr>
        <w:t> </w:t>
      </w:r>
      <w:r>
        <w:rPr>
          <w:rFonts w:ascii="Times New Roman" w:hAnsi="Times New Roman" w:cs="Times New Roman" w:eastAsia="Times New Roman" w:hint="default"/>
        </w:rPr>
        <w:t>57.97%</w:t>
      </w:r>
      <w:r>
        <w:rPr/>
        <w:t>，原因为本期收到鸿丰酒店股利。</w:t>
      </w:r>
    </w:p>
    <w:p>
      <w:pPr>
        <w:spacing w:line="240" w:lineRule="auto" w:before="0"/>
        <w:rPr>
          <w:rFonts w:ascii="宋体" w:hAnsi="宋体" w:cs="宋体" w:eastAsia="宋体" w:hint="default"/>
          <w:sz w:val="16"/>
          <w:szCs w:val="16"/>
        </w:rPr>
      </w:pPr>
    </w:p>
    <w:p>
      <w:pPr>
        <w:pStyle w:val="BodyText"/>
        <w:spacing w:line="412" w:lineRule="auto"/>
        <w:ind w:left="392" w:right="231" w:firstLine="420"/>
        <w:jc w:val="left"/>
      </w:pPr>
      <w:r>
        <w:rPr>
          <w:rFonts w:ascii="Times New Roman" w:hAnsi="Times New Roman" w:cs="Times New Roman" w:eastAsia="Times New Roman" w:hint="default"/>
        </w:rPr>
        <w:t>6</w:t>
      </w:r>
      <w:r>
        <w:rPr/>
        <w:t>、存货期末余额较期初增加</w:t>
      </w:r>
      <w:r>
        <w:rPr>
          <w:spacing w:val="-84"/>
        </w:rPr>
        <w:t> </w:t>
      </w:r>
      <w:r>
        <w:rPr>
          <w:rFonts w:ascii="Times New Roman" w:hAnsi="Times New Roman" w:cs="Times New Roman" w:eastAsia="Times New Roman" w:hint="default"/>
        </w:rPr>
        <w:t>33.81%</w:t>
      </w:r>
      <w:r>
        <w:rPr/>
        <w:t>，原因为本期西安</w:t>
      </w:r>
      <w:r>
        <w:rPr>
          <w:rFonts w:ascii="Times New Roman" w:hAnsi="Times New Roman" w:cs="Times New Roman" w:eastAsia="Times New Roman" w:hint="default"/>
        </w:rPr>
        <w:t>“</w:t>
      </w:r>
      <w:r>
        <w:rPr/>
        <w:t>鸿基新城</w:t>
      </w:r>
      <w:r>
        <w:rPr>
          <w:rFonts w:ascii="Times New Roman" w:hAnsi="Times New Roman" w:cs="Times New Roman" w:eastAsia="Times New Roman" w:hint="default"/>
        </w:rPr>
        <w:t>”</w:t>
      </w:r>
      <w:r>
        <w:rPr/>
        <w:t>、西安</w:t>
      </w:r>
      <w:r>
        <w:rPr>
          <w:rFonts w:ascii="Times New Roman" w:hAnsi="Times New Roman" w:cs="Times New Roman" w:eastAsia="Times New Roman" w:hint="default"/>
        </w:rPr>
        <w:t>“</w:t>
      </w:r>
      <w:r>
        <w:rPr/>
        <w:t>紫韵</w:t>
      </w:r>
      <w:r>
        <w:rPr>
          <w:rFonts w:ascii="Times New Roman" w:hAnsi="Times New Roman" w:cs="Times New Roman" w:eastAsia="Times New Roman" w:hint="default"/>
        </w:rPr>
        <w:t>”</w:t>
      </w:r>
      <w:r>
        <w:rPr/>
        <w:t>房地产项 目开发成本增加。</w:t>
      </w:r>
    </w:p>
    <w:p>
      <w:pPr>
        <w:pStyle w:val="BodyText"/>
        <w:spacing w:line="412" w:lineRule="auto" w:before="74"/>
        <w:ind w:left="391" w:right="247" w:firstLine="420"/>
        <w:jc w:val="both"/>
        <w:rPr>
          <w:rFonts w:ascii="Times New Roman" w:hAnsi="Times New Roman" w:cs="Times New Roman" w:eastAsia="Times New Roman" w:hint="default"/>
        </w:rPr>
      </w:pPr>
      <w:r>
        <w:rPr>
          <w:rFonts w:ascii="Times New Roman" w:hAnsi="Times New Roman" w:cs="Times New Roman" w:eastAsia="Times New Roman" w:hint="default"/>
          <w:spacing w:val="2"/>
        </w:rPr>
        <w:t>7</w:t>
      </w:r>
      <w:r>
        <w:rPr>
          <w:spacing w:val="2"/>
        </w:rPr>
        <w:t>、可供出售金融资产期末余额较期初增加</w:t>
      </w:r>
      <w:r>
        <w:rPr>
          <w:spacing w:val="37"/>
        </w:rPr>
        <w:t> </w:t>
      </w:r>
      <w:r>
        <w:rPr>
          <w:rFonts w:ascii="Times New Roman" w:hAnsi="Times New Roman" w:cs="Times New Roman" w:eastAsia="Times New Roman" w:hint="default"/>
        </w:rPr>
        <w:t>75.51%</w:t>
      </w:r>
      <w:r>
        <w:rPr/>
        <w:t>，原因为本期公司持有的</w:t>
      </w:r>
      <w:r>
        <w:rPr>
          <w:rFonts w:ascii="Times New Roman" w:hAnsi="Times New Roman" w:cs="Times New Roman" w:eastAsia="Times New Roman" w:hint="default"/>
        </w:rPr>
        <w:t>“</w:t>
      </w:r>
      <w:r>
        <w:rPr/>
        <w:t>招商证券</w:t>
      </w:r>
      <w:r>
        <w:rPr>
          <w:rFonts w:ascii="Times New Roman" w:hAnsi="Times New Roman" w:cs="Times New Roman" w:eastAsia="Times New Roman" w:hint="default"/>
        </w:rPr>
        <w:t>” </w:t>
      </w:r>
      <w:r>
        <w:rPr>
          <w:spacing w:val="-3"/>
        </w:rPr>
        <w:t>在上海证券交易所向社会首次公开发行人民普通股（</w:t>
      </w:r>
      <w:r>
        <w:rPr>
          <w:rFonts w:ascii="Times New Roman" w:hAnsi="Times New Roman" w:cs="Times New Roman" w:eastAsia="Times New Roman" w:hint="default"/>
          <w:spacing w:val="-3"/>
        </w:rPr>
        <w:t>A</w:t>
      </w:r>
      <w:r>
        <w:rPr>
          <w:rFonts w:ascii="Times New Roman" w:hAnsi="Times New Roman" w:cs="Times New Roman" w:eastAsia="Times New Roman" w:hint="default"/>
          <w:spacing w:val="2"/>
        </w:rPr>
        <w:t> </w:t>
      </w:r>
      <w:r>
        <w:rPr>
          <w:spacing w:val="-31"/>
        </w:rPr>
        <w:t>股），并于</w:t>
      </w:r>
      <w:r>
        <w:rPr>
          <w:spacing w:val="-50"/>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spacing w:val="-1"/>
        </w:rPr>
        <w:t>17</w:t>
      </w:r>
      <w:r>
        <w:rPr>
          <w:rFonts w:ascii="Times New Roman" w:hAnsi="Times New Roman" w:cs="Times New Roman" w:eastAsia="Times New Roman" w:hint="default"/>
          <w:spacing w:val="2"/>
        </w:rPr>
        <w:t> </w:t>
      </w:r>
      <w:r>
        <w:rPr/>
        <w:t>日在上交所 </w:t>
      </w:r>
      <w:r>
        <w:rPr>
          <w:spacing w:val="-5"/>
        </w:rPr>
        <w:t>上市交易，根据其《首次发行股票招股意向书》相关内容，公司持有限售条件流通股将于</w:t>
      </w:r>
      <w:r>
        <w:rPr>
          <w:spacing w:val="-25"/>
        </w:rPr>
        <w:t> </w:t>
      </w:r>
      <w:r>
        <w:rPr>
          <w:rFonts w:ascii="Times New Roman" w:hAnsi="Times New Roman" w:cs="Times New Roman" w:eastAsia="Times New Roman" w:hint="default"/>
        </w:rPr>
        <w:t>2010</w:t>
      </w:r>
    </w:p>
    <w:p>
      <w:pPr>
        <w:pStyle w:val="BodyText"/>
        <w:spacing w:line="412" w:lineRule="auto" w:before="42"/>
        <w:ind w:left="391" w:right="237"/>
        <w:jc w:val="left"/>
      </w:pPr>
      <w:r>
        <w:rPr/>
        <w:t>年</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日起获得流通权。本期按持有目的，调整计入可供出售金融资产，期末按公允价值 计价。</w:t>
      </w:r>
    </w:p>
    <w:p>
      <w:pPr>
        <w:pStyle w:val="BodyText"/>
        <w:spacing w:line="240" w:lineRule="auto" w:before="73"/>
        <w:ind w:left="811" w:right="236"/>
        <w:jc w:val="left"/>
      </w:pPr>
      <w:r>
        <w:rPr>
          <w:rFonts w:ascii="Times New Roman" w:hAnsi="Times New Roman" w:cs="Times New Roman" w:eastAsia="Times New Roman" w:hint="default"/>
        </w:rPr>
        <w:t>8</w:t>
      </w:r>
      <w:r>
        <w:rPr/>
        <w:t>、投资性房地产期末余额较期初增加</w:t>
      </w:r>
      <w:r>
        <w:rPr>
          <w:spacing w:val="-59"/>
        </w:rPr>
        <w:t> </w:t>
      </w:r>
      <w:r>
        <w:rPr>
          <w:rFonts w:ascii="Times New Roman" w:hAnsi="Times New Roman" w:cs="Times New Roman" w:eastAsia="Times New Roman" w:hint="default"/>
        </w:rPr>
        <w:t>23.97%</w:t>
      </w:r>
      <w:r>
        <w:rPr/>
        <w:t>，原因为本期置换入资产增加。</w:t>
      </w:r>
    </w:p>
    <w:p>
      <w:pPr>
        <w:spacing w:line="240" w:lineRule="auto" w:before="0"/>
        <w:rPr>
          <w:rFonts w:ascii="宋体" w:hAnsi="宋体" w:cs="宋体" w:eastAsia="宋体" w:hint="default"/>
          <w:sz w:val="16"/>
          <w:szCs w:val="16"/>
        </w:rPr>
      </w:pPr>
    </w:p>
    <w:p>
      <w:pPr>
        <w:pStyle w:val="BodyText"/>
        <w:spacing w:line="240" w:lineRule="auto"/>
        <w:ind w:left="811" w:right="236"/>
        <w:jc w:val="left"/>
      </w:pPr>
      <w:r>
        <w:rPr>
          <w:rFonts w:ascii="Times New Roman" w:hAnsi="Times New Roman" w:cs="Times New Roman" w:eastAsia="Times New Roman" w:hint="default"/>
        </w:rPr>
        <w:t>9</w:t>
      </w:r>
      <w:r>
        <w:rPr/>
        <w:t>、固定资产期末余额较期初减少</w:t>
      </w:r>
      <w:r>
        <w:rPr>
          <w:spacing w:val="-59"/>
        </w:rPr>
        <w:t> </w:t>
      </w:r>
      <w:r>
        <w:rPr>
          <w:rFonts w:ascii="Times New Roman" w:hAnsi="Times New Roman" w:cs="Times New Roman" w:eastAsia="Times New Roman" w:hint="default"/>
        </w:rPr>
        <w:t>13.03%</w:t>
      </w:r>
      <w:r>
        <w:rPr/>
        <w:t>，原因为本期转让子公司。</w:t>
      </w:r>
    </w:p>
    <w:p>
      <w:pPr>
        <w:spacing w:after="0" w:line="240" w:lineRule="auto"/>
        <w:jc w:val="left"/>
        <w:sectPr>
          <w:pgSz w:w="11900" w:h="16840"/>
          <w:pgMar w:header="0" w:footer="982" w:top="1040" w:bottom="1180" w:left="1360" w:right="1400"/>
        </w:sectPr>
      </w:pPr>
    </w:p>
    <w:p>
      <w:pPr>
        <w:spacing w:line="240" w:lineRule="auto" w:before="8"/>
        <w:rPr>
          <w:rFonts w:ascii="宋体" w:hAnsi="宋体" w:cs="宋体" w:eastAsia="宋体" w:hint="default"/>
          <w:sz w:val="5"/>
          <w:szCs w:val="5"/>
        </w:rPr>
      </w:pPr>
    </w:p>
    <w:p>
      <w:pPr>
        <w:spacing w:line="20" w:lineRule="exact"/>
        <w:ind w:left="346" w:right="0" w:firstLine="0"/>
        <w:rPr>
          <w:rFonts w:ascii="宋体" w:hAnsi="宋体" w:cs="宋体" w:eastAsia="宋体" w:hint="default"/>
          <w:sz w:val="2"/>
          <w:szCs w:val="2"/>
        </w:rPr>
      </w:pPr>
      <w:r>
        <w:rPr>
          <w:rFonts w:ascii="宋体" w:hAnsi="宋体" w:cs="宋体" w:eastAsia="宋体" w:hint="default"/>
          <w:sz w:val="2"/>
          <w:szCs w:val="2"/>
        </w:rPr>
        <w:pict>
          <v:group style="width:434.65pt;height:.75pt;mso-position-horizontal-relative:char;mso-position-vertical-relative:line" coordorigin="0,0" coordsize="8693,15">
            <v:group style="position:absolute;left:7;top:7;width:8679;height:2" coordorigin="7,7" coordsize="8679,2">
              <v:shape style="position:absolute;left:7;top:7;width:8679;height:2" coordorigin="7,7" coordsize="8679,0" path="m7,7l868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412" w:lineRule="auto" w:before="35"/>
        <w:ind w:left="491" w:right="193" w:firstLine="420"/>
        <w:jc w:val="left"/>
      </w:pPr>
      <w:r>
        <w:rPr>
          <w:rFonts w:ascii="Times New Roman" w:hAnsi="Times New Roman" w:cs="Times New Roman" w:eastAsia="Times New Roman" w:hint="default"/>
        </w:rPr>
        <w:t>10</w:t>
      </w:r>
      <w:r>
        <w:rPr/>
        <w:t>、商誉期末余额较期初减少</w:t>
      </w:r>
      <w:r>
        <w:rPr>
          <w:spacing w:val="-79"/>
        </w:rPr>
        <w:t> </w:t>
      </w:r>
      <w:r>
        <w:rPr>
          <w:rFonts w:ascii="Times New Roman" w:hAnsi="Times New Roman" w:cs="Times New Roman" w:eastAsia="Times New Roman" w:hint="default"/>
        </w:rPr>
        <w:t>100%</w:t>
      </w:r>
      <w:r>
        <w:rPr/>
        <w:t>，原因为本期对物流股权进行减值测试后，全额计提 减值准备。</w:t>
      </w:r>
    </w:p>
    <w:p>
      <w:pPr>
        <w:pStyle w:val="BodyText"/>
        <w:spacing w:line="412" w:lineRule="auto" w:before="73"/>
        <w:ind w:left="491" w:right="197" w:firstLine="420"/>
        <w:jc w:val="left"/>
      </w:pPr>
      <w:r>
        <w:rPr>
          <w:rFonts w:ascii="Times New Roman" w:hAnsi="Times New Roman" w:cs="Times New Roman" w:eastAsia="Times New Roman" w:hint="default"/>
        </w:rPr>
        <w:t>11</w:t>
      </w:r>
      <w:r>
        <w:rPr/>
        <w:t>、预收款项期末余额较期初增加</w:t>
      </w:r>
      <w:r>
        <w:rPr>
          <w:spacing w:val="-31"/>
        </w:rPr>
        <w:t> </w:t>
      </w:r>
      <w:r>
        <w:rPr>
          <w:rFonts w:ascii="Times New Roman" w:hAnsi="Times New Roman" w:cs="Times New Roman" w:eastAsia="Times New Roman" w:hint="default"/>
        </w:rPr>
        <w:t>2219.07%</w:t>
      </w:r>
      <w:r>
        <w:rPr/>
        <w:t>，原因为本期房地产项目取得预售许可证对 外销售，预收售楼款增加。</w:t>
      </w:r>
    </w:p>
    <w:p>
      <w:pPr>
        <w:pStyle w:val="BodyText"/>
        <w:spacing w:line="412" w:lineRule="auto" w:before="74"/>
        <w:ind w:left="491" w:right="92" w:firstLine="420"/>
        <w:jc w:val="left"/>
      </w:pPr>
      <w:r>
        <w:rPr>
          <w:rFonts w:ascii="Times New Roman" w:hAnsi="Times New Roman" w:cs="Times New Roman" w:eastAsia="Times New Roman" w:hint="default"/>
        </w:rPr>
        <w:t>12</w:t>
      </w:r>
      <w:r>
        <w:rPr/>
        <w:t>、其他应付款期末余额较期初减少</w:t>
      </w:r>
      <w:r>
        <w:rPr>
          <w:spacing w:val="-58"/>
        </w:rPr>
        <w:t> </w:t>
      </w:r>
      <w:r>
        <w:rPr>
          <w:rFonts w:ascii="Times New Roman" w:hAnsi="Times New Roman" w:cs="Times New Roman" w:eastAsia="Times New Roman" w:hint="default"/>
          <w:spacing w:val="-3"/>
        </w:rPr>
        <w:t>54.12%</w:t>
      </w:r>
      <w:r>
        <w:rPr>
          <w:spacing w:val="-3"/>
        </w:rPr>
        <w:t>，原因为本期支付城市策略、中天建设集团、</w:t>
      </w:r>
      <w:r>
        <w:rPr/>
        <w:t> 北京安康伟业、陕西长建等公司往来款。</w:t>
      </w:r>
    </w:p>
    <w:p>
      <w:pPr>
        <w:pStyle w:val="BodyText"/>
        <w:spacing w:line="240" w:lineRule="auto" w:before="74"/>
        <w:ind w:left="911" w:right="92"/>
        <w:jc w:val="left"/>
        <w:rPr>
          <w:rFonts w:ascii="Times New Roman" w:hAnsi="Times New Roman" w:cs="Times New Roman" w:eastAsia="Times New Roman" w:hint="default"/>
        </w:rPr>
      </w:pPr>
      <w:r>
        <w:rPr>
          <w:rFonts w:ascii="Times New Roman" w:hAnsi="Times New Roman" w:cs="Times New Roman" w:eastAsia="Times New Roman" w:hint="default"/>
        </w:rPr>
        <w:t>13</w:t>
      </w:r>
      <w:r>
        <w:rPr/>
        <w:t>、营业收入较上期增加 </w:t>
      </w:r>
      <w:r>
        <w:rPr>
          <w:rFonts w:ascii="Times New Roman" w:hAnsi="Times New Roman" w:cs="Times New Roman" w:eastAsia="Times New Roman" w:hint="default"/>
        </w:rPr>
        <w:t>118.51%</w:t>
      </w:r>
      <w:r>
        <w:rPr/>
        <w:t>，原因为本期结转房地产项目鸿翠苑销售收入</w:t>
      </w:r>
      <w:r>
        <w:rPr>
          <w:spacing w:val="16"/>
        </w:rPr>
        <w:t> </w:t>
      </w:r>
      <w:r>
        <w:rPr>
          <w:rFonts w:ascii="Times New Roman" w:hAnsi="Times New Roman" w:cs="Times New Roman" w:eastAsia="Times New Roman" w:hint="default"/>
        </w:rPr>
        <w:t>37,600</w:t>
      </w:r>
    </w:p>
    <w:p>
      <w:pPr>
        <w:spacing w:line="240" w:lineRule="auto" w:before="3"/>
        <w:rPr>
          <w:rFonts w:ascii="Times New Roman" w:hAnsi="Times New Roman" w:cs="Times New Roman" w:eastAsia="Times New Roman" w:hint="default"/>
          <w:sz w:val="18"/>
          <w:szCs w:val="18"/>
        </w:rPr>
      </w:pPr>
    </w:p>
    <w:p>
      <w:pPr>
        <w:pStyle w:val="BodyText"/>
        <w:spacing w:line="240" w:lineRule="auto"/>
        <w:ind w:left="491" w:right="193"/>
        <w:jc w:val="left"/>
      </w:pPr>
      <w:r>
        <w:rPr/>
        <w:t>万元。</w:t>
      </w:r>
    </w:p>
    <w:p>
      <w:pPr>
        <w:spacing w:line="240" w:lineRule="auto" w:before="2"/>
        <w:rPr>
          <w:rFonts w:ascii="宋体" w:hAnsi="宋体" w:cs="宋体" w:eastAsia="宋体" w:hint="default"/>
          <w:sz w:val="17"/>
          <w:szCs w:val="17"/>
        </w:rPr>
      </w:pPr>
    </w:p>
    <w:p>
      <w:pPr>
        <w:pStyle w:val="BodyText"/>
        <w:spacing w:line="240" w:lineRule="auto"/>
        <w:ind w:left="911" w:right="193"/>
        <w:jc w:val="left"/>
      </w:pPr>
      <w:r>
        <w:rPr>
          <w:rFonts w:ascii="Times New Roman" w:hAnsi="Times New Roman" w:cs="Times New Roman" w:eastAsia="Times New Roman" w:hint="default"/>
        </w:rPr>
        <w:t>14</w:t>
      </w:r>
      <w:r>
        <w:rPr/>
        <w:t>、营业成本较上期增加</w:t>
      </w:r>
      <w:r>
        <w:rPr>
          <w:spacing w:val="-57"/>
        </w:rPr>
        <w:t> </w:t>
      </w:r>
      <w:r>
        <w:rPr>
          <w:rFonts w:ascii="Times New Roman" w:hAnsi="Times New Roman" w:cs="Times New Roman" w:eastAsia="Times New Roman" w:hint="default"/>
        </w:rPr>
        <w:t>133.53%</w:t>
      </w:r>
      <w:r>
        <w:rPr/>
        <w:t>，原因为本期结转鸿翠苑项目销售成本</w:t>
      </w:r>
      <w:r>
        <w:rPr>
          <w:spacing w:val="-57"/>
        </w:rPr>
        <w:t> </w:t>
      </w:r>
      <w:r>
        <w:rPr>
          <w:rFonts w:ascii="Times New Roman" w:hAnsi="Times New Roman" w:cs="Times New Roman" w:eastAsia="Times New Roman" w:hint="default"/>
        </w:rPr>
        <w:t>25,700</w:t>
      </w:r>
      <w:r>
        <w:rPr>
          <w:rFonts w:ascii="Times New Roman" w:hAnsi="Times New Roman" w:cs="Times New Roman" w:eastAsia="Times New Roman" w:hint="default"/>
          <w:spacing w:val="-4"/>
        </w:rPr>
        <w:t> </w:t>
      </w:r>
      <w:r>
        <w:rPr/>
        <w:t>万元。</w:t>
      </w:r>
    </w:p>
    <w:p>
      <w:pPr>
        <w:spacing w:line="240" w:lineRule="auto" w:before="0"/>
        <w:rPr>
          <w:rFonts w:ascii="宋体" w:hAnsi="宋体" w:cs="宋体" w:eastAsia="宋体" w:hint="default"/>
          <w:sz w:val="16"/>
          <w:szCs w:val="16"/>
        </w:rPr>
      </w:pPr>
    </w:p>
    <w:p>
      <w:pPr>
        <w:pStyle w:val="BodyText"/>
        <w:spacing w:line="240" w:lineRule="auto"/>
        <w:ind w:left="911" w:right="193"/>
        <w:jc w:val="left"/>
      </w:pPr>
      <w:r>
        <w:rPr>
          <w:rFonts w:ascii="Times New Roman" w:hAnsi="Times New Roman" w:cs="Times New Roman" w:eastAsia="Times New Roman" w:hint="default"/>
        </w:rPr>
        <w:t>15</w:t>
      </w:r>
      <w:r>
        <w:rPr/>
        <w:t>、资产减值损失较上期减少</w:t>
      </w:r>
      <w:r>
        <w:rPr>
          <w:spacing w:val="-60"/>
        </w:rPr>
        <w:t> </w:t>
      </w:r>
      <w:r>
        <w:rPr>
          <w:rFonts w:ascii="Times New Roman" w:hAnsi="Times New Roman" w:cs="Times New Roman" w:eastAsia="Times New Roman" w:hint="default"/>
        </w:rPr>
        <w:t>201,20%</w:t>
      </w:r>
      <w:r>
        <w:rPr/>
        <w:t>，原因为本期其他应收款减值准备转回。</w:t>
      </w:r>
    </w:p>
    <w:p>
      <w:pPr>
        <w:spacing w:line="240" w:lineRule="auto" w:before="0"/>
        <w:rPr>
          <w:rFonts w:ascii="宋体" w:hAnsi="宋体" w:cs="宋体" w:eastAsia="宋体" w:hint="default"/>
          <w:sz w:val="16"/>
          <w:szCs w:val="16"/>
        </w:rPr>
      </w:pPr>
    </w:p>
    <w:p>
      <w:pPr>
        <w:pStyle w:val="BodyText"/>
        <w:spacing w:line="240" w:lineRule="auto"/>
        <w:ind w:left="911" w:right="193"/>
        <w:jc w:val="left"/>
      </w:pPr>
      <w:r>
        <w:rPr>
          <w:rFonts w:ascii="Times New Roman" w:hAnsi="Times New Roman" w:cs="Times New Roman" w:eastAsia="Times New Roman" w:hint="default"/>
        </w:rPr>
        <w:t>16</w:t>
      </w:r>
      <w:r>
        <w:rPr/>
        <w:t>、营业外支出较上期增加</w:t>
      </w:r>
      <w:r>
        <w:rPr>
          <w:spacing w:val="-67"/>
        </w:rPr>
        <w:t> </w:t>
      </w:r>
      <w:r>
        <w:rPr>
          <w:rFonts w:ascii="Times New Roman" w:hAnsi="Times New Roman" w:cs="Times New Roman" w:eastAsia="Times New Roman" w:hint="default"/>
        </w:rPr>
        <w:t>116.34</w:t>
      </w:r>
      <w:r>
        <w:rPr/>
        <w:t>％，原因为本期罚款及滞纳金支出增加。</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4"/>
          <w:szCs w:val="24"/>
        </w:rPr>
      </w:pPr>
    </w:p>
    <w:p>
      <w:pPr>
        <w:pStyle w:val="BodyText"/>
        <w:tabs>
          <w:tab w:pos="2830" w:val="left" w:leader="none"/>
          <w:tab w:pos="6295" w:val="left" w:leader="none"/>
        </w:tabs>
        <w:spacing w:line="240" w:lineRule="auto"/>
        <w:ind w:left="100" w:right="193"/>
        <w:jc w:val="left"/>
      </w:pPr>
      <w:r>
        <w:rPr/>
        <w:t>法定代表人：陈泰泉</w:t>
        <w:tab/>
      </w:r>
      <w:r>
        <w:rPr>
          <w:spacing w:val="-1"/>
        </w:rPr>
        <w:t>主管会计工作负责人：钟民</w:t>
        <w:tab/>
        <w:t>会计机构负责人：钟民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tabs>
          <w:tab w:pos="1360" w:val="left" w:leader="none"/>
          <w:tab w:pos="4876" w:val="left" w:leader="none"/>
        </w:tabs>
        <w:spacing w:line="240" w:lineRule="auto"/>
        <w:ind w:left="100" w:right="193"/>
        <w:jc w:val="left"/>
      </w:pPr>
      <w:r>
        <w:rPr/>
        <w:t>日</w:t>
        <w:tab/>
        <w:t>期： </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2010 </w:t>
      </w:r>
      <w:r>
        <w:rPr>
          <w:u w:val="single" w:color="000000"/>
        </w:rPr>
        <w:t>年 </w:t>
      </w:r>
      <w:r>
        <w:rPr>
          <w:rFonts w:ascii="Times New Roman" w:hAnsi="Times New Roman" w:cs="Times New Roman" w:eastAsia="Times New Roman" w:hint="default"/>
          <w:u w:val="single" w:color="000000"/>
        </w:rPr>
        <w:t>3 </w:t>
      </w:r>
      <w:r>
        <w:rPr>
          <w:u w:val="single" w:color="000000"/>
        </w:rPr>
        <w:t>月 </w:t>
      </w:r>
      <w:r>
        <w:rPr>
          <w:rFonts w:ascii="Times New Roman" w:hAnsi="Times New Roman" w:cs="Times New Roman" w:eastAsia="Times New Roman" w:hint="default"/>
          <w:u w:val="single" w:color="000000"/>
        </w:rPr>
        <w:t>22</w:t>
      </w:r>
      <w:r>
        <w:rPr>
          <w:rFonts w:ascii="Times New Roman" w:hAnsi="Times New Roman" w:cs="Times New Roman" w:eastAsia="Times New Roman" w:hint="default"/>
          <w:spacing w:val="-7"/>
          <w:u w:val="single" w:color="000000"/>
        </w:rPr>
        <w:t> </w:t>
      </w:r>
      <w:r>
        <w:rPr>
          <w:u w:val="single" w:color="000000"/>
        </w:rPr>
        <w:t>日</w:t>
        <w:tab/>
      </w:r>
      <w:r>
        <w:rPr/>
      </w:r>
    </w:p>
    <w:sectPr>
      <w:pgSz w:w="11900" w:h="16840"/>
      <w:pgMar w:header="0" w:footer="982" w:top="1040" w:bottom="1180" w:left="126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Arial">
    <w:altName w:val="Arial"/>
    <w:charset w:val="0"/>
    <w:family w:val="swiss"/>
    <w:pitch w:val="variable"/>
  </w:font>
  <w:font w:name="新宋体">
    <w:altName w:val="新宋体"/>
    <w:charset w:val="86"/>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6"/>
        <w:szCs w:val="16"/>
      </w:rPr>
    </w:pPr>
    <w:r>
      <w:rPr/>
      <w:pict>
        <v:shapetype id="_x0000_t202" o:spt="202" coordsize="21600,21600" path="m,l,21600r21600,l21600,xe">
          <v:stroke joinstyle="miter"/>
          <v:path gradientshapeok="t" o:connecttype="rect"/>
        </v:shapetype>
        <v:shape style="position:absolute;margin-left:293.440002pt;margin-top:781.897644pt;width:13pt;height:11pt;mso-position-horizontal-relative:page;mso-position-vertical-relative:page;z-index:-810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002pt;margin-top:781.897644pt;width:13pt;height:11pt;mso-position-horizontal-relative:page;mso-position-vertical-relative:page;z-index:-810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48</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730499pt;margin-top:535.297913pt;width:13pt;height:11pt;mso-position-horizontal-relative:page;mso-position-vertical-relative:page;z-index:-810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002pt;margin-top:781.897644pt;width:13pt;height:11pt;mso-position-horizontal-relative:page;mso-position-vertical-relative:page;z-index:-810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73</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416.730499pt;margin-top:535.297913pt;width:13pt;height:11pt;mso-position-horizontal-relative:page;mso-position-vertical-relative:page;z-index:-810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84</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2.119995pt;margin-top:781.897522pt;width:13pt;height:11pt;mso-position-horizontal-relative:page;mso-position-vertical-relative:page;z-index:-810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38031pt;margin-top:781.897644pt;width:8.5pt;height:11pt;mso-position-horizontal-relative:page;mso-position-vertical-relative:page;z-index:-810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766.796936pt;width:96.5pt;height:12.5pt;mso-position-horizontal-relative:page;mso-position-vertical-relative:page;z-index:-810640" type="#_x0000_t202" filled="false" stroked="false">
          <v:textbox inset="0,0,0,0">
            <w:txbxContent>
              <w:p>
                <w:pPr>
                  <w:pStyle w:val="BodyText"/>
                  <w:spacing w:line="230" w:lineRule="exact"/>
                  <w:ind w:left="20" w:right="0"/>
                  <w:jc w:val="left"/>
                </w:pPr>
                <w:r>
                  <w:rPr/>
                  <w:t>法定代表人：陈泰泉</w:t>
                </w:r>
              </w:p>
            </w:txbxContent>
          </v:textbox>
          <w10:wrap type="none"/>
        </v:shape>
      </w:pict>
    </w:r>
    <w:r>
      <w:rPr/>
      <w:pict>
        <v:shape style="position:absolute;margin-left:228.919556pt;margin-top:766.796936pt;width:127.95pt;height:26.1pt;mso-position-horizontal-relative:page;mso-position-vertical-relative:page;z-index:-810616" type="#_x0000_t202" filled="false" stroked="false">
          <v:textbox inset="0,0,0,0">
            <w:txbxContent>
              <w:p>
                <w:pPr>
                  <w:pStyle w:val="BodyText"/>
                  <w:spacing w:line="230" w:lineRule="exact"/>
                  <w:ind w:left="20" w:right="0"/>
                  <w:jc w:val="left"/>
                </w:pPr>
                <w:r>
                  <w:rPr/>
                  <w:t>主管会计工作负责人：钟民</w:t>
                </w:r>
              </w:p>
              <w:p>
                <w:pPr>
                  <w:spacing w:before="69"/>
                  <w:ind w:left="0" w:right="168"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w:t>
                </w:r>
                <w:r>
                  <w:rPr/>
                  <w:fldChar w:fldCharType="end"/>
                </w:r>
              </w:p>
            </w:txbxContent>
          </v:textbox>
          <w10:wrap type="none"/>
        </v:shape>
      </w:pict>
    </w:r>
    <w:r>
      <w:rPr/>
      <w:pict>
        <v:shape style="position:absolute;margin-left:423.140137pt;margin-top:766.796936pt;width:106.95pt;height:12.5pt;mso-position-horizontal-relative:page;mso-position-vertical-relative:page;z-index:-810592" type="#_x0000_t202" filled="false" stroked="false">
          <v:textbox inset="0,0,0,0">
            <w:txbxContent>
              <w:p>
                <w:pPr>
                  <w:pStyle w:val="BodyText"/>
                  <w:spacing w:line="230" w:lineRule="exact"/>
                  <w:ind w:left="20" w:right="0"/>
                  <w:jc w:val="left"/>
                </w:pPr>
                <w:r>
                  <w:rPr/>
                  <w:t>会计机构负责人：钟民</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81.897644pt;width:13pt;height:11pt;mso-position-horizontal-relative:page;mso-position-vertical-relative:page;z-index:-810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4505pt;margin-top:535.297913pt;width:13pt;height:11pt;mso-position-horizontal-relative:page;mso-position-vertical-relative:page;z-index:-810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81.897644pt;width:13pt;height:11pt;mso-position-horizontal-relative:page;mso-position-vertical-relative:page;z-index:-810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4505pt;margin-top:535.297913pt;width:13pt;height:11pt;mso-position-horizontal-relative:page;mso-position-vertical-relative:page;z-index:-810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579987pt;margin-top:781.897644pt;width:13pt;height:11pt;mso-position-horizontal-relative:page;mso-position-vertical-relative:page;z-index:-810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730499pt;margin-top:535.297913pt;width:13pt;height:11pt;mso-position-horizontal-relative:page;mso-position-vertical-relative:page;z-index:-810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46</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90"/>
    </w:pPr>
    <w:rPr>
      <w:rFonts w:ascii="宋体" w:hAnsi="宋体" w:eastAsia="宋体"/>
      <w:sz w:val="21"/>
      <w:szCs w:val="21"/>
    </w:rPr>
  </w:style>
  <w:style w:styleId="Heading1" w:type="paragraph">
    <w:name w:val="Heading 1"/>
    <w:basedOn w:val="Normal"/>
    <w:uiPriority w:val="1"/>
    <w:qFormat/>
    <w:pPr>
      <w:ind w:left="2514"/>
      <w:outlineLvl w:val="1"/>
    </w:pPr>
    <w:rPr>
      <w:rFonts w:ascii="黑体" w:hAnsi="黑体" w:eastAsia="黑体"/>
      <w:sz w:val="32"/>
      <w:szCs w:val="32"/>
    </w:rPr>
  </w:style>
  <w:style w:styleId="Heading2" w:type="paragraph">
    <w:name w:val="Heading 2"/>
    <w:basedOn w:val="Normal"/>
    <w:uiPriority w:val="1"/>
    <w:qFormat/>
    <w:pPr>
      <w:outlineLvl w:val="2"/>
    </w:pPr>
    <w:rPr>
      <w:rFonts w:ascii="黑体" w:hAnsi="黑体" w:eastAsia="黑体"/>
      <w:sz w:val="28"/>
      <w:szCs w:val="28"/>
    </w:rPr>
  </w:style>
  <w:style w:styleId="Heading3" w:type="paragraph">
    <w:name w:val="Heading 3"/>
    <w:basedOn w:val="Normal"/>
    <w:uiPriority w:val="1"/>
    <w:qFormat/>
    <w:pPr>
      <w:ind w:left="190"/>
      <w:outlineLvl w:val="3"/>
    </w:pPr>
    <w:rPr>
      <w:rFonts w:ascii="黑体" w:hAnsi="黑体" w:eastAsia="黑体"/>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mailto:szhkdb@yahoo.com.cn" TargetMode="External"/><Relationship Id="rId8" Type="http://schemas.openxmlformats.org/officeDocument/2006/relationships/hyperlink" Target="http://www.hongkai.com.cn/" TargetMode="External"/><Relationship Id="rId9" Type="http://schemas.openxmlformats.org/officeDocument/2006/relationships/hyperlink" Target="http://www.cninfo.com.cn/"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footer" Target="footer13.xml"/><Relationship Id="rId22"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2020-04-02T11:56:26Z</dcterms:created>
  <dcterms:modified xsi:type="dcterms:W3CDTF">2020-04-02T11:56:26Z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2010-03-26T00:00:00Z</vt:filetime>
  </property>
  <property fmtid="{D5CDD505-2E9C-101B-9397-08002B2CF9AE}" pid="3" name="LastSaved">
    <vt:filetime>2020-04-02T00:00:00Z</vt:filetime>
  </property>
</Properties>
</file>