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spacing w:line="2606" w:lineRule="exact"/>
        <w:ind w:left="26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1"/>
          <w:sz w:val="20"/>
          <w:szCs w:val="20"/>
        </w:rPr>
        <w:drawing>
          <wp:inline distT="0" distB="0" distL="0" distR="0">
            <wp:extent cx="5218938" cy="165487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18938" cy="1654873"/>
                    </a:xfrm>
                    <a:prstGeom prst="rect">
                      <a:avLst/>
                    </a:prstGeom>
                  </pic:spPr>
                </pic:pic>
              </a:graphicData>
            </a:graphic>
          </wp:inline>
        </w:drawing>
      </w:r>
      <w:r>
        <w:rPr>
          <w:rFonts w:ascii="Times New Roman" w:hAnsi="Times New Roman" w:cs="Times New Roman" w:eastAsia="Times New Roman" w:hint="default"/>
          <w:position w:val="-51"/>
          <w:sz w:val="20"/>
          <w:szCs w:val="20"/>
        </w:rPr>
      </w:r>
    </w:p>
    <w:p>
      <w:pPr>
        <w:spacing w:line="482" w:lineRule="exact" w:before="0"/>
        <w:ind w:left="2252" w:right="2193" w:firstLine="0"/>
        <w:jc w:val="center"/>
        <w:rPr>
          <w:rFonts w:ascii="宋体" w:hAnsi="宋体" w:cs="宋体" w:eastAsia="宋体" w:hint="default"/>
          <w:sz w:val="44"/>
          <w:szCs w:val="44"/>
        </w:rPr>
      </w:pPr>
      <w:r>
        <w:rPr>
          <w:rFonts w:ascii="Times New Roman" w:hAnsi="Times New Roman" w:cs="Times New Roman" w:eastAsia="Times New Roman" w:hint="default"/>
          <w:b/>
          <w:bCs/>
          <w:spacing w:val="-5"/>
          <w:sz w:val="44"/>
          <w:szCs w:val="44"/>
        </w:rPr>
        <w:t>2011</w:t>
      </w:r>
      <w:r>
        <w:rPr>
          <w:rFonts w:ascii="Times New Roman" w:hAnsi="Times New Roman" w:cs="Times New Roman" w:eastAsia="Times New Roman" w:hint="default"/>
          <w:b/>
          <w:bCs/>
          <w:spacing w:val="11"/>
          <w:sz w:val="44"/>
          <w:szCs w:val="44"/>
        </w:rPr>
        <w:t> </w:t>
      </w:r>
      <w:r>
        <w:rPr>
          <w:rFonts w:ascii="宋体" w:hAnsi="宋体" w:cs="宋体" w:eastAsia="宋体" w:hint="default"/>
          <w:sz w:val="44"/>
          <w:szCs w:val="44"/>
        </w:rPr>
        <w:t>年年度报告全文</w:t>
      </w:r>
    </w:p>
    <w:p>
      <w:pPr>
        <w:spacing w:line="240" w:lineRule="auto" w:before="0"/>
        <w:rPr>
          <w:rFonts w:ascii="宋体" w:hAnsi="宋体" w:cs="宋体" w:eastAsia="宋体" w:hint="default"/>
          <w:sz w:val="46"/>
          <w:szCs w:val="46"/>
        </w:rPr>
      </w:pPr>
    </w:p>
    <w:p>
      <w:pPr>
        <w:spacing w:line="240" w:lineRule="auto" w:before="0"/>
        <w:rPr>
          <w:rFonts w:ascii="宋体" w:hAnsi="宋体" w:cs="宋体" w:eastAsia="宋体" w:hint="default"/>
          <w:sz w:val="46"/>
          <w:szCs w:val="46"/>
        </w:rPr>
      </w:pPr>
    </w:p>
    <w:p>
      <w:pPr>
        <w:spacing w:line="240" w:lineRule="auto" w:before="0"/>
        <w:rPr>
          <w:rFonts w:ascii="宋体" w:hAnsi="宋体" w:cs="宋体" w:eastAsia="宋体" w:hint="default"/>
          <w:sz w:val="46"/>
          <w:szCs w:val="46"/>
        </w:rPr>
      </w:pPr>
    </w:p>
    <w:p>
      <w:pPr>
        <w:spacing w:line="240" w:lineRule="auto" w:before="4"/>
        <w:rPr>
          <w:rFonts w:ascii="宋体" w:hAnsi="宋体" w:cs="宋体" w:eastAsia="宋体" w:hint="default"/>
          <w:sz w:val="53"/>
          <w:szCs w:val="53"/>
        </w:rPr>
      </w:pPr>
    </w:p>
    <w:p>
      <w:pPr>
        <w:spacing w:before="0"/>
        <w:ind w:left="2220" w:right="2193" w:firstLine="0"/>
        <w:jc w:val="center"/>
        <w:rPr>
          <w:rFonts w:ascii="宋体" w:hAnsi="宋体" w:cs="宋体" w:eastAsia="宋体" w:hint="default"/>
          <w:sz w:val="36"/>
          <w:szCs w:val="36"/>
        </w:rPr>
      </w:pPr>
      <w:r>
        <w:rPr>
          <w:rFonts w:ascii="宋体" w:hAnsi="宋体" w:cs="宋体" w:eastAsia="宋体" w:hint="default"/>
          <w:sz w:val="36"/>
          <w:szCs w:val="36"/>
        </w:rPr>
        <w:t>二○一二年四月</w:t>
      </w:r>
    </w:p>
    <w:p>
      <w:pPr>
        <w:spacing w:after="0"/>
        <w:jc w:val="center"/>
        <w:rPr>
          <w:rFonts w:ascii="宋体" w:hAnsi="宋体" w:cs="宋体" w:eastAsia="宋体" w:hint="default"/>
          <w:sz w:val="36"/>
          <w:szCs w:val="36"/>
        </w:rPr>
        <w:sectPr>
          <w:footerReference w:type="default" r:id="rId5"/>
          <w:type w:val="continuous"/>
          <w:pgSz w:w="11910" w:h="16840"/>
          <w:pgMar w:footer="1007" w:top="1580" w:bottom="1200" w:left="1680" w:right="1680"/>
          <w:pgNumType w:start="1"/>
        </w:sectPr>
      </w:pPr>
    </w:p>
    <w:p>
      <w:pPr>
        <w:spacing w:line="240" w:lineRule="auto" w:before="6"/>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1172"/>
        <w:gridCol w:w="5053"/>
        <w:gridCol w:w="598"/>
      </w:tblGrid>
      <w:tr>
        <w:trPr>
          <w:trHeight w:val="1922"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4" w:right="0"/>
              <w:jc w:val="left"/>
              <w:rPr>
                <w:rFonts w:ascii="宋体" w:hAnsi="宋体" w:cs="宋体" w:eastAsia="宋体" w:hint="default"/>
                <w:sz w:val="28"/>
                <w:szCs w:val="28"/>
              </w:rPr>
            </w:pPr>
            <w:r>
              <w:rPr>
                <w:rFonts w:ascii="宋体" w:hAnsi="宋体" w:cs="宋体" w:eastAsia="宋体" w:hint="default"/>
                <w:sz w:val="28"/>
                <w:szCs w:val="28"/>
              </w:rPr>
              <w:t>第一节</w:t>
            </w:r>
          </w:p>
        </w:tc>
        <w:tc>
          <w:tcPr>
            <w:tcW w:w="5053" w:type="dxa"/>
            <w:tcBorders>
              <w:top w:val="nil" w:sz="6" w:space="0" w:color="auto"/>
              <w:left w:val="nil" w:sz="6" w:space="0" w:color="auto"/>
              <w:bottom w:val="nil" w:sz="6" w:space="0" w:color="auto"/>
              <w:right w:val="nil" w:sz="6" w:space="0" w:color="auto"/>
            </w:tcBorders>
          </w:tcPr>
          <w:p>
            <w:pPr>
              <w:pStyle w:val="TableParagraph"/>
              <w:tabs>
                <w:tab w:pos="3371" w:val="left" w:leader="none"/>
              </w:tabs>
              <w:spacing w:line="580" w:lineRule="exact"/>
              <w:ind w:left="2409" w:right="0"/>
              <w:jc w:val="left"/>
              <w:rPr>
                <w:rFonts w:ascii="宋体" w:hAnsi="宋体" w:cs="宋体" w:eastAsia="宋体" w:hint="default"/>
                <w:sz w:val="48"/>
                <w:szCs w:val="48"/>
              </w:rPr>
            </w:pPr>
            <w:r>
              <w:rPr>
                <w:rFonts w:ascii="宋体" w:hAnsi="宋体" w:cs="宋体" w:eastAsia="宋体" w:hint="default"/>
                <w:sz w:val="48"/>
                <w:szCs w:val="48"/>
              </w:rPr>
              <w:t>目</w:t>
              <w:tab/>
              <w:t>录</w:t>
            </w:r>
          </w:p>
          <w:p>
            <w:pPr>
              <w:pStyle w:val="TableParagraph"/>
              <w:spacing w:line="240" w:lineRule="auto" w:before="8"/>
              <w:ind w:right="0"/>
              <w:jc w:val="left"/>
              <w:rPr>
                <w:rFonts w:ascii="Times New Roman" w:hAnsi="Times New Roman" w:cs="Times New Roman" w:eastAsia="Times New Roman" w:hint="default"/>
                <w:sz w:val="61"/>
                <w:szCs w:val="61"/>
              </w:rPr>
            </w:pPr>
          </w:p>
          <w:p>
            <w:pPr>
              <w:pStyle w:val="TableParagraph"/>
              <w:spacing w:line="240" w:lineRule="auto"/>
              <w:ind w:left="1" w:right="0"/>
              <w:jc w:val="left"/>
              <w:rPr>
                <w:rFonts w:ascii="宋体" w:hAnsi="宋体" w:cs="宋体" w:eastAsia="宋体" w:hint="default"/>
                <w:sz w:val="28"/>
                <w:szCs w:val="28"/>
              </w:rPr>
            </w:pPr>
            <w:r>
              <w:rPr>
                <w:rFonts w:ascii="宋体" w:hAnsi="宋体" w:cs="宋体" w:eastAsia="宋体" w:hint="default"/>
                <w:sz w:val="28"/>
                <w:szCs w:val="28"/>
              </w:rPr>
              <w:t>重要提示</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80" w:right="0"/>
              <w:jc w:val="left"/>
              <w:rPr>
                <w:rFonts w:ascii="Times New Roman" w:hAnsi="Times New Roman" w:cs="Times New Roman" w:eastAsia="Times New Roman" w:hint="default"/>
                <w:sz w:val="28"/>
                <w:szCs w:val="28"/>
              </w:rPr>
            </w:pPr>
            <w:r>
              <w:rPr>
                <w:rFonts w:ascii="Times New Roman"/>
                <w:w w:val="100"/>
                <w:sz w:val="28"/>
              </w:rPr>
              <w:t>3</w:t>
            </w:r>
          </w:p>
        </w:tc>
      </w:tr>
      <w:tr>
        <w:trPr>
          <w:trHeight w:val="802"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第二节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80" w:right="0"/>
              <w:jc w:val="left"/>
              <w:rPr>
                <w:rFonts w:ascii="Times New Roman" w:hAnsi="Times New Roman" w:cs="Times New Roman" w:eastAsia="Times New Roman" w:hint="default"/>
                <w:sz w:val="28"/>
                <w:szCs w:val="28"/>
              </w:rPr>
            </w:pPr>
            <w:r>
              <w:rPr>
                <w:rFonts w:ascii="Times New Roman"/>
                <w:w w:val="100"/>
                <w:sz w:val="28"/>
              </w:rPr>
              <w:t>3</w:t>
            </w:r>
          </w:p>
        </w:tc>
      </w:tr>
      <w:tr>
        <w:trPr>
          <w:trHeight w:val="79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第三节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80" w:right="0"/>
              <w:jc w:val="left"/>
              <w:rPr>
                <w:rFonts w:ascii="Times New Roman" w:hAnsi="Times New Roman" w:cs="Times New Roman" w:eastAsia="Times New Roman" w:hint="default"/>
                <w:sz w:val="28"/>
                <w:szCs w:val="28"/>
              </w:rPr>
            </w:pPr>
            <w:r>
              <w:rPr>
                <w:rFonts w:ascii="Times New Roman"/>
                <w:w w:val="100"/>
                <w:sz w:val="28"/>
              </w:rPr>
              <w:t>4</w:t>
            </w:r>
          </w:p>
        </w:tc>
      </w:tr>
      <w:tr>
        <w:trPr>
          <w:trHeight w:val="79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第四节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股本变动和股东情况</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80" w:right="0"/>
              <w:jc w:val="left"/>
              <w:rPr>
                <w:rFonts w:ascii="Times New Roman" w:hAnsi="Times New Roman" w:cs="Times New Roman" w:eastAsia="Times New Roman" w:hint="default"/>
                <w:sz w:val="28"/>
                <w:szCs w:val="28"/>
              </w:rPr>
            </w:pPr>
            <w:r>
              <w:rPr>
                <w:rFonts w:ascii="Times New Roman"/>
                <w:w w:val="100"/>
                <w:sz w:val="28"/>
              </w:rPr>
              <w:t>6</w:t>
            </w:r>
          </w:p>
        </w:tc>
      </w:tr>
      <w:tr>
        <w:trPr>
          <w:trHeight w:val="800"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第五节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80" w:right="0"/>
              <w:jc w:val="left"/>
              <w:rPr>
                <w:rFonts w:ascii="Times New Roman" w:hAnsi="Times New Roman" w:cs="Times New Roman" w:eastAsia="Times New Roman" w:hint="default"/>
                <w:sz w:val="28"/>
                <w:szCs w:val="28"/>
              </w:rPr>
            </w:pPr>
            <w:r>
              <w:rPr>
                <w:rFonts w:ascii="Times New Roman"/>
                <w:sz w:val="28"/>
              </w:rPr>
              <w:t>10</w:t>
            </w:r>
          </w:p>
        </w:tc>
      </w:tr>
      <w:tr>
        <w:trPr>
          <w:trHeight w:val="800"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4" w:right="0"/>
              <w:jc w:val="left"/>
              <w:rPr>
                <w:rFonts w:ascii="宋体" w:hAnsi="宋体" w:cs="宋体" w:eastAsia="宋体" w:hint="default"/>
                <w:sz w:val="28"/>
                <w:szCs w:val="28"/>
              </w:rPr>
            </w:pPr>
            <w:r>
              <w:rPr>
                <w:rFonts w:ascii="宋体" w:hAnsi="宋体" w:cs="宋体" w:eastAsia="宋体" w:hint="default"/>
                <w:sz w:val="28"/>
                <w:szCs w:val="28"/>
              </w:rPr>
              <w:t>第六节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0" w:right="0"/>
              <w:jc w:val="left"/>
              <w:rPr>
                <w:rFonts w:ascii="Times New Roman" w:hAnsi="Times New Roman" w:cs="Times New Roman" w:eastAsia="Times New Roman" w:hint="default"/>
                <w:sz w:val="28"/>
                <w:szCs w:val="28"/>
              </w:rPr>
            </w:pPr>
            <w:r>
              <w:rPr>
                <w:rFonts w:ascii="Times New Roman"/>
                <w:sz w:val="28"/>
              </w:rPr>
              <w:t>18</w:t>
            </w:r>
          </w:p>
        </w:tc>
      </w:tr>
      <w:tr>
        <w:trPr>
          <w:trHeight w:val="79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第七节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80" w:right="0"/>
              <w:jc w:val="left"/>
              <w:rPr>
                <w:rFonts w:ascii="Times New Roman" w:hAnsi="Times New Roman" w:cs="Times New Roman" w:eastAsia="Times New Roman" w:hint="default"/>
                <w:sz w:val="28"/>
                <w:szCs w:val="28"/>
              </w:rPr>
            </w:pPr>
            <w:r>
              <w:rPr>
                <w:rFonts w:ascii="Times New Roman"/>
                <w:sz w:val="28"/>
              </w:rPr>
              <w:t>21</w:t>
            </w:r>
          </w:p>
        </w:tc>
      </w:tr>
      <w:tr>
        <w:trPr>
          <w:trHeight w:val="802"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第八节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董事局报告</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80" w:right="0"/>
              <w:jc w:val="left"/>
              <w:rPr>
                <w:rFonts w:ascii="Times New Roman" w:hAnsi="Times New Roman" w:cs="Times New Roman" w:eastAsia="Times New Roman" w:hint="default"/>
                <w:sz w:val="28"/>
                <w:szCs w:val="28"/>
              </w:rPr>
            </w:pPr>
            <w:r>
              <w:rPr>
                <w:rFonts w:ascii="Times New Roman"/>
                <w:sz w:val="28"/>
              </w:rPr>
              <w:t>21</w:t>
            </w:r>
          </w:p>
        </w:tc>
      </w:tr>
      <w:tr>
        <w:trPr>
          <w:trHeight w:val="79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第九节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80" w:right="0"/>
              <w:jc w:val="left"/>
              <w:rPr>
                <w:rFonts w:ascii="Times New Roman" w:hAnsi="Times New Roman" w:cs="Times New Roman" w:eastAsia="Times New Roman" w:hint="default"/>
                <w:sz w:val="28"/>
                <w:szCs w:val="28"/>
              </w:rPr>
            </w:pPr>
            <w:r>
              <w:rPr>
                <w:rFonts w:ascii="Times New Roman"/>
                <w:sz w:val="28"/>
              </w:rPr>
              <w:t>34</w:t>
            </w:r>
          </w:p>
        </w:tc>
      </w:tr>
      <w:tr>
        <w:trPr>
          <w:trHeight w:val="79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第十节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80" w:right="0"/>
              <w:jc w:val="left"/>
              <w:rPr>
                <w:rFonts w:ascii="Times New Roman" w:hAnsi="Times New Roman" w:cs="Times New Roman" w:eastAsia="Times New Roman" w:hint="default"/>
                <w:sz w:val="28"/>
                <w:szCs w:val="28"/>
              </w:rPr>
            </w:pPr>
            <w:r>
              <w:rPr>
                <w:rFonts w:ascii="Times New Roman"/>
                <w:sz w:val="28"/>
              </w:rPr>
              <w:t>35</w:t>
            </w:r>
          </w:p>
        </w:tc>
      </w:tr>
      <w:tr>
        <w:trPr>
          <w:trHeight w:val="802"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 w:right="0"/>
              <w:jc w:val="left"/>
              <w:rPr>
                <w:rFonts w:ascii="宋体" w:hAnsi="宋体" w:cs="宋体" w:eastAsia="宋体" w:hint="default"/>
                <w:sz w:val="28"/>
                <w:szCs w:val="28"/>
              </w:rPr>
            </w:pPr>
            <w:r>
              <w:rPr>
                <w:rFonts w:ascii="宋体" w:hAnsi="宋体" w:cs="宋体" w:eastAsia="宋体" w:hint="default"/>
                <w:sz w:val="28"/>
                <w:szCs w:val="28"/>
              </w:rPr>
              <w:t>第十一节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80"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80" w:right="0"/>
              <w:jc w:val="left"/>
              <w:rPr>
                <w:rFonts w:ascii="Times New Roman" w:hAnsi="Times New Roman" w:cs="Times New Roman" w:eastAsia="Times New Roman" w:hint="default"/>
                <w:sz w:val="28"/>
                <w:szCs w:val="28"/>
              </w:rPr>
            </w:pPr>
            <w:r>
              <w:rPr>
                <w:rFonts w:ascii="Times New Roman"/>
                <w:sz w:val="28"/>
              </w:rPr>
              <w:t>45</w:t>
            </w:r>
          </w:p>
        </w:tc>
      </w:tr>
      <w:tr>
        <w:trPr>
          <w:trHeight w:val="646"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35" w:right="0"/>
              <w:jc w:val="left"/>
              <w:rPr>
                <w:rFonts w:ascii="宋体" w:hAnsi="宋体" w:cs="宋体" w:eastAsia="宋体" w:hint="default"/>
                <w:sz w:val="28"/>
                <w:szCs w:val="28"/>
              </w:rPr>
            </w:pPr>
            <w:r>
              <w:rPr>
                <w:rFonts w:ascii="宋体" w:hAnsi="宋体" w:cs="宋体" w:eastAsia="宋体" w:hint="default"/>
                <w:sz w:val="28"/>
                <w:szCs w:val="28"/>
              </w:rPr>
              <w:t>第十二节</w:t>
            </w:r>
          </w:p>
        </w:tc>
        <w:tc>
          <w:tcPr>
            <w:tcW w:w="50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65"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30"/>
              <w:ind w:left="265" w:right="0"/>
              <w:jc w:val="left"/>
              <w:rPr>
                <w:rFonts w:ascii="Times New Roman" w:hAnsi="Times New Roman" w:cs="Times New Roman" w:eastAsia="Times New Roman" w:hint="default"/>
                <w:sz w:val="28"/>
                <w:szCs w:val="28"/>
              </w:rPr>
            </w:pPr>
            <w:r>
              <w:rPr>
                <w:rFonts w:ascii="Times New Roman"/>
                <w:sz w:val="28"/>
              </w:rPr>
              <w:t>45</w:t>
            </w:r>
          </w:p>
        </w:tc>
      </w:tr>
    </w:tbl>
    <w:p>
      <w:pPr>
        <w:spacing w:after="0" w:line="240" w:lineRule="auto"/>
        <w:jc w:val="left"/>
        <w:rPr>
          <w:rFonts w:ascii="Times New Roman" w:hAnsi="Times New Roman" w:cs="Times New Roman" w:eastAsia="Times New Roman" w:hint="default"/>
          <w:sz w:val="28"/>
          <w:szCs w:val="28"/>
        </w:rPr>
        <w:sectPr>
          <w:pgSz w:w="11910" w:h="16840"/>
          <w:pgMar w:header="0" w:footer="1007" w:top="1580" w:bottom="1200" w:left="1560" w:right="1680"/>
        </w:sectPr>
      </w:pPr>
    </w:p>
    <w:p>
      <w:pPr>
        <w:pStyle w:val="Heading3"/>
        <w:tabs>
          <w:tab w:pos="1121" w:val="left" w:leader="none"/>
        </w:tabs>
        <w:spacing w:line="361" w:lineRule="exact"/>
        <w:ind w:right="5"/>
        <w:jc w:val="center"/>
      </w:pPr>
      <w:bookmarkStart w:name="第一节重要提示" w:id="1"/>
      <w:bookmarkEnd w:id="1"/>
      <w:r>
        <w:rPr/>
      </w:r>
      <w:bookmarkStart w:name="第二节公司基本情况简介" w:id="2"/>
      <w:bookmarkEnd w:id="2"/>
      <w:r>
        <w:rPr/>
      </w:r>
      <w:r>
        <w:rPr/>
        <w:t>第一节</w:t>
        <w:tab/>
        <w:t>重要提示</w:t>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8"/>
          <w:szCs w:val="38"/>
        </w:rPr>
      </w:pPr>
    </w:p>
    <w:p>
      <w:pPr>
        <w:pStyle w:val="BodyText"/>
        <w:spacing w:line="272" w:lineRule="exact"/>
        <w:ind w:right="108" w:firstLine="423"/>
        <w:jc w:val="left"/>
      </w:pPr>
      <w:r>
        <w:rPr/>
        <w:t>本公司董事局、监事会及董事、监事、高级管理人员保证本报告所载资料不存在任何虚假记载、误导</w:t>
      </w:r>
      <w:r>
        <w:rPr>
          <w:w w:val="99"/>
        </w:rPr>
        <w:t> </w:t>
      </w:r>
      <w:r>
        <w:rPr/>
        <w:t>性陈述或者重大遗漏，并对其内容的真实性、准确性和完整性承担个别及连带责任。</w:t>
      </w:r>
    </w:p>
    <w:p>
      <w:pPr>
        <w:pStyle w:val="BodyText"/>
        <w:spacing w:line="247" w:lineRule="exact"/>
        <w:ind w:left="539" w:right="108"/>
        <w:jc w:val="left"/>
      </w:pPr>
      <w:r>
        <w:rPr/>
        <w:t>全体董事出席了审议本次年度报告的董事局会议。</w:t>
      </w:r>
    </w:p>
    <w:p>
      <w:pPr>
        <w:pStyle w:val="BodyText"/>
        <w:spacing w:line="272" w:lineRule="exact" w:before="26"/>
        <w:ind w:left="539" w:right="0"/>
        <w:jc w:val="left"/>
      </w:pPr>
      <w:r>
        <w:rPr/>
        <w:t>深圳市鹏城会计师事务所有限公司对公司</w:t>
      </w:r>
      <w:r>
        <w:rPr>
          <w:spacing w:val="-53"/>
        </w:rPr>
        <w:t> </w:t>
      </w:r>
      <w:r>
        <w:rPr/>
        <w:t>2011</w:t>
      </w:r>
      <w:r>
        <w:rPr>
          <w:spacing w:val="-54"/>
        </w:rPr>
        <w:t> </w:t>
      </w:r>
      <w:r>
        <w:rPr/>
        <w:t>年度财务报告出具了标准无保留意见审计报告。</w:t>
      </w:r>
      <w:r>
        <w:rPr>
          <w:spacing w:val="-96"/>
        </w:rPr>
        <w:t> </w:t>
      </w:r>
      <w:r>
        <w:rPr>
          <w:spacing w:val="-96"/>
        </w:rPr>
      </w:r>
      <w:r>
        <w:rPr/>
        <w:t>公司董事局主席陈泰泉、财务总监兼财务经理钟民声明：保证本年度报告中财务报告的真实、完整。</w:t>
      </w:r>
    </w:p>
    <w:p>
      <w:pPr>
        <w:spacing w:line="240" w:lineRule="auto" w:before="4"/>
        <w:rPr>
          <w:rFonts w:ascii="宋体" w:hAnsi="宋体" w:cs="宋体" w:eastAsia="宋体" w:hint="default"/>
          <w:sz w:val="23"/>
          <w:szCs w:val="23"/>
        </w:rPr>
      </w:pPr>
    </w:p>
    <w:p>
      <w:pPr>
        <w:pStyle w:val="Heading3"/>
        <w:tabs>
          <w:tab w:pos="1123" w:val="left" w:leader="none"/>
        </w:tabs>
        <w:spacing w:line="240" w:lineRule="auto"/>
        <w:ind w:right="3"/>
        <w:jc w:val="center"/>
      </w:pPr>
      <w:r>
        <w:rPr/>
        <w:t>第二节</w:t>
        <w:tab/>
        <w:t>公司基本情况简介</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41"/>
          <w:szCs w:val="41"/>
        </w:rPr>
      </w:pPr>
    </w:p>
    <w:p>
      <w:pPr>
        <w:pStyle w:val="BodyText"/>
        <w:spacing w:line="295" w:lineRule="auto"/>
        <w:ind w:left="957" w:right="2341" w:hanging="419"/>
        <w:jc w:val="left"/>
        <w:rPr>
          <w:rFonts w:ascii="Times New Roman" w:hAnsi="Times New Roman" w:cs="Times New Roman" w:eastAsia="Times New Roman" w:hint="default"/>
        </w:rPr>
      </w:pPr>
      <w:r>
        <w:rPr/>
        <w:t>一、公司法定中文名称：宝安鸿基地产集团股份有限公司</w:t>
      </w:r>
      <w:r>
        <w:rPr>
          <w:spacing w:val="-99"/>
        </w:rPr>
        <w:t> </w:t>
      </w:r>
      <w:r>
        <w:rPr>
          <w:spacing w:val="-99"/>
        </w:rPr>
      </w:r>
      <w:r>
        <w:rPr/>
        <w:t>公司法定英文名称：</w:t>
      </w:r>
      <w:r>
        <w:rPr>
          <w:rFonts w:ascii="Times New Roman" w:hAnsi="Times New Roman" w:cs="Times New Roman" w:eastAsia="Times New Roman" w:hint="default"/>
        </w:rPr>
        <w:t>BAOAN HONGJI REAL </w:t>
      </w:r>
      <w:r>
        <w:rPr>
          <w:rFonts w:ascii="Times New Roman" w:hAnsi="Times New Roman" w:cs="Times New Roman" w:eastAsia="Times New Roman" w:hint="default"/>
          <w:spacing w:val="-7"/>
        </w:rPr>
        <w:t>ESTATE </w:t>
      </w:r>
      <w:r>
        <w:rPr>
          <w:rFonts w:ascii="Times New Roman" w:hAnsi="Times New Roman" w:cs="Times New Roman" w:eastAsia="Times New Roman" w:hint="default"/>
        </w:rPr>
        <w:t>GROUP</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CO.</w:t>
      </w:r>
      <w:r>
        <w:rPr>
          <w:spacing w:val="-3"/>
        </w:rPr>
        <w:t>，</w:t>
      </w:r>
      <w:r>
        <w:rPr>
          <w:rFonts w:ascii="Times New Roman" w:hAnsi="Times New Roman" w:cs="Times New Roman" w:eastAsia="Times New Roman" w:hint="default"/>
          <w:spacing w:val="-3"/>
        </w:rPr>
        <w:t>LTD</w:t>
      </w:r>
    </w:p>
    <w:p>
      <w:pPr>
        <w:pStyle w:val="BodyText"/>
        <w:spacing w:line="297" w:lineRule="auto"/>
        <w:ind w:left="539" w:right="6617"/>
        <w:jc w:val="left"/>
      </w:pPr>
      <w:r>
        <w:rPr/>
        <w:t>二、公司法定代表人：陈泰泉</w:t>
      </w:r>
      <w:r>
        <w:rPr>
          <w:spacing w:val="-102"/>
        </w:rPr>
        <w:t> </w:t>
      </w:r>
      <w:r>
        <w:rPr>
          <w:spacing w:val="-102"/>
        </w:rPr>
      </w:r>
      <w:r>
        <w:rPr/>
        <w:t>三、公司董事局秘书</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沈蜀江</w:t>
      </w:r>
    </w:p>
    <w:p>
      <w:pPr>
        <w:pStyle w:val="BodyText"/>
        <w:tabs>
          <w:tab w:pos="2596" w:val="left" w:leader="none"/>
        </w:tabs>
        <w:spacing w:line="283" w:lineRule="exact"/>
        <w:ind w:left="957" w:right="108"/>
        <w:jc w:val="left"/>
      </w:pPr>
      <w:r>
        <w:rPr/>
        <w:t>证券事务代表</w:t>
      </w:r>
      <w:r>
        <w:rPr>
          <w:rFonts w:ascii="Times New Roman" w:hAnsi="Times New Roman" w:cs="Times New Roman" w:eastAsia="Times New Roman" w:hint="default"/>
        </w:rPr>
        <w:t>:</w:t>
        <w:tab/>
      </w:r>
      <w:r>
        <w:rPr/>
        <w:t>刘</w:t>
      </w:r>
      <w:r>
        <w:rPr>
          <w:spacing w:val="-2"/>
        </w:rPr>
        <w:t> </w:t>
      </w:r>
      <w:r>
        <w:rPr/>
        <w:t>莹</w:t>
      </w:r>
    </w:p>
    <w:p>
      <w:pPr>
        <w:pStyle w:val="BodyText"/>
        <w:tabs>
          <w:tab w:pos="3719" w:val="left" w:leader="none"/>
          <w:tab w:pos="5894" w:val="left" w:leader="none"/>
        </w:tabs>
        <w:spacing w:line="280" w:lineRule="auto" w:before="50"/>
        <w:ind w:left="957" w:right="988"/>
        <w:jc w:val="left"/>
      </w:pPr>
      <w:r>
        <w:rPr/>
        <w:t>联系电话</w:t>
      </w:r>
      <w:r>
        <w:rPr>
          <w:rFonts w:ascii="Times New Roman" w:hAnsi="Times New Roman" w:cs="Times New Roman" w:eastAsia="Times New Roman" w:hint="default"/>
        </w:rPr>
        <w:t>:0755-82367726</w:t>
        <w:tab/>
      </w:r>
      <w:r>
        <w:rPr/>
        <w:t>传真：</w:t>
      </w:r>
      <w:r>
        <w:rPr>
          <w:rFonts w:ascii="Times New Roman" w:hAnsi="Times New Roman" w:cs="Times New Roman" w:eastAsia="Times New Roman" w:hint="default"/>
        </w:rPr>
        <w:t>0755-82367753</w:t>
        <w:tab/>
      </w:r>
      <w:hyperlink r:id="rId7">
        <w:r>
          <w:rPr/>
          <w:t>电子信箱：</w:t>
        </w:r>
        <w:r>
          <w:rPr>
            <w:rFonts w:ascii="Times New Roman" w:hAnsi="Times New Roman" w:cs="Times New Roman" w:eastAsia="Times New Roman" w:hint="default"/>
          </w:rPr>
          <w:t>szhkdb@yahoo.com.cn</w:t>
        </w:r>
      </w:hyperlink>
      <w:r>
        <w:rPr>
          <w:rFonts w:ascii="Times New Roman" w:hAnsi="Times New Roman" w:cs="Times New Roman" w:eastAsia="Times New Roman" w:hint="default"/>
          <w:w w:val="99"/>
        </w:rPr>
        <w:t> </w:t>
      </w:r>
      <w:r>
        <w:rPr/>
        <w:t>联系地址</w:t>
      </w:r>
      <w:r>
        <w:rPr>
          <w:rFonts w:ascii="Times New Roman" w:hAnsi="Times New Roman" w:cs="Times New Roman" w:eastAsia="Times New Roman" w:hint="default"/>
        </w:rPr>
        <w:t>:</w:t>
      </w:r>
      <w:r>
        <w:rPr/>
        <w:t>深圳市罗湖区东门中路</w:t>
      </w:r>
      <w:r>
        <w:rPr>
          <w:spacing w:val="-55"/>
        </w:rPr>
        <w:t> </w:t>
      </w:r>
      <w:r>
        <w:rPr>
          <w:rFonts w:ascii="Times New Roman" w:hAnsi="Times New Roman" w:cs="Times New Roman" w:eastAsia="Times New Roman" w:hint="default"/>
        </w:rPr>
        <w:t>1011</w:t>
      </w:r>
      <w:r>
        <w:rPr>
          <w:rFonts w:ascii="Times New Roman" w:hAnsi="Times New Roman" w:cs="Times New Roman" w:eastAsia="Times New Roman" w:hint="default"/>
          <w:spacing w:val="-4"/>
        </w:rPr>
        <w:t> </w:t>
      </w:r>
      <w:r>
        <w:rPr/>
        <w:t>号鸿基大厦</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楼</w:t>
      </w:r>
    </w:p>
    <w:p>
      <w:pPr>
        <w:pStyle w:val="BodyText"/>
        <w:spacing w:line="240" w:lineRule="auto" w:before="8"/>
        <w:ind w:left="539" w:right="108"/>
        <w:jc w:val="left"/>
      </w:pPr>
      <w:r>
        <w:rPr/>
        <w:t>四、公司注册地址：深圳市罗湖区东门中路</w:t>
      </w:r>
      <w:r>
        <w:rPr>
          <w:spacing w:val="-54"/>
        </w:rPr>
        <w:t> </w:t>
      </w:r>
      <w:r>
        <w:rPr>
          <w:rFonts w:ascii="Times New Roman" w:hAnsi="Times New Roman" w:cs="Times New Roman" w:eastAsia="Times New Roman" w:hint="default"/>
        </w:rPr>
        <w:t>1011</w:t>
      </w:r>
      <w:r>
        <w:rPr>
          <w:rFonts w:ascii="Times New Roman" w:hAnsi="Times New Roman" w:cs="Times New Roman" w:eastAsia="Times New Roman" w:hint="default"/>
          <w:spacing w:val="-5"/>
        </w:rPr>
        <w:t> </w:t>
      </w:r>
      <w:r>
        <w:rPr/>
        <w:t>号鸿基大厦</w:t>
      </w:r>
      <w:r>
        <w:rPr>
          <w:spacing w:val="-51"/>
        </w:rPr>
        <w:t> </w:t>
      </w:r>
      <w:r>
        <w:rPr>
          <w:rFonts w:ascii="Times New Roman" w:hAnsi="Times New Roman" w:cs="Times New Roman" w:eastAsia="Times New Roman" w:hint="default"/>
        </w:rPr>
        <w:t>25—27</w:t>
      </w:r>
      <w:r>
        <w:rPr>
          <w:rFonts w:ascii="Times New Roman" w:hAnsi="Times New Roman" w:cs="Times New Roman" w:eastAsia="Times New Roman" w:hint="default"/>
          <w:spacing w:val="-2"/>
        </w:rPr>
        <w:t> </w:t>
      </w:r>
      <w:r>
        <w:rPr/>
        <w:t>楼</w:t>
      </w:r>
    </w:p>
    <w:p>
      <w:pPr>
        <w:pStyle w:val="BodyText"/>
        <w:tabs>
          <w:tab w:pos="3905" w:val="left" w:leader="none"/>
        </w:tabs>
        <w:spacing w:line="278" w:lineRule="auto" w:before="50"/>
        <w:ind w:left="957" w:right="2346"/>
        <w:jc w:val="left"/>
        <w:rPr>
          <w:rFonts w:ascii="Times New Roman" w:hAnsi="Times New Roman" w:cs="Times New Roman" w:eastAsia="Times New Roman" w:hint="default"/>
        </w:rPr>
      </w:pPr>
      <w:r>
        <w:rPr/>
        <w:t>公司办公地址：深圳市罗湖区东门中路</w:t>
      </w:r>
      <w:r>
        <w:rPr>
          <w:spacing w:val="-53"/>
        </w:rPr>
        <w:t> </w:t>
      </w:r>
      <w:r>
        <w:rPr>
          <w:rFonts w:ascii="Times New Roman" w:hAnsi="Times New Roman" w:cs="Times New Roman" w:eastAsia="Times New Roman" w:hint="default"/>
        </w:rPr>
        <w:t>1011</w:t>
      </w:r>
      <w:r>
        <w:rPr>
          <w:rFonts w:ascii="Times New Roman" w:hAnsi="Times New Roman" w:cs="Times New Roman" w:eastAsia="Times New Roman" w:hint="default"/>
          <w:spacing w:val="-4"/>
        </w:rPr>
        <w:t> </w:t>
      </w:r>
      <w:r>
        <w:rPr/>
        <w:t>号鸿基大厦</w:t>
      </w:r>
      <w:r>
        <w:rPr>
          <w:spacing w:val="-50"/>
        </w:rPr>
        <w:t> </w:t>
      </w:r>
      <w:r>
        <w:rPr>
          <w:rFonts w:ascii="Times New Roman" w:hAnsi="Times New Roman" w:cs="Times New Roman" w:eastAsia="Times New Roman" w:hint="default"/>
        </w:rPr>
        <w:t>25—27</w:t>
      </w:r>
      <w:r>
        <w:rPr>
          <w:rFonts w:ascii="Times New Roman" w:hAnsi="Times New Roman" w:cs="Times New Roman" w:eastAsia="Times New Roman" w:hint="default"/>
          <w:spacing w:val="-1"/>
        </w:rPr>
        <w:t> </w:t>
      </w:r>
      <w:r>
        <w:rPr/>
        <w:t>楼</w:t>
      </w:r>
      <w:r>
        <w:rPr>
          <w:w w:val="99"/>
        </w:rPr>
        <w:t> </w:t>
      </w:r>
      <w:r>
        <w:rPr/>
        <w:t>公司邮政编码：</w:t>
      </w:r>
      <w:r>
        <w:rPr>
          <w:rFonts w:ascii="Times New Roman" w:hAnsi="Times New Roman" w:cs="Times New Roman" w:eastAsia="Times New Roman" w:hint="default"/>
        </w:rPr>
        <w:t>518001</w:t>
        <w:tab/>
      </w:r>
      <w:r>
        <w:rPr>
          <w:spacing w:val="-1"/>
        </w:rPr>
        <w:t>公司互联网网址：</w:t>
      </w:r>
      <w:r>
        <w:rPr>
          <w:rFonts w:ascii="Times New Roman" w:hAnsi="Times New Roman" w:cs="Times New Roman" w:eastAsia="Times New Roman" w:hint="default"/>
          <w:color w:val="0000FF"/>
          <w:spacing w:val="-1"/>
          <w:sz w:val="24"/>
          <w:szCs w:val="24"/>
        </w:rPr>
      </w:r>
      <w:hyperlink r:id="rId8">
        <w:r>
          <w:rPr>
            <w:rFonts w:ascii="Times New Roman" w:hAnsi="Times New Roman" w:cs="Times New Roman" w:eastAsia="Times New Roman" w:hint="default"/>
            <w:color w:val="0000FF"/>
            <w:spacing w:val="-1"/>
            <w:sz w:val="24"/>
            <w:szCs w:val="24"/>
            <w:u w:val="single" w:color="0000FF"/>
          </w:rPr>
          <w:t>www.bahjdc.com.c</w:t>
        </w:r>
      </w:hyperlink>
      <w:r>
        <w:rPr>
          <w:rFonts w:ascii="Times New Roman" w:hAnsi="Times New Roman" w:cs="Times New Roman" w:eastAsia="Times New Roman" w:hint="default"/>
          <w:color w:val="0000FF"/>
          <w:spacing w:val="-1"/>
          <w:sz w:val="24"/>
          <w:szCs w:val="24"/>
          <w:u w:val="single" w:color="0000FF"/>
        </w:rPr>
        <w:t>n</w:t>
      </w:r>
      <w:r>
        <w:rPr>
          <w:rFonts w:ascii="Times New Roman" w:hAnsi="Times New Roman" w:cs="Times New Roman" w:eastAsia="Times New Roman" w:hint="default"/>
          <w:color w:val="0000FF"/>
          <w:spacing w:val="-48"/>
          <w:sz w:val="24"/>
          <w:szCs w:val="24"/>
          <w:u w:val="single" w:color="0000FF"/>
        </w:rPr>
        <w:t> </w:t>
      </w:r>
      <w:r>
        <w:rPr>
          <w:rFonts w:ascii="Times New Roman" w:hAnsi="Times New Roman" w:cs="Times New Roman" w:eastAsia="Times New Roman" w:hint="default"/>
          <w:color w:val="0000FF"/>
          <w:spacing w:val="-48"/>
          <w:sz w:val="24"/>
          <w:szCs w:val="24"/>
        </w:rPr>
      </w:r>
      <w:r>
        <w:rPr>
          <w:rFonts w:ascii="Times New Roman" w:hAnsi="Times New Roman" w:cs="Times New Roman" w:eastAsia="Times New Roman" w:hint="default"/>
          <w:color w:val="0000FF"/>
          <w:spacing w:val="-48"/>
          <w:sz w:val="24"/>
          <w:szCs w:val="24"/>
        </w:rPr>
      </w:r>
      <w:r>
        <w:rPr/>
        <w:t>公司邮箱：</w:t>
      </w:r>
      <w:hyperlink r:id="rId9">
        <w:r>
          <w:rPr>
            <w:rFonts w:ascii="Times New Roman" w:hAnsi="Times New Roman" w:cs="Times New Roman" w:eastAsia="Times New Roman" w:hint="default"/>
          </w:rPr>
          <w:t>szhkdb@yahoo.com.cn</w:t>
        </w:r>
      </w:hyperlink>
    </w:p>
    <w:p>
      <w:pPr>
        <w:pStyle w:val="BodyText"/>
        <w:spacing w:line="288" w:lineRule="auto" w:before="13"/>
        <w:ind w:left="957" w:right="2098" w:hanging="419"/>
        <w:jc w:val="left"/>
      </w:pPr>
      <w:r>
        <w:rPr>
          <w:spacing w:val="-11"/>
          <w:w w:val="99"/>
        </w:rPr>
        <w:t>五、公司选定的信息披露报刊：《中国证券报》、《证券时报》</w:t>
      </w:r>
      <w:r>
        <w:rPr>
          <w:spacing w:val="-87"/>
          <w:w w:val="99"/>
        </w:rPr>
        <w:t> </w:t>
      </w:r>
      <w:r>
        <w:rPr>
          <w:spacing w:val="-87"/>
          <w:w w:val="99"/>
        </w:rPr>
      </w:r>
      <w:r>
        <w:rPr/>
        <w:t>登载公司年度报告的中国证监会指定网站的网址：</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w w:val="99"/>
        </w:rPr>
        <w:t> </w:t>
      </w:r>
      <w:r>
        <w:rPr/>
        <w:t>公司年度报告备置地点：公司董事局办公室</w:t>
      </w:r>
    </w:p>
    <w:p>
      <w:pPr>
        <w:pStyle w:val="BodyText"/>
        <w:spacing w:line="297" w:lineRule="auto" w:before="24"/>
        <w:ind w:left="957" w:right="5366" w:hanging="419"/>
        <w:jc w:val="left"/>
        <w:rPr>
          <w:rFonts w:ascii="Times New Roman" w:hAnsi="Times New Roman" w:cs="Times New Roman" w:eastAsia="Times New Roman" w:hint="default"/>
        </w:rPr>
      </w:pPr>
      <w:r>
        <w:rPr/>
        <w:t>六、公司股票上市交易所：深圳证券交易所</w:t>
      </w:r>
      <w:r>
        <w:rPr>
          <w:spacing w:val="-100"/>
        </w:rPr>
        <w:t> </w:t>
      </w:r>
      <w:r>
        <w:rPr>
          <w:spacing w:val="-100"/>
        </w:rPr>
      </w:r>
      <w:r>
        <w:rPr/>
        <w:t>股票简称：宝安地产</w:t>
      </w:r>
      <w:r>
        <w:rPr>
          <w:w w:val="99"/>
        </w:rPr>
        <w:t> </w:t>
      </w:r>
      <w:r>
        <w:rPr/>
        <w:t>股票代码：</w:t>
      </w:r>
      <w:r>
        <w:rPr>
          <w:rFonts w:ascii="Times New Roman" w:hAnsi="Times New Roman" w:cs="Times New Roman" w:eastAsia="Times New Roman" w:hint="default"/>
        </w:rPr>
        <w:t>000040</w:t>
      </w:r>
    </w:p>
    <w:p>
      <w:pPr>
        <w:pStyle w:val="BodyText"/>
        <w:spacing w:line="269" w:lineRule="exact"/>
        <w:ind w:left="539" w:right="108"/>
        <w:jc w:val="left"/>
      </w:pPr>
      <w:r>
        <w:rPr/>
        <w:t>七、其他有关资料</w:t>
      </w:r>
    </w:p>
    <w:p>
      <w:pPr>
        <w:pStyle w:val="BodyText"/>
        <w:spacing w:line="240" w:lineRule="auto" w:before="66"/>
        <w:ind w:left="957" w:right="108"/>
        <w:jc w:val="left"/>
      </w:pPr>
      <w:r>
        <w:rPr>
          <w:rFonts w:ascii="Times New Roman" w:hAnsi="Times New Roman" w:cs="Times New Roman" w:eastAsia="Times New Roman" w:hint="default"/>
        </w:rPr>
        <w:t>1</w:t>
      </w:r>
      <w:r>
        <w:rPr/>
        <w:t>、公司变更注册日期：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spacing w:line="240" w:lineRule="auto" w:before="47"/>
        <w:ind w:left="0" w:right="1172"/>
        <w:jc w:val="center"/>
      </w:pPr>
      <w:r>
        <w:rPr/>
        <w:t>变更后注册地点： 深圳市罗湖区东门中路</w:t>
      </w:r>
      <w:r>
        <w:rPr>
          <w:spacing w:val="-55"/>
        </w:rPr>
        <w:t> </w:t>
      </w:r>
      <w:r>
        <w:rPr>
          <w:rFonts w:ascii="Times New Roman" w:hAnsi="Times New Roman" w:cs="Times New Roman" w:eastAsia="Times New Roman" w:hint="default"/>
        </w:rPr>
        <w:t>1011</w:t>
      </w:r>
      <w:r>
        <w:rPr>
          <w:rFonts w:ascii="Times New Roman" w:hAnsi="Times New Roman" w:cs="Times New Roman" w:eastAsia="Times New Roman" w:hint="default"/>
          <w:spacing w:val="-4"/>
        </w:rPr>
        <w:t> </w:t>
      </w:r>
      <w:r>
        <w:rPr/>
        <w:t>号鸿基大厦</w:t>
      </w:r>
      <w:r>
        <w:rPr>
          <w:spacing w:val="-53"/>
        </w:rPr>
        <w:t> </w:t>
      </w:r>
      <w:r>
        <w:rPr>
          <w:rFonts w:ascii="Times New Roman" w:hAnsi="Times New Roman" w:cs="Times New Roman" w:eastAsia="Times New Roman" w:hint="default"/>
        </w:rPr>
        <w:t>25-27</w:t>
      </w:r>
      <w:r>
        <w:rPr>
          <w:rFonts w:ascii="Times New Roman" w:hAnsi="Times New Roman" w:cs="Times New Roman" w:eastAsia="Times New Roman" w:hint="default"/>
          <w:spacing w:val="4"/>
        </w:rPr>
        <w:t> </w:t>
      </w:r>
      <w:r>
        <w:rPr/>
        <w:t>楼</w:t>
      </w:r>
    </w:p>
    <w:p>
      <w:pPr>
        <w:pStyle w:val="BodyText"/>
        <w:tabs>
          <w:tab w:pos="3859" w:val="left" w:leader="none"/>
        </w:tabs>
        <w:spacing w:line="240" w:lineRule="auto" w:before="67"/>
        <w:ind w:left="957" w:right="108"/>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、公司法人营业执照注册号</w:t>
      </w:r>
      <w:r>
        <w:rPr>
          <w:rFonts w:ascii="Times New Roman" w:hAnsi="Times New Roman" w:cs="Times New Roman" w:eastAsia="Times New Roman" w:hint="default"/>
        </w:rPr>
        <w:t>:</w:t>
        <w:tab/>
        <w:t>440301104155082</w:t>
      </w:r>
    </w:p>
    <w:p>
      <w:pPr>
        <w:pStyle w:val="BodyText"/>
        <w:tabs>
          <w:tab w:pos="2959" w:val="left" w:leader="none"/>
        </w:tabs>
        <w:spacing w:line="240" w:lineRule="auto" w:before="69"/>
        <w:ind w:left="957" w:right="108"/>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、税务登记号码：</w:t>
        <w:tab/>
        <w:t>国税深字</w:t>
      </w:r>
      <w:r>
        <w:rPr>
          <w:spacing w:val="-57"/>
        </w:rPr>
        <w:t> </w:t>
      </w:r>
      <w:r>
        <w:rPr>
          <w:rFonts w:ascii="Times New Roman" w:hAnsi="Times New Roman" w:cs="Times New Roman" w:eastAsia="Times New Roman" w:hint="default"/>
        </w:rPr>
        <w:t>440301192174418</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(04002535)</w:t>
      </w:r>
    </w:p>
    <w:p>
      <w:pPr>
        <w:pStyle w:val="BodyText"/>
        <w:spacing w:line="240" w:lineRule="auto" w:before="69"/>
        <w:ind w:left="2959" w:right="108"/>
        <w:jc w:val="left"/>
      </w:pPr>
      <w:r>
        <w:rPr/>
        <w:t>地税登字 </w:t>
      </w:r>
      <w:r>
        <w:rPr>
          <w:rFonts w:ascii="Times New Roman" w:hAnsi="Times New Roman" w:cs="Times New Roman" w:eastAsia="Times New Roman" w:hint="default"/>
        </w:rPr>
        <w:t>440303192174418</w:t>
      </w:r>
      <w:r>
        <w:rPr>
          <w:rFonts w:ascii="Times New Roman" w:hAnsi="Times New Roman" w:cs="Times New Roman" w:eastAsia="Times New Roman" w:hint="default"/>
          <w:spacing w:val="-3"/>
        </w:rPr>
        <w:t> </w:t>
      </w:r>
      <w:r>
        <w:rPr/>
        <w:t>号</w:t>
      </w:r>
    </w:p>
    <w:p>
      <w:pPr>
        <w:pStyle w:val="BodyText"/>
        <w:spacing w:line="240" w:lineRule="auto" w:before="69"/>
        <w:ind w:left="957" w:right="108"/>
        <w:jc w:val="left"/>
      </w:pPr>
      <w:r>
        <w:rPr>
          <w:rFonts w:ascii="Times New Roman" w:hAnsi="Times New Roman" w:cs="Times New Roman" w:eastAsia="Times New Roman" w:hint="default"/>
        </w:rPr>
        <w:t>4</w:t>
      </w:r>
      <w:r>
        <w:rPr/>
        <w:t>、公司聘请的会计师事务所名称：深圳市鹏城会计师事务所有限公司</w:t>
      </w:r>
    </w:p>
    <w:p>
      <w:pPr>
        <w:pStyle w:val="BodyText"/>
        <w:spacing w:line="240" w:lineRule="auto" w:before="69"/>
        <w:ind w:left="2959" w:right="108"/>
        <w:jc w:val="left"/>
      </w:pPr>
      <w:r>
        <w:rPr/>
        <w:t>办公地址：中国深圳市福田区滨河大道</w:t>
      </w:r>
      <w:r>
        <w:rPr>
          <w:spacing w:val="-53"/>
        </w:rPr>
        <w:t> </w:t>
      </w:r>
      <w:r>
        <w:rPr>
          <w:rFonts w:ascii="Times New Roman" w:hAnsi="Times New Roman" w:cs="Times New Roman" w:eastAsia="Times New Roman" w:hint="default"/>
        </w:rPr>
        <w:t>5022</w:t>
      </w:r>
      <w:r>
        <w:rPr>
          <w:rFonts w:ascii="Times New Roman" w:hAnsi="Times New Roman" w:cs="Times New Roman" w:eastAsia="Times New Roman" w:hint="default"/>
          <w:spacing w:val="-1"/>
        </w:rPr>
        <w:t> </w:t>
      </w:r>
      <w:r>
        <w:rPr/>
        <w:t>号联合广场</w:t>
      </w:r>
      <w:r>
        <w:rPr>
          <w:spacing w:val="-53"/>
        </w:rPr>
        <w:t> </w:t>
      </w:r>
      <w:r>
        <w:rPr>
          <w:rFonts w:ascii="Times New Roman" w:hAnsi="Times New Roman" w:cs="Times New Roman" w:eastAsia="Times New Roman" w:hint="default"/>
        </w:rPr>
        <w:t>A </w:t>
      </w:r>
      <w:r>
        <w:rPr/>
        <w:t>座</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楼</w:t>
      </w:r>
    </w:p>
    <w:p>
      <w:pPr>
        <w:spacing w:after="0" w:line="240" w:lineRule="auto"/>
        <w:jc w:val="left"/>
        <w:sectPr>
          <w:pgSz w:w="11910" w:h="16840"/>
          <w:pgMar w:header="0" w:footer="1007" w:top="1360" w:bottom="1200" w:left="1020" w:right="980"/>
        </w:sectPr>
      </w:pPr>
    </w:p>
    <w:p>
      <w:pPr>
        <w:pStyle w:val="Heading3"/>
        <w:tabs>
          <w:tab w:pos="3964" w:val="left" w:leader="none"/>
        </w:tabs>
        <w:spacing w:line="240" w:lineRule="auto" w:before="1"/>
        <w:ind w:left="2843" w:right="0"/>
        <w:jc w:val="left"/>
      </w:pPr>
      <w:bookmarkStart w:name="本年度主要会计数据（单位：人民币元）" w:id="3"/>
      <w:bookmarkEnd w:id="3"/>
      <w:r>
        <w:rPr/>
      </w:r>
      <w:r>
        <w:rPr/>
        <w:t>第三节</w:t>
        <w:tab/>
        <w:t>会计数据和业务数据摘要</w:t>
      </w:r>
    </w:p>
    <w:p>
      <w:pPr>
        <w:spacing w:line="240" w:lineRule="auto" w:before="5"/>
        <w:rPr>
          <w:rFonts w:ascii="宋体" w:hAnsi="宋体" w:cs="宋体" w:eastAsia="宋体" w:hint="default"/>
          <w:sz w:val="19"/>
          <w:szCs w:val="19"/>
        </w:rPr>
      </w:pPr>
    </w:p>
    <w:p>
      <w:pPr>
        <w:pStyle w:val="Heading4"/>
        <w:spacing w:line="240" w:lineRule="auto"/>
        <w:ind w:left="735" w:right="0"/>
        <w:jc w:val="left"/>
      </w:pPr>
      <w:r>
        <w:rPr/>
        <w:t>一、本年度主要会计数据（单位：人民币元）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042" w:type="dxa"/>
        <w:tblLayout w:type="fixed"/>
        <w:tblCellMar>
          <w:top w:w="0" w:type="dxa"/>
          <w:left w:w="0" w:type="dxa"/>
          <w:bottom w:w="0" w:type="dxa"/>
          <w:right w:w="0" w:type="dxa"/>
        </w:tblCellMar>
        <w:tblLook w:val="01E0"/>
      </w:tblPr>
      <w:tblGrid>
        <w:gridCol w:w="5416"/>
        <w:gridCol w:w="1624"/>
      </w:tblGrid>
      <w:tr>
        <w:trPr>
          <w:trHeight w:val="401"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4" w:right="0"/>
              <w:jc w:val="center"/>
              <w:rPr>
                <w:rFonts w:ascii="Times New Roman" w:hAnsi="Times New Roman" w:cs="Times New Roman" w:eastAsia="Times New Roman" w:hint="default"/>
                <w:sz w:val="21"/>
                <w:szCs w:val="21"/>
              </w:rPr>
            </w:pPr>
            <w:r>
              <w:rPr>
                <w:rFonts w:ascii="Times New Roman"/>
                <w:sz w:val="21"/>
              </w:rPr>
              <w:t>228,906,276.56</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4" w:right="0"/>
              <w:jc w:val="center"/>
              <w:rPr>
                <w:rFonts w:ascii="Times New Roman" w:hAnsi="Times New Roman" w:cs="Times New Roman" w:eastAsia="Times New Roman" w:hint="default"/>
                <w:sz w:val="21"/>
                <w:szCs w:val="21"/>
              </w:rPr>
            </w:pPr>
            <w:r>
              <w:rPr>
                <w:rFonts w:ascii="Times New Roman"/>
                <w:sz w:val="21"/>
              </w:rPr>
              <w:t>226,712,085.84</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归属于上市公司股东（母公司所有者）的净利润</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4" w:right="0"/>
              <w:jc w:val="center"/>
              <w:rPr>
                <w:rFonts w:ascii="Times New Roman" w:hAnsi="Times New Roman" w:cs="Times New Roman" w:eastAsia="Times New Roman" w:hint="default"/>
                <w:sz w:val="21"/>
                <w:szCs w:val="21"/>
              </w:rPr>
            </w:pPr>
            <w:r>
              <w:rPr>
                <w:rFonts w:ascii="Times New Roman"/>
                <w:sz w:val="21"/>
              </w:rPr>
              <w:t>140,080,654.63</w:t>
            </w:r>
          </w:p>
        </w:tc>
      </w:tr>
      <w:tr>
        <w:trPr>
          <w:trHeight w:val="444"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8" w:right="0"/>
              <w:jc w:val="center"/>
              <w:rPr>
                <w:rFonts w:ascii="Times New Roman" w:hAnsi="Times New Roman" w:cs="Times New Roman" w:eastAsia="Times New Roman" w:hint="default"/>
                <w:sz w:val="21"/>
                <w:szCs w:val="21"/>
              </w:rPr>
            </w:pPr>
            <w:r>
              <w:rPr>
                <w:rFonts w:ascii="Times New Roman"/>
                <w:sz w:val="21"/>
              </w:rPr>
              <w:t>90,534,284.68</w:t>
            </w:r>
          </w:p>
        </w:tc>
      </w:tr>
      <w:tr>
        <w:trPr>
          <w:trHeight w:val="372"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 w:right="0"/>
              <w:jc w:val="center"/>
              <w:rPr>
                <w:rFonts w:ascii="Times New Roman" w:hAnsi="Times New Roman" w:cs="Times New Roman" w:eastAsia="Times New Roman" w:hint="default"/>
                <w:sz w:val="21"/>
                <w:szCs w:val="21"/>
              </w:rPr>
            </w:pPr>
            <w:r>
              <w:rPr>
                <w:rFonts w:ascii="Times New Roman"/>
                <w:sz w:val="21"/>
              </w:rPr>
              <w:t>-424,903,021.79</w:t>
            </w:r>
          </w:p>
        </w:tc>
      </w:tr>
    </w:tbl>
    <w:p>
      <w:pPr>
        <w:spacing w:line="240" w:lineRule="auto" w:before="1"/>
        <w:rPr>
          <w:rFonts w:ascii="宋体" w:hAnsi="宋体" w:cs="宋体" w:eastAsia="宋体" w:hint="default"/>
          <w:sz w:val="9"/>
          <w:szCs w:val="9"/>
        </w:rPr>
      </w:pPr>
    </w:p>
    <w:p>
      <w:pPr>
        <w:pStyle w:val="BodyText"/>
        <w:spacing w:line="240" w:lineRule="auto" w:before="34"/>
        <w:ind w:left="1159" w:right="0"/>
        <w:jc w:val="left"/>
      </w:pPr>
      <w:r>
        <w:rPr/>
        <w:t>注：</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年度非经常性损益金额为</w:t>
      </w:r>
      <w:r>
        <w:rPr>
          <w:spacing w:val="-54"/>
        </w:rPr>
        <w:t> </w:t>
      </w:r>
      <w:r>
        <w:rPr>
          <w:rFonts w:ascii="Times New Roman" w:hAnsi="Times New Roman" w:cs="Times New Roman" w:eastAsia="Times New Roman" w:hint="default"/>
        </w:rPr>
        <w:t>49,546,369.95</w:t>
      </w:r>
      <w:r>
        <w:rPr>
          <w:rFonts w:ascii="Times New Roman" w:hAnsi="Times New Roman" w:cs="Times New Roman" w:eastAsia="Times New Roman" w:hint="default"/>
          <w:spacing w:val="-2"/>
        </w:rPr>
        <w:t> </w:t>
      </w:r>
      <w:r>
        <w:rPr/>
        <w:t>元，具体项目如下：</w:t>
      </w:r>
    </w:p>
    <w:tbl>
      <w:tblPr>
        <w:tblW w:w="0" w:type="auto"/>
        <w:jc w:val="left"/>
        <w:tblInd w:w="2044" w:type="dxa"/>
        <w:tblLayout w:type="fixed"/>
        <w:tblCellMar>
          <w:top w:w="0" w:type="dxa"/>
          <w:left w:w="0" w:type="dxa"/>
          <w:bottom w:w="0" w:type="dxa"/>
          <w:right w:w="0" w:type="dxa"/>
        </w:tblCellMar>
        <w:tblLook w:val="01E0"/>
      </w:tblPr>
      <w:tblGrid>
        <w:gridCol w:w="4906"/>
        <w:gridCol w:w="2132"/>
      </w:tblGrid>
      <w:tr>
        <w:trPr>
          <w:trHeight w:val="3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0" w:lineRule="exact"/>
              <w:ind w:left="160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5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年金额</w:t>
            </w:r>
          </w:p>
        </w:tc>
      </w:tr>
      <w:tr>
        <w:trPr>
          <w:trHeight w:val="881" w:hRule="exact"/>
        </w:trPr>
        <w:tc>
          <w:tcPr>
            <w:tcW w:w="4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80"/>
              <w:ind w:left="784" w:right="0"/>
              <w:jc w:val="left"/>
              <w:rPr>
                <w:rFonts w:ascii="Times New Roman" w:hAnsi="Times New Roman" w:cs="Times New Roman" w:eastAsia="Times New Roman" w:hint="default"/>
                <w:sz w:val="21"/>
                <w:szCs w:val="21"/>
              </w:rPr>
            </w:pPr>
            <w:r>
              <w:rPr>
                <w:rFonts w:ascii="Times New Roman"/>
                <w:sz w:val="21"/>
              </w:rPr>
              <w:t>105,073,201.93</w:t>
            </w:r>
          </w:p>
          <w:p>
            <w:pPr>
              <w:pStyle w:val="TableParagraph"/>
              <w:spacing w:line="220" w:lineRule="exact"/>
              <w:ind w:left="473" w:right="0"/>
              <w:jc w:val="left"/>
              <w:rPr>
                <w:rFonts w:ascii="宋体" w:hAnsi="宋体" w:cs="宋体" w:eastAsia="宋体" w:hint="default"/>
                <w:sz w:val="18"/>
                <w:szCs w:val="18"/>
              </w:rPr>
            </w:pPr>
            <w:r>
              <w:rPr>
                <w:rFonts w:ascii="宋体" w:hAnsi="宋体" w:cs="宋体" w:eastAsia="宋体" w:hint="default"/>
                <w:sz w:val="18"/>
                <w:szCs w:val="18"/>
              </w:rPr>
              <w:t>（其中股权处置收益</w:t>
            </w:r>
          </w:p>
          <w:p>
            <w:pPr>
              <w:pStyle w:val="TableParagraph"/>
              <w:spacing w:line="248" w:lineRule="exact"/>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105,444,201.93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593" w:hRule="exact"/>
        </w:trPr>
        <w:tc>
          <w:tcPr>
            <w:tcW w:w="4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20"/>
              <w:jc w:val="right"/>
              <w:rPr>
                <w:rFonts w:ascii="Times New Roman" w:hAnsi="Times New Roman" w:cs="Times New Roman" w:eastAsia="Times New Roman" w:hint="default"/>
                <w:sz w:val="21"/>
                <w:szCs w:val="21"/>
              </w:rPr>
            </w:pPr>
            <w:r>
              <w:rPr>
                <w:rFonts w:ascii="Times New Roman"/>
                <w:w w:val="95"/>
                <w:sz w:val="21"/>
              </w:rPr>
              <w:t>7,032,538.90</w:t>
            </w:r>
            <w:r>
              <w:rPr>
                <w:rFonts w:ascii="Times New Roman"/>
                <w:sz w:val="21"/>
              </w:rPr>
            </w:r>
          </w:p>
        </w:tc>
      </w:tr>
      <w:tr>
        <w:trPr>
          <w:trHeight w:val="590" w:hRule="exact"/>
        </w:trPr>
        <w:tc>
          <w:tcPr>
            <w:tcW w:w="4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8"/>
              <w:jc w:val="right"/>
              <w:rPr>
                <w:rFonts w:ascii="Times New Roman" w:hAnsi="Times New Roman" w:cs="Times New Roman" w:eastAsia="Times New Roman" w:hint="default"/>
                <w:sz w:val="21"/>
                <w:szCs w:val="21"/>
              </w:rPr>
            </w:pPr>
            <w:r>
              <w:rPr>
                <w:rFonts w:ascii="Times New Roman"/>
                <w:w w:val="95"/>
                <w:sz w:val="21"/>
              </w:rPr>
              <w:t>-1,823,190.72</w:t>
            </w:r>
            <w:r>
              <w:rPr>
                <w:rFonts w:ascii="Times New Roman"/>
                <w:sz w:val="21"/>
              </w:rPr>
            </w:r>
          </w:p>
        </w:tc>
      </w:tr>
      <w:tr>
        <w:trPr>
          <w:trHeight w:val="300" w:hRule="exact"/>
        </w:trPr>
        <w:tc>
          <w:tcPr>
            <w:tcW w:w="49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w w:val="95"/>
                <w:sz w:val="21"/>
              </w:rPr>
              <w:t>-60,346,188.66</w:t>
            </w:r>
            <w:r>
              <w:rPr>
                <w:rFonts w:ascii="Times New Roman"/>
                <w:sz w:val="21"/>
              </w:rPr>
            </w:r>
          </w:p>
        </w:tc>
      </w:tr>
      <w:tr>
        <w:trPr>
          <w:trHeight w:val="286" w:hRule="exact"/>
        </w:trPr>
        <w:tc>
          <w:tcPr>
            <w:tcW w:w="4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-389,991.50</w:t>
            </w:r>
          </w:p>
        </w:tc>
      </w:tr>
      <w:tr>
        <w:trPr>
          <w:trHeight w:val="300" w:hRule="exact"/>
        </w:trPr>
        <w:tc>
          <w:tcPr>
            <w:tcW w:w="49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w w:val="95"/>
                <w:sz w:val="21"/>
              </w:rPr>
              <w:t>49,546,369.95</w:t>
            </w:r>
            <w:r>
              <w:rPr>
                <w:rFonts w:ascii="Times New Roman"/>
                <w:sz w:val="21"/>
              </w:rPr>
            </w:r>
          </w:p>
        </w:tc>
      </w:tr>
    </w:tbl>
    <w:p>
      <w:pPr>
        <w:spacing w:line="240" w:lineRule="auto" w:before="8"/>
        <w:rPr>
          <w:rFonts w:ascii="宋体" w:hAnsi="宋体" w:cs="宋体" w:eastAsia="宋体" w:hint="default"/>
          <w:sz w:val="7"/>
          <w:szCs w:val="7"/>
        </w:rPr>
      </w:pPr>
    </w:p>
    <w:p>
      <w:pPr>
        <w:tabs>
          <w:tab w:pos="7999" w:val="left" w:leader="none"/>
        </w:tabs>
        <w:spacing w:before="26"/>
        <w:ind w:left="1262" w:right="0" w:firstLine="0"/>
        <w:jc w:val="left"/>
        <w:rPr>
          <w:rFonts w:ascii="宋体" w:hAnsi="宋体" w:cs="宋体" w:eastAsia="宋体" w:hint="default"/>
          <w:sz w:val="21"/>
          <w:szCs w:val="21"/>
        </w:rPr>
      </w:pPr>
      <w:r>
        <w:rPr>
          <w:rFonts w:ascii="宋体" w:hAnsi="宋体" w:cs="宋体" w:eastAsia="宋体" w:hint="default"/>
          <w:sz w:val="24"/>
          <w:szCs w:val="24"/>
        </w:rPr>
        <w:t>二、截止报告期末公司前三年的主要会计数据和财务指标</w:t>
        <w:tab/>
      </w:r>
      <w:r>
        <w:rPr>
          <w:rFonts w:ascii="宋体" w:hAnsi="宋体" w:cs="宋体" w:eastAsia="宋体" w:hint="default"/>
          <w:sz w:val="21"/>
          <w:szCs w:val="21"/>
        </w:rPr>
        <w:t>（单位：人民币元）</w:t>
      </w:r>
    </w:p>
    <w:p>
      <w:pPr>
        <w:spacing w:line="240" w:lineRule="auto" w:before="3"/>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1725"/>
        <w:gridCol w:w="1540"/>
        <w:gridCol w:w="1540"/>
        <w:gridCol w:w="1540"/>
        <w:gridCol w:w="1465"/>
        <w:gridCol w:w="1540"/>
        <w:gridCol w:w="1540"/>
      </w:tblGrid>
      <w:tr>
        <w:trPr>
          <w:trHeight w:val="562"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5"/>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30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30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3"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463"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w w:val="95"/>
                <w:sz w:val="21"/>
              </w:rPr>
              <w:t>817,369,601.45</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pacing w:val="-1"/>
                <w:sz w:val="21"/>
              </w:rPr>
              <w:t>777,211,705.95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pacing w:val="-1"/>
                <w:sz w:val="21"/>
              </w:rPr>
              <w:t>777,211,705.95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w w:val="95"/>
                <w:sz w:val="21"/>
              </w:rPr>
              <w:t>5.17%</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w w:val="95"/>
                <w:sz w:val="21"/>
              </w:rPr>
              <w:t>696,718,259.58</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w w:val="95"/>
                <w:sz w:val="21"/>
              </w:rPr>
              <w:t>696,718,259.58</w:t>
            </w:r>
            <w:r>
              <w:rPr>
                <w:rFonts w:ascii="Times New Roman"/>
                <w:sz w:val="21"/>
              </w:rPr>
            </w:r>
          </w:p>
        </w:tc>
      </w:tr>
      <w:tr>
        <w:trPr>
          <w:trHeight w:val="427"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w w:val="95"/>
                <w:sz w:val="21"/>
              </w:rPr>
              <w:t>228,906,276.56</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w w:val="95"/>
                <w:sz w:val="21"/>
              </w:rPr>
              <w:t>153,793,414.47</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w w:val="95"/>
                <w:sz w:val="21"/>
              </w:rPr>
              <w:t>153,793,414.47</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1"/>
                <w:szCs w:val="21"/>
              </w:rPr>
            </w:pPr>
            <w:r>
              <w:rPr>
                <w:rFonts w:ascii="Times New Roman"/>
                <w:w w:val="95"/>
                <w:sz w:val="21"/>
              </w:rPr>
              <w:t>48.84%</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w w:val="95"/>
                <w:sz w:val="21"/>
              </w:rPr>
              <w:t>67,960,237.16</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w w:val="95"/>
                <w:sz w:val="21"/>
              </w:rPr>
              <w:t>67,960,237.16</w:t>
            </w:r>
            <w:r>
              <w:rPr>
                <w:rFonts w:ascii="Times New Roman"/>
                <w:sz w:val="21"/>
              </w:rPr>
            </w:r>
          </w:p>
        </w:tc>
      </w:tr>
      <w:tr>
        <w:trPr>
          <w:trHeight w:val="403"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226,712,085.84</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128,334,519.92</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128,334,519.92</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76.66%</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67,848,841.81</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67,848,841.81</w:t>
            </w:r>
            <w:r>
              <w:rPr>
                <w:rFonts w:ascii="Times New Roman"/>
                <w:sz w:val="21"/>
              </w:rPr>
            </w:r>
          </w:p>
        </w:tc>
      </w:tr>
      <w:tr>
        <w:trPr>
          <w:trHeight w:val="554"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140,080,654.63</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96,586,077.75</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96,276,320.09</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45.50%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64,907,773.22</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71,821,328.68</w:t>
            </w:r>
            <w:r>
              <w:rPr>
                <w:rFonts w:ascii="Times New Roman"/>
                <w:sz w:val="21"/>
              </w:rPr>
            </w:r>
          </w:p>
        </w:tc>
      </w:tr>
      <w:tr>
        <w:trPr>
          <w:trHeight w:val="1126"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8"/>
              <w:ind w:left="122" w:right="118"/>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99"/>
                <w:sz w:val="21"/>
                <w:szCs w:val="21"/>
              </w:rPr>
              <w:t> </w:t>
            </w:r>
            <w:r>
              <w:rPr>
                <w:rFonts w:ascii="宋体" w:hAnsi="宋体" w:cs="宋体" w:eastAsia="宋体" w:hint="default"/>
                <w:sz w:val="21"/>
                <w:szCs w:val="21"/>
              </w:rPr>
              <w:t>股东的扣除非经</w:t>
            </w:r>
            <w:r>
              <w:rPr>
                <w:rFonts w:ascii="宋体" w:hAnsi="宋体" w:cs="宋体" w:eastAsia="宋体" w:hint="default"/>
                <w:w w:val="99"/>
                <w:sz w:val="21"/>
                <w:szCs w:val="21"/>
              </w:rPr>
              <w:t> </w:t>
            </w:r>
            <w:r>
              <w:rPr>
                <w:rFonts w:ascii="宋体" w:hAnsi="宋体" w:cs="宋体" w:eastAsia="宋体" w:hint="default"/>
                <w:sz w:val="21"/>
                <w:szCs w:val="21"/>
              </w:rPr>
              <w:t>常性损益的净利</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99"/>
                <w:sz w:val="21"/>
                <w:szCs w:val="21"/>
              </w:rPr>
              <w:t>润</w:t>
            </w:r>
            <w:r>
              <w:rPr>
                <w:rFonts w:ascii="宋体" w:hAnsi="宋体" w:cs="宋体" w:eastAsia="宋体" w:hint="default"/>
                <w:sz w:val="21"/>
                <w:szCs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8"/>
              <w:jc w:val="right"/>
              <w:rPr>
                <w:rFonts w:ascii="Times New Roman" w:hAnsi="Times New Roman" w:cs="Times New Roman" w:eastAsia="Times New Roman" w:hint="default"/>
                <w:sz w:val="21"/>
                <w:szCs w:val="21"/>
              </w:rPr>
            </w:pPr>
            <w:r>
              <w:rPr>
                <w:rFonts w:ascii="Times New Roman"/>
                <w:w w:val="95"/>
                <w:sz w:val="21"/>
              </w:rPr>
              <w:t>90,534,284.68</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8"/>
              <w:jc w:val="right"/>
              <w:rPr>
                <w:rFonts w:ascii="Times New Roman" w:hAnsi="Times New Roman" w:cs="Times New Roman" w:eastAsia="Times New Roman" w:hint="default"/>
                <w:sz w:val="21"/>
                <w:szCs w:val="21"/>
              </w:rPr>
            </w:pPr>
            <w:r>
              <w:rPr>
                <w:rFonts w:ascii="Times New Roman"/>
                <w:w w:val="95"/>
                <w:sz w:val="21"/>
              </w:rPr>
              <w:t>34,790,000.65</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8"/>
              <w:jc w:val="right"/>
              <w:rPr>
                <w:rFonts w:ascii="Times New Roman" w:hAnsi="Times New Roman" w:cs="Times New Roman" w:eastAsia="Times New Roman" w:hint="default"/>
                <w:sz w:val="21"/>
                <w:szCs w:val="21"/>
              </w:rPr>
            </w:pPr>
            <w:r>
              <w:rPr>
                <w:rFonts w:ascii="Times New Roman"/>
                <w:w w:val="95"/>
                <w:sz w:val="21"/>
              </w:rPr>
              <w:t>34,480,242.99</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0"/>
              <w:jc w:val="right"/>
              <w:rPr>
                <w:rFonts w:ascii="Times New Roman" w:hAnsi="Times New Roman" w:cs="Times New Roman" w:eastAsia="Times New Roman" w:hint="default"/>
                <w:sz w:val="21"/>
                <w:szCs w:val="21"/>
              </w:rPr>
            </w:pPr>
            <w:r>
              <w:rPr>
                <w:rFonts w:ascii="Times New Roman"/>
                <w:w w:val="95"/>
                <w:sz w:val="21"/>
              </w:rPr>
              <w:t>162.57%</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8"/>
              <w:jc w:val="right"/>
              <w:rPr>
                <w:rFonts w:ascii="Times New Roman" w:hAnsi="Times New Roman" w:cs="Times New Roman" w:eastAsia="Times New Roman" w:hint="default"/>
                <w:sz w:val="21"/>
                <w:szCs w:val="21"/>
              </w:rPr>
            </w:pPr>
            <w:r>
              <w:rPr>
                <w:rFonts w:ascii="Times New Roman"/>
                <w:w w:val="95"/>
                <w:sz w:val="21"/>
              </w:rPr>
              <w:t>-79,234,402.57</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3"/>
              <w:jc w:val="right"/>
              <w:rPr>
                <w:rFonts w:ascii="Times New Roman" w:hAnsi="Times New Roman" w:cs="Times New Roman" w:eastAsia="Times New Roman" w:hint="default"/>
                <w:sz w:val="21"/>
                <w:szCs w:val="21"/>
              </w:rPr>
            </w:pPr>
            <w:r>
              <w:rPr>
                <w:rFonts w:ascii="Times New Roman"/>
                <w:spacing w:val="-1"/>
                <w:sz w:val="21"/>
              </w:rPr>
              <w:t>-72,320,847.11</w:t>
            </w:r>
          </w:p>
        </w:tc>
      </w:tr>
      <w:tr>
        <w:trPr>
          <w:trHeight w:val="556"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-424,903,021.79</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537,258,302.29</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537,258,302.29</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-179.09%</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218,928,290.21</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218,928,290.21</w:t>
            </w:r>
            <w:r>
              <w:rPr>
                <w:rFonts w:ascii="Times New Roman"/>
                <w:sz w:val="21"/>
              </w:rPr>
            </w:r>
          </w:p>
        </w:tc>
      </w:tr>
      <w:tr>
        <w:trPr>
          <w:trHeight w:val="556"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3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年末</w:t>
            </w:r>
          </w:p>
        </w:tc>
        <w:tc>
          <w:tcPr>
            <w:tcW w:w="30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30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1"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1,888,141,595.10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2,283,416,351.06</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2,283,416,351.06</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-17.31%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2,882,372,416.84</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2,882,372,416.84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360" w:bottom="1200" w:left="400" w:right="380"/>
        </w:sectPr>
      </w:pPr>
    </w:p>
    <w:p>
      <w:pPr>
        <w:spacing w:line="240" w:lineRule="auto" w:before="2"/>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25"/>
        <w:gridCol w:w="1540"/>
        <w:gridCol w:w="1540"/>
        <w:gridCol w:w="1540"/>
        <w:gridCol w:w="1465"/>
        <w:gridCol w:w="1540"/>
        <w:gridCol w:w="1540"/>
      </w:tblGrid>
      <w:tr>
        <w:trPr>
          <w:trHeight w:val="281"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902,497,943.80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1,399,942,968.61</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1,399,942,968.61</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-35.53%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1,837,605,763.44</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1,837,605,763.44</w:t>
            </w:r>
            <w:r>
              <w:rPr>
                <w:rFonts w:ascii="Times New Roman"/>
                <w:sz w:val="21"/>
              </w:rPr>
            </w:r>
          </w:p>
        </w:tc>
      </w:tr>
      <w:tr>
        <w:trPr>
          <w:trHeight w:val="277" w:hRule="exact"/>
        </w:trPr>
        <w:tc>
          <w:tcPr>
            <w:tcW w:w="1725"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154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r>
      <w:tr>
        <w:trPr>
          <w:trHeight w:val="278" w:hRule="exact"/>
        </w:trPr>
        <w:tc>
          <w:tcPr>
            <w:tcW w:w="1725"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股东的所有者权</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995,817,803.28</w:t>
            </w:r>
            <w:r>
              <w:rPr>
                <w:rFonts w:ascii="Times New Roman"/>
                <w:sz w:val="21"/>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858,361,709.73</w:t>
            </w:r>
            <w:r>
              <w:rPr>
                <w:rFonts w:ascii="Times New Roman"/>
                <w:sz w:val="21"/>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871,036,074.12</w:t>
            </w:r>
            <w:r>
              <w:rPr>
                <w:rFonts w:ascii="Times New Roman"/>
                <w:sz w:val="21"/>
              </w:rPr>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14.33%</w:t>
            </w:r>
            <w:r>
              <w:rPr>
                <w:rFonts w:ascii="Times New Roman"/>
                <w:sz w:val="21"/>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930,380,700.21</w:t>
            </w:r>
            <w:r>
              <w:rPr>
                <w:rFonts w:ascii="Times New Roman"/>
                <w:sz w:val="21"/>
              </w:rPr>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943,364,822.26</w:t>
            </w:r>
            <w:r>
              <w:rPr>
                <w:rFonts w:ascii="Times New Roman"/>
                <w:sz w:val="21"/>
              </w:rPr>
            </w:r>
          </w:p>
        </w:tc>
      </w:tr>
      <w:tr>
        <w:trPr>
          <w:trHeight w:val="273" w:hRule="exact"/>
        </w:trPr>
        <w:tc>
          <w:tcPr>
            <w:tcW w:w="1725"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154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7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r>
    </w:tbl>
    <w:p>
      <w:pPr>
        <w:spacing w:line="240" w:lineRule="auto" w:before="12"/>
        <w:rPr>
          <w:rFonts w:ascii="宋体" w:hAnsi="宋体" w:cs="宋体" w:eastAsia="宋体" w:hint="default"/>
          <w:sz w:val="18"/>
          <w:szCs w:val="18"/>
        </w:rPr>
      </w:pPr>
    </w:p>
    <w:tbl>
      <w:tblPr>
        <w:tblW w:w="0" w:type="auto"/>
        <w:jc w:val="left"/>
        <w:tblInd w:w="735" w:type="dxa"/>
        <w:tblLayout w:type="fixed"/>
        <w:tblCellMar>
          <w:top w:w="0" w:type="dxa"/>
          <w:left w:w="0" w:type="dxa"/>
          <w:bottom w:w="0" w:type="dxa"/>
          <w:right w:w="0" w:type="dxa"/>
        </w:tblCellMar>
        <w:tblLook w:val="01E0"/>
      </w:tblPr>
      <w:tblGrid>
        <w:gridCol w:w="2033"/>
        <w:gridCol w:w="1304"/>
        <w:gridCol w:w="1302"/>
        <w:gridCol w:w="1304"/>
        <w:gridCol w:w="1304"/>
        <w:gridCol w:w="1302"/>
        <w:gridCol w:w="1304"/>
      </w:tblGrid>
      <w:tr>
        <w:trPr>
          <w:trHeight w:val="591" w:hRule="exact"/>
        </w:trPr>
        <w:tc>
          <w:tcPr>
            <w:tcW w:w="2033" w:type="dxa"/>
            <w:vMerge w:val="restart"/>
            <w:tcBorders>
              <w:top w:val="nil" w:sz="6" w:space="0" w:color="auto"/>
              <w:left w:val="nil" w:sz="6" w:space="0" w:color="auto"/>
              <w:right w:val="nil" w:sz="6" w:space="0" w:color="auto"/>
            </w:tcBorders>
            <w:shd w:val="clear" w:color="auto" w:fill="DBDBDB"/>
          </w:tcPr>
          <w:p>
            <w:pPr/>
          </w:p>
        </w:tc>
        <w:tc>
          <w:tcPr>
            <w:tcW w:w="130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auto" w:before="105"/>
              <w:ind w:left="3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2606" w:type="dxa"/>
            <w:gridSpan w:val="2"/>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30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4" w:lineRule="exact"/>
              <w:ind w:left="127"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606" w:type="dxa"/>
            <w:gridSpan w:val="2"/>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245" w:hRule="exact"/>
        </w:trPr>
        <w:tc>
          <w:tcPr>
            <w:tcW w:w="2033" w:type="dxa"/>
            <w:vMerge/>
            <w:tcBorders>
              <w:left w:val="nil" w:sz="6" w:space="0" w:color="auto"/>
              <w:bottom w:val="nil" w:sz="6" w:space="0" w:color="auto"/>
              <w:right w:val="nil" w:sz="6" w:space="0" w:color="auto"/>
            </w:tcBorders>
            <w:shd w:val="clear" w:color="auto" w:fill="DBDBDB"/>
          </w:tcPr>
          <w:p>
            <w:pPr/>
          </w:p>
        </w:tc>
        <w:tc>
          <w:tcPr>
            <w:tcW w:w="1304" w:type="dxa"/>
            <w:tcBorders>
              <w:top w:val="nil" w:sz="6" w:space="0" w:color="auto"/>
              <w:left w:val="nil" w:sz="6" w:space="0" w:color="auto"/>
              <w:bottom w:val="nil" w:sz="6" w:space="0" w:color="auto"/>
              <w:right w:val="nil" w:sz="6" w:space="0" w:color="auto"/>
            </w:tcBorders>
            <w:shd w:val="clear" w:color="auto" w:fill="DBDBDB"/>
          </w:tcPr>
          <w:p>
            <w:pPr/>
          </w:p>
        </w:tc>
        <w:tc>
          <w:tcPr>
            <w:tcW w:w="1302" w:type="dxa"/>
            <w:tcBorders>
              <w:top w:val="nil" w:sz="6" w:space="0" w:color="auto"/>
              <w:left w:val="nil" w:sz="6" w:space="0" w:color="auto"/>
              <w:bottom w:val="nil" w:sz="6" w:space="0" w:color="auto"/>
              <w:right w:val="single" w:sz="4" w:space="0" w:color="000000"/>
            </w:tcBorders>
            <w:shd w:val="clear" w:color="auto" w:fill="DBDBDB"/>
          </w:tcPr>
          <w:p>
            <w:pPr>
              <w:pStyle w:val="TableParagraph"/>
              <w:spacing w:line="209" w:lineRule="exact"/>
              <w:ind w:left="3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4" w:type="dxa"/>
            <w:tcBorders>
              <w:top w:val="nil" w:sz="6" w:space="0" w:color="auto"/>
              <w:left w:val="single" w:sz="4" w:space="0" w:color="000000"/>
              <w:bottom w:val="nil" w:sz="6" w:space="0" w:color="auto"/>
              <w:right w:val="nil" w:sz="6" w:space="0" w:color="auto"/>
            </w:tcBorders>
            <w:shd w:val="clear" w:color="auto" w:fill="DBDBDB"/>
          </w:tcPr>
          <w:p>
            <w:pPr>
              <w:pStyle w:val="TableParagraph"/>
              <w:spacing w:line="209" w:lineRule="exact"/>
              <w:ind w:left="33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09" w:lineRule="exact"/>
              <w:ind w:left="33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2" w:type="dxa"/>
            <w:tcBorders>
              <w:top w:val="nil" w:sz="6" w:space="0" w:color="auto"/>
              <w:left w:val="nil" w:sz="6" w:space="0" w:color="auto"/>
              <w:bottom w:val="nil" w:sz="6" w:space="0" w:color="auto"/>
              <w:right w:val="single" w:sz="4" w:space="0" w:color="000000"/>
            </w:tcBorders>
            <w:shd w:val="clear" w:color="auto" w:fill="DBDBDB"/>
          </w:tcPr>
          <w:p>
            <w:pPr>
              <w:pStyle w:val="TableParagraph"/>
              <w:spacing w:line="209" w:lineRule="exact"/>
              <w:ind w:left="3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4" w:type="dxa"/>
            <w:tcBorders>
              <w:top w:val="nil" w:sz="6" w:space="0" w:color="auto"/>
              <w:left w:val="single" w:sz="4" w:space="0" w:color="000000"/>
              <w:bottom w:val="nil" w:sz="6" w:space="0" w:color="auto"/>
              <w:right w:val="nil" w:sz="6" w:space="0" w:color="auto"/>
            </w:tcBorders>
            <w:shd w:val="clear" w:color="auto" w:fill="DBDBDB"/>
          </w:tcPr>
          <w:p>
            <w:pPr>
              <w:pStyle w:val="TableParagraph"/>
              <w:spacing w:line="209" w:lineRule="exact"/>
              <w:ind w:left="33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3337" w:type="dxa"/>
            <w:gridSpan w:val="2"/>
            <w:tcBorders>
              <w:top w:val="nil" w:sz="6" w:space="0" w:color="auto"/>
              <w:left w:val="nil" w:sz="6" w:space="0" w:color="auto"/>
              <w:bottom w:val="single" w:sz="4" w:space="0" w:color="000000"/>
              <w:right w:val="nil" w:sz="6" w:space="0" w:color="auto"/>
            </w:tcBorders>
            <w:shd w:val="clear" w:color="auto" w:fill="DBDBDB"/>
          </w:tcPr>
          <w:p>
            <w:pPr>
              <w:pStyle w:val="TableParagraph"/>
              <w:tabs>
                <w:tab w:pos="3309" w:val="right" w:leader="none"/>
              </w:tabs>
              <w:spacing w:line="263"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基</w:t>
            </w:r>
            <w:r>
              <w:rPr>
                <w:rFonts w:ascii="宋体" w:hAnsi="宋体" w:cs="宋体" w:eastAsia="宋体" w:hint="default"/>
                <w:w w:val="99"/>
                <w:sz w:val="21"/>
                <w:szCs w:val="21"/>
              </w:rPr>
              <w:t>本</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spacing w:val="-82"/>
                <w:w w:val="99"/>
                <w:sz w:val="21"/>
                <w:szCs w:val="21"/>
              </w:rPr>
              <w:t>益</w:t>
            </w:r>
            <w:r>
              <w:rPr>
                <w:rFonts w:ascii="宋体" w:hAnsi="宋体" w:cs="宋体" w:eastAsia="宋体" w:hint="default"/>
                <w:spacing w:val="2"/>
                <w:w w:val="99"/>
                <w:sz w:val="21"/>
                <w:szCs w:val="21"/>
              </w:rPr>
              <w:t>（</w:t>
            </w:r>
            <w:r>
              <w:rPr>
                <w:rFonts w:ascii="宋体" w:hAnsi="宋体" w:cs="宋体" w:eastAsia="宋体" w:hint="default"/>
                <w:w w:val="99"/>
                <w:sz w:val="21"/>
                <w:szCs w:val="21"/>
              </w:rPr>
              <w:t>元</w:t>
            </w:r>
            <w:r>
              <w:rPr>
                <w:rFonts w:ascii="Times New Roman" w:hAnsi="Times New Roman" w:cs="Times New Roman" w:eastAsia="Times New Roman" w:hint="default"/>
                <w:spacing w:val="1"/>
                <w:w w:val="99"/>
                <w:sz w:val="21"/>
                <w:szCs w:val="21"/>
              </w:rPr>
              <w:t>/</w:t>
            </w:r>
            <w:r>
              <w:rPr>
                <w:rFonts w:ascii="宋体" w:hAnsi="宋体" w:cs="宋体" w:eastAsia="宋体" w:hint="default"/>
                <w:w w:val="99"/>
                <w:sz w:val="21"/>
                <w:szCs w:val="21"/>
              </w:rPr>
              <w:t>股）</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ab/>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3</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tc>
        <w:tc>
          <w:tcPr>
            <w:tcW w:w="1302" w:type="dxa"/>
            <w:tcBorders>
              <w:top w:val="nil" w:sz="6" w:space="0" w:color="auto"/>
              <w:left w:val="nil" w:sz="6" w:space="0" w:color="auto"/>
              <w:bottom w:val="single" w:sz="4" w:space="0" w:color="000000"/>
              <w:right w:val="single" w:sz="4" w:space="0" w:color="000000"/>
            </w:tcBorders>
          </w:tcPr>
          <w:p>
            <w:pPr>
              <w:pStyle w:val="TableParagraph"/>
              <w:spacing w:line="240" w:lineRule="auto" w:before="21"/>
              <w:ind w:right="18"/>
              <w:jc w:val="right"/>
              <w:rPr>
                <w:rFonts w:ascii="Times New Roman" w:hAnsi="Times New Roman" w:cs="Times New Roman" w:eastAsia="Times New Roman" w:hint="default"/>
                <w:sz w:val="21"/>
                <w:szCs w:val="21"/>
              </w:rPr>
            </w:pPr>
            <w:r>
              <w:rPr>
                <w:rFonts w:ascii="Times New Roman"/>
                <w:sz w:val="21"/>
              </w:rPr>
              <w:t>0.21</w:t>
            </w:r>
          </w:p>
        </w:tc>
        <w:tc>
          <w:tcPr>
            <w:tcW w:w="1304" w:type="dxa"/>
            <w:tcBorders>
              <w:top w:val="nil" w:sz="6" w:space="0" w:color="auto"/>
              <w:left w:val="single" w:sz="4" w:space="0" w:color="000000"/>
              <w:bottom w:val="single" w:sz="4" w:space="0" w:color="000000"/>
              <w:right w:val="nil" w:sz="6" w:space="0" w:color="auto"/>
            </w:tcBorders>
          </w:tcPr>
          <w:p>
            <w:pPr>
              <w:pStyle w:val="TableParagraph"/>
              <w:spacing w:line="240" w:lineRule="auto" w:before="21"/>
              <w:ind w:right="23"/>
              <w:jc w:val="right"/>
              <w:rPr>
                <w:rFonts w:ascii="Times New Roman" w:hAnsi="Times New Roman" w:cs="Times New Roman" w:eastAsia="Times New Roman" w:hint="default"/>
                <w:sz w:val="21"/>
                <w:szCs w:val="21"/>
              </w:rPr>
            </w:pPr>
            <w:r>
              <w:rPr>
                <w:rFonts w:ascii="Times New Roman"/>
                <w:sz w:val="21"/>
              </w:rPr>
              <w:t>0.21</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5"/>
              <w:jc w:val="right"/>
              <w:rPr>
                <w:rFonts w:ascii="Times New Roman" w:hAnsi="Times New Roman" w:cs="Times New Roman" w:eastAsia="Times New Roman" w:hint="default"/>
                <w:sz w:val="21"/>
                <w:szCs w:val="21"/>
              </w:rPr>
            </w:pPr>
            <w:r>
              <w:rPr>
                <w:rFonts w:ascii="Times New Roman"/>
                <w:w w:val="95"/>
                <w:sz w:val="21"/>
              </w:rPr>
              <w:t>42.86%</w:t>
            </w:r>
            <w:r>
              <w:rPr>
                <w:rFonts w:ascii="Times New Roman"/>
                <w:sz w:val="21"/>
              </w:rPr>
            </w:r>
          </w:p>
        </w:tc>
        <w:tc>
          <w:tcPr>
            <w:tcW w:w="1302" w:type="dxa"/>
            <w:tcBorders>
              <w:top w:val="nil" w:sz="6" w:space="0" w:color="auto"/>
              <w:left w:val="nil" w:sz="6" w:space="0" w:color="auto"/>
              <w:bottom w:val="single" w:sz="4" w:space="0" w:color="000000"/>
              <w:right w:val="single" w:sz="4" w:space="0" w:color="000000"/>
            </w:tcBorders>
          </w:tcPr>
          <w:p>
            <w:pPr>
              <w:pStyle w:val="TableParagraph"/>
              <w:spacing w:line="240" w:lineRule="auto" w:before="21"/>
              <w:ind w:right="18"/>
              <w:jc w:val="right"/>
              <w:rPr>
                <w:rFonts w:ascii="Times New Roman" w:hAnsi="Times New Roman" w:cs="Times New Roman" w:eastAsia="Times New Roman" w:hint="default"/>
                <w:sz w:val="21"/>
                <w:szCs w:val="21"/>
              </w:rPr>
            </w:pPr>
            <w:r>
              <w:rPr>
                <w:rFonts w:ascii="Times New Roman"/>
                <w:sz w:val="21"/>
              </w:rPr>
              <w:t>0.14</w:t>
            </w:r>
          </w:p>
        </w:tc>
        <w:tc>
          <w:tcPr>
            <w:tcW w:w="1304" w:type="dxa"/>
            <w:tcBorders>
              <w:top w:val="nil" w:sz="6" w:space="0" w:color="auto"/>
              <w:left w:val="single" w:sz="4" w:space="0" w:color="000000"/>
              <w:bottom w:val="single" w:sz="4" w:space="0" w:color="000000"/>
              <w:right w:val="nil" w:sz="6" w:space="0" w:color="auto"/>
            </w:tcBorders>
          </w:tcPr>
          <w:p>
            <w:pPr>
              <w:pStyle w:val="TableParagraph"/>
              <w:spacing w:line="240" w:lineRule="auto" w:before="21"/>
              <w:ind w:right="23"/>
              <w:jc w:val="right"/>
              <w:rPr>
                <w:rFonts w:ascii="Times New Roman" w:hAnsi="Times New Roman" w:cs="Times New Roman" w:eastAsia="Times New Roman" w:hint="default"/>
                <w:sz w:val="21"/>
                <w:szCs w:val="21"/>
              </w:rPr>
            </w:pPr>
            <w:r>
              <w:rPr>
                <w:rFonts w:ascii="Times New Roman"/>
                <w:sz w:val="21"/>
              </w:rPr>
              <w:t>0.15</w:t>
            </w:r>
          </w:p>
        </w:tc>
      </w:tr>
      <w:tr>
        <w:trPr>
          <w:trHeight w:val="283" w:hRule="exact"/>
        </w:trPr>
        <w:tc>
          <w:tcPr>
            <w:tcW w:w="3337" w:type="dxa"/>
            <w:gridSpan w:val="2"/>
            <w:tcBorders>
              <w:top w:val="single" w:sz="4" w:space="0" w:color="000000"/>
              <w:left w:val="nil" w:sz="6" w:space="0" w:color="auto"/>
              <w:bottom w:val="single" w:sz="4" w:space="0" w:color="000000"/>
              <w:right w:val="nil" w:sz="6" w:space="0" w:color="auto"/>
            </w:tcBorders>
            <w:shd w:val="clear" w:color="auto" w:fill="DBDBDB"/>
          </w:tcPr>
          <w:p>
            <w:pPr>
              <w:pStyle w:val="TableParagraph"/>
              <w:tabs>
                <w:tab w:pos="3309" w:val="right" w:leader="none"/>
              </w:tabs>
              <w:spacing w:line="257"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稀</w:t>
            </w:r>
            <w:r>
              <w:rPr>
                <w:rFonts w:ascii="宋体" w:hAnsi="宋体" w:cs="宋体" w:eastAsia="宋体" w:hint="default"/>
                <w:w w:val="99"/>
                <w:sz w:val="21"/>
                <w:szCs w:val="21"/>
              </w:rPr>
              <w:t>释</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spacing w:val="-82"/>
                <w:w w:val="99"/>
                <w:sz w:val="21"/>
                <w:szCs w:val="21"/>
              </w:rPr>
              <w:t>益</w:t>
            </w:r>
            <w:r>
              <w:rPr>
                <w:rFonts w:ascii="宋体" w:hAnsi="宋体" w:cs="宋体" w:eastAsia="宋体" w:hint="default"/>
                <w:spacing w:val="2"/>
                <w:w w:val="99"/>
                <w:sz w:val="21"/>
                <w:szCs w:val="21"/>
              </w:rPr>
              <w:t>（</w:t>
            </w:r>
            <w:r>
              <w:rPr>
                <w:rFonts w:ascii="宋体" w:hAnsi="宋体" w:cs="宋体" w:eastAsia="宋体" w:hint="default"/>
                <w:w w:val="99"/>
                <w:sz w:val="21"/>
                <w:szCs w:val="21"/>
              </w:rPr>
              <w:t>元</w:t>
            </w:r>
            <w:r>
              <w:rPr>
                <w:rFonts w:ascii="Times New Roman" w:hAnsi="Times New Roman" w:cs="Times New Roman" w:eastAsia="Times New Roman" w:hint="default"/>
                <w:spacing w:val="1"/>
                <w:w w:val="99"/>
                <w:sz w:val="21"/>
                <w:szCs w:val="21"/>
              </w:rPr>
              <w:t>/</w:t>
            </w:r>
            <w:r>
              <w:rPr>
                <w:rFonts w:ascii="宋体" w:hAnsi="宋体" w:cs="宋体" w:eastAsia="宋体" w:hint="default"/>
                <w:w w:val="99"/>
                <w:sz w:val="21"/>
                <w:szCs w:val="21"/>
              </w:rPr>
              <w:t>股）</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ab/>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3</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0.21</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z w:val="21"/>
              </w:rPr>
              <w:t>0.21</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w w:val="95"/>
                <w:sz w:val="21"/>
              </w:rPr>
              <w:t>42.86%</w:t>
            </w:r>
            <w:r>
              <w:rPr>
                <w:rFonts w:ascii="Times New Roman"/>
                <w:sz w:val="21"/>
              </w:rPr>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0.14</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z w:val="21"/>
              </w:rPr>
              <w:t>0.15</w:t>
            </w:r>
          </w:p>
        </w:tc>
      </w:tr>
      <w:tr>
        <w:trPr>
          <w:trHeight w:val="827" w:hRule="exact"/>
        </w:trPr>
        <w:tc>
          <w:tcPr>
            <w:tcW w:w="2033"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4" w:lineRule="exact" w:before="24"/>
              <w:ind w:left="28" w:right="48"/>
              <w:jc w:val="left"/>
              <w:rPr>
                <w:rFonts w:ascii="宋体" w:hAnsi="宋体" w:cs="宋体" w:eastAsia="宋体" w:hint="default"/>
                <w:sz w:val="21"/>
                <w:szCs w:val="21"/>
              </w:rPr>
            </w:pPr>
            <w:r>
              <w:rPr>
                <w:rFonts w:ascii="宋体" w:hAnsi="宋体" w:cs="宋体" w:eastAsia="宋体" w:hint="default"/>
                <w:sz w:val="21"/>
                <w:szCs w:val="21"/>
              </w:rPr>
              <w:t>的基本每股收益（元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股）</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0.19</w:t>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0.07</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0.07</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171.43%</w:t>
            </w:r>
            <w:r>
              <w:rPr>
                <w:rFonts w:ascii="Times New Roman"/>
                <w:sz w:val="21"/>
              </w:rPr>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-0.17</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-0.15</w:t>
            </w:r>
          </w:p>
        </w:tc>
      </w:tr>
      <w:tr>
        <w:trPr>
          <w:trHeight w:val="556" w:hRule="exact"/>
        </w:trPr>
        <w:tc>
          <w:tcPr>
            <w:tcW w:w="2033"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3"/>
              <w:ind w:right="25"/>
              <w:jc w:val="right"/>
              <w:rPr>
                <w:rFonts w:ascii="Times New Roman" w:hAnsi="Times New Roman" w:cs="Times New Roman" w:eastAsia="Times New Roman" w:hint="default"/>
                <w:sz w:val="21"/>
                <w:szCs w:val="21"/>
              </w:rPr>
            </w:pPr>
            <w:r>
              <w:rPr>
                <w:rFonts w:ascii="Times New Roman"/>
                <w:w w:val="95"/>
                <w:sz w:val="21"/>
              </w:rPr>
              <w:t>14.89%</w:t>
            </w:r>
            <w:r>
              <w:rPr>
                <w:rFonts w:ascii="Times New Roman"/>
                <w:sz w:val="21"/>
              </w:rPr>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21"/>
                <w:szCs w:val="21"/>
              </w:rPr>
            </w:pPr>
            <w:r>
              <w:rPr>
                <w:rFonts w:ascii="Times New Roman"/>
                <w:w w:val="95"/>
                <w:sz w:val="21"/>
              </w:rPr>
              <w:t>10.80%</w:t>
            </w:r>
            <w:r>
              <w:rPr>
                <w:rFonts w:ascii="Times New Roman"/>
                <w:sz w:val="21"/>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3"/>
              <w:jc w:val="right"/>
              <w:rPr>
                <w:rFonts w:ascii="Times New Roman" w:hAnsi="Times New Roman" w:cs="Times New Roman" w:eastAsia="Times New Roman" w:hint="default"/>
                <w:sz w:val="21"/>
                <w:szCs w:val="21"/>
              </w:rPr>
            </w:pPr>
            <w:r>
              <w:rPr>
                <w:rFonts w:ascii="Times New Roman"/>
                <w:w w:val="95"/>
                <w:sz w:val="21"/>
              </w:rPr>
              <w:t>10.61%</w:t>
            </w:r>
            <w:r>
              <w:rPr>
                <w:rFonts w:ascii="Times New Roman"/>
                <w:sz w:val="21"/>
              </w:rPr>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3"/>
              <w:ind w:right="23"/>
              <w:jc w:val="right"/>
              <w:rPr>
                <w:rFonts w:ascii="Times New Roman" w:hAnsi="Times New Roman" w:cs="Times New Roman" w:eastAsia="Times New Roman" w:hint="default"/>
                <w:sz w:val="21"/>
                <w:szCs w:val="21"/>
              </w:rPr>
            </w:pPr>
            <w:r>
              <w:rPr>
                <w:rFonts w:ascii="Times New Roman"/>
                <w:sz w:val="21"/>
              </w:rPr>
              <w:t>4.28%</w:t>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21"/>
                <w:szCs w:val="21"/>
              </w:rPr>
            </w:pPr>
            <w:r>
              <w:rPr>
                <w:rFonts w:ascii="Times New Roman"/>
                <w:w w:val="95"/>
                <w:sz w:val="21"/>
              </w:rPr>
              <w:t>7.28%</w:t>
            </w:r>
            <w:r>
              <w:rPr>
                <w:rFonts w:ascii="Times New Roman"/>
                <w:sz w:val="21"/>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3"/>
              <w:jc w:val="right"/>
              <w:rPr>
                <w:rFonts w:ascii="Times New Roman" w:hAnsi="Times New Roman" w:cs="Times New Roman" w:eastAsia="Times New Roman" w:hint="default"/>
                <w:sz w:val="21"/>
                <w:szCs w:val="21"/>
              </w:rPr>
            </w:pPr>
            <w:r>
              <w:rPr>
                <w:rFonts w:ascii="Times New Roman"/>
                <w:sz w:val="21"/>
              </w:rPr>
              <w:t>7.61%</w:t>
            </w:r>
          </w:p>
        </w:tc>
      </w:tr>
      <w:tr>
        <w:trPr>
          <w:trHeight w:val="826" w:hRule="exact"/>
        </w:trPr>
        <w:tc>
          <w:tcPr>
            <w:tcW w:w="2033"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28" w:right="108"/>
              <w:jc w:val="left"/>
              <w:rPr>
                <w:rFonts w:ascii="宋体" w:hAnsi="宋体" w:cs="宋体" w:eastAsia="宋体" w:hint="default"/>
                <w:sz w:val="21"/>
                <w:szCs w:val="21"/>
              </w:rPr>
            </w:pPr>
            <w:r>
              <w:rPr>
                <w:rFonts w:ascii="宋体" w:hAnsi="宋体" w:cs="宋体" w:eastAsia="宋体" w:hint="default"/>
                <w:sz w:val="21"/>
                <w:szCs w:val="21"/>
              </w:rPr>
              <w:t>的加权平均净资产收</w:t>
            </w:r>
            <w:r>
              <w:rPr>
                <w:rFonts w:ascii="宋体" w:hAnsi="宋体" w:cs="宋体" w:eastAsia="宋体" w:hint="default"/>
                <w:w w:val="99"/>
                <w:sz w:val="21"/>
                <w:szCs w:val="21"/>
              </w:rPr>
              <w:t> </w:t>
            </w:r>
            <w:r>
              <w:rPr>
                <w:rFonts w:ascii="宋体" w:hAnsi="宋体" w:cs="宋体" w:eastAsia="宋体" w:hint="default"/>
                <w:sz w:val="21"/>
                <w:szCs w:val="21"/>
              </w:rPr>
              <w:t>益率（％）</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9.62%</w:t>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3.89%</w:t>
            </w:r>
            <w:r>
              <w:rPr>
                <w:rFonts w:ascii="Times New Roman"/>
                <w:sz w:val="21"/>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3.80%</w:t>
            </w: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5.82%</w:t>
            </w:r>
          </w:p>
        </w:tc>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-9.01%</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-7.67%</w:t>
            </w:r>
            <w:r>
              <w:rPr>
                <w:rFonts w:ascii="Times New Roman"/>
                <w:sz w:val="21"/>
              </w:rPr>
            </w:r>
          </w:p>
        </w:tc>
      </w:tr>
      <w:tr>
        <w:trPr>
          <w:trHeight w:val="550" w:hRule="exact"/>
        </w:trPr>
        <w:tc>
          <w:tcPr>
            <w:tcW w:w="3337" w:type="dxa"/>
            <w:gridSpan w:val="2"/>
            <w:tcBorders>
              <w:top w:val="single" w:sz="4" w:space="0" w:color="000000"/>
              <w:left w:val="nil" w:sz="6" w:space="0" w:color="auto"/>
              <w:bottom w:val="nil" w:sz="6" w:space="0" w:color="auto"/>
              <w:right w:val="nil" w:sz="6" w:space="0" w:color="auto"/>
            </w:tcBorders>
            <w:shd w:val="clear" w:color="auto" w:fill="DBDBDB"/>
          </w:tcPr>
          <w:p>
            <w:pPr>
              <w:pStyle w:val="TableParagraph"/>
              <w:tabs>
                <w:tab w:pos="2872" w:val="left" w:leader="none"/>
              </w:tabs>
              <w:spacing w:line="160" w:lineRule="auto" w:before="47"/>
              <w:ind w:left="28" w:right="25"/>
              <w:jc w:val="left"/>
              <w:rPr>
                <w:rFonts w:ascii="Times New Roman" w:hAnsi="Times New Roman" w:cs="Times New Roman" w:eastAsia="Times New Roman" w:hint="default"/>
                <w:sz w:val="21"/>
                <w:szCs w:val="21"/>
              </w:rPr>
            </w:pPr>
            <w:r>
              <w:rPr>
                <w:rFonts w:ascii="宋体" w:hAnsi="宋体" w:cs="宋体" w:eastAsia="宋体" w:hint="default"/>
                <w:sz w:val="21"/>
                <w:szCs w:val="21"/>
              </w:rPr>
              <w:t>每股经营活动产生的</w:t>
            </w:r>
            <w:r>
              <w:rPr>
                <w:rFonts w:ascii="宋体" w:hAnsi="宋体" w:cs="宋体" w:eastAsia="宋体" w:hint="default"/>
                <w:w w:val="99"/>
                <w:sz w:val="21"/>
                <w:szCs w:val="21"/>
              </w:rPr>
              <w:t> </w:t>
            </w:r>
            <w:r>
              <w:rPr>
                <w:rFonts w:ascii="宋体" w:hAnsi="宋体" w:cs="宋体" w:eastAsia="宋体" w:hint="default"/>
                <w:spacing w:val="-7"/>
                <w:w w:val="99"/>
                <w:sz w:val="21"/>
                <w:szCs w:val="21"/>
              </w:rPr>
              <w:t>现金流量净额（元</w:t>
            </w:r>
            <w:r>
              <w:rPr>
                <w:rFonts w:ascii="Times New Roman" w:hAnsi="Times New Roman" w:cs="Times New Roman" w:eastAsia="Times New Roman" w:hint="default"/>
                <w:spacing w:val="-7"/>
                <w:w w:val="99"/>
                <w:sz w:val="21"/>
                <w:szCs w:val="21"/>
              </w:rPr>
              <w:t>/</w:t>
            </w:r>
            <w:r>
              <w:rPr>
                <w:rFonts w:ascii="宋体" w:hAnsi="宋体" w:cs="宋体" w:eastAsia="宋体" w:hint="default"/>
                <w:spacing w:val="-7"/>
                <w:w w:val="99"/>
                <w:sz w:val="21"/>
                <w:szCs w:val="21"/>
              </w:rPr>
              <w:t>股）</w:t>
              <w:tab/>
            </w:r>
            <w:r>
              <w:rPr>
                <w:rFonts w:ascii="Times New Roman" w:hAnsi="Times New Roman" w:cs="Times New Roman" w:eastAsia="Times New Roman" w:hint="default"/>
                <w:spacing w:val="-1"/>
                <w:w w:val="99"/>
                <w:position w:val="14"/>
                <w:sz w:val="21"/>
                <w:szCs w:val="21"/>
              </w:rPr>
              <w:t>-0.90</w:t>
            </w:r>
            <w:r>
              <w:rPr>
                <w:rFonts w:ascii="Times New Roman" w:hAnsi="Times New Roman" w:cs="Times New Roman" w:eastAsia="Times New Roman" w:hint="default"/>
                <w:spacing w:val="-1"/>
                <w:sz w:val="21"/>
                <w:szCs w:val="21"/>
              </w:rPr>
            </w:r>
          </w:p>
        </w:tc>
        <w:tc>
          <w:tcPr>
            <w:tcW w:w="130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1.144</w:t>
            </w:r>
            <w:r>
              <w:rPr>
                <w:rFonts w:ascii="Times New Roman"/>
                <w:sz w:val="21"/>
              </w:rPr>
            </w:r>
          </w:p>
        </w:tc>
        <w:tc>
          <w:tcPr>
            <w:tcW w:w="1304" w:type="dxa"/>
            <w:tcBorders>
              <w:top w:val="single" w:sz="4" w:space="0" w:color="000000"/>
              <w:left w:val="single" w:sz="4" w:space="0" w:color="000000"/>
              <w:bottom w:val="nil" w:sz="6" w:space="0" w:color="auto"/>
              <w:right w:val="nil" w:sz="6" w:space="0" w:color="auto"/>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sz w:val="21"/>
              </w:rPr>
              <w:t>1.144</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95"/>
                <w:sz w:val="21"/>
              </w:rPr>
              <w:t>-178.67%</w:t>
            </w:r>
            <w:r>
              <w:rPr>
                <w:rFonts w:ascii="Times New Roman"/>
                <w:sz w:val="21"/>
              </w:rPr>
            </w:r>
          </w:p>
        </w:tc>
        <w:tc>
          <w:tcPr>
            <w:tcW w:w="130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0.466</w:t>
            </w:r>
          </w:p>
        </w:tc>
        <w:tc>
          <w:tcPr>
            <w:tcW w:w="1304" w:type="dxa"/>
            <w:tcBorders>
              <w:top w:val="single" w:sz="4" w:space="0" w:color="000000"/>
              <w:left w:val="single" w:sz="4" w:space="0" w:color="000000"/>
              <w:bottom w:val="nil" w:sz="6" w:space="0" w:color="auto"/>
              <w:right w:val="nil" w:sz="6" w:space="0" w:color="auto"/>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sz w:val="21"/>
              </w:rPr>
              <w:t>0.466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34"/>
        <w:ind w:left="735" w:right="0"/>
        <w:jc w:val="left"/>
      </w:pPr>
      <w:r>
        <w:rPr/>
        <w:pict>
          <v:group style="position:absolute;margin-left:56.301003pt;margin-top:-314.956940pt;width:493.6pt;height:306.5pt;mso-position-horizontal-relative:page;mso-position-vertical-relative:paragraph;z-index:-885952" coordorigin="1126,-6299" coordsize="9872,6130">
            <v:group style="position:absolute;left:1138;top:-6287;width:2026;height:548" coordorigin="1138,-6287" coordsize="2026,548">
              <v:shape style="position:absolute;left:1138;top:-6287;width:2026;height:548" coordorigin="1138,-6287" coordsize="2026,548" path="m1138,-6287l1138,-5740,3164,-5740,3164,-6287,1138,-6287xe" filled="true" fillcolor="#dbdbdb" stroked="false">
                <v:path arrowok="t"/>
                <v:fill type="solid"/>
              </v:shape>
            </v:group>
            <v:group style="position:absolute;left:3171;top:-6287;width:1297;height:548" coordorigin="3171,-6287" coordsize="1297,548">
              <v:shape style="position:absolute;left:3171;top:-6287;width:1297;height:548" coordorigin="3171,-6287" coordsize="1297,548" path="m3171,-6287l3171,-5740,4468,-5740,4468,-6287,3171,-6287xe" filled="true" fillcolor="#dbdbdb" stroked="false">
                <v:path arrowok="t"/>
                <v:fill type="solid"/>
              </v:shape>
            </v:group>
            <v:group style="position:absolute;left:4475;top:-6287;width:2599;height:548" coordorigin="4475,-6287" coordsize="2599,548">
              <v:shape style="position:absolute;left:4475;top:-6287;width:2599;height:548" coordorigin="4475,-6287" coordsize="2599,548" path="m4475,-6287l4475,-5740,7074,-5740,7074,-6287,4475,-6287xe" filled="true" fillcolor="#dbdbdb" stroked="false">
                <v:path arrowok="t"/>
                <v:fill type="solid"/>
              </v:shape>
            </v:group>
            <v:group style="position:absolute;left:7081;top:-6287;width:1297;height:548" coordorigin="7081,-6287" coordsize="1297,548">
              <v:shape style="position:absolute;left:7081;top:-6287;width:1297;height:548" coordorigin="7081,-6287" coordsize="1297,548" path="m7081,-6287l7081,-5740,8378,-5740,8378,-6287,7081,-6287xe" filled="true" fillcolor="#dbdbdb" stroked="false">
                <v:path arrowok="t"/>
                <v:fill type="solid"/>
              </v:shape>
            </v:group>
            <v:group style="position:absolute;left:8385;top:-6287;width:2601;height:548" coordorigin="8385,-6287" coordsize="2601,548">
              <v:shape style="position:absolute;left:8385;top:-6287;width:2601;height:548" coordorigin="8385,-6287" coordsize="2601,548" path="m8385,-6287l8385,-5740,10986,-5740,10986,-6287,8385,-6287xe" filled="true" fillcolor="#dbdbdb" stroked="false">
                <v:path arrowok="t"/>
                <v:fill type="solid"/>
              </v:shape>
            </v:group>
            <v:group style="position:absolute;left:1138;top:-5733;width:2026;height:276" coordorigin="1138,-5733" coordsize="2026,276">
              <v:shape style="position:absolute;left:1138;top:-5733;width:2026;height:276" coordorigin="1138,-5733" coordsize="2026,276" path="m1138,-5733l1138,-5457,3164,-5457,3164,-5733,1138,-5733xe" filled="true" fillcolor="#dbdbdb" stroked="false">
                <v:path arrowok="t"/>
                <v:fill type="solid"/>
              </v:shape>
            </v:group>
            <v:group style="position:absolute;left:3171;top:-5733;width:1297;height:276" coordorigin="3171,-5733" coordsize="1297,276">
              <v:shape style="position:absolute;left:3171;top:-5733;width:1297;height:276" coordorigin="3171,-5733" coordsize="1297,276" path="m3171,-5733l3171,-5457,4468,-5457,4468,-5733,3171,-5733xe" filled="true" fillcolor="#dbdbdb" stroked="false">
                <v:path arrowok="t"/>
                <v:fill type="solid"/>
              </v:shape>
            </v:group>
            <v:group style="position:absolute;left:4475;top:-5733;width:1297;height:276" coordorigin="4475,-5733" coordsize="1297,276">
              <v:shape style="position:absolute;left:4475;top:-5733;width:1297;height:276" coordorigin="4475,-5733" coordsize="1297,276" path="m4475,-5733l4475,-5457,5772,-5457,5772,-5733,4475,-5733xe" filled="true" fillcolor="#dbdbdb" stroked="false">
                <v:path arrowok="t"/>
                <v:fill type="solid"/>
              </v:shape>
            </v:group>
            <v:group style="position:absolute;left:5777;top:-5733;width:1297;height:276" coordorigin="5777,-5733" coordsize="1297,276">
              <v:shape style="position:absolute;left:5777;top:-5733;width:1297;height:276" coordorigin="5777,-5733" coordsize="1297,276" path="m5777,-5733l5777,-5457,7074,-5457,7074,-5733,5777,-5733xe" filled="true" fillcolor="#dbdbdb" stroked="false">
                <v:path arrowok="t"/>
                <v:fill type="solid"/>
              </v:shape>
            </v:group>
            <v:group style="position:absolute;left:7081;top:-5733;width:1297;height:276" coordorigin="7081,-5733" coordsize="1297,276">
              <v:shape style="position:absolute;left:7081;top:-5733;width:1297;height:276" coordorigin="7081,-5733" coordsize="1297,276" path="m7081,-5733l7081,-5457,8378,-5457,8378,-5733,7081,-5733xe" filled="true" fillcolor="#dbdbdb" stroked="false">
                <v:path arrowok="t"/>
                <v:fill type="solid"/>
              </v:shape>
            </v:group>
            <v:group style="position:absolute;left:8385;top:-5733;width:1297;height:276" coordorigin="8385,-5733" coordsize="1297,276">
              <v:shape style="position:absolute;left:8385;top:-5733;width:1297;height:276" coordorigin="8385,-5733" coordsize="1297,276" path="m8385,-5733l8385,-5457,9682,-5457,9682,-5733,8385,-5733xe" filled="true" fillcolor="#dbdbdb" stroked="false">
                <v:path arrowok="t"/>
                <v:fill type="solid"/>
              </v:shape>
            </v:group>
            <v:group style="position:absolute;left:9687;top:-5733;width:1300;height:276" coordorigin="9687,-5733" coordsize="1300,276">
              <v:shape style="position:absolute;left:9687;top:-5733;width:1300;height:276" coordorigin="9687,-5733" coordsize="1300,276" path="m9687,-5733l9687,-5457,10986,-5457,10986,-5733,9687,-5733xe" filled="true" fillcolor="#dbdbdb" stroked="false">
                <v:path arrowok="t"/>
                <v:fill type="solid"/>
              </v:shape>
            </v:group>
            <v:group style="position:absolute;left:1138;top:-5450;width:2026;height:276" coordorigin="1138,-5450" coordsize="2026,276">
              <v:shape style="position:absolute;left:1138;top:-5450;width:2026;height:276" coordorigin="1138,-5450" coordsize="2026,276" path="m1138,-5450l1138,-5174,3164,-5174,3164,-5450,1138,-5450xe" filled="true" fillcolor="#dbdbdb" stroked="false">
                <v:path arrowok="t"/>
                <v:fill type="solid"/>
              </v:shape>
            </v:group>
            <v:group style="position:absolute;left:1138;top:-5169;width:2026;height:276" coordorigin="1138,-5169" coordsize="2026,276">
              <v:shape style="position:absolute;left:1138;top:-5169;width:2026;height:276" coordorigin="1138,-5169" coordsize="2026,276" path="m1138,-5169l1138,-4893,3164,-4893,3164,-5169,1138,-5169xe" filled="true" fillcolor="#dbdbdb" stroked="false">
                <v:path arrowok="t"/>
                <v:fill type="solid"/>
              </v:shape>
            </v:group>
            <v:group style="position:absolute;left:1138;top:-4886;width:2026;height:821" coordorigin="1138,-4886" coordsize="2026,821">
              <v:shape style="position:absolute;left:1138;top:-4886;width:2026;height:821" coordorigin="1138,-4886" coordsize="2026,821" path="m1138,-4886l1138,-4065,3164,-4065,3164,-4886,1138,-4886xe" filled="true" fillcolor="#dbdbdb" stroked="false">
                <v:path arrowok="t"/>
                <v:fill type="solid"/>
              </v:shape>
            </v:group>
            <v:group style="position:absolute;left:1138;top:-4058;width:2026;height:548" coordorigin="1138,-4058" coordsize="2026,548">
              <v:shape style="position:absolute;left:1138;top:-4058;width:2026;height:548" coordorigin="1138,-4058" coordsize="2026,548" path="m1138,-4058l1138,-3510,3164,-3510,3164,-4058,1138,-4058xe" filled="true" fillcolor="#dbdbdb" stroked="false">
                <v:path arrowok="t"/>
                <v:fill type="solid"/>
              </v:shape>
            </v:group>
            <v:group style="position:absolute;left:1138;top:-3503;width:2026;height:821" coordorigin="1138,-3503" coordsize="2026,821">
              <v:shape style="position:absolute;left:1138;top:-3503;width:2026;height:821" coordorigin="1138,-3503" coordsize="2026,821" path="m1138,-3503l1138,-2682,3164,-2682,3164,-3503,1138,-3503xe" filled="true" fillcolor="#dbdbdb" stroked="false">
                <v:path arrowok="t"/>
                <v:fill type="solid"/>
              </v:shape>
            </v:group>
            <v:group style="position:absolute;left:1138;top:-2678;width:2026;height:548" coordorigin="1138,-2678" coordsize="2026,548">
              <v:shape style="position:absolute;left:1138;top:-2678;width:2026;height:548" coordorigin="1138,-2678" coordsize="2026,548" path="m1138,-2678l1138,-2130,3164,-2130,3164,-2678,1138,-2678xe" filled="true" fillcolor="#dbdbdb" stroked="false">
                <v:path arrowok="t"/>
                <v:fill type="solid"/>
              </v:shape>
            </v:group>
            <v:group style="position:absolute;left:1138;top:-2123;width:2026;height:821" coordorigin="1138,-2123" coordsize="2026,821">
              <v:shape style="position:absolute;left:1138;top:-2123;width:2026;height:821" coordorigin="1138,-2123" coordsize="2026,821" path="m1138,-2123l1138,-1302,3164,-1302,3164,-2123,1138,-2123xe" filled="true" fillcolor="#dbdbdb" stroked="false">
                <v:path arrowok="t"/>
                <v:fill type="solid"/>
              </v:shape>
            </v:group>
            <v:group style="position:absolute;left:3171;top:-2123;width:1297;height:821" coordorigin="3171,-2123" coordsize="1297,821">
              <v:shape style="position:absolute;left:3171;top:-2123;width:1297;height:821" coordorigin="3171,-2123" coordsize="1297,821" path="m3171,-2123l3171,-1302,4468,-1302,4468,-2123,3171,-2123xe" filled="true" fillcolor="#dbdbdb" stroked="false">
                <v:path arrowok="t"/>
                <v:fill type="solid"/>
              </v:shape>
            </v:group>
            <v:group style="position:absolute;left:4475;top:-2123;width:2599;height:821" coordorigin="4475,-2123" coordsize="2599,821">
              <v:shape style="position:absolute;left:4475;top:-2123;width:2599;height:821" coordorigin="4475,-2123" coordsize="2599,821" path="m4475,-2123l4475,-1302,7074,-1302,7074,-2123,4475,-2123xe" filled="true" fillcolor="#dbdbdb" stroked="false">
                <v:path arrowok="t"/>
                <v:fill type="solid"/>
              </v:shape>
            </v:group>
            <v:group style="position:absolute;left:7081;top:-2123;width:1297;height:821" coordorigin="7081,-2123" coordsize="1297,821">
              <v:shape style="position:absolute;left:7081;top:-2123;width:1297;height:821" coordorigin="7081,-2123" coordsize="1297,821" path="m7081,-2123l7081,-1302,8378,-1302,8378,-2123,7081,-2123xe" filled="true" fillcolor="#dbdbdb" stroked="false">
                <v:path arrowok="t"/>
                <v:fill type="solid"/>
              </v:shape>
            </v:group>
            <v:group style="position:absolute;left:8385;top:-2123;width:2601;height:824" coordorigin="8385,-2123" coordsize="2601,824">
              <v:shape style="position:absolute;left:8385;top:-2123;width:2601;height:824" coordorigin="8385,-2123" coordsize="2601,824" path="m8385,-2123l8385,-1300,10986,-1300,10986,-2123,8385,-2123xe" filled="true" fillcolor="#dbdbdb" stroked="false">
                <v:path arrowok="t"/>
                <v:fill type="solid"/>
              </v:shape>
            </v:group>
            <v:group style="position:absolute;left:1138;top:-1295;width:2026;height:276" coordorigin="1138,-1295" coordsize="2026,276">
              <v:shape style="position:absolute;left:1138;top:-1295;width:2026;height:276" coordorigin="1138,-1295" coordsize="2026,276" path="m1138,-1295l1138,-1019,3164,-1019,3164,-1295,1138,-1295xe" filled="true" fillcolor="#dbdbdb" stroked="false">
                <v:path arrowok="t"/>
                <v:fill type="solid"/>
              </v:shape>
            </v:group>
            <v:group style="position:absolute;left:3171;top:-1295;width:1297;height:276" coordorigin="3171,-1295" coordsize="1297,276">
              <v:shape style="position:absolute;left:3171;top:-1295;width:1297;height:276" coordorigin="3171,-1295" coordsize="1297,276" path="m3171,-1295l3171,-1019,4468,-1019,4468,-1295,3171,-1295xe" filled="true" fillcolor="#dbdbdb" stroked="false">
                <v:path arrowok="t"/>
                <v:fill type="solid"/>
              </v:shape>
            </v:group>
            <v:group style="position:absolute;left:4475;top:-1295;width:1297;height:276" coordorigin="4475,-1295" coordsize="1297,276">
              <v:shape style="position:absolute;left:4475;top:-1295;width:1297;height:276" coordorigin="4475,-1295" coordsize="1297,276" path="m4475,-1295l4475,-1019,5772,-1019,5772,-1295,4475,-1295xe" filled="true" fillcolor="#dbdbdb" stroked="false">
                <v:path arrowok="t"/>
                <v:fill type="solid"/>
              </v:shape>
            </v:group>
            <v:group style="position:absolute;left:5777;top:-1295;width:1297;height:276" coordorigin="5777,-1295" coordsize="1297,276">
              <v:shape style="position:absolute;left:5777;top:-1295;width:1297;height:276" coordorigin="5777,-1295" coordsize="1297,276" path="m5777,-1295l5777,-1019,7074,-1019,7074,-1295,5777,-1295xe" filled="true" fillcolor="#dbdbdb" stroked="false">
                <v:path arrowok="t"/>
                <v:fill type="solid"/>
              </v:shape>
            </v:group>
            <v:group style="position:absolute;left:7081;top:-1295;width:1297;height:276" coordorigin="7081,-1295" coordsize="1297,276">
              <v:shape style="position:absolute;left:7081;top:-1295;width:1297;height:276" coordorigin="7081,-1295" coordsize="1297,276" path="m7081,-1295l7081,-1019,8378,-1019,8378,-1295,7081,-1295xe" filled="true" fillcolor="#dbdbdb" stroked="false">
                <v:path arrowok="t"/>
                <v:fill type="solid"/>
              </v:shape>
            </v:group>
            <v:group style="position:absolute;left:8385;top:-1295;width:1297;height:276" coordorigin="8385,-1295" coordsize="1297,276">
              <v:shape style="position:absolute;left:8385;top:-1295;width:1297;height:276" coordorigin="8385,-1295" coordsize="1297,276" path="m8385,-1295l8385,-1019,9682,-1019,9682,-1295,8385,-1295xe" filled="true" fillcolor="#dbdbdb" stroked="false">
                <v:path arrowok="t"/>
                <v:fill type="solid"/>
              </v:shape>
            </v:group>
            <v:group style="position:absolute;left:9687;top:-1295;width:1300;height:276" coordorigin="9687,-1295" coordsize="1300,276">
              <v:shape style="position:absolute;left:9687;top:-1295;width:1300;height:276" coordorigin="9687,-1295" coordsize="1300,276" path="m9687,-1295l9687,-1019,10986,-1019,10986,-1295,9687,-1295xe" filled="true" fillcolor="#dbdbdb" stroked="false">
                <v:path arrowok="t"/>
                <v:fill type="solid"/>
              </v:shape>
            </v:group>
            <v:group style="position:absolute;left:1138;top:-1014;width:2026;height:550" coordorigin="1138,-1014" coordsize="2026,550">
              <v:shape style="position:absolute;left:1138;top:-1014;width:2026;height:550" coordorigin="1138,-1014" coordsize="2026,550" path="m1138,-1014l1138,-465,3164,-465,3164,-1014,1138,-1014xe" filled="true" fillcolor="#dbdbdb" stroked="false">
                <v:path arrowok="t"/>
                <v:fill type="solid"/>
              </v:shape>
            </v:group>
            <v:group style="position:absolute;left:1138;top:-458;width:2026;height:276" coordorigin="1138,-458" coordsize="2026,276">
              <v:shape style="position:absolute;left:1138;top:-458;width:2026;height:276" coordorigin="1138,-458" coordsize="2026,276" path="m1138,-458l1138,-182,3164,-182,3164,-458,1138,-458xe" filled="true" fillcolor="#dbdbdb" stroked="false">
                <v:path arrowok="t"/>
                <v:fill type="solid"/>
              </v:shape>
            </v:group>
            <v:group style="position:absolute;left:1131;top:-6290;width:9863;height:2" coordorigin="1131,-6290" coordsize="9863,2">
              <v:shape style="position:absolute;left:1131;top:-6290;width:9863;height:2" coordorigin="1131,-6290" coordsize="9863,0" path="m1131,-6290l10993,-6290e" filled="false" stroked="true" strokeweight=".48pt" strokecolor="#000000">
                <v:path arrowok="t"/>
              </v:shape>
            </v:group>
            <v:group style="position:absolute;left:1131;top:-5735;width:9863;height:2" coordorigin="1131,-5735" coordsize="9863,2">
              <v:shape style="position:absolute;left:1131;top:-5735;width:9863;height:2" coordorigin="1131,-5735" coordsize="9863,0" path="m1131,-5735l10993,-5735e" filled="false" stroked="true" strokeweight=".48pt" strokecolor="#000000">
                <v:path arrowok="t"/>
              </v:shape>
            </v:group>
            <v:group style="position:absolute;left:1131;top:-5454;width:9863;height:2" coordorigin="1131,-5454" coordsize="9863,2">
              <v:shape style="position:absolute;left:1131;top:-5454;width:9863;height:2" coordorigin="1131,-5454" coordsize="9863,0" path="m1131,-5454l10993,-5454e" filled="false" stroked="true" strokeweight=".48pt" strokecolor="#000000">
                <v:path arrowok="t"/>
              </v:shape>
            </v:group>
            <v:group style="position:absolute;left:1131;top:-5452;width:9863;height:2" coordorigin="1131,-5452" coordsize="9863,2">
              <v:shape style="position:absolute;left:1131;top:-5452;width:9863;height:2" coordorigin="1131,-5452" coordsize="9863,0" path="m1131,-5452l10993,-5452e" filled="false" stroked="true" strokeweight=".48pt" strokecolor="#000000">
                <v:path arrowok="t"/>
              </v:shape>
            </v:group>
            <v:group style="position:absolute;left:1131;top:-2126;width:9863;height:2" coordorigin="1131,-2126" coordsize="9863,2">
              <v:shape style="position:absolute;left:1131;top:-2126;width:9863;height:2" coordorigin="1131,-2126" coordsize="9863,0" path="m1131,-2126l10993,-2126e" filled="false" stroked="true" strokeweight=".48pt" strokecolor="#000000">
                <v:path arrowok="t"/>
              </v:shape>
            </v:group>
            <v:group style="position:absolute;left:1131;top:-2123;width:9863;height:2" coordorigin="1131,-2123" coordsize="9863,2">
              <v:shape style="position:absolute;left:1131;top:-2123;width:9863;height:2" coordorigin="1131,-2123" coordsize="9863,0" path="m1131,-2123l10993,-2123e" filled="false" stroked="true" strokeweight=".48pt" strokecolor="#000000">
                <v:path arrowok="t"/>
              </v:shape>
            </v:group>
            <v:group style="position:absolute;left:1131;top:-1298;width:9863;height:2" coordorigin="1131,-1298" coordsize="9863,2">
              <v:shape style="position:absolute;left:1131;top:-1298;width:9863;height:2" coordorigin="1131,-1298" coordsize="9863,0" path="m1131,-1298l10993,-1298e" filled="false" stroked="true" strokeweight=".48pt" strokecolor="#000000">
                <v:path arrowok="t"/>
              </v:shape>
            </v:group>
            <v:group style="position:absolute;left:1131;top:-1014;width:9863;height:2" coordorigin="1131,-1014" coordsize="9863,2">
              <v:shape style="position:absolute;left:1131;top:-1014;width:9863;height:2" coordorigin="1131,-1014" coordsize="9863,0" path="m1131,-1014l10993,-1014e" filled="false" stroked="true" strokeweight=".48pt" strokecolor="#000000">
                <v:path arrowok="t"/>
              </v:shape>
            </v:group>
            <v:group style="position:absolute;left:1131;top:-462;width:9863;height:2" coordorigin="1131,-462" coordsize="9863,2">
              <v:shape style="position:absolute;left:1131;top:-462;width:9863;height:2" coordorigin="1131,-462" coordsize="9863,0" path="m1131,-462l10993,-462e" filled="false" stroked="true" strokeweight=".48pt" strokecolor="#000000">
                <v:path arrowok="t"/>
              </v:shape>
            </v:group>
            <v:group style="position:absolute;left:1131;top:-460;width:9863;height:2" coordorigin="1131,-460" coordsize="9863,2">
              <v:shape style="position:absolute;left:1131;top:-460;width:9863;height:2" coordorigin="1131,-460" coordsize="9863,0" path="m1131,-460l10993,-460e" filled="false" stroked="true" strokeweight=".48pt" strokecolor="#000000">
                <v:path arrowok="t"/>
              </v:shape>
            </v:group>
            <v:group style="position:absolute;left:1131;top:-179;width:9863;height:2" coordorigin="1131,-179" coordsize="9863,2">
              <v:shape style="position:absolute;left:1131;top:-179;width:9863;height:2" coordorigin="1131,-179" coordsize="9863,0" path="m1131,-179l10993,-179e" filled="false" stroked="true" strokeweight=".48pt" strokecolor="#000000">
                <v:path arrowok="t"/>
              </v:shape>
            </v:group>
            <v:group style="position:absolute;left:1136;top:-6294;width:2;height:6120" coordorigin="1136,-6294" coordsize="2,6120">
              <v:shape style="position:absolute;left:1136;top:-6294;width:2;height:6120" coordorigin="1136,-6294" coordsize="0,6120" path="m1136,-6294l1136,-174e" filled="false" stroked="true" strokeweight=".4812pt" strokecolor="#000000">
                <v:path arrowok="t"/>
              </v:shape>
            </v:group>
            <v:group style="position:absolute;left:3169;top:-6294;width:2;height:836" coordorigin="3169,-6294" coordsize="2,836">
              <v:shape style="position:absolute;left:3169;top:-6294;width:2;height:836" coordorigin="3169,-6294" coordsize="0,836" path="m3169,-6294l3169,-5459e" filled="false" stroked="true" strokeweight=".4812pt" strokecolor="#000000">
                <v:path arrowok="t"/>
              </v:shape>
            </v:group>
            <v:group style="position:absolute;left:3169;top:-5457;width:2;height:1390" coordorigin="3169,-5457" coordsize="2,1390">
              <v:shape style="position:absolute;left:3169;top:-5457;width:2;height:1390" coordorigin="3169,-5457" coordsize="0,1390" path="m3169,-5457l3169,-4067e" filled="false" stroked="true" strokeweight=".4812pt" strokecolor="#000000">
                <v:path arrowok="t"/>
              </v:shape>
            </v:group>
            <v:group style="position:absolute;left:3169;top:-4065;width:2;height:1935" coordorigin="3169,-4065" coordsize="2,1935">
              <v:shape style="position:absolute;left:3169;top:-4065;width:2;height:1935" coordorigin="3169,-4065" coordsize="0,1935" path="m3169,-4065l3169,-2130e" filled="false" stroked="true" strokeweight=".4812pt" strokecolor="#000000">
                <v:path arrowok="t"/>
              </v:shape>
            </v:group>
            <v:group style="position:absolute;left:3169;top:-2130;width:2;height:1664" coordorigin="3169,-2130" coordsize="2,1664">
              <v:shape style="position:absolute;left:3169;top:-2130;width:2;height:1664" coordorigin="3169,-2130" coordsize="0,1664" path="m3169,-2130l3169,-467e" filled="false" stroked="true" strokeweight=".4812pt" strokecolor="#000000">
                <v:path arrowok="t"/>
              </v:shape>
            </v:group>
            <v:group style="position:absolute;left:3169;top:-465;width:2;height:281" coordorigin="3169,-465" coordsize="2,281">
              <v:shape style="position:absolute;left:3169;top:-465;width:2;height:281" coordorigin="3169,-465" coordsize="0,281" path="m3169,-465l3169,-184e" filled="false" stroked="true" strokeweight=".4812pt" strokecolor="#000000">
                <v:path arrowok="t"/>
              </v:shape>
            </v:group>
            <v:group style="position:absolute;left:4473;top:-6294;width:2;height:836" coordorigin="4473,-6294" coordsize="2,836">
              <v:shape style="position:absolute;left:4473;top:-6294;width:2;height:836" coordorigin="4473,-6294" coordsize="0,836" path="m4473,-6294l4473,-5459e" filled="false" stroked="true" strokeweight=".4812pt" strokecolor="#000000">
                <v:path arrowok="t"/>
              </v:shape>
            </v:group>
            <v:group style="position:absolute;left:4473;top:-5457;width:2;height:1390" coordorigin="4473,-5457" coordsize="2,1390">
              <v:shape style="position:absolute;left:4473;top:-5457;width:2;height:1390" coordorigin="4473,-5457" coordsize="0,1390" path="m4473,-5457l4473,-4067e" filled="false" stroked="true" strokeweight=".4812pt" strokecolor="#000000">
                <v:path arrowok="t"/>
              </v:shape>
            </v:group>
            <v:group style="position:absolute;left:4473;top:-4065;width:2;height:1935" coordorigin="4473,-4065" coordsize="2,1935">
              <v:shape style="position:absolute;left:4473;top:-4065;width:2;height:1935" coordorigin="4473,-4065" coordsize="0,1935" path="m4473,-4065l4473,-2130e" filled="false" stroked="true" strokeweight=".4812pt" strokecolor="#000000">
                <v:path arrowok="t"/>
              </v:shape>
            </v:group>
            <v:group style="position:absolute;left:4473;top:-2130;width:2;height:1664" coordorigin="4473,-2130" coordsize="2,1664">
              <v:shape style="position:absolute;left:4473;top:-2130;width:2;height:1664" coordorigin="4473,-2130" coordsize="0,1664" path="m4473,-2130l4473,-467e" filled="false" stroked="true" strokeweight=".4812pt" strokecolor="#000000">
                <v:path arrowok="t"/>
              </v:shape>
            </v:group>
            <v:group style="position:absolute;left:4473;top:-465;width:2;height:281" coordorigin="4473,-465" coordsize="2,281">
              <v:shape style="position:absolute;left:4473;top:-465;width:2;height:281" coordorigin="4473,-465" coordsize="0,281" path="m4473,-465l4473,-184e" filled="false" stroked="true" strokeweight=".4812pt" strokecolor="#000000">
                <v:path arrowok="t"/>
              </v:shape>
            </v:group>
            <v:group style="position:absolute;left:5774;top:-1302;width:2;height:836" coordorigin="5774,-1302" coordsize="2,836">
              <v:shape style="position:absolute;left:5774;top:-1302;width:2;height:836" coordorigin="5774,-1302" coordsize="0,836" path="m5774,-1302l5774,-467e" filled="false" stroked="true" strokeweight=".4812pt" strokecolor="#000000">
                <v:path arrowok="t"/>
              </v:shape>
            </v:group>
            <v:group style="position:absolute;left:5774;top:-465;width:2;height:281" coordorigin="5774,-465" coordsize="2,281">
              <v:shape style="position:absolute;left:5774;top:-465;width:2;height:281" coordorigin="5774,-465" coordsize="0,281" path="m5774,-465l5774,-184e" filled="false" stroked="true" strokeweight=".4812pt" strokecolor="#000000">
                <v:path arrowok="t"/>
              </v:shape>
            </v:group>
            <v:group style="position:absolute;left:7078;top:-6294;width:2;height:836" coordorigin="7078,-6294" coordsize="2,836">
              <v:shape style="position:absolute;left:7078;top:-6294;width:2;height:836" coordorigin="7078,-6294" coordsize="0,836" path="m7078,-6294l7078,-5459e" filled="false" stroked="true" strokeweight=".4812pt" strokecolor="#000000">
                <v:path arrowok="t"/>
              </v:shape>
            </v:group>
            <v:group style="position:absolute;left:7078;top:-5457;width:2;height:1390" coordorigin="7078,-5457" coordsize="2,1390">
              <v:shape style="position:absolute;left:7078;top:-5457;width:2;height:1390" coordorigin="7078,-5457" coordsize="0,1390" path="m7078,-5457l7078,-4067e" filled="false" stroked="true" strokeweight=".4812pt" strokecolor="#000000">
                <v:path arrowok="t"/>
              </v:shape>
            </v:group>
            <v:group style="position:absolute;left:7078;top:-4065;width:2;height:1935" coordorigin="7078,-4065" coordsize="2,1935">
              <v:shape style="position:absolute;left:7078;top:-4065;width:2;height:1935" coordorigin="7078,-4065" coordsize="0,1935" path="m7078,-4065l7078,-2130e" filled="false" stroked="true" strokeweight=".4812pt" strokecolor="#000000">
                <v:path arrowok="t"/>
              </v:shape>
            </v:group>
            <v:group style="position:absolute;left:7078;top:-2130;width:2;height:1664" coordorigin="7078,-2130" coordsize="2,1664">
              <v:shape style="position:absolute;left:7078;top:-2130;width:2;height:1664" coordorigin="7078,-2130" coordsize="0,1664" path="m7078,-2130l7078,-467e" filled="false" stroked="true" strokeweight=".4812pt" strokecolor="#000000">
                <v:path arrowok="t"/>
              </v:shape>
            </v:group>
            <v:group style="position:absolute;left:7078;top:-465;width:2;height:281" coordorigin="7078,-465" coordsize="2,281">
              <v:shape style="position:absolute;left:7078;top:-465;width:2;height:281" coordorigin="7078,-465" coordsize="0,281" path="m7078,-465l7078,-184e" filled="false" stroked="true" strokeweight=".4812pt" strokecolor="#000000">
                <v:path arrowok="t"/>
              </v:shape>
            </v:group>
            <v:group style="position:absolute;left:8383;top:-6294;width:2;height:836" coordorigin="8383,-6294" coordsize="2,836">
              <v:shape style="position:absolute;left:8383;top:-6294;width:2;height:836" coordorigin="8383,-6294" coordsize="0,836" path="m8383,-6294l8383,-5459e" filled="false" stroked="true" strokeweight=".4812pt" strokecolor="#000000">
                <v:path arrowok="t"/>
              </v:shape>
            </v:group>
            <v:group style="position:absolute;left:8383;top:-5457;width:2;height:1390" coordorigin="8383,-5457" coordsize="2,1390">
              <v:shape style="position:absolute;left:8383;top:-5457;width:2;height:1390" coordorigin="8383,-5457" coordsize="0,1390" path="m8383,-5457l8383,-4067e" filled="false" stroked="true" strokeweight=".4812pt" strokecolor="#000000">
                <v:path arrowok="t"/>
              </v:shape>
            </v:group>
            <v:group style="position:absolute;left:8383;top:-4065;width:2;height:1935" coordorigin="8383,-4065" coordsize="2,1935">
              <v:shape style="position:absolute;left:8383;top:-4065;width:2;height:1935" coordorigin="8383,-4065" coordsize="0,1935" path="m8383,-4065l8383,-2130e" filled="false" stroked="true" strokeweight=".4812pt" strokecolor="#000000">
                <v:path arrowok="t"/>
              </v:shape>
            </v:group>
            <v:group style="position:absolute;left:8383;top:-2130;width:2;height:1664" coordorigin="8383,-2130" coordsize="2,1664">
              <v:shape style="position:absolute;left:8383;top:-2130;width:2;height:1664" coordorigin="8383,-2130" coordsize="0,1664" path="m8383,-2130l8383,-467e" filled="false" stroked="true" strokeweight=".4812pt" strokecolor="#000000">
                <v:path arrowok="t"/>
              </v:shape>
            </v:group>
            <v:group style="position:absolute;left:8383;top:-465;width:2;height:281" coordorigin="8383,-465" coordsize="2,281">
              <v:shape style="position:absolute;left:8383;top:-465;width:2;height:281" coordorigin="8383,-465" coordsize="0,281" path="m8383,-465l8383,-184e" filled="false" stroked="true" strokeweight=".4812pt" strokecolor="#000000">
                <v:path arrowok="t"/>
              </v:shape>
            </v:group>
            <v:group style="position:absolute;left:9684;top:-1302;width:2;height:836" coordorigin="9684,-1302" coordsize="2,836">
              <v:shape style="position:absolute;left:9684;top:-1302;width:2;height:836" coordorigin="9684,-1302" coordsize="0,836" path="m9684,-1302l9684,-467e" filled="false" stroked="true" strokeweight=".4812pt" strokecolor="#000000">
                <v:path arrowok="t"/>
              </v:shape>
            </v:group>
            <v:group style="position:absolute;left:9684;top:-465;width:2;height:281" coordorigin="9684,-465" coordsize="2,281">
              <v:shape style="position:absolute;left:9684;top:-465;width:2;height:281" coordorigin="9684,-465" coordsize="0,281" path="m9684,-465l9684,-184e" filled="false" stroked="true" strokeweight=".4812pt" strokecolor="#000000">
                <v:path arrowok="t"/>
              </v:shape>
            </v:group>
            <v:group style="position:absolute;left:10988;top:-6285;width:2;height:836" coordorigin="10988,-6285" coordsize="2,836">
              <v:shape style="position:absolute;left:10988;top:-6285;width:2;height:836" coordorigin="10988,-6285" coordsize="0,836" path="m10988,-6285l10988,-5450e" filled="false" stroked="true" strokeweight=".4812pt" strokecolor="#000000">
                <v:path arrowok="t"/>
              </v:shape>
            </v:group>
            <v:group style="position:absolute;left:10988;top:-5447;width:2;height:1390" coordorigin="10988,-5447" coordsize="2,1390">
              <v:shape style="position:absolute;left:10988;top:-5447;width:2;height:1390" coordorigin="10988,-5447" coordsize="0,1390" path="m10988,-5447l10988,-4058e" filled="false" stroked="true" strokeweight=".4812pt" strokecolor="#000000">
                <v:path arrowok="t"/>
              </v:shape>
            </v:group>
            <v:group style="position:absolute;left:10988;top:-4055;width:2;height:1935" coordorigin="10988,-4055" coordsize="2,1935">
              <v:shape style="position:absolute;left:10988;top:-4055;width:2;height:1935" coordorigin="10988,-4055" coordsize="0,1935" path="m10988,-4055l10988,-2121e" filled="false" stroked="true" strokeweight=".4812pt" strokecolor="#000000">
                <v:path arrowok="t"/>
              </v:shape>
            </v:group>
            <v:group style="position:absolute;left:10988;top:-2118;width:2;height:1661" coordorigin="10988,-2118" coordsize="2,1661">
              <v:shape style="position:absolute;left:10988;top:-2118;width:2;height:1661" coordorigin="10988,-2118" coordsize="0,1661" path="m10988,-2118l10988,-458e" filled="false" stroked="true" strokeweight=".4812pt" strokecolor="#000000">
                <v:path arrowok="t"/>
              </v:shape>
            </v:group>
            <v:group style="position:absolute;left:10988;top:-455;width:2;height:281" coordorigin="10988,-455" coordsize="2,281">
              <v:shape style="position:absolute;left:10988;top:-455;width:2;height:281" coordorigin="10988,-455" coordsize="0,281" path="m10988,-455l10988,-174e" filled="false" stroked="true" strokeweight=".4812pt" strokecolor="#000000">
                <v:path arrowok="t"/>
              </v:shape>
              <v:shape style="position:absolute;left:3378;top:-1815;width:886;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年末</w:t>
                      </w:r>
                    </w:p>
                  </w:txbxContent>
                </v:textbox>
                <w10:wrap type="none"/>
              </v:shape>
              <v:shape style="position:absolute;left:5329;top:-1815;width:896;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xbxContent>
                </v:textbox>
                <w10:wrap type="none"/>
              </v:shape>
              <v:shape style="position:absolute;left:1165;top:-978;width:2082;height:764" type="#_x0000_t202" filled="false" stroked="false">
                <v:textbox inset="0,0,0,0">
                  <w:txbxContent>
                    <w:p>
                      <w:pPr>
                        <w:spacing w:line="20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spacing w:line="284" w:lineRule="exact" w:before="16"/>
                        <w:ind w:left="0" w:right="0" w:firstLine="0"/>
                        <w:jc w:val="left"/>
                        <w:rPr>
                          <w:rFonts w:ascii="宋体" w:hAnsi="宋体" w:cs="宋体" w:eastAsia="宋体" w:hint="default"/>
                          <w:sz w:val="21"/>
                          <w:szCs w:val="21"/>
                        </w:rPr>
                      </w:pPr>
                      <w:r>
                        <w:rPr>
                          <w:rFonts w:ascii="宋体" w:hAnsi="宋体" w:cs="宋体" w:eastAsia="宋体" w:hint="default"/>
                          <w:spacing w:val="-7"/>
                          <w:w w:val="99"/>
                          <w:sz w:val="21"/>
                          <w:szCs w:val="21"/>
                        </w:rPr>
                        <w:t>的每股净资产（元</w:t>
                      </w:r>
                      <w:r>
                        <w:rPr>
                          <w:rFonts w:ascii="Times New Roman" w:hAnsi="Times New Roman" w:cs="Times New Roman" w:eastAsia="Times New Roman" w:hint="default"/>
                          <w:spacing w:val="-7"/>
                          <w:w w:val="99"/>
                          <w:sz w:val="21"/>
                          <w:szCs w:val="21"/>
                        </w:rPr>
                        <w:t>/</w:t>
                      </w:r>
                      <w:r>
                        <w:rPr>
                          <w:rFonts w:ascii="宋体" w:hAnsi="宋体" w:cs="宋体" w:eastAsia="宋体" w:hint="default"/>
                          <w:spacing w:val="-7"/>
                          <w:w w:val="99"/>
                          <w:sz w:val="21"/>
                          <w:szCs w:val="21"/>
                        </w:rPr>
                        <w:t>股）</w:t>
                      </w:r>
                      <w:r>
                        <w:rPr>
                          <w:rFonts w:ascii="宋体" w:hAnsi="宋体" w:cs="宋体" w:eastAsia="宋体" w:hint="default"/>
                          <w:spacing w:val="-101"/>
                          <w:w w:val="99"/>
                          <w:sz w:val="21"/>
                          <w:szCs w:val="21"/>
                        </w:rPr>
                        <w:t> </w:t>
                      </w:r>
                      <w:r>
                        <w:rPr>
                          <w:rFonts w:ascii="宋体" w:hAnsi="宋体" w:cs="宋体" w:eastAsia="宋体" w:hint="default"/>
                          <w:sz w:val="21"/>
                          <w:szCs w:val="21"/>
                        </w:rPr>
                        <w:t>资产负债率（％）</w:t>
                      </w:r>
                    </w:p>
                  </w:txbxContent>
                </v:textbox>
                <w10:wrap type="none"/>
              </v:shape>
              <v:shape style="position:absolute;left:3797;top:-1261;width:3257;height:1058" type="#_x0000_t202" filled="false" stroked="false">
                <v:textbox inset="0,0,0,0">
                  <w:txbxContent>
                    <w:p>
                      <w:pPr>
                        <w:tabs>
                          <w:tab w:pos="2314" w:val="left" w:leader="none"/>
                        </w:tabs>
                        <w:spacing w:line="209" w:lineRule="exact" w:before="0"/>
                        <w:ind w:left="1012" w:right="0" w:firstLine="0"/>
                        <w:jc w:val="left"/>
                        <w:rPr>
                          <w:rFonts w:ascii="宋体" w:hAnsi="宋体" w:cs="宋体" w:eastAsia="宋体" w:hint="default"/>
                          <w:sz w:val="21"/>
                          <w:szCs w:val="21"/>
                        </w:rPr>
                      </w:pPr>
                      <w:r>
                        <w:rPr>
                          <w:rFonts w:ascii="宋体" w:hAnsi="宋体" w:cs="宋体" w:eastAsia="宋体" w:hint="default"/>
                          <w:w w:val="95"/>
                          <w:sz w:val="21"/>
                          <w:szCs w:val="21"/>
                        </w:rPr>
                        <w:t>调整前</w:t>
                        <w:tab/>
                      </w:r>
                      <w:r>
                        <w:rPr>
                          <w:rFonts w:ascii="宋体" w:hAnsi="宋体" w:cs="宋体" w:eastAsia="宋体" w:hint="default"/>
                          <w:sz w:val="21"/>
                          <w:szCs w:val="21"/>
                        </w:rPr>
                        <w:t>调整后</w:t>
                      </w:r>
                    </w:p>
                    <w:p>
                      <w:pPr>
                        <w:spacing w:line="240" w:lineRule="auto" w:before="9"/>
                        <w:rPr>
                          <w:rFonts w:ascii="宋体" w:hAnsi="宋体" w:cs="宋体" w:eastAsia="宋体" w:hint="default"/>
                          <w:sz w:val="14"/>
                          <w:szCs w:val="14"/>
                        </w:rPr>
                      </w:pPr>
                    </w:p>
                    <w:p>
                      <w:pPr>
                        <w:tabs>
                          <w:tab w:pos="1479" w:val="left" w:leader="none"/>
                          <w:tab w:pos="2781" w:val="left" w:leader="none"/>
                        </w:tabs>
                        <w:spacing w:before="0"/>
                        <w:ind w:left="281" w:right="0" w:firstLine="0"/>
                        <w:jc w:val="left"/>
                        <w:rPr>
                          <w:rFonts w:ascii="Times New Roman" w:hAnsi="Times New Roman" w:cs="Times New Roman" w:eastAsia="Times New Roman" w:hint="default"/>
                          <w:sz w:val="21"/>
                          <w:szCs w:val="21"/>
                        </w:rPr>
                      </w:pPr>
                      <w:r>
                        <w:rPr>
                          <w:rFonts w:ascii="Times New Roman"/>
                          <w:spacing w:val="-1"/>
                          <w:sz w:val="21"/>
                        </w:rPr>
                        <w:t>2.12</w:t>
                        <w:tab/>
                      </w:r>
                      <w:r>
                        <w:rPr>
                          <w:rFonts w:ascii="Times New Roman"/>
                          <w:w w:val="95"/>
                          <w:sz w:val="21"/>
                        </w:rPr>
                        <w:t>1.828</w:t>
                        <w:tab/>
                      </w:r>
                      <w:r>
                        <w:rPr>
                          <w:rFonts w:ascii="Times New Roman"/>
                          <w:sz w:val="21"/>
                        </w:rPr>
                        <w:t>1.855</w:t>
                      </w:r>
                    </w:p>
                    <w:p>
                      <w:pPr>
                        <w:tabs>
                          <w:tab w:pos="1303" w:val="left" w:leader="none"/>
                          <w:tab w:pos="2608" w:val="left" w:leader="none"/>
                        </w:tabs>
                        <w:spacing w:line="237" w:lineRule="exact" w:before="178"/>
                        <w:ind w:left="0" w:right="0" w:firstLine="0"/>
                        <w:jc w:val="left"/>
                        <w:rPr>
                          <w:rFonts w:ascii="Times New Roman" w:hAnsi="Times New Roman" w:cs="Times New Roman" w:eastAsia="Times New Roman" w:hint="default"/>
                          <w:sz w:val="21"/>
                          <w:szCs w:val="21"/>
                        </w:rPr>
                      </w:pPr>
                      <w:r>
                        <w:rPr>
                          <w:rFonts w:ascii="Times New Roman"/>
                          <w:w w:val="95"/>
                          <w:sz w:val="21"/>
                        </w:rPr>
                        <w:t>47.80%</w:t>
                        <w:tab/>
                        <w:t>61.31%</w:t>
                        <w:tab/>
                      </w:r>
                      <w:r>
                        <w:rPr>
                          <w:rFonts w:ascii="Times New Roman"/>
                          <w:sz w:val="21"/>
                        </w:rPr>
                        <w:t>61.31%</w:t>
                      </w:r>
                    </w:p>
                  </w:txbxContent>
                </v:textbox>
                <w10:wrap type="none"/>
              </v:shape>
              <v:shape style="position:absolute;left:7206;top:-2089;width:1152;height:1886" type="#_x0000_t202" filled="false" stroked="false">
                <v:textbox inset="0,0,0,0">
                  <w:txbxContent>
                    <w:p>
                      <w:pPr>
                        <w:spacing w:line="208" w:lineRule="exact" w:before="0"/>
                        <w:ind w:left="0" w:right="97" w:firstLine="0"/>
                        <w:jc w:val="center"/>
                        <w:rPr>
                          <w:rFonts w:ascii="宋体" w:hAnsi="宋体" w:cs="宋体" w:eastAsia="宋体" w:hint="default"/>
                          <w:sz w:val="21"/>
                          <w:szCs w:val="21"/>
                        </w:rPr>
                      </w:pPr>
                      <w:r>
                        <w:rPr>
                          <w:rFonts w:ascii="宋体" w:hAnsi="宋体" w:cs="宋体" w:eastAsia="宋体" w:hint="default"/>
                          <w:sz w:val="21"/>
                          <w:szCs w:val="21"/>
                        </w:rPr>
                        <w:t>本年末比上</w:t>
                      </w:r>
                    </w:p>
                    <w:p>
                      <w:pPr>
                        <w:spacing w:line="272" w:lineRule="exact" w:before="0"/>
                        <w:ind w:left="0" w:right="100" w:firstLine="0"/>
                        <w:jc w:val="center"/>
                        <w:rPr>
                          <w:rFonts w:ascii="宋体" w:hAnsi="宋体" w:cs="宋体" w:eastAsia="宋体" w:hint="default"/>
                          <w:sz w:val="21"/>
                          <w:szCs w:val="21"/>
                        </w:rPr>
                      </w:pPr>
                      <w:r>
                        <w:rPr>
                          <w:rFonts w:ascii="宋体" w:hAnsi="宋体" w:cs="宋体" w:eastAsia="宋体" w:hint="default"/>
                          <w:sz w:val="21"/>
                          <w:szCs w:val="21"/>
                        </w:rPr>
                        <w:t>年末增减</w:t>
                      </w:r>
                    </w:p>
                    <w:p>
                      <w:pPr>
                        <w:spacing w:line="247" w:lineRule="auto" w:before="0"/>
                        <w:ind w:left="209" w:right="30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调整后</w:t>
                      </w:r>
                    </w:p>
                    <w:p>
                      <w:pPr>
                        <w:spacing w:line="240" w:lineRule="auto" w:before="3"/>
                        <w:rPr>
                          <w:rFonts w:ascii="宋体" w:hAnsi="宋体" w:cs="宋体" w:eastAsia="宋体" w:hint="default"/>
                          <w:sz w:val="14"/>
                          <w:szCs w:val="14"/>
                        </w:rPr>
                      </w:pPr>
                    </w:p>
                    <w:p>
                      <w:pPr>
                        <w:spacing w:before="0"/>
                        <w:ind w:left="500" w:right="0" w:firstLine="0"/>
                        <w:jc w:val="left"/>
                        <w:rPr>
                          <w:rFonts w:ascii="Times New Roman" w:hAnsi="Times New Roman" w:cs="Times New Roman" w:eastAsia="Times New Roman" w:hint="default"/>
                          <w:sz w:val="21"/>
                          <w:szCs w:val="21"/>
                        </w:rPr>
                      </w:pPr>
                      <w:r>
                        <w:rPr>
                          <w:rFonts w:ascii="Times New Roman"/>
                          <w:sz w:val="21"/>
                        </w:rPr>
                        <w:t>14.29%</w:t>
                      </w:r>
                    </w:p>
                    <w:p>
                      <w:pPr>
                        <w:spacing w:line="237" w:lineRule="exact" w:before="178"/>
                        <w:ind w:left="433" w:right="0" w:firstLine="0"/>
                        <w:jc w:val="left"/>
                        <w:rPr>
                          <w:rFonts w:ascii="Times New Roman" w:hAnsi="Times New Roman" w:cs="Times New Roman" w:eastAsia="Times New Roman" w:hint="default"/>
                          <w:sz w:val="21"/>
                          <w:szCs w:val="21"/>
                        </w:rPr>
                      </w:pPr>
                      <w:r>
                        <w:rPr>
                          <w:rFonts w:ascii="Times New Roman"/>
                          <w:sz w:val="21"/>
                        </w:rPr>
                        <w:t>-13.51%</w:t>
                      </w:r>
                    </w:p>
                  </w:txbxContent>
                </v:textbox>
                <w10:wrap type="none"/>
              </v:shape>
              <v:shape style="position:absolute;left:9239;top:-1815;width:896;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xbxContent>
                </v:textbox>
                <w10:wrap type="none"/>
              </v:shape>
              <v:shape style="position:absolute;left:8719;top:-1261;width:940;height:1058"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调整前</w:t>
                      </w:r>
                    </w:p>
                    <w:p>
                      <w:pPr>
                        <w:spacing w:line="240" w:lineRule="auto" w:before="9"/>
                        <w:rPr>
                          <w:rFonts w:ascii="宋体" w:hAnsi="宋体" w:cs="宋体" w:eastAsia="宋体" w:hint="default"/>
                          <w:sz w:val="14"/>
                          <w:szCs w:val="14"/>
                        </w:rPr>
                      </w:pPr>
                    </w:p>
                    <w:p>
                      <w:pPr>
                        <w:spacing w:before="0"/>
                        <w:ind w:left="464" w:right="0" w:firstLine="0"/>
                        <w:jc w:val="center"/>
                        <w:rPr>
                          <w:rFonts w:ascii="Times New Roman" w:hAnsi="Times New Roman" w:cs="Times New Roman" w:eastAsia="Times New Roman" w:hint="default"/>
                          <w:sz w:val="21"/>
                          <w:szCs w:val="21"/>
                        </w:rPr>
                      </w:pPr>
                      <w:r>
                        <w:rPr>
                          <w:rFonts w:ascii="Times New Roman"/>
                          <w:sz w:val="21"/>
                        </w:rPr>
                        <w:t>1.981</w:t>
                      </w:r>
                    </w:p>
                    <w:p>
                      <w:pPr>
                        <w:spacing w:line="237" w:lineRule="exact" w:before="178"/>
                        <w:ind w:left="291" w:right="0" w:firstLine="0"/>
                        <w:jc w:val="center"/>
                        <w:rPr>
                          <w:rFonts w:ascii="Times New Roman" w:hAnsi="Times New Roman" w:cs="Times New Roman" w:eastAsia="Times New Roman" w:hint="default"/>
                          <w:sz w:val="21"/>
                          <w:szCs w:val="21"/>
                        </w:rPr>
                      </w:pPr>
                      <w:r>
                        <w:rPr>
                          <w:rFonts w:ascii="Times New Roman"/>
                          <w:w w:val="95"/>
                          <w:sz w:val="21"/>
                        </w:rPr>
                        <w:t>63.75%</w:t>
                      </w:r>
                      <w:r>
                        <w:rPr>
                          <w:rFonts w:ascii="Times New Roman"/>
                          <w:sz w:val="21"/>
                        </w:rPr>
                      </w:r>
                    </w:p>
                  </w:txbxContent>
                </v:textbox>
                <w10:wrap type="none"/>
              </v:shape>
              <v:shape style="position:absolute;left:10021;top:-1261;width:942;height:1058"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调整后</w:t>
                      </w:r>
                    </w:p>
                    <w:p>
                      <w:pPr>
                        <w:spacing w:line="240" w:lineRule="auto" w:before="9"/>
                        <w:rPr>
                          <w:rFonts w:ascii="宋体" w:hAnsi="宋体" w:cs="宋体" w:eastAsia="宋体" w:hint="default"/>
                          <w:sz w:val="14"/>
                          <w:szCs w:val="14"/>
                        </w:rPr>
                      </w:pPr>
                    </w:p>
                    <w:p>
                      <w:pPr>
                        <w:spacing w:before="0"/>
                        <w:ind w:left="466" w:right="0" w:firstLine="0"/>
                        <w:jc w:val="center"/>
                        <w:rPr>
                          <w:rFonts w:ascii="Times New Roman" w:hAnsi="Times New Roman" w:cs="Times New Roman" w:eastAsia="Times New Roman" w:hint="default"/>
                          <w:sz w:val="21"/>
                          <w:szCs w:val="21"/>
                        </w:rPr>
                      </w:pPr>
                      <w:r>
                        <w:rPr>
                          <w:rFonts w:ascii="Times New Roman"/>
                          <w:sz w:val="21"/>
                        </w:rPr>
                        <w:t>2.009</w:t>
                      </w:r>
                    </w:p>
                    <w:p>
                      <w:pPr>
                        <w:spacing w:line="237" w:lineRule="exact" w:before="178"/>
                        <w:ind w:left="293" w:right="0" w:firstLine="0"/>
                        <w:jc w:val="center"/>
                        <w:rPr>
                          <w:rFonts w:ascii="Times New Roman" w:hAnsi="Times New Roman" w:cs="Times New Roman" w:eastAsia="Times New Roman" w:hint="default"/>
                          <w:sz w:val="21"/>
                          <w:szCs w:val="21"/>
                        </w:rPr>
                      </w:pPr>
                      <w:r>
                        <w:rPr>
                          <w:rFonts w:ascii="Times New Roman"/>
                          <w:w w:val="95"/>
                          <w:sz w:val="21"/>
                        </w:rPr>
                        <w:t>63.75%</w:t>
                      </w:r>
                      <w:r>
                        <w:rPr>
                          <w:rFonts w:ascii="Times New Roman"/>
                          <w:sz w:val="21"/>
                        </w:rPr>
                      </w:r>
                    </w:p>
                  </w:txbxContent>
                </v:textbox>
                <w10:wrap type="none"/>
              </v:shape>
            </v:group>
            <w10:wrap type="none"/>
          </v:group>
        </w:pict>
      </w:r>
      <w:r>
        <w:rPr/>
        <w:t>公司报告期内净资产收益率和每股收益有关指标：</w:t>
      </w:r>
    </w:p>
    <w:p>
      <w:pPr>
        <w:spacing w:line="240" w:lineRule="auto" w:before="0"/>
        <w:rPr>
          <w:rFonts w:ascii="宋体" w:hAnsi="宋体" w:cs="宋体" w:eastAsia="宋体" w:hint="default"/>
          <w:sz w:val="21"/>
          <w:szCs w:val="21"/>
        </w:rPr>
      </w:pPr>
    </w:p>
    <w:tbl>
      <w:tblPr>
        <w:tblW w:w="0" w:type="auto"/>
        <w:jc w:val="left"/>
        <w:tblInd w:w="622" w:type="dxa"/>
        <w:tblLayout w:type="fixed"/>
        <w:tblCellMar>
          <w:top w:w="0" w:type="dxa"/>
          <w:left w:w="0" w:type="dxa"/>
          <w:bottom w:w="0" w:type="dxa"/>
          <w:right w:w="0" w:type="dxa"/>
        </w:tblCellMar>
        <w:tblLook w:val="01E0"/>
      </w:tblPr>
      <w:tblGrid>
        <w:gridCol w:w="3356"/>
        <w:gridCol w:w="2512"/>
        <w:gridCol w:w="1995"/>
        <w:gridCol w:w="2016"/>
      </w:tblGrid>
      <w:tr>
        <w:trPr>
          <w:trHeight w:val="408" w:hRule="exact"/>
        </w:trPr>
        <w:tc>
          <w:tcPr>
            <w:tcW w:w="335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12" w:type="dxa"/>
            <w:vMerge w:val="restart"/>
            <w:tcBorders>
              <w:top w:val="single" w:sz="4" w:space="0" w:color="000000"/>
              <w:left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1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10" w:hRule="exact"/>
        </w:trPr>
        <w:tc>
          <w:tcPr>
            <w:tcW w:w="3356" w:type="dxa"/>
            <w:vMerge/>
            <w:tcBorders>
              <w:left w:val="nil" w:sz="6" w:space="0" w:color="auto"/>
              <w:bottom w:val="single" w:sz="4" w:space="0" w:color="000000"/>
              <w:right w:val="single" w:sz="4" w:space="0" w:color="000000"/>
            </w:tcBorders>
          </w:tcPr>
          <w:p>
            <w:pPr/>
          </w:p>
        </w:tc>
        <w:tc>
          <w:tcPr>
            <w:tcW w:w="2512"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78" w:hRule="exact"/>
        </w:trPr>
        <w:tc>
          <w:tcPr>
            <w:tcW w:w="3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14.89%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0.30</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0.30</w:t>
            </w:r>
          </w:p>
        </w:tc>
      </w:tr>
      <w:tr>
        <w:trPr>
          <w:trHeight w:val="792" w:hRule="exact"/>
        </w:trPr>
        <w:tc>
          <w:tcPr>
            <w:tcW w:w="3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08" w:right="293"/>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普通股股东的净利润</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9.62%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0.19</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07" w:top="1320" w:bottom="1200" w:left="400" w:right="380"/>
        </w:sectPr>
      </w:pPr>
    </w:p>
    <w:p>
      <w:pPr>
        <w:pStyle w:val="Heading2"/>
        <w:tabs>
          <w:tab w:pos="5013" w:val="left" w:leader="none"/>
        </w:tabs>
        <w:spacing w:line="391" w:lineRule="exact"/>
        <w:ind w:left="3887" w:right="0"/>
        <w:jc w:val="left"/>
        <w:rPr>
          <w:b w:val="0"/>
          <w:bCs w:val="0"/>
        </w:rPr>
      </w:pPr>
      <w:bookmarkStart w:name="一、股份变动情况表：" w:id="4"/>
      <w:bookmarkEnd w:id="4"/>
      <w:r>
        <w:rPr>
          <w:b w:val="0"/>
          <w:bCs w:val="0"/>
        </w:rPr>
      </w:r>
      <w:r>
        <w:rPr/>
        <w:t>第四节</w:t>
        <w:tab/>
        <w:t>股本变动及股东情况</w:t>
      </w:r>
      <w:r>
        <w:rPr>
          <w:b w:val="0"/>
          <w:bCs w:val="0"/>
        </w:rPr>
      </w:r>
    </w:p>
    <w:p>
      <w:pPr>
        <w:spacing w:line="240" w:lineRule="auto" w:before="8"/>
        <w:rPr>
          <w:rFonts w:ascii="Microsoft JhengHei" w:hAnsi="Microsoft JhengHei" w:cs="Microsoft JhengHei" w:eastAsia="Microsoft JhengHei" w:hint="default"/>
          <w:b/>
          <w:bCs/>
          <w:sz w:val="14"/>
          <w:szCs w:val="14"/>
        </w:rPr>
      </w:pPr>
    </w:p>
    <w:p>
      <w:pPr>
        <w:pStyle w:val="Heading4"/>
        <w:spacing w:line="240" w:lineRule="auto" w:before="26"/>
        <w:ind w:left="675" w:right="0"/>
        <w:jc w:val="left"/>
        <w:rPr>
          <w:rFonts w:ascii="宋体" w:hAnsi="宋体" w:cs="宋体" w:eastAsia="宋体" w:hint="default"/>
        </w:rPr>
      </w:pPr>
      <w:r>
        <w:rPr/>
        <w:t>一、股份变动情况表</w:t>
      </w:r>
      <w:r>
        <w:rPr>
          <w:rFonts w:ascii="宋体" w:hAnsi="宋体" w:cs="宋体" w:eastAsia="宋体" w:hint="default"/>
        </w:rPr>
        <w:t>：</w:t>
      </w:r>
    </w:p>
    <w:p>
      <w:pPr>
        <w:spacing w:line="240" w:lineRule="auto" w:before="2"/>
        <w:rPr>
          <w:rFonts w:ascii="宋体" w:hAnsi="宋体" w:cs="宋体" w:eastAsia="宋体" w:hint="default"/>
          <w:sz w:val="20"/>
          <w:szCs w:val="20"/>
        </w:rPr>
      </w:pPr>
    </w:p>
    <w:p>
      <w:pPr>
        <w:pStyle w:val="BodyText"/>
        <w:spacing w:line="240" w:lineRule="auto"/>
        <w:ind w:left="675" w:right="0"/>
        <w:jc w:val="left"/>
        <w:rPr>
          <w:rFonts w:ascii="宋体" w:hAnsi="宋体" w:cs="宋体" w:eastAsia="宋体" w:hint="default"/>
        </w:rPr>
      </w:pPr>
      <w:r>
        <w:rPr>
          <w:rFonts w:ascii="宋体" w:hAnsi="宋体" w:cs="宋体" w:eastAsia="宋体" w:hint="default"/>
        </w:rPr>
        <w:t>（一）报告期内，公司因部分限售流通股上市流通而导致股份结构变动如下：</w:t>
      </w:r>
    </w:p>
    <w:p>
      <w:pPr>
        <w:spacing w:line="240" w:lineRule="auto" w:before="8"/>
        <w:rPr>
          <w:rFonts w:ascii="宋体" w:hAnsi="宋体" w:cs="宋体" w:eastAsia="宋体" w:hint="default"/>
          <w:sz w:val="11"/>
          <w:szCs w:val="11"/>
        </w:rPr>
      </w:pPr>
    </w:p>
    <w:p>
      <w:pPr>
        <w:pStyle w:val="BodyText"/>
        <w:spacing w:line="240" w:lineRule="auto" w:before="34"/>
        <w:ind w:left="0" w:right="1592"/>
        <w:jc w:val="right"/>
        <w:rPr>
          <w:rFonts w:ascii="宋体" w:hAnsi="宋体" w:cs="宋体" w:eastAsia="宋体" w:hint="default"/>
        </w:rPr>
      </w:pPr>
      <w:r>
        <w:rPr>
          <w:rFonts w:ascii="宋体" w:hAnsi="宋体" w:cs="宋体" w:eastAsia="宋体" w:hint="default"/>
        </w:rPr>
        <w:t>单位：</w:t>
      </w:r>
      <w:r>
        <w:rPr>
          <w:rFonts w:ascii="宋体" w:hAnsi="宋体" w:cs="宋体" w:eastAsia="宋体" w:hint="default"/>
          <w:spacing w:val="-1"/>
        </w:rPr>
        <w:t> </w:t>
      </w:r>
      <w:r>
        <w:rPr>
          <w:rFonts w:ascii="宋体" w:hAnsi="宋体" w:cs="宋体" w:eastAsia="宋体" w:hint="default"/>
        </w:rPr>
        <w:t>股</w:t>
      </w:r>
    </w:p>
    <w:p>
      <w:pPr>
        <w:spacing w:line="240" w:lineRule="auto" w:before="6"/>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836"/>
        <w:gridCol w:w="1290"/>
        <w:gridCol w:w="902"/>
        <w:gridCol w:w="657"/>
        <w:gridCol w:w="435"/>
        <w:gridCol w:w="755"/>
        <w:gridCol w:w="1179"/>
        <w:gridCol w:w="1379"/>
        <w:gridCol w:w="1263"/>
        <w:gridCol w:w="1083"/>
      </w:tblGrid>
      <w:tr>
        <w:trPr>
          <w:trHeight w:val="331" w:hRule="exact"/>
        </w:trPr>
        <w:tc>
          <w:tcPr>
            <w:tcW w:w="1836" w:type="dxa"/>
            <w:vMerge w:val="restart"/>
            <w:tcBorders>
              <w:top w:val="single" w:sz="4" w:space="0" w:color="000000"/>
              <w:left w:val="single" w:sz="4" w:space="0" w:color="000000"/>
              <w:right w:val="single" w:sz="4" w:space="0" w:color="000000"/>
            </w:tcBorders>
            <w:shd w:val="clear" w:color="auto" w:fill="DBDBDB"/>
          </w:tcPr>
          <w:p>
            <w:pPr/>
          </w:p>
        </w:tc>
        <w:tc>
          <w:tcPr>
            <w:tcW w:w="219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353"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405"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1" w:lineRule="exact"/>
              <w:ind w:left="947"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4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433"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556" w:hRule="exact"/>
        </w:trPr>
        <w:tc>
          <w:tcPr>
            <w:tcW w:w="1836" w:type="dxa"/>
            <w:vMerge/>
            <w:tcBorders>
              <w:left w:val="single" w:sz="4" w:space="0" w:color="000000"/>
              <w:bottom w:val="single" w:sz="4" w:space="0" w:color="000000"/>
              <w:right w:val="single" w:sz="4" w:space="0" w:color="000000"/>
            </w:tcBorders>
            <w:shd w:val="clear" w:color="auto" w:fill="DBDBDB"/>
          </w:tcPr>
          <w:p>
            <w:pPr/>
          </w:p>
        </w:tc>
        <w:tc>
          <w:tcPr>
            <w:tcW w:w="1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送</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7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17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4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2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3"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一、有限售条件股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5"/>
                <w:sz w:val="21"/>
              </w:rPr>
              <w:t>33,614,805</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5"/>
                <w:sz w:val="21"/>
              </w:rPr>
              <w:t>7.16%</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z w:val="21"/>
                <w:szCs w:val="21"/>
              </w:rPr>
              <w:t>-28,154,979</w:t>
            </w:r>
            <w:r>
              <w:rPr>
                <w:rFonts w:ascii="Times New Roman" w:hAnsi="Times New Roman" w:cs="Times New Roman" w:eastAsia="Times New Roman" w:hint="default"/>
                <w:spacing w:val="-1"/>
                <w:sz w:val="21"/>
                <w:szCs w:val="21"/>
              </w:rPr>
              <w:t> </w:t>
            </w:r>
            <w:r>
              <w:rPr>
                <w:rFonts w:ascii="Microsoft JhengHei" w:hAnsi="Microsoft JhengHei" w:cs="Microsoft JhengHei" w:eastAsia="Microsoft JhengHei" w:hint="default"/>
                <w:b/>
                <w:bCs/>
                <w:sz w:val="21"/>
                <w:szCs w:val="21"/>
              </w:rPr>
              <w:t>注</w:t>
            </w:r>
            <w:r>
              <w:rPr>
                <w:rFonts w:ascii="Microsoft JhengHei" w:hAnsi="Microsoft JhengHei" w:cs="Microsoft JhengHei" w:eastAsia="Microsoft JhengHei" w:hint="default"/>
                <w:sz w:val="21"/>
                <w:szCs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sz w:val="21"/>
              </w:rPr>
              <w:t>5,459,826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sz w:val="21"/>
              </w:rPr>
              <w:t>1.16%</w:t>
            </w:r>
          </w:p>
        </w:tc>
      </w:tr>
      <w:tr>
        <w:trPr>
          <w:trHeight w:val="353"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2,145,000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2,145,000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31,014,979</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6.60%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2,860,000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0.61%</w:t>
            </w:r>
          </w:p>
        </w:tc>
      </w:tr>
      <w:tr>
        <w:trPr>
          <w:trHeight w:val="694"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63"/>
              <w:ind w:left="24" w:right="22" w:firstLine="103"/>
              <w:jc w:val="left"/>
              <w:rPr>
                <w:rFonts w:ascii="宋体" w:hAnsi="宋体" w:cs="宋体" w:eastAsia="宋体" w:hint="default"/>
                <w:sz w:val="21"/>
                <w:szCs w:val="21"/>
              </w:rPr>
            </w:pPr>
            <w:r>
              <w:rPr>
                <w:rFonts w:ascii="宋体" w:hAnsi="宋体" w:cs="宋体" w:eastAsia="宋体" w:hint="default"/>
                <w:sz w:val="21"/>
                <w:szCs w:val="21"/>
              </w:rPr>
              <w:t>其中：境内非国有</w:t>
            </w:r>
            <w:r>
              <w:rPr>
                <w:rFonts w:ascii="宋体" w:hAnsi="宋体" w:cs="宋体" w:eastAsia="宋体" w:hint="default"/>
                <w:w w:val="99"/>
                <w:sz w:val="21"/>
                <w:szCs w:val="21"/>
              </w:rPr>
              <w:t> </w:t>
            </w:r>
            <w:r>
              <w:rPr>
                <w:rFonts w:ascii="宋体" w:hAnsi="宋体" w:cs="宋体" w:eastAsia="宋体" w:hint="default"/>
                <w:sz w:val="21"/>
                <w:szCs w:val="21"/>
              </w:rPr>
              <w:t>法人持股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31,014,979</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6.60%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2,860,000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0.61%</w:t>
            </w: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right="224"/>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3"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其中：境外法人持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right="224"/>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454,826</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0.10%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w w:val="95"/>
                <w:sz w:val="21"/>
              </w:rPr>
              <w:t>454,826</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0.10%</w:t>
            </w:r>
          </w:p>
        </w:tc>
      </w:tr>
      <w:tr>
        <w:trPr>
          <w:trHeight w:val="553"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二、无限售条件股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435,978,559</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92.84%</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464,133,538</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98.84%</w:t>
            </w:r>
            <w:r>
              <w:rPr>
                <w:rFonts w:ascii="Times New Roman"/>
                <w:sz w:val="21"/>
              </w:rPr>
            </w:r>
          </w:p>
        </w:tc>
      </w:tr>
      <w:tr>
        <w:trPr>
          <w:trHeight w:val="335"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5"/>
                <w:sz w:val="21"/>
              </w:rPr>
              <w:t>435,978,559</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5"/>
                <w:sz w:val="21"/>
              </w:rPr>
              <w:t>92.84%</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21"/>
                <w:szCs w:val="21"/>
              </w:rPr>
            </w:pPr>
            <w:r>
              <w:rPr>
                <w:rFonts w:ascii="Times New Roman"/>
                <w:w w:val="95"/>
                <w:sz w:val="21"/>
              </w:rPr>
              <w:t>464,133,538</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21"/>
                <w:szCs w:val="21"/>
              </w:rPr>
            </w:pPr>
            <w:r>
              <w:rPr>
                <w:rFonts w:ascii="Times New Roman"/>
                <w:w w:val="95"/>
                <w:sz w:val="21"/>
              </w:rPr>
              <w:t>98.84%</w:t>
            </w:r>
            <w:r>
              <w:rPr>
                <w:rFonts w:ascii="Times New Roman"/>
                <w:sz w:val="21"/>
              </w:rPr>
            </w:r>
          </w:p>
        </w:tc>
      </w:tr>
      <w:tr>
        <w:trPr>
          <w:trHeight w:val="552"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556"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52"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5"/>
                <w:sz w:val="21"/>
              </w:rPr>
              <w:t>469,593,364</w:t>
            </w:r>
            <w:r>
              <w:rPr>
                <w:rFonts w:ascii="Times New Roman"/>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w w:val="95"/>
                <w:sz w:val="21"/>
              </w:rPr>
              <w:t>469,593,364</w:t>
            </w:r>
            <w:r>
              <w:rPr>
                <w:rFonts w:ascii="Times New Roman"/>
                <w:sz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1"/>
                <w:szCs w:val="21"/>
              </w:rPr>
            </w:pPr>
            <w:r>
              <w:rPr>
                <w:rFonts w:ascii="Times New Roman"/>
                <w:sz w:val="21"/>
              </w:rPr>
              <w:t>100.00%</w:t>
            </w:r>
          </w:p>
        </w:tc>
      </w:tr>
    </w:tbl>
    <w:p>
      <w:pPr>
        <w:spacing w:line="228" w:lineRule="exact" w:before="0"/>
        <w:ind w:left="67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sz w:val="18"/>
          <w:szCs w:val="18"/>
        </w:rPr>
      </w:r>
    </w:p>
    <w:p>
      <w:pPr>
        <w:spacing w:before="37"/>
        <w:ind w:left="67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2011</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7</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15</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日，公司接受第二大股东——深圳市东鸿信投资发展有限公司（以下简称“东鸿信公司”）委托，办理完毕</w:t>
      </w:r>
      <w:r>
        <w:rPr>
          <w:rFonts w:ascii="Microsoft JhengHei" w:hAnsi="Microsoft JhengHei" w:cs="Microsoft JhengHei" w:eastAsia="Microsoft JhengHei" w:hint="default"/>
          <w:sz w:val="18"/>
          <w:szCs w:val="18"/>
        </w:rPr>
      </w:r>
    </w:p>
    <w:p>
      <w:pPr>
        <w:spacing w:before="37"/>
        <w:ind w:left="67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w w:val="100"/>
          <w:sz w:val="18"/>
          <w:szCs w:val="18"/>
        </w:rPr>
        <w:t>其持有</w:t>
      </w:r>
      <w:r>
        <w:rPr>
          <w:rFonts w:ascii="Microsoft JhengHei" w:hAnsi="Microsoft JhengHei" w:cs="Microsoft JhengHei" w:eastAsia="Microsoft JhengHei" w:hint="default"/>
          <w:b/>
          <w:bCs/>
          <w:w w:val="100"/>
          <w:sz w:val="18"/>
          <w:szCs w:val="18"/>
        </w:rPr>
        <w:t>的</w:t>
      </w:r>
      <w:r>
        <w:rPr>
          <w:rFonts w:ascii="Microsoft JhengHei" w:hAnsi="Microsoft JhengHei" w:cs="Microsoft JhengHei" w:eastAsia="Microsoft JhengHei" w:hint="default"/>
          <w:b/>
          <w:bCs/>
          <w:spacing w:val="5"/>
          <w:sz w:val="18"/>
          <w:szCs w:val="18"/>
        </w:rPr>
        <w:t> </w:t>
      </w:r>
      <w:r>
        <w:rPr>
          <w:rFonts w:ascii="Microsoft JhengHei" w:hAnsi="Microsoft JhengHei" w:cs="Microsoft JhengHei" w:eastAsia="Microsoft JhengHei" w:hint="default"/>
          <w:b/>
          <w:bCs/>
          <w:spacing w:val="1"/>
          <w:w w:val="84"/>
          <w:sz w:val="18"/>
          <w:szCs w:val="18"/>
        </w:rPr>
        <w:t>28</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84"/>
          <w:sz w:val="18"/>
          <w:szCs w:val="18"/>
        </w:rPr>
        <w:t>154</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84"/>
          <w:sz w:val="18"/>
          <w:szCs w:val="18"/>
        </w:rPr>
        <w:t>9</w:t>
      </w:r>
      <w:r>
        <w:rPr>
          <w:rFonts w:ascii="Microsoft JhengHei" w:hAnsi="Microsoft JhengHei" w:cs="Microsoft JhengHei" w:eastAsia="Microsoft JhengHei" w:hint="default"/>
          <w:b/>
          <w:bCs/>
          <w:spacing w:val="-2"/>
          <w:w w:val="84"/>
          <w:sz w:val="18"/>
          <w:szCs w:val="18"/>
        </w:rPr>
        <w:t>7</w:t>
      </w:r>
      <w:r>
        <w:rPr>
          <w:rFonts w:ascii="Microsoft JhengHei" w:hAnsi="Microsoft JhengHei" w:cs="Microsoft JhengHei" w:eastAsia="Microsoft JhengHei" w:hint="default"/>
          <w:b/>
          <w:bCs/>
          <w:w w:val="84"/>
          <w:sz w:val="18"/>
          <w:szCs w:val="18"/>
        </w:rPr>
        <w:t>9</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pacing w:val="2"/>
          <w:w w:val="100"/>
          <w:sz w:val="18"/>
          <w:szCs w:val="18"/>
        </w:rPr>
        <w:t>股有限售条件流通股的解限手续，东鸿信公司持有</w:t>
      </w:r>
      <w:r>
        <w:rPr>
          <w:rFonts w:ascii="Microsoft JhengHei" w:hAnsi="Microsoft JhengHei" w:cs="Microsoft JhengHei" w:eastAsia="Microsoft JhengHei" w:hint="default"/>
          <w:b/>
          <w:bCs/>
          <w:w w:val="100"/>
          <w:sz w:val="18"/>
          <w:szCs w:val="18"/>
        </w:rPr>
        <w:t>的</w:t>
      </w:r>
      <w:r>
        <w:rPr>
          <w:rFonts w:ascii="Microsoft JhengHei" w:hAnsi="Microsoft JhengHei" w:cs="Microsoft JhengHei" w:eastAsia="Microsoft JhengHei" w:hint="default"/>
          <w:b/>
          <w:bCs/>
          <w:spacing w:val="15"/>
          <w:sz w:val="18"/>
          <w:szCs w:val="18"/>
        </w:rPr>
        <w:t> </w:t>
      </w:r>
      <w:r>
        <w:rPr>
          <w:rFonts w:ascii="Microsoft JhengHei" w:hAnsi="Microsoft JhengHei" w:cs="Microsoft JhengHei" w:eastAsia="Microsoft JhengHei" w:hint="default"/>
          <w:b/>
          <w:bCs/>
          <w:spacing w:val="1"/>
          <w:w w:val="84"/>
          <w:sz w:val="18"/>
          <w:szCs w:val="18"/>
        </w:rPr>
        <w:t>28</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84"/>
          <w:sz w:val="18"/>
          <w:szCs w:val="18"/>
        </w:rPr>
        <w:t>154</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84"/>
          <w:sz w:val="18"/>
          <w:szCs w:val="18"/>
        </w:rPr>
        <w:t>97</w:t>
      </w:r>
      <w:r>
        <w:rPr>
          <w:rFonts w:ascii="Microsoft JhengHei" w:hAnsi="Microsoft JhengHei" w:cs="Microsoft JhengHei" w:eastAsia="Microsoft JhengHei" w:hint="default"/>
          <w:b/>
          <w:bCs/>
          <w:w w:val="84"/>
          <w:sz w:val="18"/>
          <w:szCs w:val="18"/>
        </w:rPr>
        <w:t>9</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pacing w:val="2"/>
          <w:w w:val="100"/>
          <w:sz w:val="18"/>
          <w:szCs w:val="18"/>
        </w:rPr>
        <w:t>股有限售条件流通股变更为无限</w:t>
      </w:r>
      <w:r>
        <w:rPr>
          <w:rFonts w:ascii="Microsoft JhengHei" w:hAnsi="Microsoft JhengHei" w:cs="Microsoft JhengHei" w:eastAsia="Microsoft JhengHei" w:hint="default"/>
          <w:b/>
          <w:bCs/>
          <w:w w:val="100"/>
          <w:sz w:val="18"/>
          <w:szCs w:val="18"/>
        </w:rPr>
        <w:t>售</w:t>
      </w:r>
      <w:r>
        <w:rPr>
          <w:rFonts w:ascii="Microsoft JhengHei" w:hAnsi="Microsoft JhengHei" w:cs="Microsoft JhengHei" w:eastAsia="Microsoft JhengHei" w:hint="default"/>
          <w:w w:val="100"/>
          <w:sz w:val="18"/>
          <w:szCs w:val="18"/>
        </w:rPr>
      </w:r>
    </w:p>
    <w:p>
      <w:pPr>
        <w:spacing w:line="268" w:lineRule="auto" w:before="37"/>
        <w:ind w:left="67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条件流通股，股份上市流通日为</w:t>
      </w:r>
      <w:r>
        <w:rPr>
          <w:rFonts w:ascii="Microsoft JhengHei" w:hAnsi="Microsoft JhengHei" w:cs="Microsoft JhengHei" w:eastAsia="Microsoft JhengHei" w:hint="default"/>
          <w:b/>
          <w:bCs/>
          <w:spacing w:val="-5"/>
          <w:sz w:val="18"/>
          <w:szCs w:val="18"/>
        </w:rPr>
        <w:t> </w:t>
      </w:r>
      <w:r>
        <w:rPr>
          <w:rFonts w:ascii="Microsoft JhengHei" w:hAnsi="Microsoft JhengHei" w:cs="Microsoft JhengHei" w:eastAsia="Microsoft JhengHei" w:hint="default"/>
          <w:b/>
          <w:bCs/>
          <w:sz w:val="18"/>
          <w:szCs w:val="18"/>
        </w:rPr>
        <w:t>2011</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9"/>
          <w:sz w:val="18"/>
          <w:szCs w:val="18"/>
        </w:rPr>
        <w:t> </w:t>
      </w:r>
      <w:r>
        <w:rPr>
          <w:rFonts w:ascii="Microsoft JhengHei" w:hAnsi="Microsoft JhengHei" w:cs="Microsoft JhengHei" w:eastAsia="Microsoft JhengHei" w:hint="default"/>
          <w:b/>
          <w:bCs/>
          <w:sz w:val="18"/>
          <w:szCs w:val="18"/>
        </w:rPr>
        <w:t>7</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9"/>
          <w:sz w:val="18"/>
          <w:szCs w:val="18"/>
        </w:rPr>
        <w:t> </w:t>
      </w:r>
      <w:r>
        <w:rPr>
          <w:rFonts w:ascii="Microsoft JhengHei" w:hAnsi="Microsoft JhengHei" w:cs="Microsoft JhengHei" w:eastAsia="Microsoft JhengHei" w:hint="default"/>
          <w:b/>
          <w:bCs/>
          <w:sz w:val="18"/>
          <w:szCs w:val="18"/>
        </w:rPr>
        <w:t>19</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sz w:val="18"/>
          <w:szCs w:val="18"/>
        </w:rPr>
        <w:t>日。具体内容详见公司于</w:t>
      </w:r>
      <w:r>
        <w:rPr>
          <w:rFonts w:ascii="Microsoft JhengHei" w:hAnsi="Microsoft JhengHei" w:cs="Microsoft JhengHei" w:eastAsia="Microsoft JhengHei" w:hint="default"/>
          <w:b/>
          <w:bCs/>
          <w:spacing w:val="-5"/>
          <w:sz w:val="18"/>
          <w:szCs w:val="18"/>
        </w:rPr>
        <w:t> </w:t>
      </w:r>
      <w:r>
        <w:rPr>
          <w:rFonts w:ascii="Microsoft JhengHei" w:hAnsi="Microsoft JhengHei" w:cs="Microsoft JhengHei" w:eastAsia="Microsoft JhengHei" w:hint="default"/>
          <w:b/>
          <w:bCs/>
          <w:sz w:val="18"/>
          <w:szCs w:val="18"/>
        </w:rPr>
        <w:t>2011</w:t>
      </w:r>
      <w:r>
        <w:rPr>
          <w:rFonts w:ascii="Microsoft JhengHei" w:hAnsi="Microsoft JhengHei" w:cs="Microsoft JhengHei" w:eastAsia="Microsoft JhengHei" w:hint="default"/>
          <w:b/>
          <w:bCs/>
          <w:spacing w:val="-12"/>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9"/>
          <w:sz w:val="18"/>
          <w:szCs w:val="18"/>
        </w:rPr>
        <w:t> </w:t>
      </w:r>
      <w:r>
        <w:rPr>
          <w:rFonts w:ascii="Microsoft JhengHei" w:hAnsi="Microsoft JhengHei" w:cs="Microsoft JhengHei" w:eastAsia="Microsoft JhengHei" w:hint="default"/>
          <w:b/>
          <w:bCs/>
          <w:sz w:val="18"/>
          <w:szCs w:val="18"/>
        </w:rPr>
        <w:t>7</w:t>
      </w:r>
      <w:r>
        <w:rPr>
          <w:rFonts w:ascii="Microsoft JhengHei" w:hAnsi="Microsoft JhengHei" w:cs="Microsoft JhengHei" w:eastAsia="Microsoft JhengHei" w:hint="default"/>
          <w:b/>
          <w:bCs/>
          <w:spacing w:val="-8"/>
          <w:sz w:val="18"/>
          <w:szCs w:val="18"/>
        </w:rPr>
        <w:t>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9"/>
          <w:sz w:val="18"/>
          <w:szCs w:val="18"/>
        </w:rPr>
        <w:t> </w:t>
      </w:r>
      <w:r>
        <w:rPr>
          <w:rFonts w:ascii="Microsoft JhengHei" w:hAnsi="Microsoft JhengHei" w:cs="Microsoft JhengHei" w:eastAsia="Microsoft JhengHei" w:hint="default"/>
          <w:b/>
          <w:bCs/>
          <w:sz w:val="18"/>
          <w:szCs w:val="18"/>
        </w:rPr>
        <w:t>16</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sz w:val="18"/>
          <w:szCs w:val="18"/>
        </w:rPr>
        <w:t>日在《中国证券报》、《证券时</w:t>
      </w:r>
      <w:r>
        <w:rPr>
          <w:rFonts w:ascii="Microsoft JhengHei" w:hAnsi="Microsoft JhengHei" w:cs="Microsoft JhengHei" w:eastAsia="Microsoft JhengHei" w:hint="default"/>
          <w:b/>
          <w:bCs/>
          <w:w w:val="100"/>
          <w:sz w:val="18"/>
          <w:szCs w:val="18"/>
        </w:rPr>
        <w:t> 报》以及巨</w:t>
      </w:r>
      <w:r>
        <w:rPr>
          <w:rFonts w:ascii="Microsoft JhengHei" w:hAnsi="Microsoft JhengHei" w:cs="Microsoft JhengHei" w:eastAsia="Microsoft JhengHei" w:hint="default"/>
          <w:b/>
          <w:bCs/>
          <w:spacing w:val="4"/>
          <w:w w:val="100"/>
          <w:sz w:val="18"/>
          <w:szCs w:val="18"/>
        </w:rPr>
        <w:t>潮</w:t>
      </w:r>
      <w:r>
        <w:rPr>
          <w:rFonts w:ascii="Microsoft JhengHei" w:hAnsi="Microsoft JhengHei" w:cs="Microsoft JhengHei" w:eastAsia="Microsoft JhengHei" w:hint="default"/>
          <w:b/>
          <w:bCs/>
          <w:w w:val="100"/>
          <w:sz w:val="18"/>
          <w:szCs w:val="18"/>
        </w:rPr>
        <w:t>资</w:t>
      </w:r>
      <w:r>
        <w:rPr>
          <w:rFonts w:ascii="Microsoft JhengHei" w:hAnsi="Microsoft JhengHei" w:cs="Microsoft JhengHei" w:eastAsia="Microsoft JhengHei" w:hint="default"/>
          <w:b/>
          <w:bCs/>
          <w:spacing w:val="2"/>
          <w:w w:val="100"/>
          <w:sz w:val="18"/>
          <w:szCs w:val="18"/>
        </w:rPr>
        <w:t>讯</w:t>
      </w:r>
      <w:r>
        <w:rPr>
          <w:rFonts w:ascii="Microsoft JhengHei" w:hAnsi="Microsoft JhengHei" w:cs="Microsoft JhengHei" w:eastAsia="Microsoft JhengHei" w:hint="default"/>
          <w:b/>
          <w:bCs/>
          <w:w w:val="100"/>
          <w:sz w:val="18"/>
          <w:szCs w:val="18"/>
        </w:rPr>
        <w:t>网</w:t>
      </w:r>
      <w:r>
        <w:rPr>
          <w:rFonts w:ascii="Microsoft JhengHei" w:hAnsi="Microsoft JhengHei" w:cs="Microsoft JhengHei" w:eastAsia="Microsoft JhengHei" w:hint="default"/>
          <w:b/>
          <w:bCs/>
          <w:sz w:val="18"/>
          <w:szCs w:val="18"/>
        </w:rPr>
        <w:t> </w:t>
      </w:r>
      <w:hyperlink r:id="rId10">
        <w:r>
          <w:rPr>
            <w:rFonts w:ascii="Microsoft JhengHei" w:hAnsi="Microsoft JhengHei" w:cs="Microsoft JhengHei" w:eastAsia="Microsoft JhengHei" w:hint="default"/>
            <w:b/>
            <w:bCs/>
            <w:spacing w:val="1"/>
            <w:w w:val="61"/>
            <w:sz w:val="18"/>
            <w:szCs w:val="18"/>
          </w:rPr>
          <w:t>www</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99"/>
            <w:sz w:val="18"/>
            <w:szCs w:val="18"/>
          </w:rPr>
          <w:t>c</w:t>
        </w:r>
        <w:r>
          <w:rPr>
            <w:rFonts w:ascii="Microsoft JhengHei" w:hAnsi="Microsoft JhengHei" w:cs="Microsoft JhengHei" w:eastAsia="Microsoft JhengHei" w:hint="default"/>
            <w:b/>
            <w:bCs/>
            <w:spacing w:val="1"/>
            <w:w w:val="80"/>
            <w:sz w:val="18"/>
            <w:szCs w:val="18"/>
          </w:rPr>
          <w:t>n</w:t>
        </w:r>
        <w:r>
          <w:rPr>
            <w:rFonts w:ascii="Microsoft JhengHei" w:hAnsi="Microsoft JhengHei" w:cs="Microsoft JhengHei" w:eastAsia="Microsoft JhengHei" w:hint="default"/>
            <w:b/>
            <w:bCs/>
            <w:spacing w:val="1"/>
            <w:w w:val="182"/>
            <w:sz w:val="18"/>
            <w:szCs w:val="18"/>
          </w:rPr>
          <w:t>i</w:t>
        </w:r>
        <w:r>
          <w:rPr>
            <w:rFonts w:ascii="Microsoft JhengHei" w:hAnsi="Microsoft JhengHei" w:cs="Microsoft JhengHei" w:eastAsia="Microsoft JhengHei" w:hint="default"/>
            <w:b/>
            <w:bCs/>
            <w:spacing w:val="1"/>
            <w:w w:val="80"/>
            <w:sz w:val="18"/>
            <w:szCs w:val="18"/>
          </w:rPr>
          <w:t>n</w:t>
        </w:r>
        <w:r>
          <w:rPr>
            <w:rFonts w:ascii="Microsoft JhengHei" w:hAnsi="Microsoft JhengHei" w:cs="Microsoft JhengHei" w:eastAsia="Microsoft JhengHei" w:hint="default"/>
            <w:b/>
            <w:bCs/>
            <w:spacing w:val="-2"/>
            <w:w w:val="137"/>
            <w:sz w:val="18"/>
            <w:szCs w:val="18"/>
          </w:rPr>
          <w:t>f</w:t>
        </w:r>
        <w:r>
          <w:rPr>
            <w:rFonts w:ascii="Microsoft JhengHei" w:hAnsi="Microsoft JhengHei" w:cs="Microsoft JhengHei" w:eastAsia="Microsoft JhengHei" w:hint="default"/>
            <w:b/>
            <w:bCs/>
            <w:spacing w:val="1"/>
            <w:w w:val="78"/>
            <w:sz w:val="18"/>
            <w:szCs w:val="18"/>
          </w:rPr>
          <w:t>o</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99"/>
            <w:sz w:val="18"/>
            <w:szCs w:val="18"/>
          </w:rPr>
          <w:t>c</w:t>
        </w:r>
        <w:r>
          <w:rPr>
            <w:rFonts w:ascii="Microsoft JhengHei" w:hAnsi="Microsoft JhengHei" w:cs="Microsoft JhengHei" w:eastAsia="Microsoft JhengHei" w:hint="default"/>
            <w:b/>
            <w:bCs/>
            <w:spacing w:val="1"/>
            <w:w w:val="78"/>
            <w:sz w:val="18"/>
            <w:szCs w:val="18"/>
          </w:rPr>
          <w:t>o</w:t>
        </w:r>
        <w:r>
          <w:rPr>
            <w:rFonts w:ascii="Microsoft JhengHei" w:hAnsi="Microsoft JhengHei" w:cs="Microsoft JhengHei" w:eastAsia="Microsoft JhengHei" w:hint="default"/>
            <w:b/>
            <w:bCs/>
            <w:spacing w:val="-2"/>
            <w:w w:val="52"/>
            <w:sz w:val="18"/>
            <w:szCs w:val="18"/>
          </w:rPr>
          <w:t>m</w:t>
        </w:r>
        <w:r>
          <w:rPr>
            <w:rFonts w:ascii="Microsoft JhengHei" w:hAnsi="Microsoft JhengHei" w:cs="Microsoft JhengHei" w:eastAsia="Microsoft JhengHei" w:hint="default"/>
            <w:b/>
            <w:bCs/>
            <w:spacing w:val="1"/>
            <w:w w:val="197"/>
            <w:sz w:val="18"/>
            <w:szCs w:val="18"/>
          </w:rPr>
          <w:t>.</w:t>
        </w:r>
        <w:r>
          <w:rPr>
            <w:rFonts w:ascii="Microsoft JhengHei" w:hAnsi="Microsoft JhengHei" w:cs="Microsoft JhengHei" w:eastAsia="Microsoft JhengHei" w:hint="default"/>
            <w:b/>
            <w:bCs/>
            <w:spacing w:val="1"/>
            <w:w w:val="99"/>
            <w:sz w:val="18"/>
            <w:szCs w:val="18"/>
          </w:rPr>
          <w:t>c</w:t>
        </w:r>
        <w:r>
          <w:rPr>
            <w:rFonts w:ascii="Microsoft JhengHei" w:hAnsi="Microsoft JhengHei" w:cs="Microsoft JhengHei" w:eastAsia="Microsoft JhengHei" w:hint="default"/>
            <w:b/>
            <w:bCs/>
            <w:w w:val="80"/>
            <w:sz w:val="18"/>
            <w:szCs w:val="18"/>
          </w:rPr>
          <w:t>n</w:t>
        </w:r>
        <w:r>
          <w:rPr>
            <w:rFonts w:ascii="Microsoft JhengHei" w:hAnsi="Microsoft JhengHei" w:cs="Microsoft JhengHei" w:eastAsia="Microsoft JhengHei" w:hint="default"/>
            <w:b/>
            <w:bCs/>
            <w:spacing w:val="-3"/>
            <w:sz w:val="18"/>
            <w:szCs w:val="18"/>
          </w:rPr>
          <w:t> </w:t>
        </w:r>
      </w:hyperlink>
      <w:r>
        <w:rPr>
          <w:rFonts w:ascii="Microsoft JhengHei" w:hAnsi="Microsoft JhengHei" w:cs="Microsoft JhengHei" w:eastAsia="Microsoft JhengHei" w:hint="default"/>
          <w:b/>
          <w:bCs/>
          <w:w w:val="100"/>
          <w:sz w:val="18"/>
          <w:szCs w:val="18"/>
        </w:rPr>
        <w:t>刊登的相关公告。</w:t>
      </w:r>
      <w:r>
        <w:rPr>
          <w:rFonts w:ascii="Microsoft JhengHei" w:hAnsi="Microsoft JhengHei" w:cs="Microsoft JhengHei" w:eastAsia="Microsoft JhengHei" w:hint="default"/>
          <w:w w:val="100"/>
          <w:sz w:val="18"/>
          <w:szCs w:val="18"/>
        </w:rPr>
      </w:r>
    </w:p>
    <w:p>
      <w:pPr>
        <w:spacing w:after="0" w:line="268" w:lineRule="auto"/>
        <w:jc w:val="left"/>
        <w:rPr>
          <w:rFonts w:ascii="Microsoft JhengHei" w:hAnsi="Microsoft JhengHei" w:cs="Microsoft JhengHei" w:eastAsia="Microsoft JhengHei" w:hint="default"/>
          <w:sz w:val="18"/>
          <w:szCs w:val="18"/>
        </w:rPr>
        <w:sectPr>
          <w:pgSz w:w="11910" w:h="16840"/>
          <w:pgMar w:header="0" w:footer="1007" w:top="1400" w:bottom="1200" w:left="460" w:right="440"/>
        </w:sectPr>
      </w:pPr>
    </w:p>
    <w:p>
      <w:pPr>
        <w:pStyle w:val="BodyText"/>
        <w:spacing w:line="240" w:lineRule="auto" w:before="20"/>
        <w:ind w:left="475" w:right="480"/>
        <w:jc w:val="left"/>
        <w:rPr>
          <w:rFonts w:ascii="宋体" w:hAnsi="宋体" w:cs="宋体" w:eastAsia="宋体" w:hint="default"/>
        </w:rPr>
      </w:pPr>
      <w:bookmarkStart w:name="二、股票发行与上市情况" w:id="5"/>
      <w:bookmarkEnd w:id="5"/>
      <w:r>
        <w:rPr/>
      </w:r>
      <w:bookmarkStart w:name="三、截止报告期末股东持股情况及控制人情况介绍" w:id="6"/>
      <w:bookmarkEnd w:id="6"/>
      <w:r>
        <w:rPr/>
      </w:r>
      <w:r>
        <w:rPr>
          <w:rFonts w:ascii="宋体" w:hAnsi="宋体" w:cs="宋体" w:eastAsia="宋体" w:hint="default"/>
        </w:rPr>
        <w:t>（二）报告期内有限售条件股份变动情况表</w:t>
      </w:r>
    </w:p>
    <w:p>
      <w:pPr>
        <w:pStyle w:val="BodyText"/>
        <w:spacing w:line="240" w:lineRule="auto" w:before="8"/>
        <w:ind w:left="0" w:right="1094"/>
        <w:jc w:val="right"/>
        <w:rPr>
          <w:rFonts w:ascii="宋体" w:hAnsi="宋体" w:cs="宋体" w:eastAsia="宋体" w:hint="default"/>
        </w:rPr>
      </w:pPr>
      <w:r>
        <w:rPr>
          <w:rFonts w:ascii="宋体" w:hAnsi="宋体" w:cs="宋体" w:eastAsia="宋体" w:hint="default"/>
        </w:rPr>
        <w:t>单位：股</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58"/>
        <w:gridCol w:w="1453"/>
        <w:gridCol w:w="1408"/>
        <w:gridCol w:w="1408"/>
        <w:gridCol w:w="1408"/>
        <w:gridCol w:w="1408"/>
        <w:gridCol w:w="1663"/>
      </w:tblGrid>
      <w:tr>
        <w:trPr>
          <w:trHeight w:val="554" w:hRule="exact"/>
        </w:trPr>
        <w:tc>
          <w:tcPr>
            <w:tcW w:w="16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91"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7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7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65"/>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1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24" w:right="149"/>
              <w:jc w:val="left"/>
              <w:rPr>
                <w:rFonts w:ascii="宋体" w:hAnsi="宋体" w:cs="宋体" w:eastAsia="宋体" w:hint="default"/>
                <w:sz w:val="21"/>
                <w:szCs w:val="21"/>
              </w:rPr>
            </w:pPr>
            <w:r>
              <w:rPr>
                <w:rFonts w:ascii="宋体" w:hAnsi="宋体" w:cs="宋体" w:eastAsia="宋体" w:hint="default"/>
                <w:sz w:val="21"/>
                <w:szCs w:val="21"/>
              </w:rPr>
              <w:t>深圳市东鸿信投</w:t>
            </w:r>
            <w:r>
              <w:rPr>
                <w:rFonts w:ascii="宋体" w:hAnsi="宋体" w:cs="宋体" w:eastAsia="宋体" w:hint="default"/>
                <w:w w:val="99"/>
                <w:sz w:val="21"/>
                <w:szCs w:val="21"/>
              </w:rPr>
              <w:t> </w:t>
            </w:r>
            <w:r>
              <w:rPr>
                <w:rFonts w:ascii="宋体" w:hAnsi="宋体" w:cs="宋体" w:eastAsia="宋体" w:hint="default"/>
                <w:sz w:val="21"/>
                <w:szCs w:val="21"/>
              </w:rPr>
              <w:t>资发展有限公司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r>
      <w:tr>
        <w:trPr>
          <w:trHeight w:val="283" w:hRule="exact"/>
        </w:trPr>
        <w:tc>
          <w:tcPr>
            <w:tcW w:w="16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28,154,979</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2"/>
        <w:rPr>
          <w:rFonts w:ascii="宋体" w:hAnsi="宋体" w:cs="宋体" w:eastAsia="宋体" w:hint="default"/>
          <w:sz w:val="28"/>
          <w:szCs w:val="28"/>
        </w:rPr>
      </w:pPr>
    </w:p>
    <w:p>
      <w:pPr>
        <w:pStyle w:val="BodyText"/>
        <w:spacing w:line="240" w:lineRule="auto" w:before="34"/>
        <w:ind w:left="481" w:right="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三）前</w:t>
      </w:r>
      <w:r>
        <w:rPr>
          <w:rFonts w:ascii="宋体" w:hAnsi="宋体" w:cs="宋体" w:eastAsia="宋体" w:hint="default"/>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名股东中有限售条件股东持股数量及限售条件</w:t>
      </w:r>
    </w:p>
    <w:p>
      <w:pPr>
        <w:pStyle w:val="BodyText"/>
        <w:spacing w:line="240" w:lineRule="auto" w:before="69"/>
        <w:ind w:left="0" w:right="1000"/>
        <w:jc w:val="right"/>
        <w:rPr>
          <w:rFonts w:ascii="宋体" w:hAnsi="宋体" w:cs="宋体" w:eastAsia="宋体" w:hint="default"/>
        </w:rPr>
      </w:pPr>
      <w:r>
        <w:rPr>
          <w:rFonts w:ascii="宋体" w:hAnsi="宋体" w:cs="宋体" w:eastAsia="宋体" w:hint="default"/>
        </w:rPr>
        <w:t>单位：股</w:t>
      </w:r>
    </w:p>
    <w:p>
      <w:pPr>
        <w:spacing w:line="240" w:lineRule="auto" w:before="3"/>
        <w:rPr>
          <w:rFonts w:ascii="宋体" w:hAnsi="宋体" w:cs="宋体" w:eastAsia="宋体" w:hint="default"/>
          <w:sz w:val="3"/>
          <w:szCs w:val="3"/>
        </w:rPr>
      </w:pPr>
    </w:p>
    <w:tbl>
      <w:tblPr>
        <w:tblW w:w="0" w:type="auto"/>
        <w:jc w:val="left"/>
        <w:tblInd w:w="499" w:type="dxa"/>
        <w:tblLayout w:type="fixed"/>
        <w:tblCellMar>
          <w:top w:w="0" w:type="dxa"/>
          <w:left w:w="0" w:type="dxa"/>
          <w:bottom w:w="0" w:type="dxa"/>
          <w:right w:w="0" w:type="dxa"/>
        </w:tblCellMar>
        <w:tblLook w:val="01E0"/>
      </w:tblPr>
      <w:tblGrid>
        <w:gridCol w:w="525"/>
        <w:gridCol w:w="1766"/>
        <w:gridCol w:w="1444"/>
        <w:gridCol w:w="2192"/>
        <w:gridCol w:w="1408"/>
        <w:gridCol w:w="2271"/>
      </w:tblGrid>
      <w:tr>
        <w:trPr>
          <w:trHeight w:val="554" w:hRule="exact"/>
        </w:trPr>
        <w:tc>
          <w:tcPr>
            <w:tcW w:w="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43"/>
              <w:jc w:val="center"/>
              <w:rPr>
                <w:rFonts w:ascii="宋体" w:hAnsi="宋体" w:cs="宋体" w:eastAsia="宋体" w:hint="default"/>
                <w:sz w:val="21"/>
                <w:szCs w:val="21"/>
              </w:rPr>
            </w:pPr>
            <w:r>
              <w:rPr>
                <w:rFonts w:ascii="宋体" w:hAnsi="宋体" w:cs="宋体" w:eastAsia="宋体" w:hint="default"/>
                <w:sz w:val="21"/>
                <w:szCs w:val="21"/>
              </w:rPr>
              <w:t>序号</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4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21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4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易股份数量</w:t>
            </w:r>
          </w:p>
        </w:tc>
        <w:tc>
          <w:tcPr>
            <w:tcW w:w="22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709"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46"/>
              <w:jc w:val="left"/>
              <w:rPr>
                <w:rFonts w:ascii="宋体" w:hAnsi="宋体" w:cs="宋体" w:eastAsia="宋体" w:hint="default"/>
                <w:sz w:val="21"/>
                <w:szCs w:val="21"/>
              </w:rPr>
            </w:pPr>
            <w:r>
              <w:rPr>
                <w:rFonts w:ascii="宋体" w:hAnsi="宋体" w:cs="宋体" w:eastAsia="宋体" w:hint="default"/>
                <w:sz w:val="21"/>
                <w:szCs w:val="21"/>
              </w:rPr>
              <w:t>深圳开道投资有限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2,860,000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尚须先偿还股改对价，</w:t>
            </w:r>
          </w:p>
          <w:p>
            <w:pPr>
              <w:pStyle w:val="TableParagraph"/>
              <w:spacing w:line="272" w:lineRule="exact" w:before="27"/>
              <w:ind w:left="24" w:right="50"/>
              <w:jc w:val="left"/>
              <w:rPr>
                <w:rFonts w:ascii="宋体" w:hAnsi="宋体" w:cs="宋体" w:eastAsia="宋体" w:hint="default"/>
                <w:sz w:val="21"/>
                <w:szCs w:val="21"/>
              </w:rPr>
            </w:pPr>
            <w:r>
              <w:rPr>
                <w:rFonts w:ascii="宋体" w:hAnsi="宋体" w:cs="宋体" w:eastAsia="宋体" w:hint="default"/>
                <w:sz w:val="21"/>
                <w:szCs w:val="21"/>
              </w:rPr>
              <w:t>报告期内未委托公司办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理解除限售手续</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71" w:type="dxa"/>
            <w:vMerge w:val="restart"/>
            <w:tcBorders>
              <w:top w:val="single" w:sz="4" w:space="0" w:color="000000"/>
              <w:left w:val="single" w:sz="4" w:space="0" w:color="000000"/>
              <w:right w:val="single" w:sz="4" w:space="0" w:color="000000"/>
            </w:tcBorders>
          </w:tcPr>
          <w:p>
            <w:pPr>
              <w:pStyle w:val="TableParagraph"/>
              <w:spacing w:line="230" w:lineRule="auto" w:before="74"/>
              <w:ind w:left="24" w:right="22"/>
              <w:jc w:val="both"/>
              <w:rPr>
                <w:rFonts w:ascii="宋体" w:hAnsi="宋体" w:cs="宋体" w:eastAsia="宋体" w:hint="default"/>
                <w:sz w:val="21"/>
                <w:szCs w:val="21"/>
              </w:rPr>
            </w:pPr>
            <w:r>
              <w:rPr>
                <w:rFonts w:ascii="宋体" w:hAnsi="宋体" w:cs="宋体" w:eastAsia="宋体" w:hint="default"/>
                <w:sz w:val="21"/>
                <w:szCs w:val="21"/>
              </w:rPr>
              <w:t>自改革方案实施日起</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个月内不上市交易或转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w w:val="99"/>
                <w:sz w:val="21"/>
                <w:szCs w:val="21"/>
              </w:rPr>
              <w:t>让；在禁售期满后上市交</w:t>
            </w:r>
            <w:r>
              <w:rPr>
                <w:rFonts w:ascii="宋体" w:hAnsi="宋体" w:cs="宋体" w:eastAsia="宋体" w:hint="default"/>
                <w:spacing w:val="-9"/>
                <w:sz w:val="21"/>
                <w:szCs w:val="21"/>
              </w:rPr>
            </w:r>
          </w:p>
        </w:tc>
      </w:tr>
      <w:tr>
        <w:trPr>
          <w:trHeight w:val="93" w:hRule="exact"/>
        </w:trPr>
        <w:tc>
          <w:tcPr>
            <w:tcW w:w="525"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c>
          <w:tcPr>
            <w:tcW w:w="1444" w:type="dxa"/>
            <w:tcBorders>
              <w:top w:val="single" w:sz="4" w:space="0" w:color="000000"/>
              <w:left w:val="single" w:sz="4" w:space="0" w:color="000000"/>
              <w:bottom w:val="nil" w:sz="6" w:space="0" w:color="auto"/>
              <w:right w:val="single" w:sz="4" w:space="0" w:color="000000"/>
            </w:tcBorders>
          </w:tcPr>
          <w:p>
            <w:pPr/>
          </w:p>
        </w:tc>
        <w:tc>
          <w:tcPr>
            <w:tcW w:w="2192" w:type="dxa"/>
            <w:tcBorders>
              <w:top w:val="single" w:sz="4" w:space="0" w:color="000000"/>
              <w:left w:val="single" w:sz="4" w:space="0" w:color="000000"/>
              <w:bottom w:val="nil" w:sz="6" w:space="0" w:color="auto"/>
              <w:right w:val="single" w:sz="4" w:space="0" w:color="000000"/>
            </w:tcBorders>
          </w:tcPr>
          <w:p>
            <w:pPr/>
          </w:p>
        </w:tc>
        <w:tc>
          <w:tcPr>
            <w:tcW w:w="1408" w:type="dxa"/>
            <w:tcBorders>
              <w:top w:val="single" w:sz="4" w:space="0" w:color="000000"/>
              <w:left w:val="single" w:sz="4" w:space="0" w:color="000000"/>
              <w:bottom w:val="nil" w:sz="6" w:space="0" w:color="auto"/>
              <w:right w:val="single" w:sz="4" w:space="0" w:color="000000"/>
            </w:tcBorders>
          </w:tcPr>
          <w:p>
            <w:pPr/>
          </w:p>
        </w:tc>
        <w:tc>
          <w:tcPr>
            <w:tcW w:w="2271" w:type="dxa"/>
            <w:vMerge/>
            <w:tcBorders>
              <w:left w:val="single" w:sz="4" w:space="0" w:color="000000"/>
              <w:bottom w:val="nil" w:sz="6" w:space="0" w:color="auto"/>
              <w:right w:val="single" w:sz="4" w:space="0" w:color="000000"/>
            </w:tcBorders>
          </w:tcPr>
          <w:p>
            <w:pPr/>
          </w:p>
        </w:tc>
      </w:tr>
      <w:tr>
        <w:trPr>
          <w:trHeight w:val="272" w:hRule="exact"/>
        </w:trPr>
        <w:tc>
          <w:tcPr>
            <w:tcW w:w="525"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144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1408"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易出售原非流通股股份</w:t>
            </w:r>
          </w:p>
        </w:tc>
      </w:tr>
      <w:tr>
        <w:trPr>
          <w:trHeight w:val="272" w:hRule="exact"/>
        </w:trPr>
        <w:tc>
          <w:tcPr>
            <w:tcW w:w="525"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144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1408"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数量占股份总数的比例</w:t>
            </w:r>
          </w:p>
        </w:tc>
      </w:tr>
      <w:tr>
        <w:trPr>
          <w:trHeight w:val="278" w:hRule="exact"/>
        </w:trPr>
        <w:tc>
          <w:tcPr>
            <w:tcW w:w="525"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144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1408"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在</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个月内不超过百分</w:t>
            </w:r>
          </w:p>
        </w:tc>
      </w:tr>
      <w:tr>
        <w:trPr>
          <w:trHeight w:val="814" w:hRule="exact"/>
        </w:trPr>
        <w:tc>
          <w:tcPr>
            <w:tcW w:w="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24" w:right="46"/>
              <w:jc w:val="left"/>
              <w:rPr>
                <w:rFonts w:ascii="宋体" w:hAnsi="宋体" w:cs="宋体" w:eastAsia="宋体" w:hint="default"/>
                <w:sz w:val="21"/>
                <w:szCs w:val="21"/>
              </w:rPr>
            </w:pPr>
            <w:r>
              <w:rPr>
                <w:rFonts w:ascii="宋体" w:hAnsi="宋体" w:cs="宋体" w:eastAsia="宋体" w:hint="default"/>
                <w:sz w:val="21"/>
                <w:szCs w:val="21"/>
              </w:rPr>
              <w:t>深圳机场候机楼有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2,145,000</w:t>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尚须先偿还股改对价，</w:t>
            </w:r>
          </w:p>
          <w:p>
            <w:pPr>
              <w:pStyle w:val="TableParagraph"/>
              <w:spacing w:line="272" w:lineRule="exact" w:before="27"/>
              <w:ind w:left="24" w:right="50"/>
              <w:jc w:val="left"/>
              <w:rPr>
                <w:rFonts w:ascii="宋体" w:hAnsi="宋体" w:cs="宋体" w:eastAsia="宋体" w:hint="default"/>
                <w:sz w:val="21"/>
                <w:szCs w:val="21"/>
              </w:rPr>
            </w:pPr>
            <w:r>
              <w:rPr>
                <w:rFonts w:ascii="宋体" w:hAnsi="宋体" w:cs="宋体" w:eastAsia="宋体" w:hint="default"/>
                <w:sz w:val="21"/>
                <w:szCs w:val="21"/>
              </w:rPr>
              <w:t>报告期内未委托公司办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理解除限售手续</w:t>
            </w:r>
          </w:p>
        </w:tc>
        <w:tc>
          <w:tcPr>
            <w:tcW w:w="1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之</w:t>
            </w:r>
            <w:r>
              <w:rPr>
                <w:rFonts w:ascii="宋体" w:hAnsi="宋体" w:cs="宋体" w:eastAsia="宋体" w:hint="default"/>
                <w:w w:val="99"/>
                <w:sz w:val="21"/>
                <w:szCs w:val="21"/>
              </w:rPr>
              <w:t>五</w:t>
            </w:r>
            <w:r>
              <w:rPr>
                <w:rFonts w:ascii="宋体" w:hAnsi="宋体" w:cs="宋体" w:eastAsia="宋体" w:hint="default"/>
                <w:spacing w:val="-99"/>
                <w:w w:val="99"/>
                <w:sz w:val="21"/>
                <w:szCs w:val="21"/>
              </w:rPr>
              <w:t>、</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spacing w:val="-2"/>
                <w:w w:val="99"/>
                <w:sz w:val="21"/>
                <w:szCs w:val="21"/>
              </w:rPr>
              <w:t>4</w:t>
            </w:r>
            <w:r>
              <w:rPr>
                <w:rFonts w:ascii="宋体" w:hAnsi="宋体" w:cs="宋体" w:eastAsia="宋体" w:hint="default"/>
                <w:spacing w:val="2"/>
                <w:w w:val="99"/>
                <w:sz w:val="21"/>
                <w:szCs w:val="21"/>
              </w:rPr>
              <w:t>个</w:t>
            </w:r>
            <w:r>
              <w:rPr>
                <w:rFonts w:ascii="宋体" w:hAnsi="宋体" w:cs="宋体" w:eastAsia="宋体" w:hint="default"/>
                <w:w w:val="99"/>
                <w:sz w:val="21"/>
                <w:szCs w:val="21"/>
              </w:rPr>
              <w:t>月</w:t>
            </w:r>
            <w:r>
              <w:rPr>
                <w:rFonts w:ascii="宋体" w:hAnsi="宋体" w:cs="宋体" w:eastAsia="宋体" w:hint="default"/>
                <w:spacing w:val="2"/>
                <w:w w:val="99"/>
                <w:sz w:val="21"/>
                <w:szCs w:val="21"/>
              </w:rPr>
              <w:t>内</w:t>
            </w:r>
            <w:r>
              <w:rPr>
                <w:rFonts w:ascii="宋体" w:hAnsi="宋体" w:cs="宋体" w:eastAsia="宋体" w:hint="default"/>
                <w:w w:val="99"/>
                <w:sz w:val="21"/>
                <w:szCs w:val="21"/>
              </w:rPr>
              <w:t>不</w:t>
            </w:r>
            <w:r>
              <w:rPr>
                <w:rFonts w:ascii="宋体" w:hAnsi="宋体" w:cs="宋体" w:eastAsia="宋体" w:hint="default"/>
                <w:spacing w:val="2"/>
                <w:w w:val="99"/>
                <w:sz w:val="21"/>
                <w:szCs w:val="21"/>
              </w:rPr>
              <w:t>超</w:t>
            </w:r>
            <w:r>
              <w:rPr>
                <w:rFonts w:ascii="宋体" w:hAnsi="宋体" w:cs="宋体" w:eastAsia="宋体" w:hint="default"/>
                <w:w w:val="99"/>
                <w:sz w:val="21"/>
                <w:szCs w:val="21"/>
              </w:rPr>
              <w:t>过百</w:t>
            </w:r>
            <w:r>
              <w:rPr>
                <w:rFonts w:ascii="宋体" w:hAnsi="宋体" w:cs="宋体" w:eastAsia="宋体" w:hint="default"/>
                <w:sz w:val="21"/>
                <w:szCs w:val="21"/>
              </w:rPr>
            </w:r>
          </w:p>
          <w:p>
            <w:pPr>
              <w:pStyle w:val="TableParagraph"/>
              <w:spacing w:line="272" w:lineRule="exact" w:before="19"/>
              <w:ind w:left="24" w:right="22"/>
              <w:jc w:val="left"/>
              <w:rPr>
                <w:rFonts w:ascii="宋体" w:hAnsi="宋体" w:cs="宋体" w:eastAsia="宋体" w:hint="default"/>
                <w:sz w:val="21"/>
                <w:szCs w:val="21"/>
              </w:rPr>
            </w:pPr>
            <w:r>
              <w:rPr>
                <w:rFonts w:ascii="宋体" w:hAnsi="宋体" w:cs="宋体" w:eastAsia="宋体" w:hint="default"/>
                <w:spacing w:val="-9"/>
                <w:w w:val="99"/>
                <w:sz w:val="21"/>
                <w:szCs w:val="21"/>
              </w:rPr>
              <w:t>分之十。限售股份在上市</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流通时应首先向代为垫</w:t>
            </w:r>
          </w:p>
        </w:tc>
      </w:tr>
      <w:tr>
        <w:trPr>
          <w:trHeight w:val="270" w:hRule="exact"/>
        </w:trPr>
        <w:tc>
          <w:tcPr>
            <w:tcW w:w="525"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144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1408"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付的深圳市东鸿信投资</w:t>
            </w:r>
          </w:p>
        </w:tc>
      </w:tr>
      <w:tr>
        <w:trPr>
          <w:trHeight w:val="271" w:hRule="exact"/>
        </w:trPr>
        <w:tc>
          <w:tcPr>
            <w:tcW w:w="525"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144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1408"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发展有限公司偿还股改</w:t>
            </w:r>
          </w:p>
        </w:tc>
      </w:tr>
      <w:tr>
        <w:trPr>
          <w:trHeight w:val="379" w:hRule="exact"/>
        </w:trPr>
        <w:tc>
          <w:tcPr>
            <w:tcW w:w="525"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c>
          <w:tcPr>
            <w:tcW w:w="1444" w:type="dxa"/>
            <w:tcBorders>
              <w:top w:val="nil" w:sz="6" w:space="0" w:color="auto"/>
              <w:left w:val="single" w:sz="4" w:space="0" w:color="000000"/>
              <w:bottom w:val="single" w:sz="4" w:space="0" w:color="000000"/>
              <w:right w:val="single" w:sz="4" w:space="0" w:color="000000"/>
            </w:tcBorders>
          </w:tcPr>
          <w:p>
            <w:pPr/>
          </w:p>
        </w:tc>
        <w:tc>
          <w:tcPr>
            <w:tcW w:w="2192" w:type="dxa"/>
            <w:tcBorders>
              <w:top w:val="nil" w:sz="6" w:space="0" w:color="auto"/>
              <w:left w:val="single" w:sz="4" w:space="0" w:color="000000"/>
              <w:bottom w:val="single" w:sz="4" w:space="0" w:color="000000"/>
              <w:right w:val="single" w:sz="4" w:space="0" w:color="000000"/>
            </w:tcBorders>
          </w:tcPr>
          <w:p>
            <w:pPr/>
          </w:p>
        </w:tc>
        <w:tc>
          <w:tcPr>
            <w:tcW w:w="1408" w:type="dxa"/>
            <w:tcBorders>
              <w:top w:val="nil" w:sz="6" w:space="0" w:color="auto"/>
              <w:left w:val="single" w:sz="4" w:space="0" w:color="000000"/>
              <w:bottom w:val="single" w:sz="4" w:space="0" w:color="000000"/>
              <w:right w:val="single" w:sz="4" w:space="0" w:color="000000"/>
            </w:tcBorders>
          </w:tcPr>
          <w:p>
            <w:pPr/>
          </w:p>
        </w:tc>
        <w:tc>
          <w:tcPr>
            <w:tcW w:w="227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对价或取得其同意。</w:t>
            </w:r>
          </w:p>
        </w:tc>
      </w:tr>
      <w:tr>
        <w:trPr>
          <w:trHeight w:val="310" w:hRule="exact"/>
        </w:trPr>
        <w:tc>
          <w:tcPr>
            <w:tcW w:w="52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53" w:lineRule="exact"/>
              <w:ind w:right="43"/>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Times New Roman" w:hAnsi="Times New Roman" w:cs="Times New Roman" w:eastAsia="Times New Roman" w:hint="default"/>
                <w:sz w:val="21"/>
                <w:szCs w:val="21"/>
              </w:rPr>
            </w:pPr>
            <w:r>
              <w:rPr>
                <w:rFonts w:ascii="Times New Roman"/>
                <w:sz w:val="21"/>
              </w:rPr>
              <w:t>5,005,000</w:t>
            </w:r>
          </w:p>
        </w:tc>
        <w:tc>
          <w:tcPr>
            <w:tcW w:w="219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Heading4"/>
        <w:spacing w:line="240" w:lineRule="auto" w:before="26"/>
        <w:ind w:left="475" w:right="480"/>
        <w:jc w:val="left"/>
      </w:pPr>
      <w:r>
        <w:rPr/>
        <w:t>二、股票发行与上市情况</w:t>
      </w:r>
    </w:p>
    <w:p>
      <w:pPr>
        <w:spacing w:line="240" w:lineRule="auto" w:before="13"/>
        <w:rPr>
          <w:rFonts w:ascii="宋体" w:hAnsi="宋体" w:cs="宋体" w:eastAsia="宋体" w:hint="default"/>
          <w:sz w:val="25"/>
          <w:szCs w:val="25"/>
        </w:rPr>
      </w:pPr>
    </w:p>
    <w:p>
      <w:pPr>
        <w:pStyle w:val="BodyText"/>
        <w:spacing w:line="240" w:lineRule="auto"/>
        <w:ind w:left="475" w:right="480"/>
        <w:jc w:val="left"/>
        <w:rPr>
          <w:rFonts w:ascii="宋体" w:hAnsi="宋体" w:cs="宋体" w:eastAsia="宋体" w:hint="default"/>
        </w:rPr>
      </w:pPr>
      <w:r>
        <w:rPr>
          <w:rFonts w:ascii="宋体" w:hAnsi="宋体" w:cs="宋体" w:eastAsia="宋体" w:hint="default"/>
        </w:rPr>
        <w:t>（一）截止报告期末前三年公司未有股票发行。</w:t>
      </w:r>
    </w:p>
    <w:p>
      <w:pPr>
        <w:pStyle w:val="BodyText"/>
        <w:spacing w:line="297" w:lineRule="auto" w:before="85"/>
        <w:ind w:left="475" w:right="480"/>
        <w:jc w:val="left"/>
        <w:rPr>
          <w:rFonts w:ascii="宋体" w:hAnsi="宋体" w:cs="宋体" w:eastAsia="宋体" w:hint="default"/>
        </w:rPr>
      </w:pPr>
      <w:r>
        <w:rPr>
          <w:rFonts w:ascii="宋体" w:hAnsi="宋体" w:cs="宋体" w:eastAsia="宋体" w:hint="default"/>
        </w:rPr>
        <w:t>（二）报告期内因公司第二大股东——深圳市东鸿信投资发展有限公司所持</w:t>
      </w:r>
      <w:r>
        <w:rPr>
          <w:rFonts w:ascii="宋体" w:hAnsi="宋体" w:cs="宋体" w:eastAsia="宋体" w:hint="default"/>
          <w:spacing w:val="-58"/>
        </w:rPr>
        <w:t> </w:t>
      </w:r>
      <w:r>
        <w:rPr>
          <w:rFonts w:ascii="Times New Roman" w:hAnsi="Times New Roman" w:cs="Times New Roman" w:eastAsia="Times New Roman" w:hint="default"/>
        </w:rPr>
        <w:t>28,154,979</w:t>
      </w:r>
      <w:r>
        <w:rPr>
          <w:rFonts w:ascii="Times New Roman" w:hAnsi="Times New Roman" w:cs="Times New Roman" w:eastAsia="Times New Roman" w:hint="default"/>
          <w:spacing w:val="-4"/>
        </w:rPr>
        <w:t> </w:t>
      </w:r>
      <w:r>
        <w:rPr>
          <w:rFonts w:ascii="宋体" w:hAnsi="宋体" w:cs="宋体" w:eastAsia="宋体" w:hint="default"/>
        </w:rPr>
        <w:t>股有限售条件流通</w:t>
      </w:r>
      <w:r>
        <w:rPr>
          <w:rFonts w:ascii="宋体" w:hAnsi="宋体" w:cs="宋体" w:eastAsia="宋体" w:hint="default"/>
          <w:w w:val="99"/>
        </w:rPr>
        <w:t> </w:t>
      </w:r>
      <w:r>
        <w:rPr>
          <w:rFonts w:ascii="宋体" w:hAnsi="宋体" w:cs="宋体" w:eastAsia="宋体" w:hint="default"/>
        </w:rPr>
        <w:t>股解除限售，公司股本结构相应发生变化，具体详见前述一。</w:t>
      </w:r>
    </w:p>
    <w:p>
      <w:pPr>
        <w:pStyle w:val="BodyText"/>
        <w:spacing w:line="240" w:lineRule="auto" w:before="34"/>
        <w:ind w:left="475" w:right="480"/>
        <w:jc w:val="left"/>
        <w:rPr>
          <w:rFonts w:ascii="宋体" w:hAnsi="宋体" w:cs="宋体" w:eastAsia="宋体" w:hint="default"/>
        </w:rPr>
      </w:pPr>
      <w:r>
        <w:rPr>
          <w:rFonts w:ascii="宋体" w:hAnsi="宋体" w:cs="宋体" w:eastAsia="宋体" w:hint="default"/>
        </w:rPr>
        <w:t>（三）公司无内部职工股。</w:t>
      </w:r>
    </w:p>
    <w:p>
      <w:pPr>
        <w:spacing w:line="240" w:lineRule="auto" w:before="11"/>
        <w:rPr>
          <w:rFonts w:ascii="宋体" w:hAnsi="宋体" w:cs="宋体" w:eastAsia="宋体" w:hint="default"/>
          <w:sz w:val="23"/>
          <w:szCs w:val="23"/>
        </w:rPr>
      </w:pPr>
    </w:p>
    <w:p>
      <w:pPr>
        <w:pStyle w:val="Heading4"/>
        <w:spacing w:line="240" w:lineRule="auto"/>
        <w:ind w:left="475" w:right="480"/>
        <w:jc w:val="left"/>
      </w:pPr>
      <w:r>
        <w:rPr/>
        <w:t>三、截止报告期末股东持股情况及控制人情况介绍</w:t>
      </w:r>
    </w:p>
    <w:p>
      <w:pPr>
        <w:spacing w:line="240" w:lineRule="auto" w:before="4"/>
        <w:rPr>
          <w:rFonts w:ascii="宋体" w:hAnsi="宋体" w:cs="宋体" w:eastAsia="宋体" w:hint="default"/>
          <w:sz w:val="17"/>
          <w:szCs w:val="17"/>
        </w:rPr>
      </w:pPr>
    </w:p>
    <w:p>
      <w:pPr>
        <w:pStyle w:val="BodyText"/>
        <w:spacing w:line="274" w:lineRule="exact" w:before="34"/>
        <w:ind w:left="475" w:right="480"/>
        <w:jc w:val="left"/>
        <w:rPr>
          <w:rFonts w:ascii="宋体" w:hAnsi="宋体" w:cs="宋体" w:eastAsia="宋体" w:hint="default"/>
        </w:rPr>
      </w:pPr>
      <w:r>
        <w:rPr>
          <w:rFonts w:ascii="宋体" w:hAnsi="宋体" w:cs="宋体" w:eastAsia="宋体" w:hint="default"/>
        </w:rPr>
        <w:t>（一）前十名股东、前十名无限售条件股东持股情况</w:t>
      </w:r>
    </w:p>
    <w:p>
      <w:pPr>
        <w:pStyle w:val="BodyText"/>
        <w:spacing w:line="274" w:lineRule="exact"/>
        <w:ind w:left="0" w:right="1515"/>
        <w:jc w:val="right"/>
      </w:pPr>
      <w:r>
        <w:rPr/>
        <w:t>单位：股</w:t>
      </w:r>
    </w:p>
    <w:p>
      <w:pPr>
        <w:spacing w:line="240" w:lineRule="auto" w:before="4"/>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2870"/>
        <w:gridCol w:w="142"/>
        <w:gridCol w:w="1617"/>
        <w:gridCol w:w="905"/>
        <w:gridCol w:w="1229"/>
        <w:gridCol w:w="1723"/>
        <w:gridCol w:w="1706"/>
      </w:tblGrid>
      <w:tr>
        <w:trPr>
          <w:trHeight w:val="398" w:hRule="exact"/>
        </w:trPr>
        <w:tc>
          <w:tcPr>
            <w:tcW w:w="28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股东总数</w:t>
            </w:r>
            <w:r>
              <w:rPr>
                <w:rFonts w:ascii="Microsoft JhengHei" w:hAnsi="Microsoft JhengHei" w:cs="Microsoft JhengHei" w:eastAsia="Microsoft JhengHei" w:hint="default"/>
                <w:sz w:val="21"/>
                <w:szCs w:val="21"/>
              </w:rPr>
            </w:r>
          </w:p>
        </w:tc>
        <w:tc>
          <w:tcPr>
            <w:tcW w:w="73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71983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户</w:t>
            </w:r>
          </w:p>
        </w:tc>
      </w:tr>
      <w:tr>
        <w:trPr>
          <w:trHeight w:val="415" w:hRule="exact"/>
        </w:trPr>
        <w:tc>
          <w:tcPr>
            <w:tcW w:w="10192"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3"/>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名股东持股情况</w:t>
            </w:r>
            <w:r>
              <w:rPr>
                <w:rFonts w:ascii="Microsoft JhengHei" w:hAnsi="Microsoft JhengHei" w:cs="Microsoft JhengHei" w:eastAsia="Microsoft JhengHei" w:hint="default"/>
                <w:sz w:val="21"/>
                <w:szCs w:val="21"/>
              </w:rPr>
            </w:r>
          </w:p>
        </w:tc>
      </w:tr>
      <w:tr>
        <w:trPr>
          <w:trHeight w:val="804" w:hRule="exact"/>
        </w:trPr>
        <w:tc>
          <w:tcPr>
            <w:tcW w:w="301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6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股东性质</w:t>
            </w:r>
            <w:r>
              <w:rPr>
                <w:rFonts w:ascii="Microsoft JhengHei" w:hAnsi="Microsoft JhengHei" w:cs="Microsoft JhengHei" w:eastAsia="Microsoft JhengHei" w:hint="default"/>
                <w:sz w:val="21"/>
                <w:szCs w:val="21"/>
              </w:rPr>
            </w:r>
          </w:p>
        </w:tc>
        <w:tc>
          <w:tcPr>
            <w:tcW w:w="9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77" w:lineRule="auto" w:before="105"/>
              <w:ind w:left="238" w:right="23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持股总数</w:t>
            </w:r>
            <w:r>
              <w:rPr>
                <w:rFonts w:ascii="Microsoft JhengHei" w:hAnsi="Microsoft JhengHei" w:cs="Microsoft JhengHei" w:eastAsia="Microsoft JhengHei" w:hint="default"/>
                <w:sz w:val="21"/>
                <w:szCs w:val="21"/>
              </w:rPr>
            </w:r>
          </w:p>
        </w:tc>
        <w:tc>
          <w:tcPr>
            <w:tcW w:w="17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77" w:lineRule="auto" w:before="105"/>
              <w:ind w:left="435" w:right="118" w:hanging="31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持有有限售条件</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股份数量</w:t>
            </w:r>
            <w:r>
              <w:rPr>
                <w:rFonts w:ascii="Microsoft JhengHei" w:hAnsi="Microsoft JhengHei" w:cs="Microsoft JhengHei" w:eastAsia="Microsoft JhengHei" w:hint="default"/>
                <w:sz w:val="21"/>
                <w:szCs w:val="21"/>
              </w:rPr>
            </w:r>
          </w:p>
        </w:tc>
        <w:tc>
          <w:tcPr>
            <w:tcW w:w="17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77" w:lineRule="auto" w:before="105"/>
              <w:ind w:left="428" w:right="21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质押或冻结的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股份数量</w:t>
            </w:r>
            <w:r>
              <w:rPr>
                <w:rFonts w:ascii="Microsoft JhengHei" w:hAnsi="Microsoft JhengHei" w:cs="Microsoft JhengHei" w:eastAsia="Microsoft JhengHei" w:hint="default"/>
                <w:sz w:val="21"/>
                <w:szCs w:val="21"/>
              </w:rPr>
            </w:r>
          </w:p>
        </w:tc>
      </w:tr>
      <w:tr>
        <w:trPr>
          <w:trHeight w:val="398"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境内一般法人</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19.80%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92,962,319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100"/>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07" w:top="1420" w:bottom="1200" w:left="660" w:right="620"/>
        </w:sectPr>
      </w:pP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870"/>
        <w:gridCol w:w="142"/>
        <w:gridCol w:w="1617"/>
        <w:gridCol w:w="123"/>
        <w:gridCol w:w="782"/>
        <w:gridCol w:w="1229"/>
        <w:gridCol w:w="493"/>
        <w:gridCol w:w="1229"/>
        <w:gridCol w:w="1706"/>
      </w:tblGrid>
      <w:tr>
        <w:trPr>
          <w:trHeight w:val="473"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境内一般法人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0" w:right="0"/>
              <w:jc w:val="left"/>
              <w:rPr>
                <w:rFonts w:ascii="Times New Roman" w:hAnsi="Times New Roman" w:cs="Times New Roman" w:eastAsia="Times New Roman" w:hint="default"/>
                <w:sz w:val="18"/>
                <w:szCs w:val="18"/>
              </w:rPr>
            </w:pPr>
            <w:r>
              <w:rPr>
                <w:rFonts w:ascii="Times New Roman"/>
                <w:sz w:val="18"/>
              </w:rPr>
              <w:t>14.89%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69,909,613</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398"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深圳开道投资有限公司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境内一般法人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0.61%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2,860,000</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2,860,000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2,860,000</w:t>
            </w:r>
          </w:p>
        </w:tc>
      </w:tr>
      <w:tr>
        <w:trPr>
          <w:trHeight w:val="398"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深圳市东发投资发展有限公司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境内一般法人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6" w:right="0"/>
              <w:jc w:val="left"/>
              <w:rPr>
                <w:rFonts w:ascii="Times New Roman" w:hAnsi="Times New Roman" w:cs="Times New Roman" w:eastAsia="Times New Roman" w:hint="default"/>
                <w:sz w:val="18"/>
                <w:szCs w:val="18"/>
              </w:rPr>
            </w:pPr>
            <w:r>
              <w:rPr>
                <w:rFonts w:ascii="Times New Roman"/>
                <w:sz w:val="18"/>
              </w:rPr>
              <w:t>0.54%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2,539,800</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475"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中信建投证券有限责任公司</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境内一般法人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6" w:right="0"/>
              <w:jc w:val="left"/>
              <w:rPr>
                <w:rFonts w:ascii="Times New Roman" w:hAnsi="Times New Roman" w:cs="Times New Roman" w:eastAsia="Times New Roman" w:hint="default"/>
                <w:sz w:val="18"/>
                <w:szCs w:val="18"/>
              </w:rPr>
            </w:pPr>
            <w:r>
              <w:rPr>
                <w:rFonts w:ascii="Times New Roman"/>
                <w:sz w:val="18"/>
              </w:rPr>
              <w:t>0.49%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2,299,695</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398"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深圳机场侯机楼有限公司</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0.46%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2,145,000</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2,145,000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398"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6" w:right="0"/>
              <w:jc w:val="left"/>
              <w:rPr>
                <w:rFonts w:ascii="Times New Roman" w:hAnsi="Times New Roman" w:cs="Times New Roman" w:eastAsia="Times New Roman" w:hint="default"/>
                <w:sz w:val="18"/>
                <w:szCs w:val="18"/>
              </w:rPr>
            </w:pPr>
            <w:r>
              <w:rPr>
                <w:rFonts w:ascii="Times New Roman"/>
                <w:sz w:val="18"/>
              </w:rPr>
              <w:t>0.34%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1,600,000</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415"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葛映卿</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6" w:right="0"/>
              <w:jc w:val="left"/>
              <w:rPr>
                <w:rFonts w:ascii="Times New Roman" w:hAnsi="Times New Roman" w:cs="Times New Roman" w:eastAsia="Times New Roman" w:hint="default"/>
                <w:sz w:val="18"/>
                <w:szCs w:val="18"/>
              </w:rPr>
            </w:pPr>
            <w:r>
              <w:rPr>
                <w:rFonts w:ascii="Times New Roman"/>
                <w:sz w:val="18"/>
              </w:rPr>
              <w:t>0.30%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1,428,508</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391"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黄泽鹏</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0"/>
              <w:jc w:val="left"/>
              <w:rPr>
                <w:rFonts w:ascii="Times New Roman" w:hAnsi="Times New Roman" w:cs="Times New Roman" w:eastAsia="Times New Roman" w:hint="default"/>
                <w:sz w:val="18"/>
                <w:szCs w:val="18"/>
              </w:rPr>
            </w:pPr>
            <w:r>
              <w:rPr>
                <w:rFonts w:ascii="Times New Roman"/>
                <w:sz w:val="18"/>
              </w:rPr>
              <w:t>0.30%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1,415,872</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391" w:hRule="exact"/>
        </w:trPr>
        <w:tc>
          <w:tcPr>
            <w:tcW w:w="3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易庆庐</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0"/>
              <w:jc w:val="left"/>
              <w:rPr>
                <w:rFonts w:ascii="Times New Roman" w:hAnsi="Times New Roman" w:cs="Times New Roman" w:eastAsia="Times New Roman" w:hint="default"/>
                <w:sz w:val="18"/>
                <w:szCs w:val="18"/>
              </w:rPr>
            </w:pPr>
            <w:r>
              <w:rPr>
                <w:rFonts w:ascii="Times New Roman"/>
                <w:sz w:val="18"/>
              </w:rPr>
              <w:t>0.26%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1,225,981</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w w:val="100"/>
                <w:sz w:val="18"/>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w w:val="100"/>
                <w:sz w:val="18"/>
              </w:rPr>
              <w:t>0</w:t>
            </w:r>
          </w:p>
        </w:tc>
      </w:tr>
      <w:tr>
        <w:trPr>
          <w:trHeight w:val="415" w:hRule="exact"/>
        </w:trPr>
        <w:tc>
          <w:tcPr>
            <w:tcW w:w="10192"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1"/>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名无限售条件股东持股情况</w:t>
            </w:r>
            <w:r>
              <w:rPr>
                <w:rFonts w:ascii="Microsoft JhengHei" w:hAnsi="Microsoft JhengHei" w:cs="Microsoft JhengHei" w:eastAsia="Microsoft JhengHei" w:hint="default"/>
                <w:sz w:val="21"/>
                <w:szCs w:val="21"/>
              </w:rPr>
            </w:r>
          </w:p>
        </w:tc>
      </w:tr>
      <w:tr>
        <w:trPr>
          <w:trHeight w:val="398" w:hRule="exact"/>
        </w:trPr>
        <w:tc>
          <w:tcPr>
            <w:tcW w:w="4752"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250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left="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持有无限售条件股份数量</w:t>
            </w:r>
            <w:r>
              <w:rPr>
                <w:rFonts w:ascii="Microsoft JhengHei" w:hAnsi="Microsoft JhengHei" w:cs="Microsoft JhengHei" w:eastAsia="Microsoft JhengHei" w:hint="default"/>
                <w:sz w:val="21"/>
                <w:szCs w:val="21"/>
              </w:rPr>
            </w:r>
          </w:p>
        </w:tc>
        <w:tc>
          <w:tcPr>
            <w:tcW w:w="2935"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股份种类</w:t>
            </w:r>
            <w:r>
              <w:rPr>
                <w:rFonts w:ascii="Microsoft JhengHei" w:hAnsi="Microsoft JhengHei" w:cs="Microsoft JhengHei" w:eastAsia="Microsoft JhengHei" w:hint="default"/>
                <w:sz w:val="21"/>
                <w:szCs w:val="21"/>
              </w:rPr>
            </w:r>
          </w:p>
        </w:tc>
      </w:tr>
      <w:tr>
        <w:trPr>
          <w:trHeight w:val="415"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92,962,319</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69,909,605</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深圳市东发投资发展有限公司</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2,539,800</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5"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中信建投证券有限责任公司</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2,299,695</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1,600,000</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葛映卿</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1,428,508</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黄泽鹏</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1,415,872</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易庆庐</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1,225,981</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5"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1,110,300</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姚进隆</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1,034,500</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95" w:hRule="exact"/>
        </w:trPr>
        <w:tc>
          <w:tcPr>
            <w:tcW w:w="28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77" w:lineRule="auto" w:before="150"/>
              <w:ind w:left="24" w:right="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上述股东关联关系或一致行动</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的说明</w:t>
            </w:r>
            <w:r>
              <w:rPr>
                <w:rFonts w:ascii="Microsoft JhengHei" w:hAnsi="Microsoft JhengHei" w:cs="Microsoft JhengHei" w:eastAsia="Microsoft JhengHei" w:hint="default"/>
                <w:sz w:val="21"/>
                <w:szCs w:val="21"/>
              </w:rPr>
            </w:r>
          </w:p>
        </w:tc>
        <w:tc>
          <w:tcPr>
            <w:tcW w:w="73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before="63"/>
              <w:ind w:left="24" w:right="0"/>
              <w:jc w:val="left"/>
              <w:rPr>
                <w:rFonts w:ascii="宋体" w:hAnsi="宋体" w:cs="宋体" w:eastAsia="宋体" w:hint="default"/>
                <w:sz w:val="18"/>
                <w:szCs w:val="18"/>
              </w:rPr>
            </w:pPr>
            <w:r>
              <w:rPr>
                <w:rFonts w:ascii="宋体" w:hAnsi="宋体" w:cs="宋体" w:eastAsia="宋体" w:hint="default"/>
                <w:sz w:val="18"/>
                <w:szCs w:val="18"/>
              </w:rPr>
              <w:t>截止报告期末，尚未获悉前十名股东之间、前十名无限售条件流通股股东之间，以及前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w:t>
            </w:r>
          </w:p>
          <w:p>
            <w:pPr>
              <w:pStyle w:val="TableParagraph"/>
              <w:spacing w:line="232" w:lineRule="exact" w:before="16"/>
              <w:ind w:left="24" w:right="19"/>
              <w:jc w:val="left"/>
              <w:rPr>
                <w:rFonts w:ascii="宋体" w:hAnsi="宋体" w:cs="宋体" w:eastAsia="宋体" w:hint="default"/>
                <w:sz w:val="18"/>
                <w:szCs w:val="18"/>
              </w:rPr>
            </w:pPr>
            <w:r>
              <w:rPr>
                <w:rFonts w:ascii="宋体" w:hAnsi="宋体" w:cs="宋体" w:eastAsia="宋体" w:hint="default"/>
                <w:sz w:val="18"/>
                <w:szCs w:val="18"/>
              </w:rPr>
              <w:t>无限售条件流通股股东和前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名股东之间是否存在关联关系，亦尚未获悉是否属于《上市公</w:t>
            </w:r>
            <w:r>
              <w:rPr>
                <w:rFonts w:ascii="宋体" w:hAnsi="宋体" w:cs="宋体" w:eastAsia="宋体" w:hint="default"/>
                <w:w w:val="100"/>
                <w:sz w:val="18"/>
                <w:szCs w:val="18"/>
              </w:rPr>
              <w:t> </w:t>
            </w:r>
            <w:r>
              <w:rPr>
                <w:rFonts w:ascii="宋体" w:hAnsi="宋体" w:cs="宋体" w:eastAsia="宋体" w:hint="default"/>
                <w:sz w:val="18"/>
                <w:szCs w:val="18"/>
              </w:rPr>
              <w:t>司收购管理办法》规定的一致行动人。</w:t>
            </w:r>
          </w:p>
        </w:tc>
      </w:tr>
    </w:tbl>
    <w:p>
      <w:pPr>
        <w:spacing w:line="240" w:lineRule="auto" w:before="4"/>
        <w:rPr>
          <w:rFonts w:ascii="宋体" w:hAnsi="宋体" w:cs="宋体" w:eastAsia="宋体" w:hint="default"/>
          <w:sz w:val="13"/>
          <w:szCs w:val="13"/>
        </w:rPr>
      </w:pPr>
    </w:p>
    <w:p>
      <w:pPr>
        <w:pStyle w:val="BodyText"/>
        <w:spacing w:line="240" w:lineRule="auto" w:before="34"/>
        <w:ind w:left="375" w:right="3261"/>
        <w:jc w:val="left"/>
        <w:rPr>
          <w:rFonts w:ascii="宋体" w:hAnsi="宋体" w:cs="宋体" w:eastAsia="宋体" w:hint="default"/>
        </w:rPr>
      </w:pPr>
      <w:r>
        <w:rPr>
          <w:rFonts w:ascii="宋体" w:hAnsi="宋体" w:cs="宋体" w:eastAsia="宋体" w:hint="default"/>
        </w:rPr>
        <w:t>（二）本公司控股股东及实际控制人情况介绍</w:t>
      </w:r>
    </w:p>
    <w:p>
      <w:pPr>
        <w:pStyle w:val="BodyText"/>
        <w:spacing w:line="240" w:lineRule="auto" w:before="106"/>
        <w:ind w:left="784" w:right="6241"/>
        <w:jc w:val="center"/>
      </w:pPr>
      <w:r>
        <w:rPr/>
        <w:t>公司不存在控股股东及实际控制人。</w:t>
      </w:r>
    </w:p>
    <w:p>
      <w:pPr>
        <w:spacing w:line="240" w:lineRule="auto" w:before="0"/>
        <w:rPr>
          <w:rFonts w:ascii="宋体" w:hAnsi="宋体" w:cs="宋体" w:eastAsia="宋体" w:hint="default"/>
          <w:sz w:val="20"/>
          <w:szCs w:val="20"/>
        </w:rPr>
      </w:pPr>
    </w:p>
    <w:p>
      <w:pPr>
        <w:pStyle w:val="BodyText"/>
        <w:spacing w:line="240" w:lineRule="auto" w:before="154"/>
        <w:ind w:left="375" w:right="3261"/>
        <w:jc w:val="left"/>
        <w:rPr>
          <w:rFonts w:ascii="宋体" w:hAnsi="宋体" w:cs="宋体" w:eastAsia="宋体" w:hint="default"/>
        </w:rPr>
      </w:pPr>
      <w:r>
        <w:rPr>
          <w:rFonts w:ascii="宋体" w:hAnsi="宋体" w:cs="宋体" w:eastAsia="宋体" w:hint="default"/>
        </w:rPr>
        <w:t>（三）报告期内，公司第一大股东情况介绍</w:t>
      </w:r>
    </w:p>
    <w:p>
      <w:pPr>
        <w:pStyle w:val="BodyText"/>
        <w:spacing w:line="240" w:lineRule="auto" w:before="104"/>
        <w:ind w:left="902" w:right="3261"/>
        <w:jc w:val="left"/>
      </w:pPr>
      <w:r>
        <w:rPr/>
        <w:t>中国宝安集团控股有限公司</w:t>
      </w:r>
    </w:p>
    <w:p>
      <w:pPr>
        <w:pStyle w:val="BodyText"/>
        <w:spacing w:line="331" w:lineRule="auto" w:before="126"/>
        <w:ind w:left="902" w:right="3261"/>
        <w:jc w:val="left"/>
      </w:pPr>
      <w:r>
        <w:rPr/>
        <w:t>注册地：深圳市罗湖区笋岗东路</w:t>
      </w:r>
      <w:r>
        <w:rPr>
          <w:spacing w:val="-53"/>
        </w:rPr>
        <w:t> </w:t>
      </w:r>
      <w:r>
        <w:rPr>
          <w:rFonts w:ascii="Times New Roman" w:hAnsi="Times New Roman" w:cs="Times New Roman" w:eastAsia="Times New Roman" w:hint="default"/>
        </w:rPr>
        <w:t>1002</w:t>
      </w:r>
      <w:r>
        <w:rPr>
          <w:rFonts w:ascii="Times New Roman" w:hAnsi="Times New Roman" w:cs="Times New Roman" w:eastAsia="Times New Roman" w:hint="default"/>
          <w:spacing w:val="-1"/>
        </w:rPr>
        <w:t> </w:t>
      </w:r>
      <w:r>
        <w:rPr/>
        <w:t>号宝安广场</w:t>
      </w:r>
      <w:r>
        <w:rPr>
          <w:spacing w:val="-53"/>
        </w:rPr>
        <w:t> </w:t>
      </w:r>
      <w:r>
        <w:rPr>
          <w:rFonts w:ascii="Times New Roman" w:hAnsi="Times New Roman" w:cs="Times New Roman" w:eastAsia="Times New Roman" w:hint="default"/>
        </w:rPr>
        <w:t>A </w:t>
      </w:r>
      <w:r>
        <w:rPr/>
        <w:t>座</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层</w:t>
      </w:r>
      <w:r>
        <w:rPr>
          <w:spacing w:val="-50"/>
        </w:rPr>
        <w:t> </w:t>
      </w:r>
      <w:r>
        <w:rPr>
          <w:rFonts w:ascii="Times New Roman" w:hAnsi="Times New Roman" w:cs="Times New Roman" w:eastAsia="Times New Roman" w:hint="default"/>
        </w:rPr>
        <w:t>2803</w:t>
      </w:r>
      <w:r>
        <w:rPr>
          <w:rFonts w:ascii="Times New Roman" w:hAnsi="Times New Roman" w:cs="Times New Roman" w:eastAsia="Times New Roman" w:hint="default"/>
          <w:spacing w:val="-1"/>
        </w:rPr>
        <w:t> </w:t>
      </w:r>
      <w:r>
        <w:rPr/>
        <w:t>房</w:t>
      </w:r>
      <w:r>
        <w:rPr>
          <w:w w:val="99"/>
        </w:rPr>
        <w:t> </w:t>
      </w:r>
      <w:r>
        <w:rPr/>
        <w:t>法定代表人：钟征宇</w:t>
      </w:r>
    </w:p>
    <w:p>
      <w:pPr>
        <w:pStyle w:val="BodyText"/>
        <w:spacing w:line="331" w:lineRule="auto" w:before="43"/>
        <w:ind w:left="902" w:right="5409"/>
        <w:jc w:val="left"/>
        <w:rPr>
          <w:rFonts w:ascii="Times New Roman" w:hAnsi="Times New Roman" w:cs="Times New Roman" w:eastAsia="Times New Roman" w:hint="default"/>
        </w:rPr>
      </w:pPr>
      <w:r>
        <w:rPr/>
        <w:t>注册资本：</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r>
        <w:rPr>
          <w:w w:val="99"/>
        </w:rPr>
        <w:t> </w:t>
      </w:r>
      <w:r>
        <w:rPr/>
        <w:t>企业法人营业执照注册号：</w:t>
      </w:r>
      <w:r>
        <w:rPr>
          <w:rFonts w:ascii="Times New Roman" w:hAnsi="Times New Roman" w:cs="Times New Roman" w:eastAsia="Times New Roman" w:hint="default"/>
        </w:rPr>
        <w:t>440301102744255</w:t>
      </w:r>
    </w:p>
    <w:p>
      <w:pPr>
        <w:spacing w:after="0" w:line="331" w:lineRule="auto"/>
        <w:jc w:val="left"/>
        <w:rPr>
          <w:rFonts w:ascii="Times New Roman" w:hAnsi="Times New Roman" w:cs="Times New Roman" w:eastAsia="Times New Roman" w:hint="default"/>
        </w:rPr>
        <w:sectPr>
          <w:pgSz w:w="11910" w:h="16840"/>
          <w:pgMar w:header="0" w:footer="1007" w:top="1320" w:bottom="1200" w:left="760" w:right="720"/>
        </w:sectPr>
      </w:pPr>
    </w:p>
    <w:p>
      <w:pPr>
        <w:pStyle w:val="BodyText"/>
        <w:spacing w:line="348" w:lineRule="auto" w:before="14"/>
        <w:ind w:left="642" w:right="88"/>
        <w:jc w:val="left"/>
      </w:pPr>
      <w:r>
        <w:rPr/>
        <w:t>企业类型：有限责任公司</w:t>
      </w:r>
      <w:r>
        <w:rPr>
          <w:spacing w:val="-103"/>
        </w:rPr>
        <w:t> </w:t>
      </w:r>
      <w:r>
        <w:rPr>
          <w:spacing w:val="-103"/>
        </w:rPr>
      </w:r>
      <w:r>
        <w:rPr/>
        <w:t>主要经营范围：科技项目投资及开发；金属材料，建筑材料，五金矿产品，机电产品，土特产品的</w:t>
      </w:r>
    </w:p>
    <w:p>
      <w:pPr>
        <w:pStyle w:val="BodyText"/>
        <w:spacing w:line="240" w:lineRule="auto" w:before="31"/>
        <w:ind w:right="88"/>
        <w:jc w:val="left"/>
      </w:pPr>
      <w:r>
        <w:rPr/>
        <w:t>购销（不含专营、专卖、专控商品）</w:t>
      </w:r>
    </w:p>
    <w:p>
      <w:pPr>
        <w:pStyle w:val="BodyText"/>
        <w:spacing w:line="328" w:lineRule="auto" w:before="126"/>
        <w:ind w:left="642" w:right="88"/>
        <w:jc w:val="left"/>
      </w:pPr>
      <w:r>
        <w:rPr/>
        <w:t>经营期限：</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2047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w w:val="99"/>
        </w:rPr>
        <w:t> </w:t>
      </w:r>
      <w:r>
        <w:rPr>
          <w:spacing w:val="-2"/>
          <w:w w:val="99"/>
        </w:rPr>
        <w:t>主要股东名称：中国宝安集团股份有限公司（</w:t>
      </w:r>
      <w:r>
        <w:rPr>
          <w:rFonts w:ascii="Times New Roman" w:hAnsi="Times New Roman" w:cs="Times New Roman" w:eastAsia="Times New Roman" w:hint="default"/>
          <w:spacing w:val="-2"/>
          <w:w w:val="99"/>
        </w:rPr>
        <w:t>80</w:t>
      </w:r>
      <w:r>
        <w:rPr>
          <w:spacing w:val="-2"/>
          <w:w w:val="99"/>
        </w:rPr>
        <w:t>％）、深圳恒安房地产开发有限公司（</w:t>
      </w:r>
      <w:r>
        <w:rPr>
          <w:rFonts w:ascii="Times New Roman" w:hAnsi="Times New Roman" w:cs="Times New Roman" w:eastAsia="Times New Roman" w:hint="default"/>
          <w:spacing w:val="-2"/>
          <w:w w:val="99"/>
        </w:rPr>
        <w:t>20</w:t>
      </w:r>
      <w:r>
        <w:rPr>
          <w:spacing w:val="-2"/>
          <w:w w:val="99"/>
        </w:rPr>
        <w:t>％）</w:t>
      </w:r>
      <w:r>
        <w:rPr>
          <w:spacing w:val="-83"/>
          <w:w w:val="99"/>
        </w:rPr>
        <w:t> </w:t>
      </w:r>
      <w:r>
        <w:rPr>
          <w:spacing w:val="-83"/>
          <w:w w:val="99"/>
        </w:rPr>
      </w:r>
      <w:r>
        <w:rPr/>
        <w:t>通讯方式：深圳市罗湖区笋岗东路</w:t>
      </w:r>
      <w:r>
        <w:rPr>
          <w:rFonts w:ascii="Times New Roman" w:hAnsi="Times New Roman" w:cs="Times New Roman" w:eastAsia="Times New Roman" w:hint="default"/>
        </w:rPr>
        <w:t>1002</w:t>
      </w:r>
      <w:r>
        <w:rPr/>
        <w:t>号宝安广场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w:t>
      </w:r>
      <w:r>
        <w:rPr/>
        <w:t>层</w:t>
      </w:r>
      <w:r>
        <w:rPr>
          <w:rFonts w:ascii="Times New Roman" w:hAnsi="Times New Roman" w:cs="Times New Roman" w:eastAsia="Times New Roman" w:hint="default"/>
        </w:rPr>
        <w:t>2803</w:t>
      </w:r>
      <w:r>
        <w:rPr/>
        <w:t>房</w:t>
      </w:r>
    </w:p>
    <w:p>
      <w:pPr>
        <w:spacing w:line="240" w:lineRule="auto" w:before="4"/>
        <w:rPr>
          <w:rFonts w:ascii="宋体" w:hAnsi="宋体" w:cs="宋体" w:eastAsia="宋体" w:hint="default"/>
          <w:sz w:val="32"/>
          <w:szCs w:val="32"/>
        </w:rPr>
      </w:pPr>
    </w:p>
    <w:p>
      <w:pPr>
        <w:pStyle w:val="BodyText"/>
        <w:spacing w:line="340" w:lineRule="auto"/>
        <w:ind w:left="539" w:right="5757" w:hanging="424"/>
        <w:jc w:val="left"/>
      </w:pPr>
      <w:r>
        <w:rPr>
          <w:rFonts w:ascii="宋体" w:hAnsi="宋体" w:cs="宋体" w:eastAsia="宋体" w:hint="default"/>
        </w:rPr>
        <w:t>（四）公司其他持股</w:t>
      </w:r>
      <w:r>
        <w:rPr>
          <w:rFonts w:ascii="宋体" w:hAnsi="宋体" w:cs="宋体" w:eastAsia="宋体" w:hint="default"/>
          <w:spacing w:val="-50"/>
        </w:rPr>
        <w:t> </w:t>
      </w:r>
      <w:r>
        <w:rPr>
          <w:rFonts w:ascii="Times New Roman" w:hAnsi="Times New Roman" w:cs="Times New Roman" w:eastAsia="Times New Roman" w:hint="default"/>
        </w:rPr>
        <w:t>10%</w:t>
      </w:r>
      <w:r>
        <w:rPr>
          <w:rFonts w:ascii="宋体" w:hAnsi="宋体" w:cs="宋体" w:eastAsia="宋体" w:hint="default"/>
        </w:rPr>
        <w:t>以上的法人股东</w:t>
      </w:r>
      <w:r>
        <w:rPr>
          <w:rFonts w:ascii="宋体" w:hAnsi="宋体" w:cs="宋体" w:eastAsia="宋体" w:hint="default"/>
          <w:w w:val="99"/>
        </w:rPr>
        <w:t> </w:t>
      </w:r>
      <w:r>
        <w:rPr/>
        <w:t>名称：深圳市东鸿信投资发展有限公司</w:t>
      </w:r>
      <w:r>
        <w:rPr>
          <w:w w:val="99"/>
        </w:rPr>
        <w:t> </w:t>
      </w:r>
      <w:r>
        <w:rPr/>
        <w:t>成立日期：</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331" w:lineRule="auto" w:before="10"/>
        <w:ind w:left="539" w:right="4810"/>
        <w:jc w:val="left"/>
      </w:pPr>
      <w:r>
        <w:rPr/>
        <w:t>注册地：深圳市罗湖区晒布路</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号深运大厦</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楼</w:t>
      </w:r>
      <w:r>
        <w:rPr>
          <w:w w:val="99"/>
        </w:rPr>
        <w:t> </w:t>
      </w:r>
      <w:r>
        <w:rPr/>
        <w:t>法定代表人：颜金辉</w:t>
      </w:r>
    </w:p>
    <w:p>
      <w:pPr>
        <w:pStyle w:val="BodyText"/>
        <w:spacing w:line="328" w:lineRule="auto" w:before="46"/>
        <w:ind w:left="539" w:right="5232"/>
        <w:jc w:val="left"/>
      </w:pPr>
      <w:r>
        <w:rPr/>
        <w:t>注册资本：人民币</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r>
        <w:rPr>
          <w:spacing w:val="-101"/>
        </w:rPr>
        <w:t> </w:t>
      </w:r>
      <w:r>
        <w:rPr>
          <w:spacing w:val="-101"/>
        </w:rPr>
      </w:r>
      <w:r>
        <w:rPr/>
        <w:t>企业法人营业执照注册号：</w:t>
      </w:r>
      <w:r>
        <w:rPr>
          <w:rFonts w:ascii="Times New Roman" w:hAnsi="Times New Roman" w:cs="Times New Roman" w:eastAsia="Times New Roman" w:hint="default"/>
        </w:rPr>
        <w:t>440301103425527</w:t>
      </w:r>
      <w:r>
        <w:rPr>
          <w:rFonts w:ascii="Times New Roman" w:hAnsi="Times New Roman" w:cs="Times New Roman" w:eastAsia="Times New Roman" w:hint="default"/>
          <w:w w:val="99"/>
        </w:rPr>
        <w:t> </w:t>
      </w:r>
      <w:r>
        <w:rPr/>
        <w:t>企业类型：有限责任公司</w:t>
      </w:r>
    </w:p>
    <w:p>
      <w:pPr>
        <w:pStyle w:val="BodyText"/>
        <w:spacing w:line="348" w:lineRule="auto" w:before="48"/>
        <w:ind w:right="88" w:firstLine="423"/>
        <w:jc w:val="left"/>
      </w:pPr>
      <w:r>
        <w:rPr/>
        <w:t>主要经营范围：投资兴办实业（具体项目另行申报）；国内商业、物资供销业（不含专营、专控、专</w:t>
      </w:r>
      <w:r>
        <w:rPr>
          <w:w w:val="99"/>
        </w:rPr>
        <w:t> </w:t>
      </w:r>
      <w:r>
        <w:rPr/>
        <w:t>卖商品）；电脑及外部设备、通讯设备、生物工程的技术开发（不含医药及限制项目）</w:t>
      </w:r>
    </w:p>
    <w:p>
      <w:pPr>
        <w:pStyle w:val="BodyText"/>
        <w:spacing w:line="328" w:lineRule="auto" w:before="31"/>
        <w:ind w:left="539" w:right="4436"/>
        <w:jc w:val="both"/>
      </w:pPr>
      <w:r>
        <w:rPr/>
        <w:t>经营期限：</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日起至</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w w:val="99"/>
        </w:rPr>
        <w:t> </w:t>
      </w:r>
      <w:r>
        <w:rPr/>
        <w:t>主要股东：深圳市新鸿泰投资发展有限公司（</w:t>
      </w:r>
      <w:r>
        <w:rPr>
          <w:rFonts w:ascii="Times New Roman" w:hAnsi="Times New Roman" w:cs="Times New Roman" w:eastAsia="Times New Roman" w:hint="default"/>
        </w:rPr>
        <w:t>100%</w:t>
      </w:r>
      <w:r>
        <w:rPr/>
        <w:t>）</w:t>
      </w:r>
      <w:r>
        <w:rPr>
          <w:spacing w:val="-103"/>
        </w:rPr>
        <w:t> </w:t>
      </w:r>
      <w:r>
        <w:rPr/>
        <w:t>通讯地址：深圳市罗湖区晒布路</w:t>
      </w:r>
      <w:r>
        <w:rPr>
          <w:spacing w:val="-54"/>
        </w:rPr>
        <w:t> </w:t>
      </w:r>
      <w:r>
        <w:rPr/>
        <w:t>26</w:t>
      </w:r>
      <w:r>
        <w:rPr>
          <w:spacing w:val="-50"/>
        </w:rPr>
        <w:t> </w:t>
      </w:r>
      <w:r>
        <w:rPr/>
        <w:t>号深运大厦</w:t>
      </w:r>
      <w:r>
        <w:rPr>
          <w:spacing w:val="-52"/>
        </w:rPr>
        <w:t> </w:t>
      </w:r>
      <w:r>
        <w:rPr/>
        <w:t>8</w:t>
      </w:r>
      <w:r>
        <w:rPr>
          <w:spacing w:val="-50"/>
        </w:rPr>
        <w:t> </w:t>
      </w:r>
      <w:r>
        <w:rPr/>
        <w:t>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88"/>
        <w:jc w:val="left"/>
        <w:rPr>
          <w:rFonts w:ascii="宋体" w:hAnsi="宋体" w:cs="宋体" w:eastAsia="宋体" w:hint="default"/>
        </w:rPr>
      </w:pPr>
      <w:r>
        <w:rPr>
          <w:rFonts w:ascii="宋体" w:hAnsi="宋体" w:cs="宋体" w:eastAsia="宋体" w:hint="default"/>
        </w:rPr>
        <w:t>（五）公司第一大股东、第二大股东与公司的股权关系图</w:t>
      </w:r>
    </w:p>
    <w:p>
      <w:pPr>
        <w:spacing w:after="0" w:line="240" w:lineRule="auto"/>
        <w:jc w:val="left"/>
        <w:rPr>
          <w:rFonts w:ascii="宋体" w:hAnsi="宋体" w:cs="宋体" w:eastAsia="宋体" w:hint="default"/>
        </w:rPr>
        <w:sectPr>
          <w:pgSz w:w="11910" w:h="16840"/>
          <w:pgMar w:header="0" w:footer="1007" w:top="1460" w:bottom="120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703" w:lineRule="exact"/>
        <w:ind w:left="1258" w:right="0" w:firstLine="0"/>
        <w:rPr>
          <w:rFonts w:ascii="宋体" w:hAnsi="宋体" w:cs="宋体" w:eastAsia="宋体" w:hint="default"/>
          <w:sz w:val="20"/>
          <w:szCs w:val="20"/>
        </w:rPr>
      </w:pPr>
      <w:r>
        <w:rPr>
          <w:rFonts w:ascii="宋体"/>
          <w:position w:val="-13"/>
          <w:sz w:val="20"/>
        </w:rPr>
        <w:pict>
          <v:shape style="width:81.25pt;height:35.2pt;mso-position-horizontal-relative:char;mso-position-vertical-relative:line" type="#_x0000_t202" filled="false" stroked="true" strokeweight=".720285pt" strokecolor="#000000">
            <w10:anchorlock/>
            <v:textbox inset="0,0,0,0">
              <w:txbxContent>
                <w:p>
                  <w:pPr>
                    <w:spacing w:before="35"/>
                    <w:ind w:left="132" w:right="130" w:firstLine="0"/>
                    <w:jc w:val="left"/>
                    <w:rPr>
                      <w:rFonts w:ascii="宋体" w:hAnsi="宋体" w:cs="宋体" w:eastAsia="宋体" w:hint="default"/>
                      <w:sz w:val="19"/>
                      <w:szCs w:val="19"/>
                    </w:rPr>
                  </w:pPr>
                  <w:bookmarkStart w:name="第五节董事、监事、高级管理人员和员工情况" w:id="7"/>
                  <w:bookmarkEnd w:id="7"/>
                  <w:r>
                    <w:rPr/>
                  </w:r>
                  <w:bookmarkStart w:name="一、董事、监事、高级管理人员情况" w:id="8"/>
                  <w:bookmarkEnd w:id="8"/>
                  <w:r>
                    <w:rPr/>
                  </w:r>
                  <w:r>
                    <w:rPr>
                      <w:rFonts w:ascii="宋体" w:hAnsi="宋体" w:cs="宋体" w:eastAsia="宋体" w:hint="default"/>
                      <w:sz w:val="19"/>
                      <w:szCs w:val="19"/>
                    </w:rPr>
                    <w:t>深圳市富安控股</w:t>
                  </w:r>
                  <w:r>
                    <w:rPr>
                      <w:rFonts w:ascii="宋体" w:hAnsi="宋体" w:cs="宋体" w:eastAsia="宋体" w:hint="default"/>
                      <w:spacing w:val="-83"/>
                      <w:sz w:val="19"/>
                      <w:szCs w:val="19"/>
                    </w:rPr>
                    <w:t> </w:t>
                  </w:r>
                  <w:r>
                    <w:rPr>
                      <w:rFonts w:ascii="宋体" w:hAnsi="宋体" w:cs="宋体" w:eastAsia="宋体" w:hint="default"/>
                      <w:spacing w:val="-83"/>
                      <w:sz w:val="19"/>
                      <w:szCs w:val="19"/>
                    </w:rPr>
                  </w:r>
                  <w:r>
                    <w:rPr>
                      <w:rFonts w:ascii="宋体" w:hAnsi="宋体" w:cs="宋体" w:eastAsia="宋体" w:hint="default"/>
                      <w:sz w:val="19"/>
                      <w:szCs w:val="19"/>
                    </w:rPr>
                    <w:t>有限公司</w:t>
                  </w:r>
                </w:p>
              </w:txbxContent>
            </v:textbox>
          </v:shape>
        </w:pict>
      </w:r>
      <w:r>
        <w:rPr>
          <w:rFonts w:ascii="宋体"/>
          <w:position w:val="-13"/>
          <w:sz w:val="20"/>
        </w:rPr>
      </w:r>
      <w:r>
        <w:rPr>
          <w:rFonts w:ascii="Times New Roman"/>
          <w:spacing w:val="124"/>
          <w:position w:val="-13"/>
          <w:sz w:val="20"/>
        </w:rPr>
        <w:t> </w:t>
      </w:r>
      <w:r>
        <w:rPr>
          <w:rFonts w:ascii="宋体"/>
          <w:spacing w:val="124"/>
          <w:position w:val="-13"/>
          <w:sz w:val="20"/>
        </w:rPr>
        <w:pict>
          <v:shape style="width:89.4pt;height:35.2pt;mso-position-horizontal-relative:char;mso-position-vertical-relative:line" type="#_x0000_t202" filled="false" stroked="true" strokeweight=".720242pt" strokecolor="#000000">
            <w10:anchorlock/>
            <v:textbox inset="0,0,0,0">
              <w:txbxContent>
                <w:p>
                  <w:pPr>
                    <w:spacing w:before="35"/>
                    <w:ind w:left="132" w:right="135" w:firstLine="0"/>
                    <w:jc w:val="left"/>
                    <w:rPr>
                      <w:rFonts w:ascii="宋体" w:hAnsi="宋体" w:cs="宋体" w:eastAsia="宋体" w:hint="default"/>
                      <w:sz w:val="19"/>
                      <w:szCs w:val="19"/>
                    </w:rPr>
                  </w:pPr>
                  <w:r>
                    <w:rPr>
                      <w:rFonts w:ascii="宋体" w:hAnsi="宋体" w:cs="宋体" w:eastAsia="宋体" w:hint="default"/>
                      <w:sz w:val="19"/>
                      <w:szCs w:val="19"/>
                    </w:rPr>
                    <w:t>深</w:t>
                  </w:r>
                  <w:r>
                    <w:rPr>
                      <w:rFonts w:ascii="宋体" w:hAnsi="宋体" w:cs="宋体" w:eastAsia="宋体" w:hint="default"/>
                      <w:spacing w:val="-67"/>
                      <w:sz w:val="19"/>
                      <w:szCs w:val="19"/>
                    </w:rPr>
                    <w:t> </w:t>
                  </w:r>
                  <w:r>
                    <w:rPr>
                      <w:rFonts w:ascii="宋体" w:hAnsi="宋体" w:cs="宋体" w:eastAsia="宋体" w:hint="default"/>
                      <w:sz w:val="19"/>
                      <w:szCs w:val="19"/>
                    </w:rPr>
                    <w:t>圳</w:t>
                  </w:r>
                  <w:r>
                    <w:rPr>
                      <w:rFonts w:ascii="宋体" w:hAnsi="宋体" w:cs="宋体" w:eastAsia="宋体" w:hint="default"/>
                      <w:spacing w:val="-67"/>
                      <w:sz w:val="19"/>
                      <w:szCs w:val="19"/>
                    </w:rPr>
                    <w:t> </w:t>
                  </w:r>
                  <w:r>
                    <w:rPr>
                      <w:rFonts w:ascii="宋体" w:hAnsi="宋体" w:cs="宋体" w:eastAsia="宋体" w:hint="default"/>
                      <w:sz w:val="19"/>
                      <w:szCs w:val="19"/>
                    </w:rPr>
                    <w:t>市</w:t>
                  </w:r>
                  <w:r>
                    <w:rPr>
                      <w:rFonts w:ascii="宋体" w:hAnsi="宋体" w:cs="宋体" w:eastAsia="宋体" w:hint="default"/>
                      <w:spacing w:val="-67"/>
                      <w:sz w:val="19"/>
                      <w:szCs w:val="19"/>
                    </w:rPr>
                    <w:t> </w:t>
                  </w:r>
                  <w:r>
                    <w:rPr>
                      <w:rFonts w:ascii="宋体" w:hAnsi="宋体" w:cs="宋体" w:eastAsia="宋体" w:hint="default"/>
                      <w:sz w:val="19"/>
                      <w:szCs w:val="19"/>
                    </w:rPr>
                    <w:t>宝</w:t>
                  </w:r>
                  <w:r>
                    <w:rPr>
                      <w:rFonts w:ascii="宋体" w:hAnsi="宋体" w:cs="宋体" w:eastAsia="宋体" w:hint="default"/>
                      <w:spacing w:val="-67"/>
                      <w:sz w:val="19"/>
                      <w:szCs w:val="19"/>
                    </w:rPr>
                    <w:t> </w:t>
                  </w:r>
                  <w:r>
                    <w:rPr>
                      <w:rFonts w:ascii="宋体" w:hAnsi="宋体" w:cs="宋体" w:eastAsia="宋体" w:hint="default"/>
                      <w:sz w:val="19"/>
                      <w:szCs w:val="19"/>
                    </w:rPr>
                    <w:t>安</w:t>
                  </w:r>
                  <w:r>
                    <w:rPr>
                      <w:rFonts w:ascii="宋体" w:hAnsi="宋体" w:cs="宋体" w:eastAsia="宋体" w:hint="default"/>
                      <w:spacing w:val="-67"/>
                      <w:sz w:val="19"/>
                      <w:szCs w:val="19"/>
                    </w:rPr>
                    <w:t> </w:t>
                  </w:r>
                  <w:r>
                    <w:rPr>
                      <w:rFonts w:ascii="宋体" w:hAnsi="宋体" w:cs="宋体" w:eastAsia="宋体" w:hint="default"/>
                      <w:sz w:val="19"/>
                      <w:szCs w:val="19"/>
                    </w:rPr>
                    <w:t>区</w:t>
                  </w:r>
                  <w:r>
                    <w:rPr>
                      <w:rFonts w:ascii="宋体" w:hAnsi="宋体" w:cs="宋体" w:eastAsia="宋体" w:hint="default"/>
                      <w:spacing w:val="-67"/>
                      <w:sz w:val="19"/>
                      <w:szCs w:val="19"/>
                    </w:rPr>
                    <w:t> </w:t>
                  </w:r>
                  <w:r>
                    <w:rPr>
                      <w:rFonts w:ascii="宋体" w:hAnsi="宋体" w:cs="宋体" w:eastAsia="宋体" w:hint="default"/>
                      <w:sz w:val="19"/>
                      <w:szCs w:val="19"/>
                    </w:rPr>
                    <w:t>投</w:t>
                  </w:r>
                  <w:r>
                    <w:rPr>
                      <w:rFonts w:ascii="宋体" w:hAnsi="宋体" w:cs="宋体" w:eastAsia="宋体" w:hint="default"/>
                      <w:w w:val="100"/>
                      <w:sz w:val="19"/>
                      <w:szCs w:val="19"/>
                    </w:rPr>
                    <w:t> </w:t>
                  </w:r>
                  <w:r>
                    <w:rPr>
                      <w:rFonts w:ascii="宋体" w:hAnsi="宋体" w:cs="宋体" w:eastAsia="宋体" w:hint="default"/>
                      <w:sz w:val="19"/>
                      <w:szCs w:val="19"/>
                    </w:rPr>
                    <w:t>资管理有限公司</w:t>
                  </w:r>
                </w:p>
              </w:txbxContent>
            </v:textbox>
          </v:shape>
        </w:pict>
      </w:r>
      <w:r>
        <w:rPr>
          <w:rFonts w:ascii="宋体"/>
          <w:spacing w:val="124"/>
          <w:position w:val="-13"/>
          <w:sz w:val="20"/>
        </w:rPr>
      </w:r>
    </w:p>
    <w:p>
      <w:pPr>
        <w:spacing w:line="240" w:lineRule="auto" w:before="3"/>
        <w:rPr>
          <w:rFonts w:ascii="宋体" w:hAnsi="宋体" w:cs="宋体" w:eastAsia="宋体" w:hint="default"/>
          <w:sz w:val="17"/>
          <w:szCs w:val="17"/>
        </w:rPr>
      </w:pPr>
    </w:p>
    <w:p>
      <w:pPr>
        <w:spacing w:before="75"/>
        <w:ind w:left="1749" w:right="0" w:firstLine="0"/>
        <w:jc w:val="left"/>
        <w:rPr>
          <w:rFonts w:ascii="Times New Roman" w:hAnsi="Times New Roman" w:cs="Times New Roman" w:eastAsia="Times New Roman" w:hint="default"/>
          <w:sz w:val="19"/>
          <w:szCs w:val="19"/>
        </w:rPr>
      </w:pPr>
      <w:r>
        <w:rPr/>
        <w:pict>
          <v:group style="position:absolute;margin-left:167.699081pt;margin-top:-7.901928pt;width:136.1pt;height:109.75pt;mso-position-horizontal-relative:page;mso-position-vertical-relative:paragraph;z-index:-885592" coordorigin="3354,-158" coordsize="2722,2195">
            <v:group style="position:absolute;left:3361;top:788;width:2707;height:420" coordorigin="3361,788" coordsize="2707,420">
              <v:shape style="position:absolute;left:3361;top:788;width:2707;height:420" coordorigin="3361,788" coordsize="2707,420" path="m3361,788l3361,1208,6068,1208,6068,788,3361,788xe" filled="false" stroked="true" strokeweight=".720042pt" strokecolor="#000000">
                <v:path arrowok="t"/>
              </v:shape>
            </v:group>
            <v:group style="position:absolute;left:4564;top:-148;width:121;height:936" coordorigin="4564,-148" coordsize="121,936">
              <v:shape style="position:absolute;left:4564;top:-148;width:121;height:936" coordorigin="4564,-148" coordsize="121,936" path="m4632,696l4617,696,4617,-148,4632,-148,4632,696xe" filled="true" fillcolor="#000000" stroked="false">
                <v:path arrowok="t"/>
                <v:fill type="solid"/>
              </v:shape>
              <v:shape style="position:absolute;left:4564;top:-148;width:121;height:936" coordorigin="4564,-148" coordsize="121,936" path="m4624,788l4564,668,4617,668,4617,696,4670,696,4624,788xe" filled="true" fillcolor="#000000" stroked="false">
                <v:path arrowok="t"/>
                <v:fill type="solid"/>
              </v:shape>
              <v:shape style="position:absolute;left:4564;top:-148;width:121;height:936" coordorigin="4564,-148" coordsize="121,936" path="m4670,696l4632,696,4632,668,4684,668,4670,696xe" filled="true" fillcolor="#000000" stroked="false">
                <v:path arrowok="t"/>
                <v:fill type="solid"/>
              </v:shape>
            </v:group>
            <v:group style="position:absolute;left:4624;top:-150;width:2;height:848" coordorigin="4624,-150" coordsize="2,848">
              <v:shape style="position:absolute;left:4624;top:-150;width:2;height:848" coordorigin="4624,-150" coordsize="0,848" path="m4624,-150l4624,698e" filled="false" stroked="true" strokeweight=".8421pt" strokecolor="#000000">
                <v:path arrowok="t"/>
              </v:shape>
            </v:group>
            <v:group style="position:absolute;left:4564;top:668;width:121;height:120" coordorigin="4564,668" coordsize="121,120">
              <v:shape style="position:absolute;left:4564;top:668;width:121;height:120" coordorigin="4564,668" coordsize="121,120" path="m4564,668l4624,668,4684,668,4624,788,4564,668xe" filled="false" stroked="true" strokeweight=".12015pt" strokecolor="#000000">
                <v:path arrowok="t"/>
              </v:shape>
            </v:group>
            <v:group style="position:absolute;left:3481;top:-148;width:121;height:936" coordorigin="3481,-148" coordsize="121,936">
              <v:shape style="position:absolute;left:3481;top:-148;width:121;height:936" coordorigin="3481,-148" coordsize="121,936" path="m3549,696l3534,696,3534,-148,3549,-148,3549,696xe" filled="true" fillcolor="#000000" stroked="false">
                <v:path arrowok="t"/>
                <v:fill type="solid"/>
              </v:shape>
              <v:shape style="position:absolute;left:3481;top:-148;width:121;height:936" coordorigin="3481,-148" coordsize="121,936" path="m3542,788l3481,668,3534,668,3534,696,3587,696,3542,788xe" filled="true" fillcolor="#000000" stroked="false">
                <v:path arrowok="t"/>
                <v:fill type="solid"/>
              </v:shape>
              <v:shape style="position:absolute;left:3481;top:-148;width:121;height:936" coordorigin="3481,-148" coordsize="121,936" path="m3587,696l3549,696,3549,668,3602,668,3587,696xe" filled="true" fillcolor="#000000" stroked="false">
                <v:path arrowok="t"/>
                <v:fill type="solid"/>
              </v:shape>
            </v:group>
            <v:group style="position:absolute;left:3542;top:-150;width:2;height:848" coordorigin="3542,-150" coordsize="2,848">
              <v:shape style="position:absolute;left:3542;top:-150;width:2;height:848" coordorigin="3542,-150" coordsize="0,848" path="m3542,-150l3542,698e" filled="false" stroked="true" strokeweight=".8421pt" strokecolor="#000000">
                <v:path arrowok="t"/>
              </v:shape>
            </v:group>
            <v:group style="position:absolute;left:3481;top:668;width:121;height:120" coordorigin="3481,668" coordsize="121,120">
              <v:shape style="position:absolute;left:3481;top:668;width:121;height:120" coordorigin="3481,668" coordsize="121,120" path="m3481,668l3542,668,3602,668,3542,788,3481,668xe" filled="false" stroked="true" strokeweight=".12015pt" strokecolor="#000000">
                <v:path arrowok="t"/>
              </v:shape>
            </v:group>
            <v:group style="position:absolute;left:4564;top:1256;width:121;height:780" coordorigin="4564,1256" coordsize="121,780">
              <v:shape style="position:absolute;left:4564;top:1256;width:121;height:780" coordorigin="4564,1256" coordsize="121,780" path="m4632,1947l4617,1947,4617,1256,4632,1256,4632,1947xe" filled="true" fillcolor="#000000" stroked="false">
                <v:path arrowok="t"/>
                <v:fill type="solid"/>
              </v:shape>
              <v:shape style="position:absolute;left:4564;top:1256;width:121;height:780" coordorigin="4564,1256" coordsize="121,780" path="m4624,2036l4564,1916,4617,1916,4617,1947,4669,1947,4624,2036xe" filled="true" fillcolor="#000000" stroked="false">
                <v:path arrowok="t"/>
                <v:fill type="solid"/>
              </v:shape>
              <v:shape style="position:absolute;left:4564;top:1256;width:121;height:780" coordorigin="4564,1256" coordsize="121,780" path="m4669,1947l4632,1947,4632,1916,4684,1916,4669,1947xe" filled="true" fillcolor="#000000" stroked="false">
                <v:path arrowok="t"/>
                <v:fill type="solid"/>
              </v:shape>
            </v:group>
            <v:group style="position:absolute;left:4624;top:1254;width:2;height:694" coordorigin="4624,1254" coordsize="2,694">
              <v:shape style="position:absolute;left:4624;top:1254;width:2;height:694" coordorigin="4624,1254" coordsize="0,694" path="m4624,1254l4624,1948e" filled="false" stroked="true" strokeweight=".8421pt" strokecolor="#000000">
                <v:path arrowok="t"/>
              </v:shape>
            </v:group>
            <v:group style="position:absolute;left:4564;top:1916;width:121;height:120" coordorigin="4564,1916" coordsize="121,120">
              <v:shape style="position:absolute;left:4564;top:1916;width:121;height:120" coordorigin="4564,1916" coordsize="121,120" path="m4564,1916l4624,1916,4684,1916,4624,2036,4564,1916xe" filled="false" stroked="true" strokeweight=".12015pt" strokecolor="#000000">
                <v:path arrowok="t"/>
              </v:shape>
              <v:shape style="position:absolute;left:3361;top:788;width:2707;height:420" type="#_x0000_t202" filled="false" stroked="false">
                <v:textbox inset="0,0,0,0">
                  <w:txbxContent>
                    <w:p>
                      <w:pPr>
                        <w:spacing w:before="42"/>
                        <w:ind w:left="139" w:right="0" w:firstLine="0"/>
                        <w:jc w:val="left"/>
                        <w:rPr>
                          <w:rFonts w:ascii="宋体" w:hAnsi="宋体" w:cs="宋体" w:eastAsia="宋体" w:hint="default"/>
                          <w:sz w:val="19"/>
                          <w:szCs w:val="19"/>
                        </w:rPr>
                      </w:pPr>
                      <w:r>
                        <w:rPr>
                          <w:rFonts w:ascii="宋体" w:hAnsi="宋体" w:cs="宋体" w:eastAsia="宋体" w:hint="default"/>
                          <w:sz w:val="19"/>
                          <w:szCs w:val="19"/>
                        </w:rPr>
                        <w:t>中国宝安集团股份有限公司</w:t>
                      </w:r>
                    </w:p>
                  </w:txbxContent>
                </v:textbox>
                <w10:wrap type="none"/>
              </v:shape>
              <v:shape style="position:absolute;left:4754;top:100;width:493;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9"/>
                          <w:szCs w:val="19"/>
                        </w:rPr>
                      </w:pPr>
                      <w:r>
                        <w:rPr>
                          <w:rFonts w:ascii="Times New Roman"/>
                          <w:sz w:val="19"/>
                        </w:rPr>
                        <w:t>6.78%</w:t>
                      </w:r>
                    </w:p>
                  </w:txbxContent>
                </v:textbox>
                <w10:wrap type="none"/>
              </v:shape>
              <v:shape style="position:absolute;left:3958;top:1504;width:349;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9"/>
                          <w:szCs w:val="19"/>
                        </w:rPr>
                      </w:pPr>
                      <w:r>
                        <w:rPr>
                          <w:rFonts w:ascii="Times New Roman"/>
                          <w:sz w:val="19"/>
                        </w:rPr>
                        <w:t>80%</w:t>
                      </w:r>
                    </w:p>
                  </w:txbxContent>
                </v:textbox>
                <w10:wrap type="none"/>
              </v:shape>
            </v:group>
            <w10:wrap type="none"/>
          </v:group>
        </w:pict>
      </w:r>
      <w:r>
        <w:rPr>
          <w:rFonts w:ascii="Times New Roman"/>
          <w:sz w:val="19"/>
        </w:rPr>
        <w:t>8.40%</w:t>
      </w:r>
    </w:p>
    <w:p>
      <w:pPr>
        <w:spacing w:line="240" w:lineRule="auto" w:before="5"/>
        <w:rPr>
          <w:rFonts w:ascii="Times New Roman" w:hAnsi="Times New Roman" w:cs="Times New Roman" w:eastAsia="Times New Roman" w:hint="default"/>
          <w:sz w:val="29"/>
          <w:szCs w:val="29"/>
        </w:rPr>
      </w:pPr>
    </w:p>
    <w:p>
      <w:pPr>
        <w:tabs>
          <w:tab w:pos="5047" w:val="left" w:leader="none"/>
        </w:tabs>
        <w:spacing w:line="1824" w:lineRule="exact"/>
        <w:ind w:left="657" w:right="0" w:firstLine="0"/>
        <w:rPr>
          <w:rFonts w:ascii="Times New Roman" w:hAnsi="Times New Roman" w:cs="Times New Roman" w:eastAsia="Times New Roman" w:hint="default"/>
          <w:sz w:val="20"/>
          <w:szCs w:val="20"/>
        </w:rPr>
      </w:pPr>
      <w:r>
        <w:rPr>
          <w:rFonts w:ascii="Times New Roman"/>
          <w:position w:val="-35"/>
          <w:sz w:val="20"/>
        </w:rPr>
        <w:pict>
          <v:group style="width:178.2pt;height:91.2pt;mso-position-horizontal-relative:char;mso-position-vertical-relative:line" coordorigin="0,0" coordsize="3564,1824">
            <v:group style="position:absolute;left:917;top:468;width:121;height:984" coordorigin="917,468" coordsize="121,984">
              <v:shape style="position:absolute;left:917;top:468;width:121;height:984" coordorigin="917,468" coordsize="121,984" path="m986,1361l970,1361,955,470,970,468,986,1332,977,1332,986,1332,986,1361xe" filled="true" fillcolor="#000000" stroked="false">
                <v:path arrowok="t"/>
                <v:fill type="solid"/>
              </v:shape>
              <v:shape style="position:absolute;left:917;top:468;width:121;height:984" coordorigin="917,468" coordsize="121,984" path="m1022,1361l986,1361,986,1332,1037,1330,1022,1361xe" filled="true" fillcolor="#000000" stroked="false">
                <v:path arrowok="t"/>
                <v:fill type="solid"/>
              </v:shape>
              <v:shape style="position:absolute;left:917;top:468;width:121;height:984" coordorigin="917,468" coordsize="121,984" path="m986,1332l977,1332,986,1332,986,1332xe" filled="true" fillcolor="#000000" stroked="false">
                <v:path arrowok="t"/>
                <v:fill type="solid"/>
              </v:shape>
              <v:shape style="position:absolute;left:917;top:468;width:121;height:984" coordorigin="917,468" coordsize="121,984" path="m979,1452l917,1332,969,1332,970,1361,1022,1361,979,1452xe" filled="true" fillcolor="#000000" stroked="false">
                <v:path arrowok="t"/>
                <v:fill type="solid"/>
              </v:shape>
            </v:group>
            <v:group style="position:absolute;left:955;top:468;width:32;height:893" coordorigin="955,468" coordsize="32,893">
              <v:shape style="position:absolute;left:955;top:468;width:32;height:893" coordorigin="955,468" coordsize="32,893" path="m970,468l986,1361,970,1361,955,470,970,468xe" filled="false" stroked="true" strokeweight=".1203pt" strokecolor="#000000">
                <v:path arrowok="t"/>
              </v:shape>
            </v:group>
            <v:group style="position:absolute;left:917;top:1330;width:121;height:123" coordorigin="917,1330" coordsize="121,123">
              <v:shape style="position:absolute;left:917;top:1330;width:121;height:123" coordorigin="917,1330" coordsize="121,123" path="m917,1332l977,1332,1037,1330,979,1452,917,1332xe" filled="false" stroked="true" strokeweight=".120153pt" strokecolor="#000000">
                <v:path arrowok="t"/>
              </v:shape>
            </v:group>
            <v:group style="position:absolute;left:0;top:0;width:1564;height:624" coordorigin="0,0" coordsize="1564,624">
              <v:shape style="position:absolute;left:0;top:0;width:1564;height:624" coordorigin="0,0" coordsize="1564,624" path="m0,0l0,624,1564,624,1564,0,0,0xe" filled="true" fillcolor="#ffffff" stroked="false">
                <v:path arrowok="t"/>
                <v:fill type="solid"/>
              </v:shape>
              <v:shape style="position:absolute;left:1008;top:872;width:349;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9"/>
                          <w:szCs w:val="19"/>
                        </w:rPr>
                      </w:pPr>
                      <w:r>
                        <w:rPr>
                          <w:rFonts w:ascii="Times New Roman"/>
                          <w:sz w:val="19"/>
                        </w:rPr>
                        <w:t>20%</w:t>
                      </w:r>
                    </w:p>
                  </w:txbxContent>
                </v:textbox>
                <w10:wrap type="none"/>
              </v:shape>
              <v:shape style="position:absolute;left:0;top:0;width:1564;height:624" type="#_x0000_t202" filled="false" stroked="true" strokeweight=".720248pt" strokecolor="#000000">
                <v:textbox inset="0,0,0,0">
                  <w:txbxContent>
                    <w:p>
                      <w:pPr>
                        <w:spacing w:line="230" w:lineRule="exact" w:before="65"/>
                        <w:ind w:left="132" w:right="153" w:firstLine="0"/>
                        <w:jc w:val="left"/>
                        <w:rPr>
                          <w:rFonts w:ascii="宋体" w:hAnsi="宋体" w:cs="宋体" w:eastAsia="宋体" w:hint="default"/>
                          <w:sz w:val="18"/>
                          <w:szCs w:val="18"/>
                        </w:rPr>
                      </w:pPr>
                      <w:r>
                        <w:rPr>
                          <w:rFonts w:ascii="宋体" w:hAnsi="宋体" w:cs="宋体" w:eastAsia="宋体" w:hint="default"/>
                          <w:sz w:val="18"/>
                          <w:szCs w:val="18"/>
                        </w:rPr>
                        <w:t>深圳恒安房地产</w:t>
                      </w:r>
                      <w:r>
                        <w:rPr>
                          <w:rFonts w:ascii="宋体" w:hAnsi="宋体" w:cs="宋体" w:eastAsia="宋体" w:hint="default"/>
                          <w:spacing w:val="-87"/>
                          <w:sz w:val="18"/>
                          <w:szCs w:val="18"/>
                        </w:rPr>
                        <w:t> </w:t>
                      </w:r>
                      <w:r>
                        <w:rPr>
                          <w:rFonts w:ascii="宋体" w:hAnsi="宋体" w:cs="宋体" w:eastAsia="宋体" w:hint="default"/>
                          <w:sz w:val="18"/>
                          <w:szCs w:val="18"/>
                        </w:rPr>
                        <w:t>开发有限公司</w:t>
                      </w:r>
                    </w:p>
                  </w:txbxContent>
                </v:textbox>
                <w10:wrap type="none"/>
              </v:shape>
              <v:shape style="position:absolute;left:421;top:1404;width:3143;height:420" type="#_x0000_t202" filled="false" stroked="true" strokeweight=".720032pt" strokecolor="#000000">
                <v:textbox inset="0,0,0,0">
                  <w:txbxContent>
                    <w:p>
                      <w:pPr>
                        <w:spacing w:before="35"/>
                        <w:ind w:left="421" w:right="0" w:firstLine="0"/>
                        <w:jc w:val="left"/>
                        <w:rPr>
                          <w:rFonts w:ascii="宋体" w:hAnsi="宋体" w:cs="宋体" w:eastAsia="宋体" w:hint="default"/>
                          <w:sz w:val="19"/>
                          <w:szCs w:val="19"/>
                        </w:rPr>
                      </w:pPr>
                      <w:r>
                        <w:rPr>
                          <w:rFonts w:ascii="宋体" w:hAnsi="宋体" w:cs="宋体" w:eastAsia="宋体" w:hint="default"/>
                          <w:sz w:val="19"/>
                          <w:szCs w:val="19"/>
                        </w:rPr>
                        <w:t>中国宝安集团控股有限公司</w:t>
                      </w:r>
                    </w:p>
                  </w:txbxContent>
                </v:textbox>
                <w10:wrap type="none"/>
              </v:shape>
            </v:group>
          </v:group>
        </w:pict>
      </w:r>
      <w:r>
        <w:rPr>
          <w:rFonts w:ascii="Times New Roman"/>
          <w:position w:val="-35"/>
          <w:sz w:val="20"/>
        </w:rPr>
      </w:r>
      <w:r>
        <w:rPr>
          <w:rFonts w:ascii="Times New Roman"/>
          <w:position w:val="-35"/>
          <w:sz w:val="20"/>
        </w:rPr>
        <w:tab/>
      </w:r>
      <w:r>
        <w:rPr>
          <w:rFonts w:ascii="Times New Roman"/>
          <w:position w:val="-35"/>
          <w:sz w:val="20"/>
        </w:rPr>
        <w:pict>
          <v:group style="width:162.8pt;height:83.8pt;mso-position-horizontal-relative:char;mso-position-vertical-relative:line" coordorigin="0,0" coordsize="3256,1676">
            <v:group style="position:absolute;left:180;top:7;width:3068;height:468" coordorigin="180,7" coordsize="3068,468">
              <v:shape style="position:absolute;left:180;top:7;width:3068;height:468" coordorigin="180,7" coordsize="3068,468" path="m180,7l180,475,3248,475,3248,7,180,7xe" filled="false" stroked="true" strokeweight=".720041pt" strokecolor="#000000">
                <v:path arrowok="t"/>
              </v:shape>
            </v:group>
            <v:group style="position:absolute;left:1023;top:475;width:121;height:780" coordorigin="1023,475" coordsize="121,780">
              <v:shape style="position:absolute;left:1023;top:475;width:121;height:780" coordorigin="1023,475" coordsize="121,780" path="m1090,1164l1075,1164,1075,475,1090,475,1090,1164xe" filled="true" fillcolor="#000000" stroked="false">
                <v:path arrowok="t"/>
                <v:fill type="solid"/>
              </v:shape>
              <v:shape style="position:absolute;left:1023;top:475;width:121;height:780" coordorigin="1023,475" coordsize="121,780" path="m1083,1255l1023,1135,1075,1135,1075,1164,1128,1164,1083,1255xe" filled="true" fillcolor="#000000" stroked="false">
                <v:path arrowok="t"/>
                <v:fill type="solid"/>
              </v:shape>
              <v:shape style="position:absolute;left:1023;top:475;width:121;height:780" coordorigin="1023,475" coordsize="121,780" path="m1128,1164l1090,1164,1090,1135,1143,1135,1128,1164xe" filled="true" fillcolor="#000000" stroked="false">
                <v:path arrowok="t"/>
                <v:fill type="solid"/>
              </v:shape>
            </v:group>
            <v:group style="position:absolute;left:1083;top:474;width:2;height:692" coordorigin="1083,474" coordsize="2,692">
              <v:shape style="position:absolute;left:1083;top:474;width:2;height:692" coordorigin="1083,474" coordsize="0,692" path="m1083,474l1083,1165e" filled="false" stroked="true" strokeweight=".8421pt" strokecolor="#000000">
                <v:path arrowok="t"/>
              </v:shape>
            </v:group>
            <v:group style="position:absolute;left:1023;top:1135;width:121;height:120" coordorigin="1023,1135" coordsize="121,120">
              <v:shape style="position:absolute;left:1023;top:1135;width:121;height:120" coordorigin="1023,1135" coordsize="121,120" path="m1023,1135l1083,1135,1143,1135,1083,1255,1023,1135xe" filled="false" stroked="true" strokeweight=".12015pt" strokecolor="#000000">
                <v:path arrowok="t"/>
              </v:shape>
              <v:shape style="position:absolute;left:180;top:7;width:3068;height:468" type="#_x0000_t202" filled="false" stroked="false">
                <v:textbox inset="0,0,0,0">
                  <w:txbxContent>
                    <w:p>
                      <w:pPr>
                        <w:spacing w:before="42"/>
                        <w:ind w:left="139" w:right="0" w:firstLine="0"/>
                        <w:jc w:val="left"/>
                        <w:rPr>
                          <w:rFonts w:ascii="宋体" w:hAnsi="宋体" w:cs="宋体" w:eastAsia="宋体" w:hint="default"/>
                          <w:sz w:val="19"/>
                          <w:szCs w:val="19"/>
                        </w:rPr>
                      </w:pPr>
                      <w:r>
                        <w:rPr>
                          <w:rFonts w:ascii="宋体" w:hAnsi="宋体" w:cs="宋体" w:eastAsia="宋体" w:hint="default"/>
                          <w:sz w:val="19"/>
                          <w:szCs w:val="19"/>
                        </w:rPr>
                        <w:t>深圳市新鸿泰投资发展有限公司</w:t>
                      </w:r>
                    </w:p>
                  </w:txbxContent>
                </v:textbox>
                <w10:wrap type="none"/>
              </v:shape>
              <v:shape style="position:absolute;left:1393;top:723;width:445;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9"/>
                          <w:szCs w:val="19"/>
                        </w:rPr>
                      </w:pPr>
                      <w:r>
                        <w:rPr>
                          <w:rFonts w:ascii="Times New Roman"/>
                          <w:sz w:val="19"/>
                        </w:rPr>
                        <w:t>100%</w:t>
                      </w:r>
                    </w:p>
                  </w:txbxContent>
                </v:textbox>
                <w10:wrap type="none"/>
              </v:shape>
              <v:shape style="position:absolute;left:0;top:1255;width:3071;height:420" type="#_x0000_t202" filled="false" stroked="true" strokeweight=".720033pt" strokecolor="#000000">
                <v:textbox inset="0,0,0,0">
                  <w:txbxContent>
                    <w:p>
                      <w:pPr>
                        <w:spacing w:before="35"/>
                        <w:ind w:left="132" w:right="0" w:firstLine="0"/>
                        <w:jc w:val="left"/>
                        <w:rPr>
                          <w:rFonts w:ascii="宋体" w:hAnsi="宋体" w:cs="宋体" w:eastAsia="宋体" w:hint="default"/>
                          <w:sz w:val="19"/>
                          <w:szCs w:val="19"/>
                        </w:rPr>
                      </w:pPr>
                      <w:r>
                        <w:rPr>
                          <w:rFonts w:ascii="宋体" w:hAnsi="宋体" w:cs="宋体" w:eastAsia="宋体" w:hint="default"/>
                          <w:sz w:val="19"/>
                          <w:szCs w:val="19"/>
                        </w:rPr>
                        <w:t>深圳市东鸿信投资发展有限公司</w:t>
                      </w:r>
                    </w:p>
                  </w:txbxContent>
                </v:textbox>
                <w10:wrap type="none"/>
              </v:shape>
            </v:group>
          </v:group>
        </w:pict>
      </w:r>
      <w:r>
        <w:rPr>
          <w:rFonts w:ascii="Times New Roman"/>
          <w:position w:val="-35"/>
          <w:sz w:val="20"/>
        </w:rPr>
      </w:r>
    </w:p>
    <w:p>
      <w:pPr>
        <w:tabs>
          <w:tab w:pos="5899" w:val="left" w:leader="none"/>
        </w:tabs>
        <w:spacing w:before="113"/>
        <w:ind w:left="2293" w:right="0" w:firstLine="0"/>
        <w:jc w:val="left"/>
        <w:rPr>
          <w:rFonts w:ascii="Times New Roman" w:hAnsi="Times New Roman" w:cs="Times New Roman" w:eastAsia="Times New Roman" w:hint="default"/>
          <w:sz w:val="19"/>
          <w:szCs w:val="19"/>
        </w:rPr>
      </w:pPr>
      <w:r>
        <w:rPr/>
        <w:pict>
          <v:group style="position:absolute;margin-left:201.803329pt;margin-top:2.338977pt;width:6.15pt;height:41.4pt;mso-position-horizontal-relative:page;mso-position-vertical-relative:paragraph;z-index:-885568" coordorigin="4036,47" coordsize="123,828">
            <v:group style="position:absolute;left:4037;top:48;width:121;height:826" coordorigin="4037,48" coordsize="121,826">
              <v:shape style="position:absolute;left:4037;top:48;width:121;height:826" coordorigin="4037,48" coordsize="121,826" path="m4105,785l4090,785,4090,754,4097,754,4090,754,4076,48,4090,48,4104,754,4097,754,4090,754,4104,754,4105,785xe" filled="true" fillcolor="#000000" stroked="false">
                <v:path arrowok="t"/>
                <v:fill type="solid"/>
              </v:shape>
              <v:shape style="position:absolute;left:4037;top:48;width:121;height:826" coordorigin="4037,48" coordsize="121,826" path="m4143,785l4105,785,4104,754,4158,754,4143,785xe" filled="true" fillcolor="#000000" stroked="false">
                <v:path arrowok="t"/>
                <v:fill type="solid"/>
              </v:shape>
              <v:shape style="position:absolute;left:4037;top:48;width:121;height:826" coordorigin="4037,48" coordsize="121,826" path="m4100,874l4037,756,4090,754,4090,785,4143,785,4100,874xe" filled="true" fillcolor="#000000" stroked="false">
                <v:path arrowok="t"/>
                <v:fill type="solid"/>
              </v:shape>
            </v:group>
            <v:group style="position:absolute;left:4076;top:48;width:29;height:737" coordorigin="4076,48" coordsize="29,737">
              <v:shape style="position:absolute;left:4076;top:48;width:29;height:737" coordorigin="4076,48" coordsize="29,737" path="m4090,48l4105,785,4090,785,4076,48,4090,48xe" filled="false" stroked="true" strokeweight=".1203pt" strokecolor="#000000">
                <v:path arrowok="t"/>
              </v:shape>
            </v:group>
            <v:group style="position:absolute;left:4037;top:754;width:121;height:120" coordorigin="4037,754" coordsize="121,120">
              <v:shape style="position:absolute;left:4037;top:754;width:121;height:120" coordorigin="4037,754" coordsize="121,120" path="m4037,756l4097,754,4158,754,4100,874,4037,756xe" filled="false" stroked="true" strokeweight=".12015pt" strokecolor="#000000">
                <v:path arrowok="t"/>
              </v:shape>
            </v:group>
            <w10:wrap type="none"/>
          </v:group>
        </w:pict>
      </w:r>
      <w:r>
        <w:rPr/>
        <w:pict>
          <v:group style="position:absolute;margin-left:336.419037pt;margin-top:2.338976pt;width:6.15pt;height:39.15pt;mso-position-horizontal-relative:page;mso-position-vertical-relative:paragraph;z-index:-885544" coordorigin="6728,47" coordsize="123,783">
            <v:group style="position:absolute;left:6730;top:48;width:121;height:780" coordorigin="6730,48" coordsize="121,780">
              <v:shape style="position:absolute;left:6730;top:48;width:121;height:780" coordorigin="6730,48" coordsize="121,780" path="m6783,708l6783,48,6797,48,6799,708,6790,708,6783,708xe" filled="true" fillcolor="#000000" stroked="false">
                <v:path arrowok="t"/>
                <v:fill type="solid"/>
              </v:shape>
              <v:shape style="position:absolute;left:6730;top:48;width:121;height:780" coordorigin="6730,48" coordsize="121,780" path="m6799,739l6783,739,6783,708,6790,708,6799,708,6799,739xe" filled="true" fillcolor="#000000" stroked="false">
                <v:path arrowok="t"/>
                <v:fill type="solid"/>
              </v:shape>
              <v:shape style="position:absolute;left:6730;top:48;width:121;height:780" coordorigin="6730,48" coordsize="121,780" path="m6835,739l6799,739,6799,708,6850,708,6835,739xe" filled="true" fillcolor="#000000" stroked="false">
                <v:path arrowok="t"/>
                <v:fill type="solid"/>
              </v:shape>
              <v:shape style="position:absolute;left:6730;top:48;width:121;height:780" coordorigin="6730,48" coordsize="121,780" path="m6792,828l6730,710,6783,708,6783,739,6835,739,6792,828xe" filled="true" fillcolor="#000000" stroked="false">
                <v:path arrowok="t"/>
                <v:fill type="solid"/>
              </v:shape>
            </v:group>
            <v:group style="position:absolute;left:6783;top:48;width:17;height:692" coordorigin="6783,48" coordsize="17,692">
              <v:shape style="position:absolute;left:6783;top:48;width:17;height:692" coordorigin="6783,48" coordsize="17,692" path="m6797,48l6799,739,6783,739,6783,48,6797,48xe" filled="false" stroked="true" strokeweight=".1203pt" strokecolor="#000000">
                <v:path arrowok="t"/>
              </v:shape>
            </v:group>
            <v:group style="position:absolute;left:6730;top:708;width:121;height:120" coordorigin="6730,708" coordsize="121,120">
              <v:shape style="position:absolute;left:6730;top:708;width:121;height:120" coordorigin="6730,708" coordsize="121,120" path="m6730,710l6790,708,6850,708,6792,828,6730,710xe" filled="false" stroked="true" strokeweight=".12015pt" strokecolor="#000000">
                <v:path arrowok="t"/>
              </v:shape>
            </v:group>
            <w10:wrap type="none"/>
          </v:group>
        </w:pict>
      </w:r>
      <w:r>
        <w:rPr>
          <w:rFonts w:ascii="Times New Roman"/>
          <w:sz w:val="19"/>
        </w:rPr>
        <w:t>19.80%</w:t>
        <w:tab/>
        <w:t>14.89%</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68" w:lineRule="exact"/>
        <w:ind w:left="16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288.75pt;height:23.4pt;mso-position-horizontal-relative:char;mso-position-vertical-relative:line" type="#_x0000_t202" filled="false" stroked="true" strokeweight=".720012pt" strokecolor="#000000">
            <w10:anchorlock/>
            <v:textbox inset="0,0,0,0">
              <w:txbxContent>
                <w:p>
                  <w:pPr>
                    <w:pStyle w:val="BodyText"/>
                    <w:spacing w:line="240" w:lineRule="auto" w:before="33"/>
                    <w:ind w:left="1407" w:right="0"/>
                    <w:jc w:val="left"/>
                  </w:pPr>
                  <w:r>
                    <w:rPr/>
                    <w:t>宝安鸿基地产集团股份有限公司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tabs>
          <w:tab w:pos="3123" w:val="left" w:leader="none"/>
        </w:tabs>
        <w:spacing w:before="14"/>
        <w:ind w:left="1999" w:right="0" w:firstLine="0"/>
        <w:jc w:val="left"/>
        <w:rPr>
          <w:rFonts w:ascii="宋体" w:hAnsi="宋体" w:cs="宋体" w:eastAsia="宋体" w:hint="default"/>
          <w:sz w:val="28"/>
          <w:szCs w:val="28"/>
        </w:rPr>
      </w:pPr>
      <w:r>
        <w:rPr>
          <w:rFonts w:ascii="宋体" w:hAnsi="宋体" w:cs="宋体" w:eastAsia="宋体" w:hint="default"/>
          <w:sz w:val="28"/>
          <w:szCs w:val="28"/>
        </w:rPr>
        <w:t>第五节</w:t>
        <w:tab/>
        <w:t>董事、监事、高级管理人员和员工情况</w:t>
      </w:r>
    </w:p>
    <w:p>
      <w:pPr>
        <w:spacing w:line="240" w:lineRule="auto" w:before="5"/>
        <w:rPr>
          <w:rFonts w:ascii="宋体" w:hAnsi="宋体" w:cs="宋体" w:eastAsia="宋体" w:hint="default"/>
          <w:sz w:val="28"/>
          <w:szCs w:val="28"/>
        </w:rPr>
      </w:pPr>
    </w:p>
    <w:p>
      <w:pPr>
        <w:pStyle w:val="Heading4"/>
        <w:spacing w:line="240" w:lineRule="auto"/>
        <w:ind w:left="115" w:right="0"/>
        <w:jc w:val="left"/>
      </w:pPr>
      <w:r>
        <w:rPr/>
        <w:t>一、董事、监事、高级管理人员情况</w:t>
      </w:r>
    </w:p>
    <w:p>
      <w:pPr>
        <w:spacing w:line="240" w:lineRule="auto" w:before="1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rFonts w:ascii="宋体" w:hAnsi="宋体" w:cs="宋体" w:eastAsia="宋体" w:hint="default"/>
        </w:rPr>
        <w:t>（一）现任董事、监事及其他高级管理人员持股变动及报酬情况</w:t>
      </w:r>
    </w:p>
    <w:p>
      <w:pPr>
        <w:spacing w:line="240" w:lineRule="auto" w:before="3"/>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936"/>
        <w:gridCol w:w="1391"/>
        <w:gridCol w:w="375"/>
        <w:gridCol w:w="563"/>
        <w:gridCol w:w="1311"/>
        <w:gridCol w:w="1345"/>
        <w:gridCol w:w="878"/>
        <w:gridCol w:w="455"/>
        <w:gridCol w:w="1169"/>
        <w:gridCol w:w="1078"/>
      </w:tblGrid>
      <w:tr>
        <w:trPr>
          <w:trHeight w:val="1370" w:hRule="exact"/>
        </w:trPr>
        <w:tc>
          <w:tcPr>
            <w:tcW w:w="93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37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9"/>
              <w:ind w:right="0"/>
              <w:jc w:val="left"/>
              <w:rPr>
                <w:rFonts w:ascii="宋体" w:hAnsi="宋体" w:cs="宋体" w:eastAsia="宋体" w:hint="default"/>
                <w:sz w:val="29"/>
                <w:szCs w:val="29"/>
              </w:rPr>
            </w:pPr>
          </w:p>
          <w:p>
            <w:pPr>
              <w:pStyle w:val="TableParagraph"/>
              <w:spacing w:line="177" w:lineRule="auto"/>
              <w:ind w:left="79" w:right="7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年龄</w:t>
            </w:r>
            <w:r>
              <w:rPr>
                <w:rFonts w:ascii="Microsoft JhengHei" w:hAnsi="Microsoft JhengHei" w:cs="Microsoft JhengHei" w:eastAsia="Microsoft JhengHei" w:hint="default"/>
                <w:sz w:val="21"/>
                <w:szCs w:val="21"/>
              </w:rPr>
            </w:r>
          </w:p>
        </w:tc>
        <w:tc>
          <w:tcPr>
            <w:tcW w:w="1311"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任职日期</w:t>
            </w:r>
            <w:r>
              <w:rPr>
                <w:rFonts w:ascii="Microsoft JhengHei" w:hAnsi="Microsoft JhengHei" w:cs="Microsoft JhengHei" w:eastAsia="Microsoft JhengHei" w:hint="default"/>
                <w:sz w:val="21"/>
                <w:szCs w:val="21"/>
              </w:rPr>
            </w:r>
          </w:p>
        </w:tc>
        <w:tc>
          <w:tcPr>
            <w:tcW w:w="134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年初持股数</w:t>
            </w:r>
            <w:r>
              <w:rPr>
                <w:rFonts w:ascii="Microsoft JhengHei" w:hAnsi="Microsoft JhengHei" w:cs="Microsoft JhengHei" w:eastAsia="Microsoft JhengHei" w:hint="default"/>
                <w:sz w:val="21"/>
                <w:szCs w:val="21"/>
              </w:rPr>
            </w:r>
          </w:p>
        </w:tc>
        <w:tc>
          <w:tcPr>
            <w:tcW w:w="87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9"/>
              <w:ind w:right="0"/>
              <w:jc w:val="left"/>
              <w:rPr>
                <w:rFonts w:ascii="宋体" w:hAnsi="宋体" w:cs="宋体" w:eastAsia="宋体" w:hint="default"/>
                <w:sz w:val="29"/>
                <w:szCs w:val="29"/>
              </w:rPr>
            </w:pPr>
          </w:p>
          <w:p>
            <w:pPr>
              <w:pStyle w:val="TableParagraph"/>
              <w:spacing w:line="177" w:lineRule="auto"/>
              <w:ind w:left="223" w:right="11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股数</w:t>
            </w:r>
            <w:r>
              <w:rPr>
                <w:rFonts w:ascii="Microsoft JhengHei" w:hAnsi="Microsoft JhengHei" w:cs="Microsoft JhengHei" w:eastAsia="Microsoft JhengHei" w:hint="default"/>
                <w:sz w:val="21"/>
                <w:szCs w:val="21"/>
              </w:rPr>
            </w:r>
          </w:p>
        </w:tc>
        <w:tc>
          <w:tcPr>
            <w:tcW w:w="45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180" w:lineRule="auto" w:before="111"/>
              <w:ind w:left="115" w:right="11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动</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原</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因</w:t>
            </w:r>
            <w:r>
              <w:rPr>
                <w:rFonts w:ascii="Microsoft JhengHei" w:hAnsi="Microsoft JhengHei" w:cs="Microsoft JhengHei" w:eastAsia="Microsoft JhengHei"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报告期内从</w:t>
            </w:r>
            <w:r>
              <w:rPr>
                <w:rFonts w:ascii="Microsoft JhengHei" w:hAnsi="Microsoft JhengHei" w:cs="Microsoft JhengHei" w:eastAsia="Microsoft JhengHei" w:hint="default"/>
                <w:sz w:val="21"/>
                <w:szCs w:val="21"/>
              </w:rPr>
            </w:r>
          </w:p>
          <w:p>
            <w:pPr>
              <w:pStyle w:val="TableParagraph"/>
              <w:spacing w:line="180" w:lineRule="auto" w:before="31"/>
              <w:ind w:left="52" w:right="5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公司领取的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报酬总额</w:t>
            </w:r>
            <w:r>
              <w:rPr>
                <w:rFonts w:ascii="Microsoft JhengHei" w:hAnsi="Microsoft JhengHei" w:cs="Microsoft JhengHei" w:eastAsia="Microsoft JhengHei" w:hint="default"/>
                <w:sz w:val="21"/>
                <w:szCs w:val="21"/>
              </w:rPr>
            </w:r>
          </w:p>
          <w:p>
            <w:pPr>
              <w:pStyle w:val="TableParagraph"/>
              <w:spacing w:line="2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（税前）</w:t>
            </w:r>
            <w:r>
              <w:rPr>
                <w:rFonts w:ascii="Microsoft JhengHei" w:hAnsi="Microsoft JhengHei" w:cs="Microsoft JhengHei" w:eastAsia="Microsoft JhengHei" w:hint="default"/>
                <w:sz w:val="21"/>
                <w:szCs w:val="21"/>
              </w:rPr>
            </w:r>
          </w:p>
        </w:tc>
        <w:tc>
          <w:tcPr>
            <w:tcW w:w="107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w:t>
            </w:r>
            <w:r>
              <w:rPr>
                <w:rFonts w:ascii="Microsoft JhengHei" w:hAnsi="Microsoft JhengHei" w:cs="Microsoft JhengHei" w:eastAsia="Microsoft JhengHei" w:hint="default"/>
                <w:sz w:val="21"/>
                <w:szCs w:val="21"/>
              </w:rPr>
            </w:r>
          </w:p>
          <w:p>
            <w:pPr>
              <w:pStyle w:val="TableParagraph"/>
              <w:spacing w:line="180" w:lineRule="auto" w:before="31"/>
              <w:ind w:left="113" w:right="11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东单位或</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其他关联</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单位领取</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薪酬</w:t>
            </w:r>
            <w:r>
              <w:rPr>
                <w:rFonts w:ascii="Microsoft JhengHei" w:hAnsi="Microsoft JhengHei" w:cs="Microsoft JhengHei" w:eastAsia="Microsoft JhengHei" w:hint="default"/>
                <w:sz w:val="21"/>
                <w:szCs w:val="21"/>
              </w:rPr>
            </w:r>
          </w:p>
        </w:tc>
      </w:tr>
      <w:tr>
        <w:trPr>
          <w:trHeight w:val="410" w:hRule="exact"/>
        </w:trPr>
        <w:tc>
          <w:tcPr>
            <w:tcW w:w="9501" w:type="dxa"/>
            <w:gridSpan w:val="10"/>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9"/>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w:t>
            </w:r>
            <w:r>
              <w:rPr>
                <w:rFonts w:ascii="Microsoft JhengHei" w:hAnsi="Microsoft JhengHei" w:cs="Microsoft JhengHei" w:eastAsia="Microsoft JhengHei" w:hint="default"/>
                <w:sz w:val="21"/>
                <w:szCs w:val="21"/>
              </w:rPr>
            </w:r>
          </w:p>
        </w:tc>
      </w:tr>
      <w:tr>
        <w:trPr>
          <w:trHeight w:val="81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47"/>
              <w:jc w:val="right"/>
              <w:rPr>
                <w:rFonts w:ascii="宋体" w:hAnsi="宋体" w:cs="宋体" w:eastAsia="宋体" w:hint="default"/>
                <w:sz w:val="21"/>
                <w:szCs w:val="21"/>
              </w:rPr>
            </w:pPr>
            <w:r>
              <w:rPr>
                <w:rFonts w:ascii="宋体" w:hAnsi="宋体" w:cs="宋体" w:eastAsia="宋体" w:hint="default"/>
                <w:w w:val="95"/>
                <w:sz w:val="21"/>
                <w:szCs w:val="21"/>
              </w:rPr>
              <w:t>陈泰泉</w:t>
            </w:r>
            <w:r>
              <w:rPr>
                <w:rFonts w:ascii="宋体" w:hAnsi="宋体" w:cs="宋体" w:eastAsia="宋体"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董事局主席</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0" w:right="0"/>
              <w:jc w:val="left"/>
              <w:rPr>
                <w:rFonts w:ascii="Times New Roman" w:hAnsi="Times New Roman" w:cs="Times New Roman" w:eastAsia="Times New Roman" w:hint="default"/>
                <w:sz w:val="21"/>
                <w:szCs w:val="21"/>
              </w:rPr>
            </w:pPr>
            <w:r>
              <w:rPr>
                <w:rFonts w:ascii="Times New Roman"/>
                <w:sz w:val="21"/>
              </w:rPr>
              <w:t>2009.6.30</w:t>
            </w:r>
          </w:p>
          <w:p>
            <w:pPr>
              <w:pStyle w:val="TableParagraph"/>
              <w:spacing w:line="240" w:lineRule="auto" w:before="157"/>
              <w:ind w:left="197" w:right="0"/>
              <w:jc w:val="left"/>
              <w:rPr>
                <w:rFonts w:ascii="Times New Roman" w:hAnsi="Times New Roman" w:cs="Times New Roman" w:eastAsia="Times New Roman" w:hint="default"/>
                <w:sz w:val="21"/>
                <w:szCs w:val="21"/>
              </w:rPr>
            </w:pPr>
            <w:r>
              <w:rPr>
                <w:rFonts w:ascii="Times New Roman"/>
                <w:sz w:val="21"/>
              </w:rPr>
              <w:t>-2012.6.30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1</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80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47"/>
              <w:jc w:val="right"/>
              <w:rPr>
                <w:rFonts w:ascii="宋体" w:hAnsi="宋体" w:cs="宋体" w:eastAsia="宋体" w:hint="default"/>
                <w:sz w:val="21"/>
                <w:szCs w:val="21"/>
              </w:rPr>
            </w:pPr>
            <w:r>
              <w:rPr>
                <w:rFonts w:ascii="宋体" w:hAnsi="宋体" w:cs="宋体" w:eastAsia="宋体" w:hint="default"/>
                <w:w w:val="95"/>
                <w:sz w:val="21"/>
                <w:szCs w:val="21"/>
              </w:rPr>
              <w:t>高文清</w:t>
            </w:r>
            <w:r>
              <w:rPr>
                <w:rFonts w:ascii="宋体" w:hAnsi="宋体" w:cs="宋体" w:eastAsia="宋体"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董事局</w:t>
            </w:r>
          </w:p>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常务副主席</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221,483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221,483</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816,196</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7"/>
              <w:jc w:val="right"/>
              <w:rPr>
                <w:rFonts w:ascii="宋体" w:hAnsi="宋体" w:cs="宋体" w:eastAsia="宋体" w:hint="default"/>
                <w:sz w:val="21"/>
                <w:szCs w:val="21"/>
              </w:rPr>
            </w:pPr>
            <w:r>
              <w:rPr>
                <w:rFonts w:ascii="宋体" w:hAnsi="宋体" w:cs="宋体" w:eastAsia="宋体" w:hint="default"/>
                <w:w w:val="95"/>
                <w:sz w:val="21"/>
                <w:szCs w:val="21"/>
              </w:rPr>
              <w:t>颜金辉</w:t>
            </w:r>
            <w:r>
              <w:rPr>
                <w:rFonts w:ascii="宋体" w:hAnsi="宋体" w:cs="宋体" w:eastAsia="宋体"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董事局副主席</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sz w:val="21"/>
              </w:rPr>
              <w:t>135,061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sz w:val="21"/>
              </w:rPr>
              <w:t>135,061</w:t>
            </w:r>
          </w:p>
        </w:tc>
        <w:tc>
          <w:tcPr>
            <w:tcW w:w="45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686,200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1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7"/>
              <w:jc w:val="right"/>
              <w:rPr>
                <w:rFonts w:ascii="宋体" w:hAnsi="宋体" w:cs="宋体" w:eastAsia="宋体" w:hint="default"/>
                <w:sz w:val="21"/>
                <w:szCs w:val="21"/>
              </w:rPr>
            </w:pPr>
            <w:r>
              <w:rPr>
                <w:rFonts w:ascii="宋体" w:hAnsi="宋体" w:cs="宋体" w:eastAsia="宋体" w:hint="default"/>
                <w:sz w:val="21"/>
                <w:szCs w:val="21"/>
              </w:rPr>
              <w:t>周</w:t>
            </w:r>
            <w:r>
              <w:rPr>
                <w:rFonts w:ascii="宋体" w:hAnsi="宋体" w:cs="宋体" w:eastAsia="宋体" w:hint="default"/>
                <w:spacing w:val="1"/>
                <w:sz w:val="21"/>
                <w:szCs w:val="21"/>
              </w:rPr>
              <w:t> </w:t>
            </w:r>
            <w:r>
              <w:rPr>
                <w:rFonts w:ascii="宋体" w:hAnsi="宋体" w:cs="宋体" w:eastAsia="宋体" w:hint="default"/>
                <w:sz w:val="21"/>
                <w:szCs w:val="21"/>
              </w:rPr>
              <w:t>非</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827,334</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47"/>
              <w:jc w:val="right"/>
              <w:rPr>
                <w:rFonts w:ascii="宋体" w:hAnsi="宋体" w:cs="宋体" w:eastAsia="宋体" w:hint="default"/>
                <w:sz w:val="21"/>
                <w:szCs w:val="21"/>
              </w:rPr>
            </w:pPr>
            <w:r>
              <w:rPr>
                <w:rFonts w:ascii="宋体" w:hAnsi="宋体" w:cs="宋体" w:eastAsia="宋体" w:hint="default"/>
                <w:w w:val="95"/>
                <w:sz w:val="21"/>
                <w:szCs w:val="21"/>
              </w:rPr>
              <w:t>郭山清</w:t>
            </w:r>
            <w:r>
              <w:rPr>
                <w:rFonts w:ascii="宋体" w:hAnsi="宋体" w:cs="宋体" w:eastAsia="宋体" w:hint="default"/>
                <w:sz w:val="21"/>
                <w:szCs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2</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bl>
    <w:p>
      <w:pPr>
        <w:spacing w:after="0" w:line="240" w:lineRule="auto"/>
        <w:jc w:val="center"/>
        <w:rPr>
          <w:rFonts w:ascii="Microsoft JhengHei" w:hAnsi="Microsoft JhengHei" w:cs="Microsoft JhengHei" w:eastAsia="Microsoft JhengHei" w:hint="default"/>
          <w:sz w:val="18"/>
          <w:szCs w:val="18"/>
        </w:rPr>
        <w:sectPr>
          <w:footerReference w:type="default" r:id="rId11"/>
          <w:pgSz w:w="11910" w:h="16840"/>
          <w:pgMar w:footer="987" w:header="0" w:top="1580" w:bottom="1180" w:left="1020" w:right="1060"/>
          <w:pgNumType w:start="10"/>
        </w:sectPr>
      </w:pPr>
    </w:p>
    <w:p>
      <w:pPr>
        <w:spacing w:line="240" w:lineRule="auto" w:before="2"/>
        <w:rPr>
          <w:rFonts w:ascii="宋体" w:hAnsi="宋体" w:cs="宋体" w:eastAsia="宋体" w:hint="default"/>
          <w:sz w:val="6"/>
          <w:szCs w:val="6"/>
        </w:rPr>
      </w:pPr>
    </w:p>
    <w:tbl>
      <w:tblPr>
        <w:tblW w:w="0" w:type="auto"/>
        <w:jc w:val="left"/>
        <w:tblInd w:w="292" w:type="dxa"/>
        <w:tblLayout w:type="fixed"/>
        <w:tblCellMar>
          <w:top w:w="0" w:type="dxa"/>
          <w:left w:w="0" w:type="dxa"/>
          <w:bottom w:w="0" w:type="dxa"/>
          <w:right w:w="0" w:type="dxa"/>
        </w:tblCellMar>
        <w:tblLook w:val="01E0"/>
      </w:tblPr>
      <w:tblGrid>
        <w:gridCol w:w="936"/>
        <w:gridCol w:w="1391"/>
        <w:gridCol w:w="375"/>
        <w:gridCol w:w="563"/>
        <w:gridCol w:w="1311"/>
        <w:gridCol w:w="1345"/>
        <w:gridCol w:w="878"/>
        <w:gridCol w:w="453"/>
        <w:gridCol w:w="1171"/>
        <w:gridCol w:w="1078"/>
      </w:tblGrid>
      <w:tr>
        <w:trPr>
          <w:trHeight w:val="51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钟征宇</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3</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贺雪琴</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4</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陈凤娇</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1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何祥增</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120,000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18" w:hRule="exact"/>
        </w:trPr>
        <w:tc>
          <w:tcPr>
            <w:tcW w:w="9501" w:type="dxa"/>
            <w:gridSpan w:val="10"/>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29"/>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46"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677,440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李联添</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44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274,921</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1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61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5"/>
                <w:sz w:val="21"/>
              </w:rPr>
              <w:t>60,000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6</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46"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60,000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7</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21" w:hRule="exact"/>
        </w:trPr>
        <w:tc>
          <w:tcPr>
            <w:tcW w:w="9501" w:type="dxa"/>
            <w:gridSpan w:val="10"/>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29"/>
              <w:ind w:left="24" w:right="0"/>
              <w:jc w:val="left"/>
              <w:rPr>
                <w:rFonts w:ascii="宋体" w:hAnsi="宋体" w:cs="宋体" w:eastAsia="宋体" w:hint="default"/>
                <w:sz w:val="21"/>
                <w:szCs w:val="21"/>
              </w:rPr>
            </w:pPr>
            <w:r>
              <w:rPr>
                <w:rFonts w:ascii="宋体" w:hAnsi="宋体" w:cs="宋体" w:eastAsia="宋体" w:hint="default"/>
                <w:sz w:val="21"/>
                <w:szCs w:val="21"/>
              </w:rPr>
              <w:t>其他高级管理人员</w:t>
            </w:r>
          </w:p>
        </w:tc>
      </w:tr>
      <w:tr>
        <w:trPr>
          <w:trHeight w:val="51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sz w:val="21"/>
              </w:rPr>
              <w:t>199,891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sz w:val="21"/>
              </w:rPr>
              <w:t>199,891</w:t>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758,452</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6"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59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8"/>
              <w:jc w:val="right"/>
              <w:rPr>
                <w:rFonts w:ascii="Times New Roman" w:hAnsi="Times New Roman" w:cs="Times New Roman" w:eastAsia="Times New Roman" w:hint="default"/>
                <w:sz w:val="21"/>
                <w:szCs w:val="21"/>
              </w:rPr>
            </w:pPr>
            <w:r>
              <w:rPr>
                <w:rFonts w:ascii="Times New Roman"/>
                <w:w w:val="95"/>
                <w:sz w:val="21"/>
              </w:rPr>
              <w:t>614,700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0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董事局秘书</w:t>
            </w:r>
          </w:p>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613,960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1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钟</w:t>
            </w:r>
            <w:r>
              <w:rPr>
                <w:rFonts w:ascii="宋体" w:hAnsi="宋体" w:cs="宋体" w:eastAsia="宋体" w:hint="default"/>
                <w:spacing w:val="1"/>
                <w:sz w:val="21"/>
                <w:szCs w:val="21"/>
              </w:rPr>
              <w:t> </w:t>
            </w:r>
            <w:r>
              <w:rPr>
                <w:rFonts w:ascii="宋体" w:hAnsi="宋体" w:cs="宋体" w:eastAsia="宋体" w:hint="default"/>
                <w:sz w:val="21"/>
                <w:szCs w:val="21"/>
              </w:rPr>
              <w:t>民</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271" w:right="265"/>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w w:val="99"/>
                <w:sz w:val="21"/>
                <w:szCs w:val="21"/>
              </w:rPr>
              <w:t> </w:t>
            </w:r>
            <w:r>
              <w:rPr>
                <w:rFonts w:ascii="宋体" w:hAnsi="宋体" w:cs="宋体" w:eastAsia="宋体" w:hint="default"/>
                <w:sz w:val="21"/>
                <w:szCs w:val="21"/>
              </w:rPr>
              <w:t>财务经理</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38"/>
              <w:jc w:val="right"/>
              <w:rPr>
                <w:rFonts w:ascii="宋体" w:hAnsi="宋体" w:cs="宋体" w:eastAsia="宋体" w:hint="default"/>
                <w:sz w:val="21"/>
                <w:szCs w:val="21"/>
              </w:rPr>
            </w:pPr>
            <w:r>
              <w:rPr>
                <w:rFonts w:ascii="宋体" w:hAnsi="宋体" w:cs="宋体" w:eastAsia="宋体" w:hint="default"/>
                <w:sz w:val="21"/>
                <w:szCs w:val="21"/>
              </w:rPr>
              <w:t>同上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613,120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0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杨子宁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2011.12.28</w:t>
            </w:r>
            <w:r>
              <w:rPr>
                <w:rFonts w:ascii="宋体" w:hAnsi="宋体" w:cs="宋体" w:eastAsia="宋体" w:hint="default"/>
                <w:sz w:val="21"/>
                <w:szCs w:val="21"/>
              </w:rPr>
              <w:t>—</w:t>
            </w:r>
          </w:p>
          <w:p>
            <w:pPr>
              <w:pStyle w:val="TableParagraph"/>
              <w:spacing w:line="240" w:lineRule="auto" w:before="159"/>
              <w:ind w:left="3" w:right="0"/>
              <w:jc w:val="center"/>
              <w:rPr>
                <w:rFonts w:ascii="Times New Roman" w:hAnsi="Times New Roman" w:cs="Times New Roman" w:eastAsia="Times New Roman" w:hint="default"/>
                <w:sz w:val="21"/>
                <w:szCs w:val="21"/>
              </w:rPr>
            </w:pPr>
            <w:r>
              <w:rPr>
                <w:rFonts w:ascii="Times New Roman"/>
                <w:sz w:val="21"/>
              </w:rPr>
              <w:t>2012.6.30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3"/>
                <w:sz w:val="18"/>
                <w:szCs w:val="18"/>
              </w:rPr>
              <w:t>8</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81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黄旭辉</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0" w:right="0"/>
              <w:jc w:val="left"/>
              <w:rPr>
                <w:rFonts w:ascii="Times New Roman" w:hAnsi="Times New Roman" w:cs="Times New Roman" w:eastAsia="Times New Roman" w:hint="default"/>
                <w:sz w:val="21"/>
                <w:szCs w:val="21"/>
              </w:rPr>
            </w:pPr>
            <w:r>
              <w:rPr>
                <w:rFonts w:ascii="Times New Roman"/>
                <w:sz w:val="21"/>
              </w:rPr>
              <w:t>2009.6.30</w:t>
            </w:r>
          </w:p>
          <w:p>
            <w:pPr>
              <w:pStyle w:val="TableParagraph"/>
              <w:spacing w:line="240" w:lineRule="auto" w:before="157"/>
              <w:ind w:left="197" w:right="0"/>
              <w:jc w:val="left"/>
              <w:rPr>
                <w:rFonts w:ascii="Times New Roman" w:hAnsi="Times New Roman" w:cs="Times New Roman" w:eastAsia="Times New Roman" w:hint="default"/>
                <w:sz w:val="21"/>
                <w:szCs w:val="21"/>
              </w:rPr>
            </w:pPr>
            <w:r>
              <w:rPr>
                <w:rFonts w:ascii="Times New Roman"/>
                <w:sz w:val="21"/>
              </w:rPr>
              <w:t>-2012.6.30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473,236</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0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于银彪</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2010.3.24</w:t>
            </w:r>
            <w:r>
              <w:rPr>
                <w:rFonts w:ascii="宋体" w:hAnsi="宋体" w:cs="宋体" w:eastAsia="宋体" w:hint="default"/>
                <w:sz w:val="21"/>
                <w:szCs w:val="21"/>
              </w:rPr>
              <w:t>—</w:t>
            </w:r>
          </w:p>
          <w:p>
            <w:pPr>
              <w:pStyle w:val="TableParagraph"/>
              <w:spacing w:line="240" w:lineRule="auto" w:before="159"/>
              <w:ind w:left="3" w:right="0"/>
              <w:jc w:val="center"/>
              <w:rPr>
                <w:rFonts w:ascii="Times New Roman" w:hAnsi="Times New Roman" w:cs="Times New Roman" w:eastAsia="Times New Roman" w:hint="default"/>
                <w:sz w:val="21"/>
                <w:szCs w:val="21"/>
              </w:rPr>
            </w:pPr>
            <w:r>
              <w:rPr>
                <w:rFonts w:ascii="Times New Roman"/>
                <w:sz w:val="21"/>
              </w:rPr>
              <w:t>2012.6.30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45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450,535</w:t>
            </w:r>
            <w:r>
              <w:rPr>
                <w:rFonts w:ascii="Times New Roman"/>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300" w:lineRule="exact" w:before="2"/>
        <w:ind w:left="1531" w:right="107" w:hanging="131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5"/>
          <w:sz w:val="18"/>
          <w:szCs w:val="18"/>
        </w:rPr>
        <w:t> </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6</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7</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8</w:t>
      </w:r>
      <w:r>
        <w:rPr>
          <w:rFonts w:ascii="Microsoft JhengHei" w:hAnsi="Microsoft JhengHei" w:cs="Microsoft JhengHei" w:eastAsia="Microsoft JhengHei" w:hint="default"/>
          <w:b/>
          <w:bCs/>
          <w:sz w:val="18"/>
          <w:szCs w:val="18"/>
        </w:rPr>
        <w:t>：董事陈泰泉、郭山清、钟征宇、监事陈昌华、张育新、副总裁杨子宁均在公司第一大股东之控股股东单</w:t>
      </w:r>
      <w:r>
        <w:rPr>
          <w:rFonts w:ascii="Microsoft JhengHei" w:hAnsi="Microsoft JhengHei" w:cs="Microsoft JhengHei" w:eastAsia="Microsoft JhengHei" w:hint="default"/>
          <w:b/>
          <w:bCs/>
          <w:w w:val="100"/>
          <w:sz w:val="18"/>
          <w:szCs w:val="18"/>
        </w:rPr>
        <w:t> </w:t>
      </w:r>
      <w:r>
        <w:rPr>
          <w:rFonts w:ascii="Microsoft JhengHei" w:hAnsi="Microsoft JhengHei" w:cs="Microsoft JhengHei" w:eastAsia="Microsoft JhengHei" w:hint="default"/>
          <w:b/>
          <w:bCs/>
          <w:sz w:val="18"/>
          <w:szCs w:val="18"/>
        </w:rPr>
        <w:t>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中国宝安集团股份有限公司领薪。</w:t>
      </w:r>
      <w:r>
        <w:rPr>
          <w:rFonts w:ascii="Microsoft JhengHei" w:hAnsi="Microsoft JhengHei" w:cs="Microsoft JhengHei" w:eastAsia="Microsoft JhengHei" w:hint="default"/>
          <w:sz w:val="18"/>
          <w:szCs w:val="18"/>
        </w:rPr>
      </w:r>
    </w:p>
    <w:p>
      <w:pPr>
        <w:spacing w:line="286" w:lineRule="exact" w:before="0"/>
        <w:ind w:left="215" w:right="10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23"/>
          <w:sz w:val="18"/>
          <w:szCs w:val="18"/>
        </w:rPr>
        <w:t> </w:t>
      </w: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：董事贺雪琴先生在公司第一大股东之控股子公司领薪。</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215" w:right="107"/>
        <w:jc w:val="left"/>
        <w:rPr>
          <w:rFonts w:ascii="宋体" w:hAnsi="宋体" w:cs="宋体" w:eastAsia="宋体" w:hint="default"/>
        </w:rPr>
      </w:pPr>
      <w:r>
        <w:rPr>
          <w:rFonts w:ascii="宋体" w:hAnsi="宋体" w:cs="宋体" w:eastAsia="宋体" w:hint="default"/>
        </w:rPr>
        <w:t>（二）截止报告期末，公司现任董事、监事、高级管理人员在股东单位任职情况</w:t>
      </w:r>
    </w:p>
    <w:p>
      <w:pPr>
        <w:spacing w:line="240" w:lineRule="auto" w:before="6"/>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35"/>
        <w:gridCol w:w="3602"/>
        <w:gridCol w:w="2702"/>
      </w:tblGrid>
      <w:tr>
        <w:trPr>
          <w:trHeight w:val="394" w:hRule="exact"/>
        </w:trPr>
        <w:tc>
          <w:tcPr>
            <w:tcW w:w="15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left="3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董事任职</w:t>
            </w:r>
            <w:r>
              <w:rPr>
                <w:rFonts w:ascii="Microsoft JhengHei" w:hAnsi="Microsoft JhengHei" w:cs="Microsoft JhengHei" w:eastAsia="Microsoft JhengHei" w:hint="default"/>
                <w:sz w:val="21"/>
                <w:szCs w:val="21"/>
              </w:rPr>
            </w:r>
          </w:p>
        </w:tc>
        <w:tc>
          <w:tcPr>
            <w:tcW w:w="36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27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bl>
    <w:p>
      <w:pPr>
        <w:spacing w:after="0" w:line="341" w:lineRule="exact"/>
        <w:jc w:val="center"/>
        <w:rPr>
          <w:rFonts w:ascii="Microsoft JhengHei" w:hAnsi="Microsoft JhengHei" w:cs="Microsoft JhengHei" w:eastAsia="Microsoft JhengHei" w:hint="default"/>
          <w:sz w:val="21"/>
          <w:szCs w:val="21"/>
        </w:rPr>
        <w:sectPr>
          <w:pgSz w:w="11910" w:h="16840"/>
          <w:pgMar w:header="0" w:footer="987" w:top="1320" w:bottom="1200" w:left="920" w:right="960"/>
        </w:sectPr>
      </w:pPr>
    </w:p>
    <w:p>
      <w:pPr>
        <w:spacing w:line="240" w:lineRule="auto" w:before="1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535"/>
        <w:gridCol w:w="3602"/>
        <w:gridCol w:w="2702"/>
      </w:tblGrid>
      <w:tr>
        <w:trPr>
          <w:trHeight w:val="461"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bookmarkStart w:name="二、年度报酬情况" w:id="9"/>
            <w:bookmarkEnd w:id="9"/>
            <w:r>
              <w:rPr/>
            </w:r>
            <w:bookmarkStart w:name="三、现任董事、监事及其他高级管理人员的主要工作经历：" w:id="10"/>
            <w:bookmarkEnd w:id="10"/>
            <w:r>
              <w:rPr/>
            </w:r>
            <w:r>
              <w:rPr>
                <w:rFonts w:ascii="宋体" w:hAnsi="宋体" w:cs="宋体" w:eastAsia="宋体" w:hint="default"/>
                <w:sz w:val="18"/>
                <w:szCs w:val="18"/>
              </w:rPr>
              <w:t>钟征宇</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法定代表人、董事长、总经理</w:t>
            </w:r>
          </w:p>
        </w:tc>
      </w:tr>
      <w:tr>
        <w:trPr>
          <w:trHeight w:val="370"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高文清</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370"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颜金辉</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396" w:hRule="exact"/>
        </w:trPr>
        <w:tc>
          <w:tcPr>
            <w:tcW w:w="15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高管任职</w:t>
            </w:r>
            <w:r>
              <w:rPr>
                <w:rFonts w:ascii="Microsoft JhengHei" w:hAnsi="Microsoft JhengHei" w:cs="Microsoft JhengHei" w:eastAsia="Microsoft JhengHei" w:hint="default"/>
                <w:sz w:val="21"/>
                <w:szCs w:val="21"/>
              </w:rPr>
            </w:r>
          </w:p>
        </w:tc>
        <w:tc>
          <w:tcPr>
            <w:tcW w:w="36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4"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27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394"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罗伟光</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r>
    </w:tbl>
    <w:p>
      <w:pPr>
        <w:spacing w:line="240" w:lineRule="auto" w:before="8"/>
        <w:rPr>
          <w:rFonts w:ascii="宋体" w:hAnsi="宋体" w:cs="宋体" w:eastAsia="宋体" w:hint="default"/>
          <w:sz w:val="18"/>
          <w:szCs w:val="18"/>
        </w:rPr>
      </w:pPr>
    </w:p>
    <w:p>
      <w:pPr>
        <w:pStyle w:val="Heading4"/>
        <w:spacing w:line="240" w:lineRule="auto" w:before="26"/>
        <w:ind w:left="215" w:right="190"/>
        <w:jc w:val="left"/>
      </w:pPr>
      <w:r>
        <w:rPr/>
        <w:t>二、年度报酬情况</w:t>
      </w:r>
    </w:p>
    <w:p>
      <w:pPr>
        <w:spacing w:line="240" w:lineRule="auto" w:before="13"/>
        <w:rPr>
          <w:rFonts w:ascii="宋体" w:hAnsi="宋体" w:cs="宋体" w:eastAsia="宋体" w:hint="default"/>
          <w:sz w:val="25"/>
          <w:szCs w:val="25"/>
        </w:rPr>
      </w:pPr>
    </w:p>
    <w:p>
      <w:pPr>
        <w:pStyle w:val="BodyText"/>
        <w:spacing w:line="345" w:lineRule="auto"/>
        <w:ind w:left="639" w:right="190" w:hanging="424"/>
        <w:jc w:val="left"/>
        <w:rPr>
          <w:rFonts w:ascii="Times New Roman" w:hAnsi="Times New Roman" w:cs="Times New Roman" w:eastAsia="Times New Roman" w:hint="default"/>
        </w:rPr>
      </w:pPr>
      <w:r>
        <w:rPr>
          <w:rFonts w:ascii="宋体" w:hAnsi="宋体" w:cs="宋体" w:eastAsia="宋体" w:hint="default"/>
        </w:rPr>
        <w:t>（一）董事、监事和高级管理人员在公司领取报酬的决策程序、报酬确定依据</w:t>
      </w:r>
      <w:r>
        <w:rPr>
          <w:rFonts w:ascii="宋体" w:hAnsi="宋体" w:cs="宋体" w:eastAsia="宋体" w:hint="default"/>
          <w:spacing w:val="-95"/>
        </w:rPr>
        <w:t> </w:t>
      </w:r>
      <w:r>
        <w:rPr>
          <w:rFonts w:ascii="宋体" w:hAnsi="宋体" w:cs="宋体" w:eastAsia="宋体" w:hint="default"/>
          <w:spacing w:val="-95"/>
        </w:rPr>
      </w:r>
      <w:r>
        <w:rPr>
          <w:spacing w:val="-3"/>
          <w:w w:val="99"/>
        </w:rPr>
        <w:t>公司董事（含独立董事）、监事津贴由公司股东大会审议决定；</w:t>
      </w:r>
      <w:r>
        <w:rPr>
          <w:w w:val="99"/>
        </w:rPr>
        <w:t> </w:t>
      </w:r>
      <w:r>
        <w:rPr>
          <w:spacing w:val="2"/>
        </w:rPr>
        <w:t>根据《公司薪酬制度》规定，公司高管实行年薪制，年薪主要包含固定部分、浮动部分（职务年薪</w:t>
      </w:r>
      <w:r>
        <w:rPr>
          <w:rFonts w:ascii="Times New Roman" w:hAnsi="Times New Roman" w:cs="Times New Roman" w:eastAsia="Times New Roman" w:hint="default"/>
          <w:spacing w:val="2"/>
        </w:rPr>
        <w:t>+</w:t>
      </w:r>
    </w:p>
    <w:p>
      <w:pPr>
        <w:pStyle w:val="BodyText"/>
        <w:spacing w:line="350" w:lineRule="auto" w:before="5"/>
        <w:ind w:left="215" w:right="203"/>
        <w:jc w:val="both"/>
      </w:pPr>
      <w:r>
        <w:rPr>
          <w:spacing w:val="-4"/>
          <w:w w:val="99"/>
        </w:rPr>
        <w:t>绩效年薪）、附加部分（交通及通讯补贴）；固定部分、职务年薪、附加部分按月发放。绩效年薪按月预提</w:t>
      </w:r>
      <w:r>
        <w:rPr>
          <w:w w:val="99"/>
        </w:rPr>
        <w:t> 后根据年终考核结果一次性发放。根据高级管理人员的年度《绩效责任书》，董事局薪酬与考核委员会分</w:t>
      </w:r>
      <w:r>
        <w:rPr>
          <w:spacing w:val="-99"/>
          <w:w w:val="99"/>
        </w:rPr>
        <w:t> </w:t>
      </w:r>
      <w:r>
        <w:rPr>
          <w:spacing w:val="-99"/>
          <w:w w:val="99"/>
        </w:rPr>
      </w:r>
      <w:r>
        <w:rPr/>
        <w:t>别于年中、年末对高管进行了考核，根据高管填报的绩效考核相关资料及述职报告，加权汇总高管自我评</w:t>
      </w:r>
      <w:r>
        <w:rPr>
          <w:w w:val="99"/>
        </w:rPr>
        <w:t> </w:t>
      </w:r>
      <w:r>
        <w:rPr/>
        <w:t>分与总裁、董事、董事局主席考核评分最终确定绩效考核系数，作为高管年终绩效年薪的发放依据。</w:t>
      </w:r>
    </w:p>
    <w:p>
      <w:pPr>
        <w:pStyle w:val="BodyText"/>
        <w:spacing w:line="273" w:lineRule="exact"/>
        <w:ind w:left="215" w:right="190"/>
        <w:jc w:val="left"/>
        <w:rPr>
          <w:rFonts w:ascii="宋体" w:hAnsi="宋体" w:cs="宋体" w:eastAsia="宋体" w:hint="default"/>
        </w:rPr>
      </w:pPr>
      <w:r>
        <w:rPr>
          <w:rFonts w:ascii="宋体" w:hAnsi="宋体" w:cs="宋体" w:eastAsia="宋体" w:hint="default"/>
        </w:rPr>
        <w:t>（二）现任董事、监事和高级管理人员的年度报酬总额</w:t>
      </w:r>
    </w:p>
    <w:p>
      <w:pPr>
        <w:pStyle w:val="BodyText"/>
        <w:spacing w:line="240" w:lineRule="auto" w:before="116"/>
        <w:ind w:left="639" w:right="190"/>
        <w:jc w:val="left"/>
      </w:pPr>
      <w:r>
        <w:rPr/>
        <w:t>现任董事、监事和高级管理人员的年度报酬总额是</w:t>
      </w:r>
      <w:r>
        <w:rPr>
          <w:spacing w:val="-52"/>
        </w:rPr>
        <w:t> </w:t>
      </w:r>
      <w:r>
        <w:rPr>
          <w:rFonts w:ascii="Times New Roman" w:hAnsi="Times New Roman" w:cs="Times New Roman" w:eastAsia="Times New Roman" w:hint="default"/>
        </w:rPr>
        <w:t>7,886,094</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3"/>
          <w:szCs w:val="23"/>
        </w:rPr>
      </w:pPr>
    </w:p>
    <w:p>
      <w:pPr>
        <w:pStyle w:val="Heading4"/>
        <w:spacing w:line="240" w:lineRule="auto"/>
        <w:ind w:left="215" w:right="190"/>
        <w:jc w:val="left"/>
      </w:pPr>
      <w:r>
        <w:rPr/>
        <w:t>三、现任董事、监事及其他高级管理人员的主要工作经历：</w:t>
      </w:r>
    </w:p>
    <w:p>
      <w:pPr>
        <w:spacing w:line="240" w:lineRule="auto" w:before="13"/>
        <w:rPr>
          <w:rFonts w:ascii="宋体" w:hAnsi="宋体" w:cs="宋体" w:eastAsia="宋体" w:hint="default"/>
          <w:sz w:val="25"/>
          <w:szCs w:val="25"/>
        </w:rPr>
      </w:pPr>
    </w:p>
    <w:p>
      <w:pPr>
        <w:pStyle w:val="BodyText"/>
        <w:spacing w:line="240" w:lineRule="auto"/>
        <w:ind w:left="215" w:right="190"/>
        <w:jc w:val="left"/>
        <w:rPr>
          <w:rFonts w:ascii="宋体" w:hAnsi="宋体" w:cs="宋体" w:eastAsia="宋体" w:hint="default"/>
        </w:rPr>
      </w:pPr>
      <w:r>
        <w:rPr>
          <w:rFonts w:ascii="宋体" w:hAnsi="宋体" w:cs="宋体" w:eastAsia="宋体" w:hint="default"/>
        </w:rPr>
        <w:t>（一）董事局成员</w:t>
      </w:r>
    </w:p>
    <w:p>
      <w:pPr>
        <w:pStyle w:val="BodyText"/>
        <w:spacing w:line="343" w:lineRule="auto" w:before="116"/>
        <w:ind w:left="215" w:right="205" w:firstLine="423"/>
        <w:jc w:val="both"/>
      </w:pPr>
      <w:r>
        <w:rPr>
          <w:rFonts w:ascii="Times New Roman" w:hAnsi="Times New Roman" w:cs="Times New Roman" w:eastAsia="Times New Roman" w:hint="default"/>
        </w:rPr>
        <w:t>1</w:t>
      </w:r>
      <w:r>
        <w:rPr/>
        <w:t>、陈泰泉：公司第六届董事局主席。男，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2</w:t>
      </w:r>
      <w:r>
        <w:rPr/>
        <w:t>月出生，研究生学历，中国民主建国会会员、深圳</w:t>
      </w:r>
      <w:r>
        <w:rPr>
          <w:w w:val="99"/>
        </w:rPr>
        <w:t> </w:t>
      </w:r>
      <w:r>
        <w:rPr/>
        <w:t>市人民检察院特约检查员、深圳市企业联合会副会长、民建深圳市委副主委、民建广东省委常委，深圳市</w:t>
      </w:r>
      <w:r>
        <w:rPr>
          <w:w w:val="99"/>
        </w:rPr>
        <w:t> </w:t>
      </w:r>
      <w:r>
        <w:rPr/>
        <w:t>人大常委。现兼任中国宝安集团股份有限公司（以下简称“宝安集团”）董事局常务副主席、执行总裁。</w:t>
      </w:r>
      <w:r>
        <w:rPr>
          <w:w w:val="88"/>
        </w:rPr>
        <w:t> </w:t>
      </w:r>
      <w:r>
        <w:rPr/>
        <w:t>曾任宝安集团总裁助理、执行副总裁等职务。</w:t>
      </w:r>
    </w:p>
    <w:p>
      <w:pPr>
        <w:pStyle w:val="BodyText"/>
        <w:spacing w:line="338" w:lineRule="auto" w:before="35"/>
        <w:ind w:left="215" w:right="100" w:firstLine="423"/>
        <w:jc w:val="both"/>
      </w:pPr>
      <w:r>
        <w:rPr>
          <w:rFonts w:ascii="Times New Roman" w:hAnsi="Times New Roman" w:cs="Times New Roman" w:eastAsia="Times New Roman" w:hint="default"/>
        </w:rPr>
        <w:t>2</w:t>
      </w:r>
      <w:r>
        <w:rPr/>
        <w:t>、高文清：公司第六届董事局董事局常务副主席。男，</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4</w:t>
      </w:r>
      <w:r>
        <w:rPr/>
        <w:t>月出生，大专学历，经济师，中共党</w:t>
      </w:r>
      <w:r>
        <w:rPr>
          <w:w w:val="99"/>
        </w:rPr>
        <w:t> </w:t>
      </w:r>
      <w:r>
        <w:rPr/>
        <w:t>员。现兼任深圳市东鸿信投资发展有限公司董事、深圳市新鸿泰投资发展有限公司董事，曾任公司董事兼</w:t>
      </w:r>
      <w:r>
        <w:rPr>
          <w:w w:val="99"/>
        </w:rPr>
        <w:t> </w:t>
      </w:r>
      <w:r>
        <w:rPr>
          <w:spacing w:val="-2"/>
          <w:w w:val="95"/>
        </w:rPr>
        <w:t>副总裁、总裁，深圳市东鸿信投资发展有限公司监事、深圳市迅达汽车运输企业公司车队长、经理等职务。</w:t>
      </w:r>
      <w:r>
        <w:rPr>
          <w:spacing w:val="-2"/>
        </w:rPr>
      </w:r>
    </w:p>
    <w:p>
      <w:pPr>
        <w:pStyle w:val="BodyText"/>
        <w:spacing w:line="345" w:lineRule="auto" w:before="40"/>
        <w:ind w:left="215" w:right="204" w:firstLine="423"/>
        <w:jc w:val="both"/>
      </w:pPr>
      <w:r>
        <w:rPr>
          <w:rFonts w:ascii="Times New Roman" w:hAnsi="Times New Roman" w:cs="Times New Roman" w:eastAsia="Times New Roman" w:hint="default"/>
        </w:rPr>
        <w:t>3</w:t>
      </w:r>
      <w:r>
        <w:rPr/>
        <w:t>、周非：公司第六届董事局董事、总裁。女，</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4</w:t>
      </w:r>
      <w:r>
        <w:rPr/>
        <w:t>月出生，大学本科学历，高级工程师，中共党</w:t>
      </w:r>
      <w:r>
        <w:rPr>
          <w:w w:val="99"/>
        </w:rPr>
        <w:t> </w:t>
      </w:r>
      <w:r>
        <w:rPr/>
        <w:t>员。现兼任公司控股子公司——深圳市鸿基房地产有限公司、深圳市龙岗鸿基房地产开发有限公司、深圳</w:t>
      </w:r>
      <w:r>
        <w:rPr>
          <w:w w:val="99"/>
        </w:rPr>
        <w:t> </w:t>
      </w:r>
      <w:r>
        <w:rPr/>
        <w:t>市龙岗鸿基发展有限公司董事，西安深鸿基房地产开发有限公司董事，陕西宝安鸿基房地产开发有限公司</w:t>
      </w:r>
      <w:r>
        <w:rPr>
          <w:w w:val="99"/>
        </w:rPr>
        <w:t> </w:t>
      </w:r>
      <w:r>
        <w:rPr>
          <w:spacing w:val="-2"/>
          <w:w w:val="98"/>
        </w:rPr>
        <w:t>董事，安徽鸿基房地产开发有限公司法定代表人、董事长。曾任宝安集团海南公司总经理助理、副总经理、</w:t>
      </w:r>
      <w:r>
        <w:rPr>
          <w:spacing w:val="-90"/>
          <w:w w:val="98"/>
        </w:rPr>
        <w:t> </w:t>
      </w:r>
      <w:r>
        <w:rPr>
          <w:spacing w:val="-90"/>
          <w:w w:val="98"/>
        </w:rPr>
      </w:r>
      <w:r>
        <w:rPr/>
        <w:t>常务副总经理，宝安集团地产开发部部长助理、副部长、规划设计总监等职务。</w:t>
      </w:r>
    </w:p>
    <w:p>
      <w:pPr>
        <w:pStyle w:val="BodyText"/>
        <w:spacing w:line="331" w:lineRule="auto" w:before="31"/>
        <w:ind w:left="215" w:right="205" w:firstLine="423"/>
        <w:jc w:val="both"/>
      </w:pPr>
      <w:r>
        <w:rPr>
          <w:rFonts w:ascii="Times New Roman" w:hAnsi="Times New Roman" w:cs="Times New Roman" w:eastAsia="Times New Roman" w:hint="default"/>
        </w:rPr>
        <w:t>4</w:t>
      </w:r>
      <w:r>
        <w:rPr/>
        <w:t>、郭山清：公司第六届董事局董事。男，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月出生，研究生学历，高级经营师，中共党员。现</w:t>
      </w:r>
      <w:r>
        <w:rPr>
          <w:w w:val="99"/>
        </w:rPr>
        <w:t> </w:t>
      </w:r>
      <w:r>
        <w:rPr/>
        <w:t>兼任宝安集团资产管理部总经理，武汉马应龙药业集团股份有限公司董事，深圳云海通讯股份有限公司董</w:t>
      </w:r>
    </w:p>
    <w:p>
      <w:pPr>
        <w:spacing w:after="0" w:line="331" w:lineRule="auto"/>
        <w:jc w:val="both"/>
        <w:sectPr>
          <w:pgSz w:w="11910" w:h="16840"/>
          <w:pgMar w:header="0" w:footer="987" w:top="1320" w:bottom="1200" w:left="920" w:right="900"/>
        </w:sectPr>
      </w:pPr>
    </w:p>
    <w:p>
      <w:pPr>
        <w:pStyle w:val="BodyText"/>
        <w:spacing w:line="348" w:lineRule="auto" w:before="14"/>
        <w:ind w:right="111"/>
        <w:jc w:val="left"/>
      </w:pPr>
      <w:r>
        <w:rPr/>
        <w:t>事。曾任深圳市安信财务公司调研部副总经理、武汉马应龙药业集团股份有限公司财务总监、宝安集团生</w:t>
      </w:r>
      <w:r>
        <w:rPr>
          <w:w w:val="99"/>
        </w:rPr>
        <w:t> </w:t>
      </w:r>
      <w:r>
        <w:rPr/>
        <w:t>物医药事业部副部长兼唐人药业公司常务副总经理、宝安集团资产管理部常务副部长等职务。</w:t>
      </w:r>
    </w:p>
    <w:p>
      <w:pPr>
        <w:pStyle w:val="BodyText"/>
        <w:spacing w:line="343" w:lineRule="auto" w:before="31"/>
        <w:ind w:right="125" w:firstLine="423"/>
        <w:jc w:val="both"/>
      </w:pPr>
      <w:r>
        <w:rPr>
          <w:rFonts w:ascii="Times New Roman" w:hAnsi="Times New Roman" w:cs="Times New Roman" w:eastAsia="Times New Roman" w:hint="default"/>
        </w:rPr>
        <w:t>5</w:t>
      </w:r>
      <w:r>
        <w:rPr/>
        <w:t>、钟征宇：公司第六届董事局董事。男，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月出生，研究生学历。现兼任宝安集团副总裁、财</w:t>
      </w:r>
      <w:r>
        <w:rPr>
          <w:w w:val="99"/>
        </w:rPr>
        <w:t> </w:t>
      </w:r>
      <w:r>
        <w:rPr/>
        <w:t>务总监、金融部总经理，中国宝安集团控股有限公司法定代表人、董事长、总经理。曾任深圳市上步建行</w:t>
      </w:r>
      <w:r>
        <w:rPr>
          <w:w w:val="99"/>
        </w:rPr>
        <w:t> </w:t>
      </w:r>
      <w:r>
        <w:rPr/>
        <w:t>信贷主管、恒安房地产公司副总经理、宝安集团金融部副部长、金融部部长、金融总监、总裁助理，深圳</w:t>
      </w:r>
      <w:r>
        <w:rPr>
          <w:w w:val="99"/>
        </w:rPr>
        <w:t> </w:t>
      </w:r>
      <w:r>
        <w:rPr/>
        <w:t>市利必得投资公司副总经理等职务。</w:t>
      </w:r>
    </w:p>
    <w:p>
      <w:pPr>
        <w:pStyle w:val="BodyText"/>
        <w:spacing w:line="343" w:lineRule="auto" w:before="35"/>
        <w:ind w:right="125" w:firstLine="423"/>
        <w:jc w:val="both"/>
      </w:pPr>
      <w:r>
        <w:rPr>
          <w:rFonts w:ascii="Times New Roman" w:hAnsi="Times New Roman" w:cs="Times New Roman" w:eastAsia="Times New Roman" w:hint="default"/>
        </w:rPr>
        <w:t>6</w:t>
      </w:r>
      <w:r>
        <w:rPr/>
        <w:t>、贺雪琴：公司第六届董事局董事。男，</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月出生，本科学历，经济师，中共党员。现兼任</w:t>
      </w:r>
      <w:r>
        <w:rPr>
          <w:w w:val="99"/>
        </w:rPr>
        <w:t> </w:t>
      </w:r>
      <w:r>
        <w:rPr/>
        <w:t>深圳市贝特瑞新能源材料股份有限公司法定代表人、董事长。曾任宝安集团资产经营部高级项目经理、部</w:t>
      </w:r>
      <w:r>
        <w:rPr>
          <w:w w:val="99"/>
        </w:rPr>
        <w:t> </w:t>
      </w:r>
      <w:r>
        <w:rPr/>
        <w:t>长助理、副部长、宝安集团创新科技园有限公司副总经理、深圳市宝安电子研究所办公室副主任、厦门龙</w:t>
      </w:r>
      <w:r>
        <w:rPr>
          <w:w w:val="99"/>
        </w:rPr>
        <w:t> </w:t>
      </w:r>
      <w:r>
        <w:rPr/>
        <w:t>舟实业集团股份有限公司总经理助理、深圳市运通物实业有限公司副总经理等职务。</w:t>
      </w:r>
    </w:p>
    <w:p>
      <w:pPr>
        <w:pStyle w:val="BodyText"/>
        <w:spacing w:line="343" w:lineRule="auto" w:before="33"/>
        <w:ind w:right="125" w:firstLine="423"/>
        <w:jc w:val="both"/>
      </w:pPr>
      <w:r>
        <w:rPr>
          <w:rFonts w:ascii="Times New Roman" w:hAnsi="Times New Roman" w:cs="Times New Roman" w:eastAsia="Times New Roman" w:hint="default"/>
          <w:w w:val="95"/>
        </w:rPr>
        <w:t>7</w:t>
      </w:r>
      <w:r>
        <w:rPr>
          <w:w w:val="95"/>
        </w:rPr>
        <w:t>、颜金辉：公司第六届董事局副主席。男，</w:t>
      </w:r>
      <w:r>
        <w:rPr>
          <w:rFonts w:ascii="Times New Roman" w:hAnsi="Times New Roman" w:cs="Times New Roman" w:eastAsia="Times New Roman" w:hint="default"/>
          <w:w w:val="95"/>
        </w:rPr>
        <w:t>1954</w:t>
      </w:r>
      <w:r>
        <w:rPr>
          <w:w w:val="95"/>
        </w:rPr>
        <w:t>年</w:t>
      </w:r>
      <w:r>
        <w:rPr>
          <w:rFonts w:ascii="Times New Roman" w:hAnsi="Times New Roman" w:cs="Times New Roman" w:eastAsia="Times New Roman" w:hint="default"/>
          <w:w w:val="95"/>
        </w:rPr>
        <w:t>1</w:t>
      </w:r>
      <w:r>
        <w:rPr>
          <w:w w:val="95"/>
        </w:rPr>
        <w:t>月出生，大专学历，经济师，中共党员。现兼任</w:t>
      </w:r>
      <w:r>
        <w:rPr>
          <w:spacing w:val="-77"/>
          <w:w w:val="95"/>
        </w:rPr>
        <w:t> </w:t>
      </w:r>
      <w:r>
        <w:rPr>
          <w:spacing w:val="-77"/>
          <w:w w:val="95"/>
        </w:rPr>
      </w:r>
      <w:r>
        <w:rPr/>
        <w:t>深圳市东鸿信投资发展有限公司法定代表人、董事长，深圳市新鸿泰投资发展有限公司法定代表人、董事</w:t>
      </w:r>
      <w:r>
        <w:rPr>
          <w:w w:val="99"/>
        </w:rPr>
        <w:t> </w:t>
      </w:r>
      <w:r>
        <w:rPr/>
        <w:t>长，深圳市鸿丰（集团）有限公司法定代表人、董事长、总经理，曾任公司董事兼副总裁，深圳市深运工</w:t>
      </w:r>
      <w:r>
        <w:rPr>
          <w:w w:val="99"/>
        </w:rPr>
        <w:t> </w:t>
      </w:r>
      <w:r>
        <w:rPr/>
        <w:t>贸企业有限公司董事长、总经理，深圳市东鸿信投资发展有限公司董事等职务。</w:t>
      </w:r>
    </w:p>
    <w:p>
      <w:pPr>
        <w:pStyle w:val="BodyText"/>
        <w:spacing w:line="343" w:lineRule="auto" w:before="35"/>
        <w:ind w:right="104" w:firstLine="423"/>
        <w:jc w:val="right"/>
      </w:pPr>
      <w:r>
        <w:rPr>
          <w:rFonts w:ascii="Times New Roman" w:hAnsi="Times New Roman" w:cs="Times New Roman" w:eastAsia="Times New Roman" w:hint="default"/>
        </w:rPr>
        <w:t>8</w:t>
      </w:r>
      <w:r>
        <w:rPr/>
        <w:t>、陈凤娇：公司第六届董事局独立董事。女，</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月出生，博士研究生学历，注册会计师、注</w:t>
      </w:r>
      <w:r>
        <w:rPr>
          <w:w w:val="99"/>
        </w:rPr>
        <w:t> </w:t>
      </w:r>
      <w:r>
        <w:rPr>
          <w:spacing w:val="-2"/>
          <w:w w:val="98"/>
        </w:rPr>
        <w:t>册税务师、会计师。现兼任深圳市泓兴会计师事务所所长，北海国发海洋生物产业股份有限公司独立董事，</w:t>
      </w:r>
      <w:r>
        <w:rPr>
          <w:w w:val="49"/>
        </w:rPr>
        <w:t> </w:t>
      </w:r>
      <w:r>
        <w:rPr>
          <w:w w:val="95"/>
        </w:rPr>
        <w:t>广东省现代服务业专家工作委员会委员，深圳市专家工作联合会金融业专家工作委员会委员，取得深圳市</w:t>
      </w:r>
      <w:r>
        <w:rPr>
          <w:spacing w:val="38"/>
          <w:w w:val="95"/>
        </w:rPr>
        <w:t> </w:t>
      </w:r>
      <w:r>
        <w:rPr>
          <w:spacing w:val="38"/>
          <w:w w:val="95"/>
        </w:rPr>
      </w:r>
      <w:r>
        <w:rPr>
          <w:w w:val="95"/>
        </w:rPr>
        <w:t>金融行业专家证。北京师范大学兼职教授、研究生导师。曾任深圳市福田审计师事务所项目经理、办事处</w:t>
      </w:r>
      <w:r>
        <w:rPr>
          <w:spacing w:val="38"/>
          <w:w w:val="95"/>
        </w:rPr>
        <w:t> </w:t>
      </w:r>
      <w:r>
        <w:rPr>
          <w:spacing w:val="38"/>
          <w:w w:val="95"/>
        </w:rPr>
      </w:r>
      <w:r>
        <w:rPr/>
        <w:t>主任，深圳市公平会计师事务所审计部长、所长助理，深圳市北成会计师事务所合伙人、副所长等职务。</w:t>
      </w:r>
      <w:r>
        <w:rPr>
          <w:w w:val="99"/>
        </w:rPr>
        <w:t> </w:t>
      </w:r>
      <w:r>
        <w:rPr>
          <w:rFonts w:ascii="Times New Roman" w:hAnsi="Times New Roman" w:cs="Times New Roman" w:eastAsia="Times New Roman" w:hint="default"/>
        </w:rPr>
        <w:t>9</w:t>
      </w:r>
      <w:r>
        <w:rPr/>
        <w:t>、何祥增：公司第六届董事局独立董事。男，</w:t>
      </w:r>
      <w:r>
        <w:rPr>
          <w:rFonts w:ascii="Times New Roman" w:hAnsi="Times New Roman" w:cs="Times New Roman" w:eastAsia="Times New Roman" w:hint="default"/>
        </w:rPr>
        <w:t>1963</w:t>
      </w:r>
      <w:r>
        <w:rPr>
          <w:rFonts w:ascii="Times New Roman" w:hAnsi="Times New Roman" w:cs="Times New Roman" w:eastAsia="Times New Roman" w:hint="default"/>
          <w:spacing w:val="-22"/>
        </w:rPr>
        <w:t> </w:t>
      </w:r>
      <w:r>
        <w:rPr/>
        <w:t>年</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月出生，律师。现兼任广东伟强律师事务所</w:t>
      </w:r>
      <w:r>
        <w:rPr>
          <w:w w:val="99"/>
        </w:rPr>
        <w:t> </w:t>
      </w:r>
      <w:r>
        <w:rPr>
          <w:w w:val="95"/>
        </w:rPr>
        <w:t>合伙人，英泰隆工业发展（深圳）有限公司、深圳市昌恩电子有限公司、广东省蕉岭油坑企业集团等单位</w:t>
      </w:r>
      <w:r>
        <w:rPr>
          <w:spacing w:val="42"/>
          <w:w w:val="95"/>
        </w:rPr>
        <w:t> </w:t>
      </w:r>
      <w:r>
        <w:rPr>
          <w:spacing w:val="42"/>
          <w:w w:val="95"/>
        </w:rPr>
      </w:r>
      <w:r>
        <w:rPr>
          <w:w w:val="95"/>
        </w:rPr>
        <w:t>常年法律顾问。曾任惠东县律师事务所、惠东县经济贸易律师所、广东粤惠律师事务所律师、合伙人、副</w:t>
      </w:r>
      <w:r>
        <w:rPr/>
      </w:r>
    </w:p>
    <w:p>
      <w:pPr>
        <w:pStyle w:val="BodyText"/>
        <w:spacing w:line="240" w:lineRule="auto" w:before="33"/>
        <w:ind w:right="108"/>
        <w:jc w:val="left"/>
      </w:pPr>
      <w:r>
        <w:rPr/>
        <w:t>主任、主任及惠东县青联常委、惠州市公证律师初、中级评委等职务。</w:t>
      </w:r>
    </w:p>
    <w:p>
      <w:pPr>
        <w:pStyle w:val="BodyText"/>
        <w:spacing w:line="338" w:lineRule="auto" w:before="126"/>
        <w:ind w:right="111" w:firstLine="423"/>
        <w:jc w:val="left"/>
      </w:pPr>
      <w:r>
        <w:rPr>
          <w:rFonts w:ascii="Times New Roman" w:hAnsi="Times New Roman" w:cs="Times New Roman" w:eastAsia="Times New Roman" w:hint="default"/>
        </w:rPr>
        <w:t>10</w:t>
      </w:r>
      <w:r>
        <w:rPr/>
        <w:t>、徐志新：公司第六届董事局独立董事。男，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月出生，本科学历，中国政法大学国际法研</w:t>
      </w:r>
      <w:r>
        <w:rPr>
          <w:w w:val="99"/>
        </w:rPr>
        <w:t> </w:t>
      </w:r>
      <w:r>
        <w:rPr/>
        <w:t>究生课程班结业，中共党员。现兼任北京市地平线律师事务所合伙人。曾任湖北省黄冈市罗田县第二律师</w:t>
      </w:r>
      <w:r>
        <w:rPr>
          <w:w w:val="99"/>
        </w:rPr>
        <w:t> </w:t>
      </w:r>
      <w:r>
        <w:rPr/>
        <w:t>事务所副主任、公证处主任、司法局副局长、法律援助中心律师，广东中安律师事务所合伙人等职务。</w:t>
      </w:r>
    </w:p>
    <w:p>
      <w:pPr>
        <w:pStyle w:val="BodyText"/>
        <w:spacing w:line="338" w:lineRule="auto" w:before="40"/>
        <w:ind w:right="124" w:firstLine="423"/>
        <w:jc w:val="both"/>
      </w:pPr>
      <w:r>
        <w:rPr>
          <w:rFonts w:ascii="Times New Roman" w:hAnsi="Times New Roman" w:cs="Times New Roman" w:eastAsia="Times New Roman" w:hint="default"/>
          <w:w w:val="98"/>
        </w:rPr>
        <w:t>11</w:t>
      </w:r>
      <w:r>
        <w:rPr>
          <w:w w:val="98"/>
        </w:rPr>
        <w:t>、陈伟强：公司第六届董事局独立董事。男，</w:t>
      </w:r>
      <w:r>
        <w:rPr>
          <w:rFonts w:ascii="Times New Roman" w:hAnsi="Times New Roman" w:cs="Times New Roman" w:eastAsia="Times New Roman" w:hint="default"/>
          <w:w w:val="98"/>
        </w:rPr>
        <w:t>1962</w:t>
      </w:r>
      <w:r>
        <w:rPr>
          <w:w w:val="98"/>
        </w:rPr>
        <w:t>年</w:t>
      </w:r>
      <w:r>
        <w:rPr>
          <w:rFonts w:ascii="Times New Roman" w:hAnsi="Times New Roman" w:cs="Times New Roman" w:eastAsia="Times New Roman" w:hint="default"/>
          <w:w w:val="98"/>
        </w:rPr>
        <w:t>9</w:t>
      </w:r>
      <w:r>
        <w:rPr>
          <w:w w:val="98"/>
        </w:rPr>
        <w:t>月出生，研究生学历，中国民主建国会会员。</w:t>
      </w:r>
      <w:r>
        <w:rPr>
          <w:w w:val="49"/>
        </w:rPr>
        <w:t> </w:t>
      </w:r>
      <w:r>
        <w:rPr/>
        <w:t>现兼任广东深天正律师事务所合伙人、主任。曾任河南省开封第一律师事务所律师、深圳市宝安律师所律</w:t>
      </w:r>
      <w:r>
        <w:rPr>
          <w:w w:val="99"/>
        </w:rPr>
        <w:t> </w:t>
      </w:r>
      <w:r>
        <w:rPr/>
        <w:t>师。</w:t>
      </w:r>
    </w:p>
    <w:p>
      <w:pPr>
        <w:pStyle w:val="BodyText"/>
        <w:spacing w:line="240" w:lineRule="auto" w:before="8"/>
        <w:ind w:right="108"/>
        <w:jc w:val="left"/>
        <w:rPr>
          <w:rFonts w:ascii="宋体" w:hAnsi="宋体" w:cs="宋体" w:eastAsia="宋体" w:hint="default"/>
        </w:rPr>
      </w:pPr>
      <w:r>
        <w:rPr>
          <w:rFonts w:ascii="宋体" w:hAnsi="宋体" w:cs="宋体" w:eastAsia="宋体" w:hint="default"/>
        </w:rPr>
        <w:t>（二）监事会成员</w:t>
      </w:r>
    </w:p>
    <w:p>
      <w:pPr>
        <w:pStyle w:val="BodyText"/>
        <w:spacing w:line="338" w:lineRule="auto" w:before="116"/>
        <w:ind w:right="125" w:firstLine="423"/>
        <w:jc w:val="both"/>
      </w:pPr>
      <w:r>
        <w:rPr>
          <w:rFonts w:ascii="Times New Roman" w:hAnsi="Times New Roman" w:cs="Times New Roman" w:eastAsia="Times New Roman" w:hint="default"/>
        </w:rPr>
        <w:t>1</w:t>
      </w:r>
      <w:r>
        <w:rPr/>
        <w:t>、尤明天：公司第六届监事会主席，党委副书记。男，</w:t>
      </w:r>
      <w:r>
        <w:rPr>
          <w:spacing w:val="-86"/>
        </w:rPr>
        <w:t> </w:t>
      </w:r>
      <w:r>
        <w:rPr>
          <w:rFonts w:ascii="Times New Roman" w:hAnsi="Times New Roman" w:cs="Times New Roman" w:eastAsia="Times New Roman" w:hint="default"/>
        </w:rPr>
        <w:t>1958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月出生，高级政工师，中共党员。</w:t>
      </w:r>
      <w:r>
        <w:rPr>
          <w:w w:val="99"/>
        </w:rPr>
        <w:t> </w:t>
      </w:r>
      <w:r>
        <w:rPr/>
        <w:t>现兼任深圳市凯方实业发展有限公司董事，曾任深圳市鸿基集装箱运输公司总经理、公司人事部经理，深</w:t>
      </w:r>
      <w:r>
        <w:rPr>
          <w:w w:val="99"/>
        </w:rPr>
        <w:t> </w:t>
      </w:r>
      <w:r>
        <w:rPr/>
        <w:t>圳市东鸿信投资发展有限公司董事长等职务。</w:t>
      </w:r>
    </w:p>
    <w:p>
      <w:pPr>
        <w:spacing w:after="0" w:line="338" w:lineRule="auto"/>
        <w:jc w:val="both"/>
        <w:sectPr>
          <w:pgSz w:w="11910" w:h="16840"/>
          <w:pgMar w:header="0" w:footer="987" w:top="1460" w:bottom="1200" w:left="1020" w:right="980"/>
        </w:sectPr>
      </w:pPr>
    </w:p>
    <w:p>
      <w:pPr>
        <w:pStyle w:val="BodyText"/>
        <w:spacing w:line="338" w:lineRule="auto" w:before="14"/>
        <w:ind w:right="204" w:firstLine="437"/>
        <w:jc w:val="both"/>
      </w:pPr>
      <w:r>
        <w:rPr>
          <w:rFonts w:ascii="Times New Roman" w:hAnsi="Times New Roman" w:cs="Times New Roman" w:eastAsia="Times New Roman" w:hint="default"/>
        </w:rPr>
        <w:t>2</w:t>
      </w:r>
      <w:r>
        <w:rPr/>
        <w:t>、李联添：公司第六届监事会监事。男，</w:t>
      </w:r>
      <w:r>
        <w:rPr>
          <w:rFonts w:ascii="Times New Roman" w:hAnsi="Times New Roman" w:cs="Times New Roman" w:eastAsia="Times New Roman" w:hint="default"/>
        </w:rPr>
        <w:t>1968</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月出生，研究生学历，助理会计师，中共党员。</w:t>
      </w:r>
      <w:r>
        <w:rPr>
          <w:w w:val="56"/>
        </w:rPr>
        <w:t> </w:t>
      </w:r>
      <w:r>
        <w:rPr/>
        <w:t>现兼任深圳市新鸿泰投资发展有限公司监事。曾任公司审计部部长、公司房地产开发部财务主管、深圳市</w:t>
      </w:r>
      <w:r>
        <w:rPr>
          <w:w w:val="99"/>
        </w:rPr>
        <w:t> </w:t>
      </w:r>
      <w:r>
        <w:rPr/>
        <w:t>龙岗鸿基房地产有限公司财务部经理、总经理助理等职务。</w:t>
      </w:r>
    </w:p>
    <w:p>
      <w:pPr>
        <w:pStyle w:val="BodyText"/>
        <w:spacing w:line="338" w:lineRule="auto" w:before="40"/>
        <w:ind w:right="204" w:firstLine="437"/>
        <w:jc w:val="both"/>
      </w:pPr>
      <w:r>
        <w:rPr>
          <w:rFonts w:ascii="Times New Roman" w:hAnsi="Times New Roman" w:cs="Times New Roman" w:eastAsia="Times New Roman" w:hint="default"/>
        </w:rPr>
        <w:t>3</w:t>
      </w:r>
      <w:r>
        <w:rPr/>
        <w:t>、陈昌华：公司第六届监事会监事。男，</w:t>
      </w:r>
      <w:r>
        <w:rPr>
          <w:rFonts w:ascii="Times New Roman" w:hAnsi="Times New Roman" w:cs="Times New Roman" w:eastAsia="Times New Roman" w:hint="default"/>
        </w:rPr>
        <w:t>1951</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月出生，研究生学历，高级政工师，中共党员。</w:t>
      </w:r>
      <w:r>
        <w:rPr>
          <w:w w:val="56"/>
        </w:rPr>
        <w:t> </w:t>
      </w:r>
      <w:r>
        <w:rPr/>
        <w:t>现兼任宝安集团办公室常务副主任兼品牌推广部部长。曾任洛阳市教育学院团委负责人、洛阳市委宣传部</w:t>
      </w:r>
      <w:r>
        <w:rPr>
          <w:w w:val="99"/>
        </w:rPr>
        <w:t> </w:t>
      </w:r>
      <w:r>
        <w:rPr/>
        <w:t>文教科长、洛阳市文联副主席、宝安集团宣传部副部长、部长、唐人文化公司总经理等职务。</w:t>
      </w:r>
    </w:p>
    <w:p>
      <w:pPr>
        <w:pStyle w:val="BodyText"/>
        <w:spacing w:line="338" w:lineRule="auto" w:before="40"/>
        <w:ind w:right="203" w:firstLine="437"/>
        <w:jc w:val="both"/>
      </w:pPr>
      <w:r>
        <w:rPr>
          <w:rFonts w:ascii="Times New Roman" w:hAnsi="Times New Roman" w:cs="Times New Roman" w:eastAsia="Times New Roman" w:hint="default"/>
        </w:rPr>
        <w:t>4</w:t>
      </w:r>
      <w:r>
        <w:rPr/>
        <w:t>、张育新：公司第六届监事会监事。男，</w:t>
      </w:r>
      <w:r>
        <w:rPr>
          <w:rFonts w:ascii="Times New Roman" w:hAnsi="Times New Roman" w:cs="Times New Roman" w:eastAsia="Times New Roman" w:hint="default"/>
        </w:rPr>
        <w:t>1950</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月出生，研究生学历，高级政工师，中共党员。</w:t>
      </w:r>
      <w:r>
        <w:rPr>
          <w:w w:val="56"/>
        </w:rPr>
        <w:t> </w:t>
      </w:r>
      <w:r>
        <w:rPr/>
        <w:t>现兼任宝安集团第七届监事会监事、党委副书记、人力资源总监。曾任中山大学教师、深圳大学人事处副</w:t>
      </w:r>
      <w:r>
        <w:rPr>
          <w:w w:val="99"/>
        </w:rPr>
        <w:t> </w:t>
      </w:r>
      <w:r>
        <w:rPr/>
        <w:t>处长、深圳市委组织部办公室副主任、调研处长、宝安集团办公室主任、人力资源部部长等职务。</w:t>
      </w:r>
    </w:p>
    <w:p>
      <w:pPr>
        <w:spacing w:line="240" w:lineRule="auto" w:before="0"/>
        <w:rPr>
          <w:rFonts w:ascii="宋体" w:hAnsi="宋体" w:cs="宋体" w:eastAsia="宋体" w:hint="default"/>
          <w:sz w:val="20"/>
          <w:szCs w:val="20"/>
        </w:rPr>
      </w:pPr>
    </w:p>
    <w:p>
      <w:pPr>
        <w:pStyle w:val="BodyText"/>
        <w:spacing w:line="240" w:lineRule="auto" w:before="145"/>
        <w:ind w:right="0"/>
        <w:jc w:val="left"/>
        <w:rPr>
          <w:rFonts w:ascii="宋体" w:hAnsi="宋体" w:cs="宋体" w:eastAsia="宋体" w:hint="default"/>
        </w:rPr>
      </w:pPr>
      <w:r>
        <w:rPr>
          <w:rFonts w:ascii="宋体" w:hAnsi="宋体" w:cs="宋体" w:eastAsia="宋体" w:hint="default"/>
        </w:rPr>
        <w:t>（三）其他高级管理人员</w:t>
      </w:r>
    </w:p>
    <w:p>
      <w:pPr>
        <w:pStyle w:val="BodyText"/>
        <w:spacing w:line="343" w:lineRule="auto" w:before="116"/>
        <w:ind w:right="205" w:firstLine="423"/>
        <w:jc w:val="both"/>
      </w:pPr>
      <w:r>
        <w:rPr>
          <w:rFonts w:ascii="Times New Roman" w:hAnsi="Times New Roman" w:cs="Times New Roman" w:eastAsia="Times New Roman" w:hint="default"/>
          <w:w w:val="95"/>
        </w:rPr>
        <w:t>1</w:t>
      </w:r>
      <w:r>
        <w:rPr>
          <w:w w:val="95"/>
        </w:rPr>
        <w:t>、罗伟光：副总裁。男，</w:t>
      </w:r>
      <w:r>
        <w:rPr>
          <w:rFonts w:ascii="Times New Roman" w:hAnsi="Times New Roman" w:cs="Times New Roman" w:eastAsia="Times New Roman" w:hint="default"/>
          <w:w w:val="95"/>
        </w:rPr>
        <w:t>1954</w:t>
      </w:r>
      <w:r>
        <w:rPr>
          <w:w w:val="95"/>
        </w:rPr>
        <w:t>年</w:t>
      </w:r>
      <w:r>
        <w:rPr>
          <w:rFonts w:ascii="Times New Roman" w:hAnsi="Times New Roman" w:cs="Times New Roman" w:eastAsia="Times New Roman" w:hint="default"/>
          <w:w w:val="95"/>
        </w:rPr>
        <w:t>3</w:t>
      </w:r>
      <w:r>
        <w:rPr>
          <w:w w:val="95"/>
        </w:rPr>
        <w:t>月出生，大专学历，经济师，中共党员。现兼任深圳市东鸿信投资</w:t>
      </w:r>
      <w:r>
        <w:rPr>
          <w:spacing w:val="-76"/>
          <w:w w:val="95"/>
        </w:rPr>
        <w:t> </w:t>
      </w:r>
      <w:r>
        <w:rPr>
          <w:spacing w:val="-76"/>
          <w:w w:val="95"/>
        </w:rPr>
      </w:r>
      <w:r>
        <w:rPr/>
        <w:t>发展有限公司董事，深圳市新鸿泰投资发展有限公司董事，公司党委书记，深圳市鸿基房地产有限公司法</w:t>
      </w:r>
      <w:r>
        <w:rPr>
          <w:w w:val="99"/>
        </w:rPr>
        <w:t> </w:t>
      </w:r>
      <w:r>
        <w:rPr/>
        <w:t>定代表人、董事长、总经理，深圳市凯方实业发展有限公司董事。曾任公司董事、副总裁、总经理助理、</w:t>
      </w:r>
      <w:r>
        <w:rPr>
          <w:w w:val="88"/>
        </w:rPr>
        <w:t> </w:t>
      </w:r>
      <w:r>
        <w:rPr/>
        <w:t>人事政工部经理、办公室主任、等职务。</w:t>
      </w:r>
    </w:p>
    <w:p>
      <w:pPr>
        <w:pStyle w:val="BodyText"/>
        <w:spacing w:line="345" w:lineRule="auto" w:before="35"/>
        <w:ind w:right="0" w:firstLine="423"/>
        <w:jc w:val="left"/>
      </w:pPr>
      <w:r>
        <w:rPr>
          <w:rFonts w:ascii="Times New Roman" w:hAnsi="Times New Roman" w:cs="Times New Roman" w:eastAsia="Times New Roman" w:hint="default"/>
        </w:rPr>
        <w:t>2</w:t>
      </w:r>
      <w:r>
        <w:rPr/>
        <w:t>、陈汉忠：副总裁。男，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10</w:t>
      </w:r>
      <w:r>
        <w:rPr/>
        <w:t>月出生，本科学历，工程师，中国民主建国会会员。现兼任公司</w:t>
      </w:r>
      <w:r>
        <w:rPr>
          <w:w w:val="99"/>
        </w:rPr>
        <w:t> </w:t>
      </w:r>
      <w:r>
        <w:rPr/>
        <w:t>控股子公司——深圳市鸿基房地产有限公司董事，深圳市龙岗鸿基房地产开发有限公司、深圳市龙岗鸿基</w:t>
      </w:r>
      <w:r>
        <w:rPr>
          <w:w w:val="99"/>
        </w:rPr>
        <w:t> </w:t>
      </w:r>
      <w:r>
        <w:rPr>
          <w:spacing w:val="-2"/>
          <w:w w:val="98"/>
        </w:rPr>
        <w:t>发展有限公司、深圳市鸿基物业管理有限公司、深圳市宝鹏物流有限公司、深圳市宝地投资发展有限公司、</w:t>
      </w:r>
      <w:r>
        <w:rPr>
          <w:spacing w:val="-89"/>
          <w:w w:val="98"/>
        </w:rPr>
        <w:t> </w:t>
      </w:r>
      <w:r>
        <w:rPr>
          <w:spacing w:val="-89"/>
          <w:w w:val="98"/>
        </w:rPr>
      </w:r>
      <w:r>
        <w:rPr/>
        <w:t>深圳市宝永投资发展有限公司、深圳市鸿基物流有限公司法定代表人、董事长，深圳市深威驳运有限公司</w:t>
      </w:r>
      <w:r>
        <w:rPr>
          <w:w w:val="99"/>
        </w:rPr>
        <w:t> </w:t>
      </w:r>
      <w:r>
        <w:rPr>
          <w:spacing w:val="-2"/>
          <w:w w:val="95"/>
        </w:rPr>
        <w:t>董事，曾任宝安集团农牧水产公司经理、深圳兴达实业公司副总经理、深圳外轮供应公司副总经理等职务。</w:t>
      </w:r>
      <w:r>
        <w:rPr>
          <w:spacing w:val="-2"/>
        </w:rPr>
      </w:r>
    </w:p>
    <w:p>
      <w:pPr>
        <w:pStyle w:val="BodyText"/>
        <w:spacing w:line="331" w:lineRule="auto" w:before="31"/>
        <w:ind w:right="204" w:firstLine="423"/>
        <w:jc w:val="both"/>
      </w:pPr>
      <w:r>
        <w:rPr>
          <w:rFonts w:ascii="Times New Roman" w:hAnsi="Times New Roman" w:cs="Times New Roman" w:eastAsia="Times New Roman" w:hint="default"/>
        </w:rPr>
        <w:t>3</w:t>
      </w:r>
      <w:r>
        <w:rPr/>
        <w:t>、沈蜀江：副总裁兼董事局秘书，董事局办公室主任。女，</w:t>
      </w:r>
      <w:r>
        <w:rPr>
          <w:rFonts w:ascii="Times New Roman" w:hAnsi="Times New Roman" w:cs="Times New Roman" w:eastAsia="Times New Roman" w:hint="default"/>
        </w:rPr>
        <w:t>1971</w:t>
      </w:r>
      <w:r>
        <w:rPr>
          <w:rFonts w:ascii="Times New Roman" w:hAnsi="Times New Roman" w:cs="Times New Roman" w:eastAsia="Times New Roman" w:hint="default"/>
          <w:spacing w:val="-20"/>
        </w:rPr>
        <w:t> </w:t>
      </w:r>
      <w:r>
        <w:rPr/>
        <w:t>年</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月出生，本科学历，经济师，</w:t>
      </w:r>
      <w:r>
        <w:rPr>
          <w:w w:val="63"/>
        </w:rPr>
        <w:t> </w:t>
      </w:r>
      <w:r>
        <w:rPr/>
        <w:t>中共党员。曾任公司总经理办公室秘书、董事局办公室副主任、证券事务代表。</w:t>
      </w:r>
    </w:p>
    <w:p>
      <w:pPr>
        <w:pStyle w:val="BodyText"/>
        <w:spacing w:line="338" w:lineRule="auto" w:before="46"/>
        <w:ind w:right="203" w:firstLine="423"/>
        <w:jc w:val="both"/>
      </w:pPr>
      <w:r>
        <w:rPr>
          <w:rFonts w:ascii="Times New Roman" w:hAnsi="Times New Roman" w:cs="Times New Roman" w:eastAsia="Times New Roman" w:hint="default"/>
        </w:rPr>
        <w:t>4</w:t>
      </w:r>
      <w:r>
        <w:rPr/>
        <w:t>、杨子宁：副总裁。男，</w:t>
      </w:r>
      <w:r>
        <w:rPr>
          <w:rFonts w:ascii="Times New Roman" w:hAnsi="Times New Roman" w:cs="Times New Roman" w:eastAsia="Times New Roman" w:hint="default"/>
        </w:rPr>
        <w:t>1973</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月出生，大学本科学历，工程师、房地产经济师，中共党员。曾</w:t>
      </w:r>
      <w:r>
        <w:rPr>
          <w:w w:val="99"/>
        </w:rPr>
        <w:t> </w:t>
      </w:r>
      <w:r>
        <w:rPr/>
        <w:t>任宝安集团地产开发部副总经理，深圳恒安房地产有限公司项目经理、高级项目经理、总经理助理、副总</w:t>
      </w:r>
      <w:r>
        <w:rPr>
          <w:w w:val="99"/>
        </w:rPr>
        <w:t> </w:t>
      </w:r>
      <w:r>
        <w:rPr/>
        <w:t>经理等职务。</w:t>
      </w:r>
    </w:p>
    <w:p>
      <w:pPr>
        <w:pStyle w:val="BodyText"/>
        <w:spacing w:line="328" w:lineRule="auto" w:before="40"/>
        <w:ind w:right="205" w:firstLine="423"/>
        <w:jc w:val="both"/>
      </w:pPr>
      <w:r>
        <w:rPr>
          <w:rFonts w:ascii="Times New Roman" w:hAnsi="Times New Roman" w:cs="Times New Roman" w:eastAsia="Times New Roman" w:hint="default"/>
          <w:w w:val="95"/>
        </w:rPr>
        <w:t>5</w:t>
      </w:r>
      <w:r>
        <w:rPr>
          <w:w w:val="95"/>
        </w:rPr>
        <w:t>、钟民：财务总监兼财务经理。男，</w:t>
      </w:r>
      <w:r>
        <w:rPr>
          <w:rFonts w:ascii="Times New Roman" w:hAnsi="Times New Roman" w:cs="Times New Roman" w:eastAsia="Times New Roman" w:hint="default"/>
          <w:w w:val="95"/>
        </w:rPr>
        <w:t>1968</w:t>
      </w:r>
      <w:r>
        <w:rPr>
          <w:w w:val="95"/>
        </w:rPr>
        <w:t>年</w:t>
      </w:r>
      <w:r>
        <w:rPr>
          <w:rFonts w:ascii="Times New Roman" w:hAnsi="Times New Roman" w:cs="Times New Roman" w:eastAsia="Times New Roman" w:hint="default"/>
          <w:w w:val="95"/>
        </w:rPr>
        <w:t>6</w:t>
      </w:r>
      <w:r>
        <w:rPr>
          <w:w w:val="95"/>
        </w:rPr>
        <w:t>月出生，大专学历，会计师。曾任深圳恒安房地产开发</w:t>
      </w:r>
      <w:r>
        <w:rPr>
          <w:spacing w:val="-76"/>
          <w:w w:val="95"/>
        </w:rPr>
        <w:t> </w:t>
      </w:r>
      <w:r>
        <w:rPr>
          <w:spacing w:val="-76"/>
          <w:w w:val="95"/>
        </w:rPr>
      </w:r>
      <w:r>
        <w:rPr/>
        <w:t>公司会计、宝安集团海南公司会计、财务部长等职务。</w:t>
      </w:r>
    </w:p>
    <w:p>
      <w:pPr>
        <w:pStyle w:val="BodyText"/>
        <w:spacing w:line="343" w:lineRule="auto" w:before="48"/>
        <w:ind w:right="203" w:firstLine="423"/>
        <w:jc w:val="both"/>
      </w:pPr>
      <w:r>
        <w:rPr>
          <w:rFonts w:ascii="Times New Roman" w:hAnsi="Times New Roman" w:cs="Times New Roman" w:eastAsia="Times New Roman" w:hint="default"/>
        </w:rPr>
        <w:t>6</w:t>
      </w:r>
      <w:r>
        <w:rPr/>
        <w:t>、黄旭辉：总裁助理。男，</w:t>
      </w:r>
      <w:r>
        <w:rPr>
          <w:rFonts w:ascii="Times New Roman" w:hAnsi="Times New Roman" w:cs="Times New Roman" w:eastAsia="Times New Roman" w:hint="default"/>
        </w:rPr>
        <w:t>1996</w:t>
      </w:r>
      <w:r>
        <w:rPr>
          <w:rFonts w:ascii="Times New Roman" w:hAnsi="Times New Roman" w:cs="Times New Roman" w:eastAsia="Times New Roman" w:hint="default"/>
          <w:spacing w:val="10"/>
        </w:rPr>
        <w:t> </w:t>
      </w:r>
      <w:r>
        <w:rPr/>
        <w:t>年参加工作，会计师。现兼任深圳市鸿基物业管理有限公司董事，</w:t>
      </w:r>
      <w:r>
        <w:rPr>
          <w:w w:val="99"/>
        </w:rPr>
        <w:t> </w:t>
      </w:r>
      <w:r>
        <w:rPr/>
        <w:t>深圳市鸿基物流有限公司董事、总经理，深圳市鸿永通国际货运代理有限公司法定代表人、董事长、总经</w:t>
      </w:r>
      <w:r>
        <w:rPr>
          <w:w w:val="99"/>
        </w:rPr>
        <w:t> </w:t>
      </w:r>
      <w:r>
        <w:rPr/>
        <w:t>理，深圳市宝地投资发展有限公司总经理、深圳市宝永投资发展有限公司总经理。曾任深圳市鸿基小汽车</w:t>
      </w:r>
      <w:r>
        <w:rPr>
          <w:w w:val="99"/>
        </w:rPr>
        <w:t> </w:t>
      </w:r>
      <w:r>
        <w:rPr/>
        <w:t>运输有限公司会计、财务部负责人、深圳市迅达汽车运输企业公司财务负责人，公司财务经理等职务。</w:t>
      </w:r>
    </w:p>
    <w:p>
      <w:pPr>
        <w:pStyle w:val="BodyText"/>
        <w:spacing w:line="328" w:lineRule="auto" w:before="35"/>
        <w:ind w:right="191" w:firstLine="317"/>
        <w:jc w:val="left"/>
      </w:pPr>
      <w:r>
        <w:rPr>
          <w:rFonts w:ascii="Times New Roman" w:hAnsi="Times New Roman" w:cs="Times New Roman" w:eastAsia="Times New Roman" w:hint="default"/>
        </w:rPr>
        <w:t>7</w:t>
      </w:r>
      <w:r>
        <w:rPr/>
        <w:t>、于银彪：总裁助理。男，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6</w:t>
      </w:r>
      <w:r>
        <w:rPr/>
        <w:t>月出生。双学士学历，经济师，中共党员。现兼任公司党委副书</w:t>
      </w:r>
      <w:r>
        <w:rPr>
          <w:w w:val="99"/>
        </w:rPr>
        <w:t> </w:t>
      </w:r>
      <w:r>
        <w:rPr/>
        <w:t>记、纪委书记、党办主任，福建东南广播电视网络有限公司监事，深圳市鸿基房地产有限公司监事，深圳</w:t>
      </w:r>
    </w:p>
    <w:p>
      <w:pPr>
        <w:spacing w:after="0" w:line="328" w:lineRule="auto"/>
        <w:jc w:val="left"/>
        <w:sectPr>
          <w:pgSz w:w="11910" w:h="16840"/>
          <w:pgMar w:header="0" w:footer="987" w:top="1460" w:bottom="1200" w:left="1020" w:right="900"/>
        </w:sectPr>
      </w:pPr>
    </w:p>
    <w:p>
      <w:pPr>
        <w:pStyle w:val="BodyText"/>
        <w:spacing w:line="348" w:lineRule="auto" w:before="14"/>
        <w:ind w:left="235" w:right="245"/>
        <w:jc w:val="both"/>
      </w:pPr>
      <w:bookmarkStart w:name="四、截止报告期末，现任董事、监事、高级管理人员在股东以外的其他单位任职或兼职情况" w:id="11"/>
      <w:bookmarkEnd w:id="11"/>
      <w:r>
        <w:rPr/>
      </w:r>
      <w:r>
        <w:rPr/>
        <w:t>市龙岗鸿基房地产开发有限公司监事，深圳市龙岗鸿基发展有限公司监事，深圳市鸿基物业管理有限公司</w:t>
      </w:r>
      <w:r>
        <w:rPr>
          <w:w w:val="99"/>
        </w:rPr>
        <w:t> </w:t>
      </w:r>
      <w:r>
        <w:rPr/>
        <w:t>监事，深圳市鸿永通国际货运代理有限公司监事。曾任江西财经大学经济系教师，福建东南广播电视网络</w:t>
      </w:r>
      <w:r>
        <w:rPr>
          <w:w w:val="99"/>
        </w:rPr>
        <w:t> </w:t>
      </w:r>
      <w:r>
        <w:rPr/>
        <w:t>有限公司办公室主任、董事会秘书，公司行政办公室主任。</w:t>
      </w:r>
    </w:p>
    <w:p>
      <w:pPr>
        <w:spacing w:line="240" w:lineRule="auto" w:before="2"/>
        <w:rPr>
          <w:rFonts w:ascii="宋体" w:hAnsi="宋体" w:cs="宋体" w:eastAsia="宋体" w:hint="default"/>
          <w:sz w:val="17"/>
          <w:szCs w:val="17"/>
        </w:rPr>
      </w:pPr>
    </w:p>
    <w:p>
      <w:pPr>
        <w:pStyle w:val="Heading4"/>
        <w:spacing w:line="240" w:lineRule="auto"/>
        <w:ind w:left="235" w:right="0"/>
        <w:jc w:val="both"/>
      </w:pPr>
      <w:r>
        <w:rPr/>
        <w:t>四、截止报告期末，现任董事、监事、高级管理人员在股东以外的其他单位任职或兼职情况</w:t>
      </w:r>
    </w:p>
    <w:p>
      <w:pPr>
        <w:spacing w:line="240" w:lineRule="auto" w:before="10"/>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982"/>
        <w:gridCol w:w="3753"/>
        <w:gridCol w:w="2688"/>
        <w:gridCol w:w="2457"/>
      </w:tblGrid>
      <w:tr>
        <w:trPr>
          <w:trHeight w:val="475" w:hRule="exact"/>
        </w:trPr>
        <w:tc>
          <w:tcPr>
            <w:tcW w:w="9879" w:type="dxa"/>
            <w:gridSpan w:val="4"/>
            <w:tcBorders>
              <w:top w:val="single" w:sz="12" w:space="0" w:color="000000"/>
              <w:left w:val="single" w:sz="12" w:space="0" w:color="000000"/>
              <w:bottom w:val="single" w:sz="4" w:space="0" w:color="000000"/>
              <w:right w:val="single" w:sz="12" w:space="0" w:color="000000"/>
            </w:tcBorders>
            <w:shd w:val="clear" w:color="auto" w:fill="B3B3B3"/>
          </w:tcPr>
          <w:p>
            <w:pPr>
              <w:pStyle w:val="TableParagraph"/>
              <w:spacing w:line="356"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w:t>
            </w:r>
            <w:r>
              <w:rPr>
                <w:rFonts w:ascii="Microsoft JhengHei" w:hAnsi="Microsoft JhengHei" w:cs="Microsoft JhengHei" w:eastAsia="Microsoft JhengHei" w:hint="default"/>
                <w:sz w:val="21"/>
                <w:szCs w:val="21"/>
              </w:rPr>
            </w:r>
          </w:p>
        </w:tc>
      </w:tr>
      <w:tr>
        <w:trPr>
          <w:trHeight w:val="466" w:hRule="exact"/>
        </w:trPr>
        <w:tc>
          <w:tcPr>
            <w:tcW w:w="982" w:type="dxa"/>
            <w:tcBorders>
              <w:top w:val="single" w:sz="4" w:space="0" w:color="000000"/>
              <w:left w:val="single" w:sz="12" w:space="0" w:color="000000"/>
              <w:bottom w:val="single" w:sz="6" w:space="0" w:color="000000"/>
              <w:right w:val="single" w:sz="6" w:space="0" w:color="000000"/>
            </w:tcBorders>
            <w:shd w:val="clear" w:color="auto" w:fill="B3B3B3"/>
          </w:tcPr>
          <w:p>
            <w:pPr>
              <w:pStyle w:val="TableParagraph"/>
              <w:spacing w:line="353"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53" w:type="dxa"/>
            <w:tcBorders>
              <w:top w:val="single" w:sz="4" w:space="0" w:color="000000"/>
              <w:left w:val="single" w:sz="6" w:space="0" w:color="000000"/>
              <w:bottom w:val="single" w:sz="6" w:space="0" w:color="000000"/>
              <w:right w:val="single" w:sz="4" w:space="0" w:color="000000"/>
            </w:tcBorders>
            <w:shd w:val="clear" w:color="auto" w:fill="B3B3B3"/>
          </w:tcPr>
          <w:p>
            <w:pPr>
              <w:pStyle w:val="TableParagraph"/>
              <w:spacing w:line="353" w:lineRule="exact"/>
              <w:ind w:left="1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8" w:type="dxa"/>
            <w:tcBorders>
              <w:top w:val="single" w:sz="4" w:space="0" w:color="000000"/>
              <w:left w:val="single" w:sz="4" w:space="0" w:color="000000"/>
              <w:bottom w:val="single" w:sz="6" w:space="0" w:color="000000"/>
              <w:right w:val="single" w:sz="6" w:space="0" w:color="000000"/>
            </w:tcBorders>
            <w:shd w:val="clear" w:color="auto" w:fill="B3B3B3"/>
          </w:tcPr>
          <w:p>
            <w:pPr>
              <w:pStyle w:val="TableParagraph"/>
              <w:spacing w:line="35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7" w:type="dxa"/>
            <w:tcBorders>
              <w:top w:val="single" w:sz="4" w:space="0" w:color="000000"/>
              <w:left w:val="single" w:sz="6" w:space="0" w:color="000000"/>
              <w:bottom w:val="single" w:sz="6" w:space="0" w:color="000000"/>
              <w:right w:val="single" w:sz="12" w:space="0" w:color="000000"/>
            </w:tcBorders>
            <w:shd w:val="clear" w:color="auto" w:fill="B3B3B3"/>
          </w:tcPr>
          <w:p>
            <w:pPr>
              <w:pStyle w:val="TableParagraph"/>
              <w:spacing w:line="353" w:lineRule="exact"/>
              <w:ind w:left="1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陈泰泉</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公司第一大股东的控股股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常务副主席、执行总裁</w:t>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高文清</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公司第二大股东的控股股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周</w:t>
            </w:r>
            <w:r>
              <w:rPr>
                <w:rFonts w:ascii="宋体" w:hAnsi="宋体" w:cs="宋体" w:eastAsia="宋体" w:hint="default"/>
                <w:spacing w:val="1"/>
                <w:sz w:val="21"/>
                <w:szCs w:val="21"/>
              </w:rPr>
              <w:t> </w:t>
            </w:r>
            <w:r>
              <w:rPr>
                <w:rFonts w:ascii="宋体" w:hAnsi="宋体" w:cs="宋体" w:eastAsia="宋体" w:hint="default"/>
                <w:sz w:val="21"/>
                <w:szCs w:val="21"/>
              </w:rPr>
              <w:t>非</w:t>
            </w:r>
          </w:p>
        </w:tc>
        <w:tc>
          <w:tcPr>
            <w:tcW w:w="375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57"/>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深圳市龙岗鸿基房地产开发有限公司</w:t>
            </w:r>
          </w:p>
        </w:tc>
        <w:tc>
          <w:tcPr>
            <w:tcW w:w="268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57"/>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深圳市鸿基房地产有限公司、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西安深鸿基房地产开发有限公司</w:t>
            </w:r>
          </w:p>
        </w:tc>
        <w:tc>
          <w:tcPr>
            <w:tcW w:w="268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57"/>
              <w:ind w:left="101" w:right="0"/>
              <w:jc w:val="left"/>
              <w:rPr>
                <w:rFonts w:ascii="宋体" w:hAnsi="宋体" w:cs="宋体" w:eastAsia="宋体" w:hint="default"/>
                <w:sz w:val="21"/>
                <w:szCs w:val="21"/>
              </w:rPr>
            </w:pPr>
            <w:r>
              <w:rPr>
                <w:rFonts w:ascii="宋体" w:hAnsi="宋体" w:cs="宋体" w:eastAsia="宋体" w:hint="default"/>
                <w:sz w:val="21"/>
                <w:szCs w:val="21"/>
              </w:rPr>
              <w:t>陕西宝安鸿基房地产开发有限公司</w:t>
            </w:r>
          </w:p>
        </w:tc>
        <w:tc>
          <w:tcPr>
            <w:tcW w:w="268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57"/>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70"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安徽宝安鸿基房地产开发有限公司</w:t>
            </w:r>
          </w:p>
        </w:tc>
        <w:tc>
          <w:tcPr>
            <w:tcW w:w="268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钟征宇</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公司第一大股东的控股股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副总裁、财务总监、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金融部总经理</w:t>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贺雪琴</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深圳市贝瑞特新能源材料股份有限公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558"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郭山清</w:t>
            </w:r>
          </w:p>
        </w:tc>
        <w:tc>
          <w:tcPr>
            <w:tcW w:w="375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武汉马应龙药业集团股份有限公司</w:t>
            </w:r>
          </w:p>
        </w:tc>
        <w:tc>
          <w:tcPr>
            <w:tcW w:w="268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公司第一大股东的关联企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业</w:t>
            </w:r>
            <w:r>
              <w:rPr>
                <w:rFonts w:ascii="宋体" w:hAnsi="宋体" w:cs="宋体" w:eastAsia="宋体" w:hint="default"/>
                <w:sz w:val="21"/>
                <w:szCs w:val="21"/>
              </w:rPr>
            </w:r>
          </w:p>
        </w:tc>
        <w:tc>
          <w:tcPr>
            <w:tcW w:w="2457"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62"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6"/>
              <w:ind w:left="101" w:right="0"/>
              <w:jc w:val="left"/>
              <w:rPr>
                <w:rFonts w:ascii="宋体" w:hAnsi="宋体" w:cs="宋体" w:eastAsia="宋体" w:hint="default"/>
                <w:sz w:val="21"/>
                <w:szCs w:val="21"/>
              </w:rPr>
            </w:pPr>
            <w:r>
              <w:rPr>
                <w:rFonts w:ascii="宋体" w:hAnsi="宋体" w:cs="宋体" w:eastAsia="宋体" w:hint="default"/>
                <w:sz w:val="21"/>
                <w:szCs w:val="21"/>
              </w:rPr>
              <w:t>深圳云海通讯股份有限公司</w:t>
            </w:r>
          </w:p>
        </w:tc>
        <w:tc>
          <w:tcPr>
            <w:tcW w:w="2688"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14"/>
                <w:sz w:val="21"/>
                <w:szCs w:val="21"/>
              </w:rPr>
              <w:t>公司第一大股东的参股企</w:t>
            </w:r>
            <w:r>
              <w:rPr>
                <w:rFonts w:ascii="宋体" w:hAnsi="宋体" w:cs="宋体" w:eastAsia="宋体" w:hint="default"/>
                <w:w w:val="99"/>
                <w:sz w:val="21"/>
                <w:szCs w:val="21"/>
              </w:rPr>
              <w:t> </w:t>
            </w:r>
            <w:r>
              <w:rPr>
                <w:rFonts w:ascii="宋体" w:hAnsi="宋体" w:cs="宋体" w:eastAsia="宋体" w:hint="default"/>
                <w:sz w:val="21"/>
                <w:szCs w:val="21"/>
              </w:rPr>
              <w:t>业</w:t>
            </w:r>
          </w:p>
        </w:tc>
        <w:tc>
          <w:tcPr>
            <w:tcW w:w="2457"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06"/>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58"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颜金辉</w:t>
            </w:r>
          </w:p>
        </w:tc>
        <w:tc>
          <w:tcPr>
            <w:tcW w:w="375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68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公司第二大股东的控股股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559"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深圳市鸿丰（集团）有限公司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法定代表人、董事长、总</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391"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93" w:right="0"/>
              <w:jc w:val="left"/>
              <w:rPr>
                <w:rFonts w:ascii="宋体" w:hAnsi="宋体" w:cs="宋体" w:eastAsia="宋体" w:hint="default"/>
                <w:sz w:val="21"/>
                <w:szCs w:val="21"/>
              </w:rPr>
            </w:pPr>
            <w:r>
              <w:rPr>
                <w:rFonts w:ascii="宋体" w:hAnsi="宋体" w:cs="宋体" w:eastAsia="宋体" w:hint="default"/>
                <w:sz w:val="21"/>
                <w:szCs w:val="21"/>
              </w:rPr>
              <w:t>陈凤娇</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深圳市泓兴会计师事务所</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所长</w:t>
            </w:r>
          </w:p>
        </w:tc>
      </w:tr>
      <w:tr>
        <w:trPr>
          <w:trHeight w:val="374"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北海国发海洋生物产业股份有限公司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68"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深圳市专家工作委员会金融联合会</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委员</w:t>
            </w:r>
          </w:p>
        </w:tc>
      </w:tr>
      <w:tr>
        <w:trPr>
          <w:trHeight w:val="470"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何祥增</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广东伟强律师事务所</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律师、合伙人</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英泰隆工业发展（深圳）有限公司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常年法律顾问</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深圳市昌恩电子有限公司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常年法律顾问</w:t>
            </w:r>
          </w:p>
        </w:tc>
      </w:tr>
      <w:tr>
        <w:trPr>
          <w:trHeight w:val="468" w:hRule="exact"/>
        </w:trPr>
        <w:tc>
          <w:tcPr>
            <w:tcW w:w="982" w:type="dxa"/>
            <w:vMerge/>
            <w:tcBorders>
              <w:left w:val="single" w:sz="12" w:space="0" w:color="000000"/>
              <w:bottom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广东省蕉岭油坑企业集团</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常年法律顾问</w:t>
            </w:r>
          </w:p>
        </w:tc>
      </w:tr>
    </w:tbl>
    <w:p>
      <w:pPr>
        <w:spacing w:after="0" w:line="240" w:lineRule="auto"/>
        <w:jc w:val="left"/>
        <w:rPr>
          <w:rFonts w:ascii="宋体" w:hAnsi="宋体" w:cs="宋体" w:eastAsia="宋体" w:hint="default"/>
          <w:sz w:val="21"/>
          <w:szCs w:val="21"/>
        </w:rPr>
        <w:sectPr>
          <w:pgSz w:w="11910" w:h="16840"/>
          <w:pgMar w:header="0" w:footer="987" w:top="1460" w:bottom="1200" w:left="900" w:right="860"/>
        </w:sectPr>
      </w:pPr>
    </w:p>
    <w:p>
      <w:pPr>
        <w:spacing w:line="240" w:lineRule="auto" w:before="2"/>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982"/>
        <w:gridCol w:w="3753"/>
        <w:gridCol w:w="2688"/>
        <w:gridCol w:w="2457"/>
      </w:tblGrid>
      <w:tr>
        <w:trPr>
          <w:trHeight w:val="482" w:hRule="exact"/>
        </w:trPr>
        <w:tc>
          <w:tcPr>
            <w:tcW w:w="98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21"/>
                <w:szCs w:val="21"/>
              </w:rPr>
            </w:pPr>
            <w:r>
              <w:rPr>
                <w:rFonts w:ascii="宋体" w:hAnsi="宋体" w:cs="宋体" w:eastAsia="宋体" w:hint="default"/>
                <w:sz w:val="21"/>
                <w:szCs w:val="21"/>
              </w:rPr>
              <w:t>北京市地平线律师事务所</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74"/>
              <w:ind w:left="101" w:right="0"/>
              <w:jc w:val="left"/>
              <w:rPr>
                <w:rFonts w:ascii="宋体" w:hAnsi="宋体" w:cs="宋体" w:eastAsia="宋体" w:hint="default"/>
                <w:sz w:val="21"/>
                <w:szCs w:val="21"/>
              </w:rPr>
            </w:pPr>
            <w:r>
              <w:rPr>
                <w:rFonts w:ascii="宋体" w:hAnsi="宋体" w:cs="宋体" w:eastAsia="宋体" w:hint="default"/>
                <w:sz w:val="21"/>
                <w:szCs w:val="21"/>
              </w:rPr>
              <w:t>律师、合伙人</w:t>
            </w:r>
          </w:p>
        </w:tc>
      </w:tr>
      <w:tr>
        <w:trPr>
          <w:trHeight w:val="470" w:hRule="exact"/>
        </w:trPr>
        <w:tc>
          <w:tcPr>
            <w:tcW w:w="982"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广东深天正律师事务所</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律师、合伙人、主任</w:t>
            </w:r>
          </w:p>
        </w:tc>
      </w:tr>
      <w:tr>
        <w:trPr>
          <w:trHeight w:val="463" w:hRule="exact"/>
        </w:trPr>
        <w:tc>
          <w:tcPr>
            <w:tcW w:w="9879" w:type="dxa"/>
            <w:gridSpan w:val="4"/>
            <w:tcBorders>
              <w:top w:val="single" w:sz="4" w:space="0" w:color="000000"/>
              <w:left w:val="single" w:sz="12" w:space="0" w:color="000000"/>
              <w:bottom w:val="single" w:sz="4" w:space="0" w:color="000000"/>
              <w:right w:val="single" w:sz="12" w:space="0" w:color="000000"/>
            </w:tcBorders>
            <w:shd w:val="clear" w:color="auto" w:fill="B3B3B3"/>
          </w:tcPr>
          <w:p>
            <w:pPr>
              <w:pStyle w:val="TableParagraph"/>
              <w:spacing w:line="353"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监事</w:t>
            </w:r>
            <w:r>
              <w:rPr>
                <w:rFonts w:ascii="Microsoft JhengHei" w:hAnsi="Microsoft JhengHei" w:cs="Microsoft JhengHei" w:eastAsia="Microsoft JhengHei" w:hint="default"/>
                <w:sz w:val="21"/>
                <w:szCs w:val="21"/>
              </w:rPr>
            </w:r>
          </w:p>
        </w:tc>
      </w:tr>
      <w:tr>
        <w:trPr>
          <w:trHeight w:val="466" w:hRule="exact"/>
        </w:trPr>
        <w:tc>
          <w:tcPr>
            <w:tcW w:w="982" w:type="dxa"/>
            <w:tcBorders>
              <w:top w:val="single" w:sz="4" w:space="0" w:color="000000"/>
              <w:left w:val="single" w:sz="12" w:space="0" w:color="000000"/>
              <w:bottom w:val="single" w:sz="6" w:space="0" w:color="000000"/>
              <w:right w:val="single" w:sz="4" w:space="0" w:color="000000"/>
            </w:tcBorders>
            <w:shd w:val="clear" w:color="auto" w:fill="B3B3B3"/>
          </w:tcPr>
          <w:p>
            <w:pPr>
              <w:pStyle w:val="TableParagraph"/>
              <w:spacing w:line="353"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53" w:type="dxa"/>
            <w:tcBorders>
              <w:top w:val="single" w:sz="4" w:space="0" w:color="000000"/>
              <w:left w:val="single" w:sz="4" w:space="0" w:color="000000"/>
              <w:bottom w:val="single" w:sz="6" w:space="0" w:color="000000"/>
              <w:right w:val="single" w:sz="4" w:space="0" w:color="000000"/>
            </w:tcBorders>
            <w:shd w:val="clear" w:color="auto" w:fill="B3B3B3"/>
          </w:tcPr>
          <w:p>
            <w:pPr>
              <w:pStyle w:val="TableParagraph"/>
              <w:spacing w:line="35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8" w:type="dxa"/>
            <w:tcBorders>
              <w:top w:val="single" w:sz="4" w:space="0" w:color="000000"/>
              <w:left w:val="single" w:sz="4" w:space="0" w:color="000000"/>
              <w:bottom w:val="single" w:sz="6" w:space="0" w:color="000000"/>
              <w:right w:val="single" w:sz="4" w:space="0" w:color="000000"/>
            </w:tcBorders>
            <w:shd w:val="clear" w:color="auto" w:fill="B3B3B3"/>
          </w:tcPr>
          <w:p>
            <w:pPr>
              <w:pStyle w:val="TableParagraph"/>
              <w:spacing w:line="35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7" w:type="dxa"/>
            <w:tcBorders>
              <w:top w:val="single" w:sz="4" w:space="0" w:color="000000"/>
              <w:left w:val="single" w:sz="4" w:space="0" w:color="000000"/>
              <w:bottom w:val="single" w:sz="6" w:space="0" w:color="000000"/>
              <w:right w:val="single" w:sz="4" w:space="0" w:color="000000"/>
            </w:tcBorders>
            <w:shd w:val="clear" w:color="auto" w:fill="B3B3B3"/>
          </w:tcPr>
          <w:p>
            <w:pPr>
              <w:pStyle w:val="TableParagraph"/>
              <w:spacing w:line="35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470" w:hRule="exact"/>
        </w:trPr>
        <w:tc>
          <w:tcPr>
            <w:tcW w:w="982" w:type="dxa"/>
            <w:vMerge w:val="restart"/>
            <w:tcBorders>
              <w:top w:val="single" w:sz="6" w:space="0" w:color="000000"/>
              <w:left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37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深圳市凯方实业发展有限公司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982" w:type="dxa"/>
            <w:vMerge/>
            <w:tcBorders>
              <w:left w:val="single" w:sz="12" w:space="0" w:color="000000"/>
              <w:bottom w:val="single" w:sz="6" w:space="0" w:color="000000"/>
              <w:right w:val="single" w:sz="4" w:space="0" w:color="000000"/>
            </w:tcBorders>
          </w:tcPr>
          <w:p>
            <w:pPr/>
          </w:p>
        </w:tc>
        <w:tc>
          <w:tcPr>
            <w:tcW w:w="37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本公司参股企业</w:t>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李联添</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公司第二大股东的控股股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559"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公司第一大股东的控股股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党委副书记、纪委书记、</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工会主席、人力资源总监</w:t>
            </w:r>
          </w:p>
        </w:tc>
      </w:tr>
      <w:tr>
        <w:trPr>
          <w:trHeight w:val="560" w:hRule="exact"/>
        </w:trPr>
        <w:tc>
          <w:tcPr>
            <w:tcW w:w="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37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6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公司第一大股东的控股股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办公室常务副主任兼品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牌推广部部长</w:t>
            </w:r>
          </w:p>
        </w:tc>
      </w:tr>
      <w:tr>
        <w:trPr>
          <w:trHeight w:val="467" w:hRule="exact"/>
        </w:trPr>
        <w:tc>
          <w:tcPr>
            <w:tcW w:w="9879" w:type="dxa"/>
            <w:gridSpan w:val="4"/>
            <w:tcBorders>
              <w:top w:val="single" w:sz="6" w:space="0" w:color="000000"/>
              <w:left w:val="single" w:sz="12" w:space="0" w:color="000000"/>
              <w:bottom w:val="single" w:sz="4" w:space="0" w:color="000000"/>
              <w:right w:val="single" w:sz="12" w:space="0" w:color="000000"/>
            </w:tcBorders>
            <w:shd w:val="clear" w:color="auto" w:fill="B3B3B3"/>
          </w:tcPr>
          <w:p>
            <w:pPr>
              <w:pStyle w:val="TableParagraph"/>
              <w:spacing w:line="355"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高级管理人员</w:t>
            </w:r>
            <w:r>
              <w:rPr>
                <w:rFonts w:ascii="Microsoft JhengHei" w:hAnsi="Microsoft JhengHei" w:cs="Microsoft JhengHei" w:eastAsia="Microsoft JhengHei" w:hint="default"/>
                <w:sz w:val="21"/>
                <w:szCs w:val="21"/>
              </w:rPr>
            </w:r>
          </w:p>
        </w:tc>
      </w:tr>
      <w:tr>
        <w:trPr>
          <w:trHeight w:val="463" w:hRule="exact"/>
        </w:trPr>
        <w:tc>
          <w:tcPr>
            <w:tcW w:w="982" w:type="dxa"/>
            <w:tcBorders>
              <w:top w:val="single" w:sz="4" w:space="0" w:color="000000"/>
              <w:left w:val="single" w:sz="12" w:space="0" w:color="000000"/>
              <w:bottom w:val="single" w:sz="4" w:space="0" w:color="000000"/>
              <w:right w:val="single" w:sz="6" w:space="0" w:color="000000"/>
            </w:tcBorders>
            <w:shd w:val="clear" w:color="auto" w:fill="B3B3B3"/>
          </w:tcPr>
          <w:p>
            <w:pPr>
              <w:pStyle w:val="TableParagraph"/>
              <w:spacing w:line="356"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53" w:type="dxa"/>
            <w:tcBorders>
              <w:top w:val="single" w:sz="4" w:space="0" w:color="000000"/>
              <w:left w:val="single" w:sz="6" w:space="0" w:color="000000"/>
              <w:bottom w:val="single" w:sz="4" w:space="0" w:color="000000"/>
              <w:right w:val="single" w:sz="4" w:space="0" w:color="000000"/>
            </w:tcBorders>
            <w:shd w:val="clear" w:color="auto" w:fill="B3B3B3"/>
          </w:tcPr>
          <w:p>
            <w:pPr>
              <w:pStyle w:val="TableParagraph"/>
              <w:spacing w:line="356" w:lineRule="exact"/>
              <w:ind w:left="1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8" w:type="dxa"/>
            <w:tcBorders>
              <w:top w:val="single" w:sz="4" w:space="0" w:color="000000"/>
              <w:left w:val="single" w:sz="4" w:space="0" w:color="000000"/>
              <w:bottom w:val="single" w:sz="4" w:space="0" w:color="000000"/>
              <w:right w:val="single" w:sz="6" w:space="0" w:color="000000"/>
            </w:tcBorders>
            <w:shd w:val="clear" w:color="auto" w:fill="B3B3B3"/>
          </w:tcPr>
          <w:p>
            <w:pPr>
              <w:pStyle w:val="TableParagraph"/>
              <w:spacing w:line="35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7" w:type="dxa"/>
            <w:tcBorders>
              <w:top w:val="single" w:sz="4" w:space="0" w:color="000000"/>
              <w:left w:val="single" w:sz="6" w:space="0" w:color="000000"/>
              <w:bottom w:val="single" w:sz="4" w:space="0" w:color="000000"/>
              <w:right w:val="single" w:sz="12" w:space="0" w:color="000000"/>
            </w:tcBorders>
            <w:shd w:val="clear" w:color="auto" w:fill="B3B3B3"/>
          </w:tcPr>
          <w:p>
            <w:pPr>
              <w:pStyle w:val="TableParagraph"/>
              <w:spacing w:line="356" w:lineRule="exact"/>
              <w:ind w:left="1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554" w:hRule="exact"/>
        </w:trPr>
        <w:tc>
          <w:tcPr>
            <w:tcW w:w="982" w:type="dxa"/>
            <w:vMerge w:val="restart"/>
            <w:tcBorders>
              <w:top w:val="single" w:sz="4"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93"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公司第二大股东的控股股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东</w:t>
            </w:r>
            <w:r>
              <w:rPr>
                <w:rFonts w:ascii="宋体" w:hAnsi="宋体" w:cs="宋体" w:eastAsia="宋体" w:hint="default"/>
                <w:sz w:val="21"/>
                <w:szCs w:val="21"/>
              </w:rPr>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6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7"/>
              <w:ind w:left="101" w:right="0"/>
              <w:jc w:val="left"/>
              <w:rPr>
                <w:rFonts w:ascii="宋体" w:hAnsi="宋体" w:cs="宋体" w:eastAsia="宋体" w:hint="default"/>
                <w:sz w:val="21"/>
                <w:szCs w:val="21"/>
              </w:rPr>
            </w:pPr>
            <w:r>
              <w:rPr>
                <w:rFonts w:ascii="宋体" w:hAnsi="宋体" w:cs="宋体" w:eastAsia="宋体" w:hint="default"/>
                <w:sz w:val="21"/>
                <w:szCs w:val="21"/>
              </w:rPr>
              <w:t>深圳市鸿基房地产有限公司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法定代表人、董事长、总</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469"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21"/>
                <w:szCs w:val="21"/>
              </w:rPr>
            </w:pPr>
            <w:r>
              <w:rPr>
                <w:rFonts w:ascii="宋体" w:hAnsi="宋体" w:cs="宋体" w:eastAsia="宋体" w:hint="default"/>
                <w:sz w:val="21"/>
                <w:szCs w:val="21"/>
              </w:rPr>
              <w:t>深圳市凯方实业发展有限公司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0"/>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93"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深圳市鸿基物业管理有限公司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深圳市鸿基物流有限公司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深圳市龙岗鸿基房地产开发有限公司、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深圳市宝鹏物流有限公司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深圳市宝地投资发展有限公司、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深圳市宝永投资发展有限公司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法定代表人、董事长</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深圳市鸿基房地产有限公司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60" w:hRule="exact"/>
        </w:trPr>
        <w:tc>
          <w:tcPr>
            <w:tcW w:w="982" w:type="dxa"/>
            <w:vMerge/>
            <w:tcBorders>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7"/>
              <w:ind w:left="101" w:right="0"/>
              <w:jc w:val="left"/>
              <w:rPr>
                <w:rFonts w:ascii="宋体" w:hAnsi="宋体" w:cs="宋体" w:eastAsia="宋体" w:hint="default"/>
                <w:sz w:val="21"/>
                <w:szCs w:val="21"/>
              </w:rPr>
            </w:pPr>
            <w:r>
              <w:rPr>
                <w:rFonts w:ascii="宋体" w:hAnsi="宋体" w:cs="宋体" w:eastAsia="宋体" w:hint="default"/>
                <w:sz w:val="21"/>
                <w:szCs w:val="21"/>
              </w:rPr>
              <w:t>深圳市深威驳运有限公司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本公司持股</w:t>
            </w:r>
            <w:r>
              <w:rPr>
                <w:rFonts w:ascii="宋体" w:hAnsi="宋体" w:cs="宋体" w:eastAsia="宋体" w:hint="default"/>
                <w:spacing w:val="-40"/>
                <w:sz w:val="21"/>
                <w:szCs w:val="21"/>
              </w:rPr>
              <w:t> </w:t>
            </w:r>
            <w:r>
              <w:rPr>
                <w:rFonts w:ascii="Times New Roman" w:hAnsi="Times New Roman" w:cs="Times New Roman" w:eastAsia="Times New Roman" w:hint="default"/>
                <w:spacing w:val="9"/>
                <w:sz w:val="21"/>
                <w:szCs w:val="21"/>
              </w:rPr>
              <w:t>45%</w:t>
            </w:r>
            <w:r>
              <w:rPr>
                <w:rFonts w:ascii="宋体" w:hAnsi="宋体" w:cs="宋体" w:eastAsia="宋体" w:hint="default"/>
                <w:spacing w:val="9"/>
                <w:sz w:val="21"/>
                <w:szCs w:val="21"/>
              </w:rPr>
              <w:t>的参股企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业</w:t>
            </w:r>
            <w:r>
              <w:rPr>
                <w:rFonts w:ascii="宋体" w:hAnsi="宋体" w:cs="宋体" w:eastAsia="宋体" w:hint="default"/>
                <w:sz w:val="21"/>
                <w:szCs w:val="21"/>
              </w:rPr>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7"/>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9"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93" w:right="0"/>
              <w:jc w:val="left"/>
              <w:rPr>
                <w:rFonts w:ascii="宋体" w:hAnsi="宋体" w:cs="宋体" w:eastAsia="宋体" w:hint="default"/>
                <w:sz w:val="21"/>
                <w:szCs w:val="21"/>
              </w:rPr>
            </w:pPr>
            <w:r>
              <w:rPr>
                <w:rFonts w:ascii="宋体" w:hAnsi="宋体" w:cs="宋体" w:eastAsia="宋体" w:hint="default"/>
                <w:sz w:val="21"/>
                <w:szCs w:val="21"/>
              </w:rPr>
              <w:t>黄旭辉</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21"/>
                <w:szCs w:val="21"/>
              </w:rPr>
            </w:pPr>
            <w:r>
              <w:rPr>
                <w:rFonts w:ascii="宋体" w:hAnsi="宋体" w:cs="宋体" w:eastAsia="宋体" w:hint="default"/>
                <w:sz w:val="21"/>
                <w:szCs w:val="21"/>
              </w:rPr>
              <w:t>深圳市鸿基物流有限公司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0"/>
              <w:ind w:left="101"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深圳市鸿基物业管理有限公司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57"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深圳市鸿永通国际货运代理有限公司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法定代表人、董事长、总</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470" w:hRule="exact"/>
        </w:trPr>
        <w:tc>
          <w:tcPr>
            <w:tcW w:w="982" w:type="dxa"/>
            <w:vMerge/>
            <w:tcBorders>
              <w:left w:val="single" w:sz="12" w:space="0" w:color="000000"/>
              <w:bottom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深圳市宝地投资发展有限公司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总经理</w:t>
            </w:r>
          </w:p>
        </w:tc>
      </w:tr>
    </w:tbl>
    <w:p>
      <w:pPr>
        <w:spacing w:after="0" w:line="240" w:lineRule="auto"/>
        <w:jc w:val="left"/>
        <w:rPr>
          <w:rFonts w:ascii="宋体" w:hAnsi="宋体" w:cs="宋体" w:eastAsia="宋体" w:hint="default"/>
          <w:sz w:val="21"/>
          <w:szCs w:val="21"/>
        </w:rPr>
        <w:sectPr>
          <w:pgSz w:w="11910" w:h="16840"/>
          <w:pgMar w:header="0" w:footer="987" w:top="1320" w:bottom="1180" w:left="900" w:right="860"/>
        </w:sectPr>
      </w:pPr>
    </w:p>
    <w:p>
      <w:pPr>
        <w:spacing w:line="240" w:lineRule="auto" w:before="2"/>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982"/>
        <w:gridCol w:w="3753"/>
        <w:gridCol w:w="2688"/>
        <w:gridCol w:w="2457"/>
      </w:tblGrid>
      <w:tr>
        <w:trPr>
          <w:trHeight w:val="482" w:hRule="exact"/>
        </w:trPr>
        <w:tc>
          <w:tcPr>
            <w:tcW w:w="982" w:type="dxa"/>
            <w:tcBorders>
              <w:top w:val="single" w:sz="12" w:space="0" w:color="000000"/>
              <w:left w:val="single" w:sz="12" w:space="0" w:color="000000"/>
              <w:bottom w:val="single" w:sz="6"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21"/>
                <w:szCs w:val="21"/>
              </w:rPr>
            </w:pPr>
            <w:bookmarkStart w:name="五、报告期内公司董事、监事、高级管理人员变动情况" w:id="12"/>
            <w:bookmarkEnd w:id="12"/>
            <w:r>
              <w:rPr/>
            </w:r>
            <w:r>
              <w:rPr>
                <w:rFonts w:ascii="宋体" w:hAnsi="宋体" w:cs="宋体" w:eastAsia="宋体" w:hint="default"/>
                <w:sz w:val="21"/>
                <w:szCs w:val="21"/>
              </w:rPr>
              <w:t>深圳市宝永投资发展有限公司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74"/>
              <w:ind w:left="101" w:right="0"/>
              <w:jc w:val="left"/>
              <w:rPr>
                <w:rFonts w:ascii="宋体" w:hAnsi="宋体" w:cs="宋体" w:eastAsia="宋体" w:hint="default"/>
                <w:sz w:val="21"/>
                <w:szCs w:val="21"/>
              </w:rPr>
            </w:pPr>
            <w:r>
              <w:rPr>
                <w:rFonts w:ascii="宋体" w:hAnsi="宋体" w:cs="宋体" w:eastAsia="宋体" w:hint="default"/>
                <w:sz w:val="21"/>
                <w:szCs w:val="21"/>
              </w:rPr>
              <w:t>总经理</w:t>
            </w:r>
          </w:p>
        </w:tc>
      </w:tr>
      <w:tr>
        <w:trPr>
          <w:trHeight w:val="470" w:hRule="exact"/>
        </w:trPr>
        <w:tc>
          <w:tcPr>
            <w:tcW w:w="98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于银彪</w:t>
            </w: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本公司参股企业</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深圳市鸿基房地产有限公司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深圳市龙岗鸿基房地产开发有限公司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70"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深圳市龙岗鸿基发展有限公司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68" w:hRule="exact"/>
        </w:trPr>
        <w:tc>
          <w:tcPr>
            <w:tcW w:w="982" w:type="dxa"/>
            <w:vMerge/>
            <w:tcBorders>
              <w:left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深圳市鸿基物业管理有限公司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70" w:hRule="exact"/>
        </w:trPr>
        <w:tc>
          <w:tcPr>
            <w:tcW w:w="982" w:type="dxa"/>
            <w:vMerge/>
            <w:tcBorders>
              <w:left w:val="single" w:sz="12" w:space="0" w:color="000000"/>
              <w:bottom w:val="single" w:sz="12" w:space="0" w:color="000000"/>
              <w:right w:val="single" w:sz="6" w:space="0" w:color="000000"/>
            </w:tcBorders>
          </w:tcPr>
          <w:p>
            <w:pPr/>
          </w:p>
        </w:tc>
        <w:tc>
          <w:tcPr>
            <w:tcW w:w="375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深圳市鸿永通国际货运代理有限公司</w:t>
            </w:r>
          </w:p>
        </w:tc>
        <w:tc>
          <w:tcPr>
            <w:tcW w:w="268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457"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r>
    </w:tbl>
    <w:p>
      <w:pPr>
        <w:spacing w:line="240" w:lineRule="auto" w:before="11"/>
        <w:rPr>
          <w:rFonts w:ascii="Times New Roman" w:hAnsi="Times New Roman" w:cs="Times New Roman" w:eastAsia="Times New Roman" w:hint="default"/>
          <w:sz w:val="21"/>
          <w:szCs w:val="21"/>
        </w:rPr>
      </w:pPr>
    </w:p>
    <w:p>
      <w:pPr>
        <w:spacing w:before="26"/>
        <w:ind w:left="235" w:right="229" w:firstLine="0"/>
        <w:jc w:val="left"/>
        <w:rPr>
          <w:rFonts w:ascii="宋体" w:hAnsi="宋体" w:cs="宋体" w:eastAsia="宋体" w:hint="default"/>
          <w:sz w:val="24"/>
          <w:szCs w:val="24"/>
        </w:rPr>
      </w:pPr>
      <w:r>
        <w:rPr>
          <w:rFonts w:ascii="宋体" w:hAnsi="宋体" w:cs="宋体" w:eastAsia="宋体" w:hint="default"/>
          <w:sz w:val="24"/>
          <w:szCs w:val="24"/>
        </w:rPr>
        <w:t>五、报告期内公司董事、监事、高级管理人员变动情况</w:t>
      </w:r>
    </w:p>
    <w:p>
      <w:pPr>
        <w:spacing w:line="240" w:lineRule="auto" w:before="9"/>
        <w:rPr>
          <w:rFonts w:ascii="宋体" w:hAnsi="宋体" w:cs="宋体" w:eastAsia="宋体" w:hint="default"/>
          <w:sz w:val="29"/>
          <w:szCs w:val="29"/>
        </w:rPr>
      </w:pPr>
    </w:p>
    <w:p>
      <w:pPr>
        <w:pStyle w:val="BodyText"/>
        <w:spacing w:line="240" w:lineRule="auto"/>
        <w:ind w:left="659" w:right="229"/>
        <w:jc w:val="left"/>
      </w:pPr>
      <w:r>
        <w:rPr>
          <w:rFonts w:ascii="Times New Roman" w:hAnsi="Times New Roman" w:cs="Times New Roman" w:eastAsia="Times New Roman" w:hint="default"/>
        </w:rPr>
        <w:t>1</w:t>
      </w:r>
      <w:r>
        <w:rPr/>
        <w:t>、董事变动情况</w:t>
      </w:r>
    </w:p>
    <w:p>
      <w:pPr>
        <w:pStyle w:val="BodyText"/>
        <w:spacing w:line="345" w:lineRule="auto" w:before="129"/>
        <w:ind w:left="235" w:right="229" w:firstLine="317"/>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日，庄伟鑫先生因个人工作原因，请求辞去公司第六届董事局董事职务，其辞职报告送达</w:t>
      </w:r>
      <w:r>
        <w:rPr>
          <w:w w:val="99"/>
        </w:rPr>
        <w:t> </w:t>
      </w:r>
      <w:r>
        <w:rPr/>
        <w:t>董事局之日起生效。</w:t>
      </w:r>
    </w:p>
    <w:p>
      <w:pPr>
        <w:pStyle w:val="BodyText"/>
        <w:spacing w:line="240" w:lineRule="auto" w:before="52"/>
        <w:ind w:left="659" w:right="0"/>
        <w:jc w:val="left"/>
      </w:pPr>
      <w:r>
        <w:rPr>
          <w:spacing w:val="2"/>
          <w:w w:val="99"/>
        </w:rPr>
        <w:t>（</w:t>
      </w:r>
      <w:r>
        <w:rPr>
          <w:w w:val="99"/>
        </w:rPr>
        <w:t>具</w:t>
      </w:r>
      <w:r>
        <w:rPr>
          <w:spacing w:val="2"/>
          <w:w w:val="99"/>
        </w:rPr>
        <w:t>体</w:t>
      </w:r>
      <w:r>
        <w:rPr>
          <w:w w:val="99"/>
        </w:rPr>
        <w:t>内</w:t>
      </w:r>
      <w:r>
        <w:rPr>
          <w:spacing w:val="2"/>
          <w:w w:val="99"/>
        </w:rPr>
        <w:t>容</w:t>
      </w:r>
      <w:r>
        <w:rPr>
          <w:w w:val="99"/>
        </w:rPr>
        <w:t>详见</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11</w:t>
      </w:r>
      <w:r>
        <w:rPr>
          <w:w w:val="99"/>
        </w:rPr>
        <w:t>年</w:t>
      </w:r>
      <w:r>
        <w:rPr>
          <w:rFonts w:ascii="Times New Roman" w:hAnsi="Times New Roman" w:cs="Times New Roman" w:eastAsia="Times New Roman" w:hint="default"/>
          <w:spacing w:val="1"/>
          <w:w w:val="99"/>
        </w:rPr>
        <w:t>5</w:t>
      </w:r>
      <w:r>
        <w:rPr>
          <w:w w:val="99"/>
        </w:rPr>
        <w:t>月</w:t>
      </w:r>
      <w:r>
        <w:rPr>
          <w:rFonts w:ascii="Times New Roman" w:hAnsi="Times New Roman" w:cs="Times New Roman" w:eastAsia="Times New Roman" w:hint="default"/>
          <w:spacing w:val="1"/>
          <w:w w:val="99"/>
        </w:rPr>
        <w:t>17</w:t>
      </w:r>
      <w:r>
        <w:rPr>
          <w:spacing w:val="-8"/>
          <w:w w:val="99"/>
        </w:rPr>
        <w:t>日</w:t>
      </w:r>
      <w:r>
        <w:rPr>
          <w:w w:val="99"/>
        </w:rPr>
        <w:t>《</w:t>
      </w:r>
      <w:r>
        <w:rPr>
          <w:spacing w:val="2"/>
          <w:w w:val="99"/>
        </w:rPr>
        <w:t>中</w:t>
      </w:r>
      <w:r>
        <w:rPr>
          <w:w w:val="99"/>
        </w:rPr>
        <w:t>国</w:t>
      </w:r>
      <w:r>
        <w:rPr>
          <w:spacing w:val="2"/>
          <w:w w:val="99"/>
        </w:rPr>
        <w:t>证</w:t>
      </w:r>
      <w:r>
        <w:rPr>
          <w:w w:val="99"/>
        </w:rPr>
        <w:t>券报</w:t>
      </w:r>
      <w:r>
        <w:rPr>
          <w:spacing w:val="-104"/>
          <w:w w:val="99"/>
        </w:rPr>
        <w:t>》</w:t>
      </w:r>
      <w:r>
        <w:rPr>
          <w:spacing w:val="-114"/>
          <w:w w:val="99"/>
        </w:rPr>
        <w:t>、</w:t>
      </w:r>
      <w:r>
        <w:rPr>
          <w:w w:val="99"/>
        </w:rPr>
        <w:t>《</w:t>
      </w:r>
      <w:r>
        <w:rPr>
          <w:spacing w:val="2"/>
          <w:w w:val="99"/>
        </w:rPr>
        <w:t>证</w:t>
      </w:r>
      <w:r>
        <w:rPr>
          <w:w w:val="99"/>
        </w:rPr>
        <w:t>券</w:t>
      </w:r>
      <w:r>
        <w:rPr>
          <w:spacing w:val="2"/>
          <w:w w:val="99"/>
        </w:rPr>
        <w:t>时</w:t>
      </w:r>
      <w:r>
        <w:rPr>
          <w:w w:val="99"/>
        </w:rPr>
        <w:t>报</w:t>
      </w:r>
      <w:r>
        <w:rPr>
          <w:spacing w:val="-10"/>
          <w:w w:val="99"/>
        </w:rPr>
        <w:t>》</w:t>
      </w:r>
      <w:r>
        <w:rPr>
          <w:spacing w:val="2"/>
          <w:w w:val="99"/>
        </w:rPr>
        <w:t>以</w:t>
      </w:r>
      <w:r>
        <w:rPr>
          <w:w w:val="99"/>
        </w:rPr>
        <w:t>及</w:t>
      </w:r>
      <w:r>
        <w:rPr>
          <w:spacing w:val="2"/>
          <w:w w:val="99"/>
        </w:rPr>
        <w:t>巨</w:t>
      </w:r>
      <w:r>
        <w:rPr>
          <w:w w:val="99"/>
        </w:rPr>
        <w:t>潮</w:t>
      </w:r>
      <w:r>
        <w:rPr>
          <w:spacing w:val="2"/>
          <w:w w:val="99"/>
        </w:rPr>
        <w:t>资</w:t>
      </w:r>
      <w:r>
        <w:rPr>
          <w:w w:val="99"/>
        </w:rPr>
        <w:t>讯</w:t>
      </w:r>
      <w:r>
        <w:rPr>
          <w:spacing w:val="2"/>
          <w:w w:val="99"/>
        </w:rPr>
        <w:t>网</w:t>
      </w:r>
      <w:hyperlink r:id="rId10">
        <w:r>
          <w:rPr>
            <w:rFonts w:ascii="Times New Roman" w:hAnsi="Times New Roman" w:cs="Times New Roman" w:eastAsia="Times New Roman" w:hint="default"/>
            <w:w w:val="99"/>
          </w:rPr>
          <w:t>ww</w:t>
        </w:r>
        <w:r>
          <w:rPr>
            <w:rFonts w:ascii="Times New Roman" w:hAnsi="Times New Roman" w:cs="Times New Roman" w:eastAsia="Times New Roman" w:hint="default"/>
            <w:spacing w:val="-10"/>
            <w:w w:val="99"/>
          </w:rPr>
          <w:t>w</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f</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c</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hyperlink>
      <w:r>
        <w:rPr>
          <w:rFonts w:ascii="Times New Roman" w:hAnsi="Times New Roman" w:cs="Times New Roman" w:eastAsia="Times New Roman" w:hint="default"/>
          <w:spacing w:val="1"/>
          <w:w w:val="99"/>
        </w:rPr>
        <w:t>n</w:t>
      </w:r>
      <w:r>
        <w:rPr>
          <w:spacing w:val="2"/>
          <w:w w:val="99"/>
        </w:rPr>
        <w:t>公</w:t>
      </w:r>
      <w:r>
        <w:rPr>
          <w:w w:val="99"/>
        </w:rPr>
        <w:t>告）</w:t>
      </w:r>
      <w:r>
        <w:rPr/>
      </w:r>
    </w:p>
    <w:p>
      <w:pPr>
        <w:pStyle w:val="BodyText"/>
        <w:spacing w:line="240" w:lineRule="auto" w:before="129"/>
        <w:ind w:left="659" w:right="229"/>
        <w:jc w:val="left"/>
      </w:pPr>
      <w:r>
        <w:rPr>
          <w:rFonts w:ascii="Times New Roman" w:hAnsi="Times New Roman" w:cs="Times New Roman" w:eastAsia="Times New Roman" w:hint="default"/>
        </w:rPr>
        <w:t>2</w:t>
      </w:r>
      <w:r>
        <w:rPr/>
        <w:t>、高管变动情况</w:t>
      </w:r>
    </w:p>
    <w:p>
      <w:pPr>
        <w:pStyle w:val="BodyText"/>
        <w:spacing w:line="345" w:lineRule="auto" w:before="129"/>
        <w:ind w:left="235" w:right="228" w:firstLine="423"/>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日，高文清先生因个人身体原因书面请求辞去公司总裁职务，公司董事局接受其辞职。经</w:t>
      </w:r>
      <w:r>
        <w:rPr>
          <w:w w:val="99"/>
        </w:rPr>
        <w:t> </w:t>
      </w:r>
      <w:r>
        <w:rPr/>
        <w:t>公司第六届董事局第十五次临时会议审议通过，选举高文清先生担任公司第六届董事局常务副主席。</w:t>
      </w:r>
    </w:p>
    <w:p>
      <w:pPr>
        <w:pStyle w:val="BodyText"/>
        <w:spacing w:line="338" w:lineRule="auto" w:before="52"/>
        <w:ind w:left="235" w:right="218" w:firstLine="423"/>
        <w:jc w:val="right"/>
      </w:pPr>
      <w:r>
        <w:rPr>
          <w:spacing w:val="-4"/>
          <w:w w:val="99"/>
        </w:rPr>
        <w:t>（具体内容详见</w:t>
      </w:r>
      <w:r>
        <w:rPr>
          <w:rFonts w:ascii="Times New Roman" w:hAnsi="Times New Roman" w:cs="Times New Roman" w:eastAsia="Times New Roman" w:hint="default"/>
          <w:spacing w:val="-4"/>
          <w:w w:val="99"/>
        </w:rPr>
        <w:t>2011</w:t>
      </w:r>
      <w:r>
        <w:rPr>
          <w:spacing w:val="-4"/>
          <w:w w:val="99"/>
        </w:rPr>
        <w:t>年</w:t>
      </w:r>
      <w:r>
        <w:rPr>
          <w:rFonts w:ascii="Times New Roman" w:hAnsi="Times New Roman" w:cs="Times New Roman" w:eastAsia="Times New Roman" w:hint="default"/>
          <w:spacing w:val="-4"/>
          <w:w w:val="99"/>
        </w:rPr>
        <w:t>6</w:t>
      </w:r>
      <w:r>
        <w:rPr>
          <w:spacing w:val="-4"/>
          <w:w w:val="99"/>
        </w:rPr>
        <w:t>月</w:t>
      </w:r>
      <w:r>
        <w:rPr>
          <w:rFonts w:ascii="Times New Roman" w:hAnsi="Times New Roman" w:cs="Times New Roman" w:eastAsia="Times New Roman" w:hint="default"/>
          <w:spacing w:val="-4"/>
          <w:w w:val="99"/>
        </w:rPr>
        <w:t>9</w:t>
      </w:r>
      <w:r>
        <w:rPr>
          <w:spacing w:val="-4"/>
          <w:w w:val="99"/>
        </w:rPr>
        <w:t>日《中国证券报》、《证券时报》以及巨潮资讯网</w:t>
      </w:r>
      <w:hyperlink r:id="rId10">
        <w:r>
          <w:rPr>
            <w:rFonts w:ascii="Times New Roman" w:hAnsi="Times New Roman" w:cs="Times New Roman" w:eastAsia="Times New Roman" w:hint="default"/>
            <w:spacing w:val="-4"/>
            <w:w w:val="99"/>
          </w:rPr>
          <w:t>www.cninfo.com.c</w:t>
        </w:r>
      </w:hyperlink>
      <w:r>
        <w:rPr>
          <w:rFonts w:ascii="Times New Roman" w:hAnsi="Times New Roman" w:cs="Times New Roman" w:eastAsia="Times New Roman" w:hint="default"/>
          <w:spacing w:val="-4"/>
          <w:w w:val="99"/>
        </w:rPr>
        <w:t>n</w:t>
      </w:r>
      <w:r>
        <w:rPr>
          <w:spacing w:val="-4"/>
          <w:w w:val="99"/>
        </w:rPr>
        <w:t>公告）</w:t>
      </w:r>
      <w:r>
        <w:rPr>
          <w:w w:val="99"/>
        </w:rPr>
        <w:t> </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w:t>
      </w:r>
      <w:r>
        <w:rPr>
          <w:w w:val="95"/>
        </w:rPr>
        <w:t>日，颜金辉先生因个人身体原因辞去集团副总裁职务，邱圣凯、罗竣、余毓凡、王迪新先</w:t>
      </w:r>
      <w:r>
        <w:rPr>
          <w:w w:val="99"/>
        </w:rPr>
        <w:t> </w:t>
      </w:r>
      <w:r>
        <w:rPr>
          <w:w w:val="95"/>
        </w:rPr>
        <w:t>生因公司产业结构调整与经营发展的需要，分别请求辞去公司副总裁、总裁助理职务，董事局接受前述人</w:t>
      </w:r>
      <w:r>
        <w:rPr>
          <w:spacing w:val="32"/>
          <w:w w:val="95"/>
        </w:rPr>
        <w:t> </w:t>
      </w:r>
      <w:r>
        <w:rPr>
          <w:spacing w:val="32"/>
          <w:w w:val="95"/>
        </w:rPr>
      </w:r>
      <w:r>
        <w:rPr>
          <w:w w:val="95"/>
        </w:rPr>
        <w:t>员的辞职申请。经公司第六届董事局第十八次临时会议审议通过，选举颜金辉先生为公司第六届董事局副</w:t>
      </w:r>
      <w:r>
        <w:rPr/>
      </w:r>
    </w:p>
    <w:p>
      <w:pPr>
        <w:pStyle w:val="BodyText"/>
        <w:spacing w:line="240" w:lineRule="auto" w:before="40"/>
        <w:ind w:left="235" w:right="229"/>
        <w:jc w:val="left"/>
      </w:pPr>
      <w:r>
        <w:rPr/>
        <w:t>主席，聘任邱圣凯、罗竣、余毓凡为集团高级巡视员，聘任王迪新为巡视员。</w:t>
      </w:r>
    </w:p>
    <w:p>
      <w:pPr>
        <w:pStyle w:val="BodyText"/>
        <w:spacing w:line="336" w:lineRule="auto" w:before="140"/>
        <w:ind w:left="659" w:right="0"/>
        <w:jc w:val="left"/>
      </w:pPr>
      <w:r>
        <w:rPr>
          <w:spacing w:val="-4"/>
          <w:w w:val="99"/>
        </w:rPr>
        <w:t>（具体内容详见</w:t>
      </w:r>
      <w:r>
        <w:rPr>
          <w:rFonts w:ascii="Times New Roman" w:hAnsi="Times New Roman" w:cs="Times New Roman" w:eastAsia="Times New Roman" w:hint="default"/>
          <w:spacing w:val="-4"/>
          <w:w w:val="99"/>
        </w:rPr>
        <w:t>2011</w:t>
      </w:r>
      <w:r>
        <w:rPr>
          <w:spacing w:val="-4"/>
          <w:w w:val="99"/>
        </w:rPr>
        <w:t>年</w:t>
      </w:r>
      <w:r>
        <w:rPr>
          <w:rFonts w:ascii="Times New Roman" w:hAnsi="Times New Roman" w:cs="Times New Roman" w:eastAsia="Times New Roman" w:hint="default"/>
          <w:spacing w:val="-4"/>
          <w:w w:val="99"/>
        </w:rPr>
        <w:t>8</w:t>
      </w:r>
      <w:r>
        <w:rPr>
          <w:spacing w:val="-4"/>
          <w:w w:val="99"/>
        </w:rPr>
        <w:t>月</w:t>
      </w:r>
      <w:r>
        <w:rPr>
          <w:rFonts w:ascii="Times New Roman" w:hAnsi="Times New Roman" w:cs="Times New Roman" w:eastAsia="Times New Roman" w:hint="default"/>
          <w:spacing w:val="-4"/>
          <w:w w:val="99"/>
        </w:rPr>
        <w:t>2</w:t>
      </w:r>
      <w:r>
        <w:rPr>
          <w:spacing w:val="-4"/>
          <w:w w:val="99"/>
        </w:rPr>
        <w:t>日《中国证券报》、《证券时报》以及巨潮资讯网</w:t>
      </w:r>
      <w:hyperlink r:id="rId10">
        <w:r>
          <w:rPr>
            <w:rFonts w:ascii="Times New Roman" w:hAnsi="Times New Roman" w:cs="Times New Roman" w:eastAsia="Times New Roman" w:hint="default"/>
            <w:spacing w:val="-4"/>
            <w:w w:val="99"/>
          </w:rPr>
          <w:t>www.cninfo.com.c</w:t>
        </w:r>
      </w:hyperlink>
      <w:r>
        <w:rPr>
          <w:rFonts w:ascii="Times New Roman" w:hAnsi="Times New Roman" w:cs="Times New Roman" w:eastAsia="Times New Roman" w:hint="default"/>
          <w:spacing w:val="-4"/>
          <w:w w:val="99"/>
        </w:rPr>
        <w:t>n</w:t>
      </w:r>
      <w:r>
        <w:rPr>
          <w:spacing w:val="-4"/>
          <w:w w:val="99"/>
        </w:rPr>
        <w:t>公告）</w:t>
      </w:r>
      <w:r>
        <w:rPr>
          <w:spacing w:val="-74"/>
          <w:w w:val="99"/>
        </w:rPr>
        <w:t> </w:t>
      </w:r>
      <w:r>
        <w:rPr>
          <w:spacing w:val="-74"/>
          <w:w w:val="99"/>
        </w:rPr>
      </w:r>
      <w:r>
        <w:rPr/>
        <w:t>3、新聘高管情况</w:t>
      </w:r>
    </w:p>
    <w:p>
      <w:pPr>
        <w:pStyle w:val="BodyText"/>
        <w:spacing w:line="331" w:lineRule="auto" w:before="39"/>
        <w:ind w:left="235" w:right="228" w:firstLine="423"/>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日，根据董事局主席陈泰泉提名，经公司第六届董事局第十五次临时会议审议通过，聘任</w:t>
      </w:r>
      <w:r>
        <w:rPr>
          <w:w w:val="99"/>
        </w:rPr>
        <w:t> </w:t>
      </w:r>
      <w:r>
        <w:rPr/>
        <w:t>周非为公司总裁，同时免去其公司常务副总裁职务。</w:t>
      </w:r>
    </w:p>
    <w:p>
      <w:pPr>
        <w:pStyle w:val="BodyText"/>
        <w:spacing w:line="240" w:lineRule="auto" w:before="46"/>
        <w:ind w:left="447" w:right="229"/>
        <w:jc w:val="left"/>
      </w:pPr>
      <w:r>
        <w:rPr>
          <w:spacing w:val="2"/>
          <w:w w:val="99"/>
        </w:rPr>
        <w:t>（</w:t>
      </w:r>
      <w:r>
        <w:rPr>
          <w:w w:val="99"/>
        </w:rPr>
        <w:t>具</w:t>
      </w:r>
      <w:r>
        <w:rPr>
          <w:spacing w:val="2"/>
          <w:w w:val="99"/>
        </w:rPr>
        <w:t>体</w:t>
      </w:r>
      <w:r>
        <w:rPr>
          <w:w w:val="99"/>
        </w:rPr>
        <w:t>内</w:t>
      </w:r>
      <w:r>
        <w:rPr>
          <w:spacing w:val="2"/>
          <w:w w:val="99"/>
        </w:rPr>
        <w:t>容</w:t>
      </w:r>
      <w:r>
        <w:rPr>
          <w:w w:val="99"/>
        </w:rPr>
        <w:t>详</w:t>
      </w:r>
      <w:r>
        <w:rPr>
          <w:spacing w:val="2"/>
          <w:w w:val="99"/>
        </w:rPr>
        <w:t>见</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4"/>
          <w:w w:val="99"/>
        </w:rPr>
        <w:t>11</w:t>
      </w:r>
      <w:r>
        <w:rPr>
          <w:spacing w:val="2"/>
          <w:w w:val="99"/>
        </w:rPr>
        <w:t>年</w:t>
      </w:r>
      <w:r>
        <w:rPr>
          <w:rFonts w:ascii="Times New Roman" w:hAnsi="Times New Roman" w:cs="Times New Roman" w:eastAsia="Times New Roman" w:hint="default"/>
          <w:spacing w:val="-2"/>
          <w:w w:val="99"/>
        </w:rPr>
        <w:t>6</w:t>
      </w:r>
      <w:r>
        <w:rPr>
          <w:spacing w:val="2"/>
          <w:w w:val="99"/>
        </w:rPr>
        <w:t>月</w:t>
      </w:r>
      <w:r>
        <w:rPr>
          <w:rFonts w:ascii="Times New Roman" w:hAnsi="Times New Roman" w:cs="Times New Roman" w:eastAsia="Times New Roman" w:hint="default"/>
          <w:spacing w:val="1"/>
          <w:w w:val="99"/>
        </w:rPr>
        <w:t>9</w:t>
      </w:r>
      <w:r>
        <w:rPr>
          <w:spacing w:val="2"/>
          <w:w w:val="99"/>
        </w:rPr>
        <w:t>日</w:t>
      </w:r>
      <w:r>
        <w:rPr>
          <w:w w:val="99"/>
        </w:rPr>
        <w:t>《</w:t>
      </w:r>
      <w:r>
        <w:rPr>
          <w:spacing w:val="2"/>
          <w:w w:val="99"/>
        </w:rPr>
        <w:t>中</w:t>
      </w:r>
      <w:r>
        <w:rPr>
          <w:w w:val="99"/>
        </w:rPr>
        <w:t>国</w:t>
      </w:r>
      <w:r>
        <w:rPr>
          <w:spacing w:val="2"/>
          <w:w w:val="99"/>
        </w:rPr>
        <w:t>证</w:t>
      </w:r>
      <w:r>
        <w:rPr>
          <w:w w:val="99"/>
        </w:rPr>
        <w:t>券报</w:t>
      </w:r>
      <w:r>
        <w:rPr>
          <w:spacing w:val="-104"/>
          <w:w w:val="99"/>
        </w:rPr>
        <w:t>》、</w:t>
      </w:r>
      <w:r>
        <w:rPr>
          <w:spacing w:val="2"/>
          <w:w w:val="99"/>
        </w:rPr>
        <w:t>《</w:t>
      </w:r>
      <w:r>
        <w:rPr>
          <w:w w:val="99"/>
        </w:rPr>
        <w:t>证</w:t>
      </w:r>
      <w:r>
        <w:rPr>
          <w:spacing w:val="2"/>
          <w:w w:val="99"/>
        </w:rPr>
        <w:t>券</w:t>
      </w:r>
      <w:r>
        <w:rPr>
          <w:w w:val="99"/>
        </w:rPr>
        <w:t>时</w:t>
      </w:r>
      <w:r>
        <w:rPr>
          <w:spacing w:val="2"/>
          <w:w w:val="99"/>
        </w:rPr>
        <w:t>报</w:t>
      </w:r>
      <w:r>
        <w:rPr>
          <w:w w:val="99"/>
        </w:rPr>
        <w:t>》</w:t>
      </w:r>
      <w:r>
        <w:rPr>
          <w:spacing w:val="2"/>
          <w:w w:val="99"/>
        </w:rPr>
        <w:t>以</w:t>
      </w:r>
      <w:r>
        <w:rPr>
          <w:w w:val="99"/>
        </w:rPr>
        <w:t>及</w:t>
      </w:r>
      <w:r>
        <w:rPr>
          <w:spacing w:val="2"/>
          <w:w w:val="99"/>
        </w:rPr>
        <w:t>巨</w:t>
      </w:r>
      <w:r>
        <w:rPr>
          <w:w w:val="99"/>
        </w:rPr>
        <w:t>潮</w:t>
      </w:r>
      <w:r>
        <w:rPr>
          <w:spacing w:val="2"/>
          <w:w w:val="99"/>
        </w:rPr>
        <w:t>资</w:t>
      </w:r>
      <w:r>
        <w:rPr>
          <w:w w:val="99"/>
        </w:rPr>
        <w:t>讯网</w:t>
      </w:r>
      <w:hyperlink r:id="rId10">
        <w:r>
          <w:rPr>
            <w:rFonts w:ascii="Times New Roman" w:hAnsi="Times New Roman" w:cs="Times New Roman" w:eastAsia="Times New Roman" w:hint="default"/>
            <w:w w:val="99"/>
          </w:rPr>
          <w:t>ww</w:t>
        </w:r>
        <w:r>
          <w:rPr>
            <w:rFonts w:ascii="Times New Roman" w:hAnsi="Times New Roman" w:cs="Times New Roman" w:eastAsia="Times New Roman" w:hint="default"/>
            <w:spacing w:val="-10"/>
            <w:w w:val="99"/>
          </w:rPr>
          <w:t>w</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f</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2"/>
            <w:w w:val="99"/>
          </w:rPr>
          <w:t>om</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hyperlink>
      <w:r>
        <w:rPr>
          <w:spacing w:val="2"/>
          <w:w w:val="99"/>
        </w:rPr>
        <w:t>公</w:t>
      </w:r>
      <w:r>
        <w:rPr>
          <w:w w:val="99"/>
        </w:rPr>
        <w:t>告）</w:t>
      </w:r>
      <w:r>
        <w:rPr/>
      </w:r>
    </w:p>
    <w:p>
      <w:pPr>
        <w:pStyle w:val="BodyText"/>
        <w:spacing w:line="331" w:lineRule="auto" w:before="107"/>
        <w:ind w:left="235" w:right="230" w:firstLine="211"/>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日，根据总裁周非提名，经公司第六届董事局第二十二次临时会议审议通过，聘任杨子宁</w:t>
      </w:r>
      <w:r>
        <w:rPr>
          <w:w w:val="99"/>
        </w:rPr>
        <w:t> </w:t>
      </w:r>
      <w:r>
        <w:rPr/>
        <w:t>为公司副总裁。</w:t>
      </w:r>
    </w:p>
    <w:p>
      <w:pPr>
        <w:pStyle w:val="BodyText"/>
        <w:spacing w:line="240" w:lineRule="auto" w:before="46"/>
        <w:ind w:left="0" w:right="218"/>
        <w:jc w:val="right"/>
      </w:pPr>
      <w:r>
        <w:rPr>
          <w:spacing w:val="2"/>
          <w:w w:val="99"/>
        </w:rPr>
        <w:t>（</w:t>
      </w:r>
      <w:r>
        <w:rPr>
          <w:w w:val="99"/>
        </w:rPr>
        <w:t>具</w:t>
      </w:r>
      <w:r>
        <w:rPr>
          <w:spacing w:val="2"/>
          <w:w w:val="99"/>
        </w:rPr>
        <w:t>体</w:t>
      </w:r>
      <w:r>
        <w:rPr>
          <w:w w:val="99"/>
        </w:rPr>
        <w:t>内</w:t>
      </w:r>
      <w:r>
        <w:rPr>
          <w:spacing w:val="2"/>
          <w:w w:val="99"/>
        </w:rPr>
        <w:t>容</w:t>
      </w:r>
      <w:r>
        <w:rPr>
          <w:w w:val="99"/>
        </w:rPr>
        <w:t>详</w:t>
      </w:r>
      <w:r>
        <w:rPr>
          <w:spacing w:val="2"/>
          <w:w w:val="99"/>
        </w:rPr>
        <w:t>见</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4"/>
          <w:w w:val="99"/>
        </w:rPr>
        <w:t>11</w:t>
      </w:r>
      <w:r>
        <w:rPr>
          <w:spacing w:val="2"/>
          <w:w w:val="99"/>
        </w:rPr>
        <w:t>年</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2</w:t>
      </w:r>
      <w:r>
        <w:rPr>
          <w:spacing w:val="2"/>
          <w:w w:val="99"/>
        </w:rPr>
        <w:t>月</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9</w:t>
      </w:r>
      <w:r>
        <w:rPr>
          <w:spacing w:val="2"/>
          <w:w w:val="99"/>
        </w:rPr>
        <w:t>日</w:t>
      </w:r>
      <w:r>
        <w:rPr>
          <w:w w:val="99"/>
        </w:rPr>
        <w:t>《</w:t>
      </w:r>
      <w:r>
        <w:rPr>
          <w:spacing w:val="2"/>
          <w:w w:val="99"/>
        </w:rPr>
        <w:t>中</w:t>
      </w:r>
      <w:r>
        <w:rPr>
          <w:w w:val="99"/>
        </w:rPr>
        <w:t>国</w:t>
      </w:r>
      <w:r>
        <w:rPr>
          <w:spacing w:val="2"/>
          <w:w w:val="99"/>
        </w:rPr>
        <w:t>证</w:t>
      </w:r>
      <w:r>
        <w:rPr>
          <w:w w:val="99"/>
        </w:rPr>
        <w:t>券</w:t>
      </w:r>
      <w:r>
        <w:rPr>
          <w:spacing w:val="2"/>
          <w:w w:val="99"/>
        </w:rPr>
        <w:t>报</w:t>
      </w:r>
      <w:r>
        <w:rPr>
          <w:spacing w:val="-106"/>
          <w:w w:val="99"/>
        </w:rPr>
        <w:t>》</w:t>
      </w:r>
      <w:r>
        <w:rPr>
          <w:spacing w:val="-104"/>
          <w:w w:val="99"/>
        </w:rPr>
        <w:t>、</w:t>
      </w:r>
      <w:r>
        <w:rPr>
          <w:spacing w:val="2"/>
          <w:w w:val="99"/>
        </w:rPr>
        <w:t>《</w:t>
      </w:r>
      <w:r>
        <w:rPr>
          <w:w w:val="99"/>
        </w:rPr>
        <w:t>证</w:t>
      </w:r>
      <w:r>
        <w:rPr>
          <w:spacing w:val="2"/>
          <w:w w:val="99"/>
        </w:rPr>
        <w:t>券</w:t>
      </w:r>
      <w:r>
        <w:rPr>
          <w:w w:val="99"/>
        </w:rPr>
        <w:t>时</w:t>
      </w:r>
      <w:r>
        <w:rPr>
          <w:spacing w:val="2"/>
          <w:w w:val="99"/>
        </w:rPr>
        <w:t>报</w:t>
      </w:r>
      <w:r>
        <w:rPr>
          <w:w w:val="99"/>
        </w:rPr>
        <w:t>》</w:t>
      </w:r>
      <w:r>
        <w:rPr>
          <w:spacing w:val="2"/>
          <w:w w:val="99"/>
        </w:rPr>
        <w:t>以</w:t>
      </w:r>
      <w:r>
        <w:rPr>
          <w:w w:val="99"/>
        </w:rPr>
        <w:t>及</w:t>
      </w:r>
      <w:r>
        <w:rPr>
          <w:spacing w:val="2"/>
          <w:w w:val="99"/>
        </w:rPr>
        <w:t>巨</w:t>
      </w:r>
      <w:r>
        <w:rPr>
          <w:w w:val="99"/>
        </w:rPr>
        <w:t>潮</w:t>
      </w:r>
      <w:r>
        <w:rPr>
          <w:spacing w:val="2"/>
          <w:w w:val="99"/>
        </w:rPr>
        <w:t>资</w:t>
      </w:r>
      <w:r>
        <w:rPr>
          <w:w w:val="99"/>
        </w:rPr>
        <w:t>讯</w:t>
      </w:r>
      <w:r>
        <w:rPr>
          <w:spacing w:val="2"/>
          <w:w w:val="99"/>
        </w:rPr>
        <w:t>网</w:t>
      </w:r>
      <w:hyperlink r:id="rId10">
        <w:r>
          <w:rPr>
            <w:rFonts w:ascii="Times New Roman" w:hAnsi="Times New Roman" w:cs="Times New Roman" w:eastAsia="Times New Roman" w:hint="default"/>
            <w:w w:val="99"/>
          </w:rPr>
          <w:t>ww</w:t>
        </w:r>
        <w:r>
          <w:rPr>
            <w:rFonts w:ascii="Times New Roman" w:hAnsi="Times New Roman" w:cs="Times New Roman" w:eastAsia="Times New Roman" w:hint="default"/>
            <w:spacing w:val="-10"/>
            <w:w w:val="99"/>
          </w:rPr>
          <w:t>w</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f</w:t>
        </w:r>
        <w:r>
          <w:rPr>
            <w:rFonts w:ascii="Times New Roman" w:hAnsi="Times New Roman" w:cs="Times New Roman" w:eastAsia="Times New Roman" w:hint="default"/>
            <w:spacing w:val="-2"/>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hyperlink>
      <w:r>
        <w:rPr>
          <w:rFonts w:ascii="Times New Roman" w:hAnsi="Times New Roman" w:cs="Times New Roman" w:eastAsia="Times New Roman" w:hint="default"/>
          <w:spacing w:val="1"/>
          <w:w w:val="99"/>
        </w:rPr>
        <w:t>n</w:t>
      </w:r>
      <w:r>
        <w:rPr>
          <w:spacing w:val="2"/>
          <w:w w:val="99"/>
        </w:rPr>
        <w:t>公</w:t>
      </w:r>
      <w:r>
        <w:rPr>
          <w:w w:val="99"/>
        </w:rPr>
        <w:t>告）</w:t>
      </w:r>
      <w:r>
        <w:rPr/>
      </w:r>
    </w:p>
    <w:p>
      <w:pPr>
        <w:spacing w:after="0" w:line="240" w:lineRule="auto"/>
        <w:jc w:val="right"/>
        <w:sectPr>
          <w:pgSz w:w="11910" w:h="16840"/>
          <w:pgMar w:header="0" w:footer="987" w:top="1320" w:bottom="1180" w:left="900" w:right="860"/>
        </w:sectPr>
      </w:pPr>
    </w:p>
    <w:p>
      <w:pPr>
        <w:pStyle w:val="Heading4"/>
        <w:spacing w:line="240" w:lineRule="auto" w:before="8"/>
        <w:ind w:left="115" w:right="88"/>
        <w:jc w:val="left"/>
      </w:pPr>
      <w:bookmarkStart w:name="六、员工情况" w:id="13"/>
      <w:bookmarkEnd w:id="13"/>
      <w:r>
        <w:rPr/>
      </w:r>
      <w:bookmarkStart w:name="第六节公司治理结构" w:id="14"/>
      <w:bookmarkEnd w:id="14"/>
      <w:r>
        <w:rPr/>
      </w:r>
      <w:bookmarkStart w:name="一、公司治理情况" w:id="15"/>
      <w:bookmarkEnd w:id="15"/>
      <w:r>
        <w:rPr/>
      </w:r>
      <w:r>
        <w:rPr/>
        <w:t>六、员工情况</w:t>
      </w:r>
    </w:p>
    <w:p>
      <w:pPr>
        <w:spacing w:line="240" w:lineRule="auto" w:before="5"/>
        <w:rPr>
          <w:rFonts w:ascii="宋体" w:hAnsi="宋体" w:cs="宋体" w:eastAsia="宋体" w:hint="default"/>
          <w:sz w:val="28"/>
          <w:szCs w:val="28"/>
        </w:rPr>
      </w:pPr>
    </w:p>
    <w:p>
      <w:pPr>
        <w:pStyle w:val="BodyText"/>
        <w:spacing w:line="350" w:lineRule="auto"/>
        <w:ind w:right="98" w:firstLine="423"/>
        <w:jc w:val="both"/>
      </w:pPr>
      <w:r>
        <w:rPr/>
        <w:t>因进行非房地产业务的产业剥离及结构调整，公司转让原部分控股子公司股权，员工人数大幅减少。</w:t>
      </w:r>
      <w:r>
        <w:rPr>
          <w:w w:val="88"/>
        </w:rPr>
        <w:t> </w:t>
      </w:r>
      <w:r>
        <w:rPr/>
        <w:t>截止</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2"/>
        </w:rPr>
        <w:t>日，公司在职员工总数为</w:t>
      </w:r>
      <w:r>
        <w:rPr>
          <w:spacing w:val="-45"/>
        </w:rPr>
        <w:t> </w:t>
      </w:r>
      <w:r>
        <w:rPr>
          <w:rFonts w:ascii="Times New Roman" w:hAnsi="Times New Roman" w:cs="Times New Roman" w:eastAsia="Times New Roman" w:hint="default"/>
        </w:rPr>
        <w:t>685</w:t>
      </w:r>
      <w:r>
        <w:rPr>
          <w:rFonts w:ascii="Times New Roman" w:hAnsi="Times New Roman" w:cs="Times New Roman" w:eastAsia="Times New Roman" w:hint="default"/>
          <w:spacing w:val="1"/>
        </w:rPr>
        <w:t> </w:t>
      </w:r>
      <w:r>
        <w:rPr>
          <w:spacing w:val="2"/>
        </w:rPr>
        <w:t>人：其中技术人员</w:t>
      </w:r>
      <w:r>
        <w:rPr>
          <w:spacing w:val="-48"/>
        </w:rPr>
        <w:t> </w:t>
      </w:r>
      <w:r>
        <w:rPr>
          <w:rFonts w:ascii="Times New Roman" w:hAnsi="Times New Roman" w:cs="Times New Roman" w:eastAsia="Times New Roman" w:hint="default"/>
          <w:spacing w:val="-2"/>
        </w:rPr>
        <w:t>116</w:t>
      </w:r>
      <w:r>
        <w:rPr>
          <w:rFonts w:ascii="Times New Roman" w:hAnsi="Times New Roman" w:cs="Times New Roman" w:eastAsia="Times New Roman" w:hint="default"/>
          <w:spacing w:val="1"/>
        </w:rPr>
        <w:t> </w:t>
      </w:r>
      <w:r>
        <w:rPr>
          <w:spacing w:val="2"/>
        </w:rPr>
        <w:t>人，管理及其他人员</w:t>
      </w:r>
      <w:r>
        <w:rPr>
          <w:spacing w:val="-48"/>
        </w:rPr>
        <w:t> </w:t>
      </w:r>
      <w:r>
        <w:rPr>
          <w:rFonts w:ascii="Times New Roman" w:hAnsi="Times New Roman" w:cs="Times New Roman" w:eastAsia="Times New Roman" w:hint="default"/>
        </w:rPr>
        <w:t>569</w:t>
      </w:r>
      <w:r>
        <w:rPr>
          <w:rFonts w:ascii="Times New Roman" w:hAnsi="Times New Roman" w:cs="Times New Roman" w:eastAsia="Times New Roman" w:hint="default"/>
          <w:spacing w:val="4"/>
        </w:rPr>
        <w:t> </w:t>
      </w:r>
      <w:r>
        <w:rPr/>
        <w:t>人；</w:t>
      </w:r>
    </w:p>
    <w:p>
      <w:pPr>
        <w:pStyle w:val="BodyText"/>
        <w:spacing w:line="240" w:lineRule="auto"/>
        <w:ind w:right="0"/>
        <w:jc w:val="left"/>
      </w:pPr>
      <w:r>
        <w:rPr/>
        <w:t>其中硕士以上学历</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人，大学本科学历</w:t>
      </w:r>
      <w:r>
        <w:rPr>
          <w:spacing w:val="-54"/>
        </w:rPr>
        <w:t> </w:t>
      </w:r>
      <w:r>
        <w:rPr>
          <w:rFonts w:ascii="Times New Roman" w:hAnsi="Times New Roman" w:cs="Times New Roman" w:eastAsia="Times New Roman" w:hint="default"/>
        </w:rPr>
        <w:t>92 </w:t>
      </w:r>
      <w:r>
        <w:rPr/>
        <w:t>人，大专学历</w:t>
      </w:r>
      <w:r>
        <w:rPr>
          <w:spacing w:val="-54"/>
        </w:rPr>
        <w:t> </w:t>
      </w:r>
      <w:r>
        <w:rPr>
          <w:rFonts w:ascii="Times New Roman" w:hAnsi="Times New Roman" w:cs="Times New Roman" w:eastAsia="Times New Roman" w:hint="default"/>
        </w:rPr>
        <w:t>92</w:t>
      </w:r>
      <w:r>
        <w:rPr>
          <w:rFonts w:ascii="Times New Roman" w:hAnsi="Times New Roman" w:cs="Times New Roman" w:eastAsia="Times New Roman" w:hint="default"/>
          <w:spacing w:val="-2"/>
        </w:rPr>
        <w:t> </w:t>
      </w:r>
      <w:r>
        <w:rPr/>
        <w:t>人，中专学历</w:t>
      </w:r>
      <w:r>
        <w:rPr>
          <w:spacing w:val="-54"/>
        </w:rPr>
        <w:t> </w:t>
      </w:r>
      <w:r>
        <w:rPr>
          <w:rFonts w:ascii="Times New Roman" w:hAnsi="Times New Roman" w:cs="Times New Roman" w:eastAsia="Times New Roman" w:hint="default"/>
        </w:rPr>
        <w:t>54</w:t>
      </w:r>
      <w:r>
        <w:rPr>
          <w:rFonts w:ascii="Times New Roman" w:hAnsi="Times New Roman" w:cs="Times New Roman" w:eastAsia="Times New Roman" w:hint="default"/>
          <w:spacing w:val="-2"/>
        </w:rPr>
        <w:t> </w:t>
      </w:r>
      <w:r>
        <w:rPr/>
        <w:t>人，其他</w:t>
      </w:r>
      <w:r>
        <w:rPr>
          <w:spacing w:val="-51"/>
        </w:rPr>
        <w:t> </w:t>
      </w:r>
      <w:r>
        <w:rPr>
          <w:rFonts w:ascii="Times New Roman" w:hAnsi="Times New Roman" w:cs="Times New Roman" w:eastAsia="Times New Roman" w:hint="default"/>
        </w:rPr>
        <w:t>434</w:t>
      </w:r>
      <w:r>
        <w:rPr>
          <w:rFonts w:ascii="Times New Roman" w:hAnsi="Times New Roman" w:cs="Times New Roman" w:eastAsia="Times New Roman" w:hint="default"/>
          <w:spacing w:val="-2"/>
        </w:rPr>
        <w:t> </w:t>
      </w:r>
      <w:r>
        <w:rPr/>
        <w:t>人。离退休员</w:t>
      </w:r>
    </w:p>
    <w:p>
      <w:pPr>
        <w:pStyle w:val="BodyText"/>
        <w:spacing w:line="240" w:lineRule="auto" w:before="110"/>
        <w:ind w:right="88"/>
        <w:jc w:val="left"/>
      </w:pPr>
      <w:r>
        <w:rPr/>
        <w:t>工</w:t>
      </w:r>
      <w:r>
        <w:rPr>
          <w:spacing w:val="-48"/>
        </w:rPr>
        <w:t> </w:t>
      </w:r>
      <w:r>
        <w:rPr>
          <w:rFonts w:ascii="Times New Roman" w:hAnsi="Times New Roman" w:cs="Times New Roman" w:eastAsia="Times New Roman" w:hint="default"/>
        </w:rPr>
        <w:t>25 </w:t>
      </w:r>
      <w:r>
        <w:rPr/>
        <w:t>人，费用由社保基金统筹解决。</w:t>
      </w:r>
    </w:p>
    <w:p>
      <w:pPr>
        <w:spacing w:line="240" w:lineRule="auto" w:before="8"/>
        <w:rPr>
          <w:rFonts w:ascii="宋体" w:hAnsi="宋体" w:cs="宋体" w:eastAsia="宋体" w:hint="default"/>
          <w:sz w:val="25"/>
          <w:szCs w:val="25"/>
        </w:rPr>
      </w:pPr>
    </w:p>
    <w:p>
      <w:pPr>
        <w:pStyle w:val="Heading3"/>
        <w:tabs>
          <w:tab w:pos="1138" w:val="left" w:leader="none"/>
        </w:tabs>
        <w:spacing w:line="240" w:lineRule="auto"/>
        <w:ind w:left="14" w:right="0"/>
        <w:jc w:val="center"/>
      </w:pPr>
      <w:r>
        <w:rPr/>
        <w:t>第六节</w:t>
        <w:tab/>
        <w:t>公司治理结构</w:t>
      </w:r>
    </w:p>
    <w:p>
      <w:pPr>
        <w:spacing w:line="240" w:lineRule="auto" w:before="5"/>
        <w:rPr>
          <w:rFonts w:ascii="宋体" w:hAnsi="宋体" w:cs="宋体" w:eastAsia="宋体" w:hint="default"/>
          <w:sz w:val="28"/>
          <w:szCs w:val="28"/>
        </w:rPr>
      </w:pPr>
    </w:p>
    <w:p>
      <w:pPr>
        <w:pStyle w:val="Heading4"/>
        <w:spacing w:line="240" w:lineRule="auto"/>
        <w:ind w:left="115" w:right="88"/>
        <w:jc w:val="left"/>
      </w:pPr>
      <w:r>
        <w:rPr/>
        <w:t>一、公司治理情况</w:t>
      </w:r>
    </w:p>
    <w:p>
      <w:pPr>
        <w:spacing w:line="240" w:lineRule="auto" w:before="5"/>
        <w:rPr>
          <w:rFonts w:ascii="宋体" w:hAnsi="宋体" w:cs="宋体" w:eastAsia="宋体" w:hint="default"/>
          <w:sz w:val="28"/>
          <w:szCs w:val="28"/>
        </w:rPr>
      </w:pPr>
    </w:p>
    <w:p>
      <w:pPr>
        <w:pStyle w:val="BodyText"/>
        <w:spacing w:line="350" w:lineRule="auto"/>
        <w:ind w:right="105" w:firstLine="404"/>
        <w:jc w:val="both"/>
      </w:pPr>
      <w:r>
        <w:rPr>
          <w:spacing w:val="-13"/>
          <w:w w:val="99"/>
        </w:rPr>
        <w:t>公司按照《公司法》、《证券法》、《上市公司治理准则》、《深圳证券交易所股票上市规则》等法律法规</w:t>
      </w:r>
      <w:r>
        <w:rPr>
          <w:w w:val="99"/>
        </w:rPr>
        <w:t> </w:t>
      </w:r>
      <w:r>
        <w:rPr/>
        <w:t>的要求，不断完善公司法人治理结构，健全公司内部控制制度，构建了与公司发展战略相匹配的内部管控</w:t>
      </w:r>
      <w:r>
        <w:rPr>
          <w:w w:val="99"/>
        </w:rPr>
        <w:t> </w:t>
      </w:r>
      <w:r>
        <w:rPr/>
        <w:t>体系，提高公司规范运作水平。</w:t>
      </w:r>
    </w:p>
    <w:p>
      <w:pPr>
        <w:pStyle w:val="BodyText"/>
        <w:spacing w:line="240" w:lineRule="auto" w:before="27"/>
        <w:ind w:right="88"/>
        <w:jc w:val="left"/>
        <w:rPr>
          <w:rFonts w:ascii="宋体" w:hAnsi="宋体" w:cs="宋体" w:eastAsia="宋体" w:hint="default"/>
        </w:rPr>
      </w:pPr>
      <w:r>
        <w:rPr>
          <w:rFonts w:ascii="宋体" w:hAnsi="宋体" w:cs="宋体" w:eastAsia="宋体" w:hint="default"/>
        </w:rPr>
        <w:t>（一）公司内部控制规范实施工作开展情况</w:t>
      </w:r>
    </w:p>
    <w:p>
      <w:pPr>
        <w:pStyle w:val="BodyText"/>
        <w:spacing w:line="348" w:lineRule="auto" w:before="126"/>
        <w:ind w:right="88" w:firstLine="423"/>
        <w:jc w:val="left"/>
      </w:pPr>
      <w:r>
        <w:rPr/>
        <w:t>根据财政部、证监会等五部委关于推动上市公司实施内部控制基本规范的总体部署，及深圳证监局颁</w:t>
      </w:r>
      <w:r>
        <w:rPr>
          <w:w w:val="99"/>
        </w:rPr>
        <w:t> </w:t>
      </w:r>
      <w:r>
        <w:rPr>
          <w:spacing w:val="-2"/>
          <w:w w:val="99"/>
        </w:rPr>
        <w:t>发的《关于做好深圳辖区上市公司内部控制规范试点有关工作的通知》，报告期内公司开展了内部控制规</w:t>
      </w:r>
      <w:r>
        <w:rPr>
          <w:spacing w:val="-73"/>
          <w:w w:val="99"/>
        </w:rPr>
        <w:t> </w:t>
      </w:r>
      <w:r>
        <w:rPr>
          <w:spacing w:val="-73"/>
          <w:w w:val="99"/>
        </w:rPr>
      </w:r>
      <w:r>
        <w:rPr/>
        <w:t>范有关工作。</w:t>
      </w:r>
    </w:p>
    <w:p>
      <w:pPr>
        <w:pStyle w:val="BodyText"/>
        <w:spacing w:line="340" w:lineRule="auto" w:before="31"/>
        <w:ind w:right="89" w:firstLine="317"/>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月下旬，公司召开内部控制项目实施工作动员大会，对公司内控实施工作进行了统一部署，制</w:t>
      </w:r>
      <w:r>
        <w:rPr>
          <w:w w:val="99"/>
        </w:rPr>
        <w:t> </w:t>
      </w:r>
      <w:r>
        <w:rPr>
          <w:spacing w:val="-2"/>
          <w:w w:val="99"/>
        </w:rPr>
        <w:t>定了《关于实施〈企业内部控制基本规范〉的工作方案》，由审计部牵头，将公司内控体系建设任务分解</w:t>
      </w:r>
      <w:r>
        <w:rPr>
          <w:spacing w:val="-73"/>
          <w:w w:val="99"/>
        </w:rPr>
        <w:t> </w:t>
      </w:r>
      <w:r>
        <w:rPr>
          <w:spacing w:val="-73"/>
          <w:w w:val="99"/>
        </w:rPr>
      </w:r>
      <w:r>
        <w:rPr/>
        <w:t>下达到各职能部门和下属公司，对制度体系进行全面梳理，修订完善各项管理制度、重要业务风险控制点</w:t>
      </w:r>
      <w:r>
        <w:rPr>
          <w:w w:val="99"/>
        </w:rPr>
        <w:t> </w:t>
      </w:r>
      <w:r>
        <w:rPr/>
        <w:t>及业务流程，查找问题，对发现的问题拟定整改措施，督促落实整改，并于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月进行了内部控制测</w:t>
      </w:r>
      <w:r>
        <w:rPr>
          <w:spacing w:val="-93"/>
        </w:rPr>
        <w:t> </w:t>
      </w:r>
      <w:r>
        <w:rPr>
          <w:spacing w:val="-93"/>
        </w:rPr>
      </w:r>
      <w:r>
        <w:rPr/>
        <w:t>试，评价了内部控制系统设计和执行的有效性，形成内控手册初稿，出具内部控制自我评价报告。</w:t>
      </w:r>
    </w:p>
    <w:p>
      <w:pPr>
        <w:pStyle w:val="BodyText"/>
        <w:spacing w:line="240" w:lineRule="auto" w:before="35"/>
        <w:ind w:right="88"/>
        <w:jc w:val="left"/>
        <w:rPr>
          <w:rFonts w:ascii="宋体" w:hAnsi="宋体" w:cs="宋体" w:eastAsia="宋体" w:hint="default"/>
        </w:rPr>
      </w:pPr>
      <w:r>
        <w:rPr>
          <w:rFonts w:ascii="宋体" w:hAnsi="宋体" w:cs="宋体" w:eastAsia="宋体" w:hint="default"/>
        </w:rPr>
        <w:t>（二）与财务报告相关的内部控制制度的建立和运行情况</w:t>
      </w:r>
    </w:p>
    <w:p>
      <w:pPr>
        <w:pStyle w:val="BodyText"/>
        <w:spacing w:line="350" w:lineRule="auto" w:before="126"/>
        <w:ind w:right="103" w:firstLine="423"/>
        <w:jc w:val="both"/>
      </w:pPr>
      <w:r>
        <w:rPr/>
        <w:t>报告期内公司进一步修订完善了以《财务管理制度》为基础的财务管理相关内控制度体系，明确了公</w:t>
      </w:r>
      <w:r>
        <w:rPr>
          <w:w w:val="99"/>
        </w:rPr>
        <w:t> </w:t>
      </w:r>
      <w:r>
        <w:rPr/>
        <w:t>司财务人员的岗位职责，保证涉及会计工作的各岗位间的权责分明、相互制约、相互监督的关系，进一步</w:t>
      </w:r>
      <w:r>
        <w:rPr>
          <w:w w:val="99"/>
        </w:rPr>
        <w:t> </w:t>
      </w:r>
      <w:r>
        <w:rPr/>
        <w:t>完善了适应公司自身发展的财务管理组织架构；规范财务报告编制流程，明晰各部门、岗位职责。公司总</w:t>
      </w:r>
      <w:r>
        <w:rPr>
          <w:w w:val="99"/>
        </w:rPr>
        <w:t> </w:t>
      </w:r>
      <w:r>
        <w:rPr/>
        <w:t>裁负责审批财务报告总体编制计划，财务总监负责组织财务报告的编制工作，财务部负责具体编制工作和</w:t>
      </w:r>
      <w:r>
        <w:rPr>
          <w:w w:val="99"/>
        </w:rPr>
        <w:t> </w:t>
      </w:r>
      <w:r>
        <w:rPr/>
        <w:t>进行财务分析工作。</w:t>
      </w:r>
    </w:p>
    <w:p>
      <w:pPr>
        <w:pStyle w:val="BodyText"/>
        <w:spacing w:line="350" w:lineRule="auto" w:before="27"/>
        <w:ind w:right="103" w:firstLine="423"/>
        <w:jc w:val="both"/>
      </w:pPr>
      <w:r>
        <w:rPr/>
        <w:t>公司已在《年报信息披露重大差错责任追究制度》中明确了出现年报信息披露重大差错的情形、认定</w:t>
      </w:r>
      <w:r>
        <w:rPr>
          <w:w w:val="99"/>
        </w:rPr>
        <w:t> </w:t>
      </w:r>
      <w:r>
        <w:rPr/>
        <w:t>标准、处理程序和责任追究机制，落实年报信息披露的责任人，加大问责力度，提高公司年报信息编制与</w:t>
      </w:r>
      <w:r>
        <w:rPr>
          <w:w w:val="99"/>
        </w:rPr>
        <w:t> </w:t>
      </w:r>
      <w:r>
        <w:rPr/>
        <w:t>披露质量和透明度。报告期内，公司未发生违反《年报信息披露重大差错责任追究制度》规定的情形。</w:t>
      </w:r>
    </w:p>
    <w:p>
      <w:pPr>
        <w:pStyle w:val="BodyText"/>
        <w:spacing w:line="240" w:lineRule="auto" w:before="27"/>
        <w:ind w:right="88"/>
        <w:jc w:val="left"/>
        <w:rPr>
          <w:rFonts w:ascii="宋体" w:hAnsi="宋体" w:cs="宋体" w:eastAsia="宋体" w:hint="default"/>
        </w:rPr>
      </w:pPr>
      <w:r>
        <w:rPr>
          <w:rFonts w:ascii="宋体" w:hAnsi="宋体" w:cs="宋体" w:eastAsia="宋体" w:hint="default"/>
        </w:rPr>
        <w:t>（三）开展内幕交易防控的内部培训，坚决打击内幕交易</w:t>
      </w:r>
    </w:p>
    <w:p>
      <w:pPr>
        <w:pStyle w:val="BodyText"/>
        <w:spacing w:line="350" w:lineRule="auto" w:before="126"/>
        <w:ind w:right="105" w:firstLine="423"/>
        <w:jc w:val="both"/>
      </w:pPr>
      <w:r>
        <w:rPr/>
        <w:t>根据深圳证监局关于落实“深圳上市公司信息披露专项工作会议”精神的通知，公司组织全体董事、</w:t>
      </w:r>
      <w:r>
        <w:rPr>
          <w:w w:val="88"/>
        </w:rPr>
        <w:t> </w:t>
      </w:r>
      <w:r>
        <w:rPr/>
        <w:t>监事、高级管理人员、公司职能部门领导及下属公司董事长、总经理等参加防控内幕交易的专题培训，就</w:t>
      </w:r>
    </w:p>
    <w:p>
      <w:pPr>
        <w:spacing w:after="0" w:line="350" w:lineRule="auto"/>
        <w:jc w:val="both"/>
        <w:sectPr>
          <w:pgSz w:w="11910" w:h="16840"/>
          <w:pgMar w:header="0" w:footer="987" w:top="1400" w:bottom="1180" w:left="1020" w:right="1000"/>
        </w:sectPr>
      </w:pPr>
    </w:p>
    <w:p>
      <w:pPr>
        <w:pStyle w:val="BodyText"/>
        <w:spacing w:line="348" w:lineRule="auto" w:before="14"/>
        <w:ind w:right="103"/>
        <w:jc w:val="both"/>
      </w:pPr>
      <w:bookmarkStart w:name="二、公司独立董事履行职责情况" w:id="16"/>
      <w:bookmarkEnd w:id="16"/>
      <w:r>
        <w:rPr/>
      </w:r>
      <w:bookmarkStart w:name="三、公司与第一大股东在业务、人员、资产、机构与财务等方面分开的情况" w:id="17"/>
      <w:bookmarkEnd w:id="17"/>
      <w:r>
        <w:rPr/>
      </w:r>
      <w:r>
        <w:rPr/>
        <w:t>内幕交易、内幕人及其相关概念内容的定义及范畴，内幕交易典型案例及公司信息披露制度体系、信息披</w:t>
      </w:r>
      <w:r>
        <w:rPr>
          <w:w w:val="99"/>
        </w:rPr>
        <w:t> </w:t>
      </w:r>
      <w:r>
        <w:rPr/>
        <w:t>露日常工作情况进行了培训及沟通，提升了董事、监事、高管及其他公司信息披露义务人打击和防范内幕</w:t>
      </w:r>
      <w:r>
        <w:rPr>
          <w:w w:val="99"/>
        </w:rPr>
        <w:t> </w:t>
      </w:r>
      <w:r>
        <w:rPr/>
        <w:t>交易的自觉性和主动性，进一步增强防范内幕交易意识。公司还在定期报告披露、重大事项公告前等股票</w:t>
      </w:r>
      <w:r>
        <w:rPr>
          <w:w w:val="99"/>
        </w:rPr>
        <w:t> </w:t>
      </w:r>
      <w:r>
        <w:rPr/>
        <w:t>买卖“窗口期”提醒董监高及相关内幕知情人不得违规买卖股票，同时公司建立了内幕信息知情人管理档</w:t>
      </w:r>
      <w:r>
        <w:rPr>
          <w:w w:val="99"/>
        </w:rPr>
        <w:t> </w:t>
      </w:r>
      <w:r>
        <w:rPr/>
        <w:t>案，做好内幕信息知情人登记备案工作，将防范内幕交易工作落到实处，推进内幕交易防控体系建设。</w:t>
      </w:r>
    </w:p>
    <w:p>
      <w:pPr>
        <w:pStyle w:val="BodyText"/>
        <w:spacing w:line="240" w:lineRule="auto" w:before="31"/>
        <w:ind w:right="0"/>
        <w:jc w:val="both"/>
        <w:rPr>
          <w:rFonts w:ascii="宋体" w:hAnsi="宋体" w:cs="宋体" w:eastAsia="宋体" w:hint="default"/>
        </w:rPr>
      </w:pPr>
      <w:r>
        <w:rPr>
          <w:rFonts w:ascii="宋体" w:hAnsi="宋体" w:cs="宋体" w:eastAsia="宋体" w:hint="default"/>
        </w:rPr>
        <w:t>（四）公司治理其他相关工作</w:t>
      </w:r>
    </w:p>
    <w:p>
      <w:pPr>
        <w:pStyle w:val="BodyText"/>
        <w:spacing w:line="348" w:lineRule="auto" w:before="126"/>
        <w:ind w:right="103" w:firstLine="423"/>
        <w:jc w:val="both"/>
      </w:pPr>
      <w:r>
        <w:rPr/>
        <w:t>公司按照《关于做好深入推进公司治理专项活动相关工作的通知》要求，及时清查与关联方的资金往</w:t>
      </w:r>
      <w:r>
        <w:rPr>
          <w:w w:val="99"/>
        </w:rPr>
        <w:t> </w:t>
      </w:r>
      <w:r>
        <w:rPr/>
        <w:t>来情况，向深圳证监局报送</w:t>
      </w:r>
      <w:r>
        <w:rPr>
          <w:rFonts w:ascii="Times New Roman" w:hAnsi="Times New Roman" w:cs="Times New Roman" w:eastAsia="Times New Roman" w:hint="default"/>
        </w:rPr>
        <w:t>“</w:t>
      </w:r>
      <w:r>
        <w:rPr/>
        <w:t>上市公司关联方资金往来情况统计表</w:t>
      </w:r>
      <w:r>
        <w:rPr>
          <w:rFonts w:ascii="Times New Roman" w:hAnsi="Times New Roman" w:cs="Times New Roman" w:eastAsia="Times New Roman" w:hint="default"/>
        </w:rPr>
        <w:t>”</w:t>
      </w:r>
      <w:r>
        <w:rPr/>
        <w:t>。</w:t>
      </w:r>
    </w:p>
    <w:p>
      <w:pPr>
        <w:pStyle w:val="BodyText"/>
        <w:spacing w:line="240" w:lineRule="auto" w:before="5"/>
        <w:ind w:left="539" w:right="88"/>
        <w:jc w:val="left"/>
      </w:pPr>
      <w:r>
        <w:rPr/>
        <w:t>报告期内，公司不存在违规向大股东提供未公开信息的公司治理非规范情况。</w:t>
      </w:r>
    </w:p>
    <w:p>
      <w:pPr>
        <w:spacing w:line="240" w:lineRule="auto" w:before="5"/>
        <w:rPr>
          <w:rFonts w:ascii="宋体" w:hAnsi="宋体" w:cs="宋体" w:eastAsia="宋体" w:hint="default"/>
          <w:sz w:val="24"/>
          <w:szCs w:val="24"/>
        </w:rPr>
      </w:pPr>
    </w:p>
    <w:p>
      <w:pPr>
        <w:pStyle w:val="Heading4"/>
        <w:spacing w:line="240" w:lineRule="auto"/>
        <w:ind w:left="115" w:right="0"/>
        <w:jc w:val="both"/>
      </w:pPr>
      <w:r>
        <w:rPr/>
        <w:t>二、公司独立董事履行职责情况</w:t>
      </w:r>
    </w:p>
    <w:p>
      <w:pPr>
        <w:spacing w:line="240" w:lineRule="auto" w:before="5"/>
        <w:rPr>
          <w:rFonts w:ascii="宋体" w:hAnsi="宋体" w:cs="宋体" w:eastAsia="宋体" w:hint="default"/>
          <w:sz w:val="28"/>
          <w:szCs w:val="28"/>
        </w:rPr>
      </w:pPr>
    </w:p>
    <w:p>
      <w:pPr>
        <w:pStyle w:val="BodyText"/>
        <w:spacing w:line="345" w:lineRule="auto"/>
        <w:ind w:right="103" w:firstLine="423"/>
        <w:jc w:val="both"/>
      </w:pPr>
      <w:r>
        <w:rPr>
          <w:spacing w:val="-9"/>
          <w:w w:val="99"/>
        </w:rPr>
        <w:t>报告期内，公司独立董事根据《公司法》、《关于在上市公司建立独立董事制度的指导意见》、《关于加</w:t>
      </w:r>
      <w:r>
        <w:rPr>
          <w:w w:val="99"/>
        </w:rPr>
        <w:t> </w:t>
      </w:r>
      <w:r>
        <w:rPr>
          <w:spacing w:val="-9"/>
          <w:w w:val="99"/>
        </w:rPr>
        <w:t>强社会公众股股东权益保护的若干规定》、《公司章程》、《公司独立董事制度》等相关法律法规和规章制度</w:t>
      </w:r>
      <w:r>
        <w:rPr>
          <w:spacing w:val="-66"/>
          <w:w w:val="99"/>
        </w:rPr>
        <w:t> </w:t>
      </w:r>
      <w:r>
        <w:rPr>
          <w:spacing w:val="-66"/>
          <w:w w:val="99"/>
        </w:rPr>
      </w:r>
      <w:r>
        <w:rPr/>
        <w:t>的规定和要求，忠实地履行了独立董事的职责，谨慎、认真、勤勉地行使公司所赋予独立董事的权利，积</w:t>
      </w:r>
      <w:r>
        <w:rPr>
          <w:w w:val="99"/>
        </w:rPr>
        <w:t> </w:t>
      </w:r>
      <w:r>
        <w:rPr/>
        <w:t>极出席了</w:t>
      </w:r>
      <w:r>
        <w:rPr>
          <w:spacing w:val="-2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年度公司董事局的相关会议，对各项议案均认真审议并发表了意见。同时，作为公司董事</w:t>
      </w:r>
      <w:r>
        <w:rPr>
          <w:spacing w:val="-88"/>
        </w:rPr>
        <w:t> </w:t>
      </w:r>
      <w:r>
        <w:rPr>
          <w:spacing w:val="-88"/>
        </w:rPr>
      </w:r>
      <w:r>
        <w:rPr>
          <w:spacing w:val="-4"/>
          <w:w w:val="99"/>
        </w:rPr>
        <w:t>局审计委员会、薪酬与考核委员会委员，独立董事依据《董事局审计委员会工作规程》、《董事局薪酬与考</w:t>
      </w:r>
      <w:r>
        <w:rPr>
          <w:w w:val="99"/>
        </w:rPr>
        <w:t> </w:t>
      </w:r>
      <w:r>
        <w:rPr/>
        <w:t>核委员会工作规程》开展工作，对涉及公司定期财务报告、年度审计会计师事务所履职评价及续聘、内控</w:t>
      </w:r>
      <w:r>
        <w:rPr>
          <w:w w:val="99"/>
        </w:rPr>
        <w:t> </w:t>
      </w:r>
      <w:r>
        <w:rPr/>
        <w:t>制度执行情况、高管绩效考核等日常事项进行了审议，切实维护了公司和股东特别是社会公众股股东的利</w:t>
      </w:r>
      <w:r>
        <w:rPr>
          <w:w w:val="99"/>
        </w:rPr>
        <w:t> </w:t>
      </w:r>
      <w:r>
        <w:rPr/>
        <w:t>益，对完善公司治理，促进董事局发挥在公司治理中的核心作用起到了应有作用。</w:t>
      </w:r>
    </w:p>
    <w:p>
      <w:pPr>
        <w:pStyle w:val="BodyText"/>
        <w:spacing w:line="240" w:lineRule="auto" w:before="33"/>
        <w:ind w:right="0"/>
        <w:jc w:val="both"/>
        <w:rPr>
          <w:rFonts w:ascii="宋体" w:hAnsi="宋体" w:cs="宋体" w:eastAsia="宋体" w:hint="default"/>
        </w:rPr>
      </w:pPr>
      <w:r>
        <w:rPr>
          <w:rFonts w:ascii="宋体" w:hAnsi="宋体" w:cs="宋体" w:eastAsia="宋体" w:hint="default"/>
        </w:rPr>
        <w:t>（一）独立董事出席董事会情况</w:t>
      </w:r>
    </w:p>
    <w:p>
      <w:pPr>
        <w:spacing w:line="240" w:lineRule="auto" w:before="10"/>
        <w:rPr>
          <w:rFonts w:ascii="宋体" w:hAnsi="宋体" w:cs="宋体" w:eastAsia="宋体" w:hint="default"/>
          <w:sz w:val="3"/>
          <w:szCs w:val="3"/>
        </w:rPr>
      </w:pPr>
    </w:p>
    <w:tbl>
      <w:tblPr>
        <w:tblW w:w="0" w:type="auto"/>
        <w:jc w:val="left"/>
        <w:tblInd w:w="813" w:type="dxa"/>
        <w:tblLayout w:type="fixed"/>
        <w:tblCellMar>
          <w:top w:w="0" w:type="dxa"/>
          <w:left w:w="0" w:type="dxa"/>
          <w:bottom w:w="0" w:type="dxa"/>
          <w:right w:w="0" w:type="dxa"/>
        </w:tblCellMar>
        <w:tblLook w:val="01E0"/>
      </w:tblPr>
      <w:tblGrid>
        <w:gridCol w:w="1540"/>
        <w:gridCol w:w="2346"/>
        <w:gridCol w:w="1566"/>
        <w:gridCol w:w="1665"/>
        <w:gridCol w:w="1140"/>
      </w:tblGrid>
      <w:tr>
        <w:trPr>
          <w:trHeight w:val="39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本年应参加董事会次数</w:t>
            </w:r>
            <w:r>
              <w:rPr>
                <w:rFonts w:ascii="Microsoft JhengHei" w:hAnsi="Microsoft JhengHei" w:cs="Microsoft JhengHei" w:eastAsia="Microsoft JhengHei" w:hint="default"/>
                <w:sz w:val="21"/>
                <w:szCs w:val="21"/>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1" w:right="0"/>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亲自出席</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 w:right="0"/>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委托出席</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1" w:right="0"/>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pacing w:val="2"/>
                <w:sz w:val="21"/>
                <w:szCs w:val="21"/>
              </w:rPr>
              <w:t>缺席</w:t>
            </w:r>
            <w:r>
              <w:rPr>
                <w:rFonts w:ascii="Times New Roman" w:hAnsi="Times New Roman" w:cs="Times New Roman" w:eastAsia="Times New Roman" w:hint="default"/>
                <w:b/>
                <w:bCs/>
                <w:spacing w:val="2"/>
                <w:sz w:val="21"/>
                <w:szCs w:val="21"/>
              </w:rPr>
              <w:t>(</w:t>
            </w:r>
            <w:r>
              <w:rPr>
                <w:rFonts w:ascii="Microsoft JhengHei" w:hAnsi="Microsoft JhengHei" w:cs="Microsoft JhengHei" w:eastAsia="Microsoft JhengHei" w:hint="default"/>
                <w:b/>
                <w:bCs/>
                <w:spacing w:val="2"/>
                <w:sz w:val="21"/>
                <w:szCs w:val="21"/>
              </w:rPr>
              <w:t>次</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spacing w:val="2"/>
                <w:sz w:val="21"/>
                <w:szCs w:val="21"/>
              </w:rPr>
            </w:r>
          </w:p>
        </w:tc>
      </w:tr>
      <w:tr>
        <w:trPr>
          <w:trHeight w:val="3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何祥增</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陈凤娇</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陈伟强</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1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徐志新</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bl>
    <w:p>
      <w:pPr>
        <w:pStyle w:val="BodyText"/>
        <w:spacing w:line="240" w:lineRule="auto" w:before="76"/>
        <w:ind w:right="88"/>
        <w:jc w:val="left"/>
        <w:rPr>
          <w:rFonts w:ascii="宋体" w:hAnsi="宋体" w:cs="宋体" w:eastAsia="宋体" w:hint="default"/>
        </w:rPr>
      </w:pPr>
      <w:r>
        <w:rPr>
          <w:rFonts w:ascii="宋体" w:hAnsi="宋体" w:cs="宋体" w:eastAsia="宋体" w:hint="default"/>
        </w:rPr>
        <w:t>（二）独立董事对公司事项提出异议的情况</w:t>
      </w:r>
    </w:p>
    <w:p>
      <w:pPr>
        <w:pStyle w:val="BodyText"/>
        <w:spacing w:line="240" w:lineRule="auto" w:before="126"/>
        <w:ind w:left="539" w:right="88"/>
        <w:jc w:val="left"/>
      </w:pPr>
      <w:r>
        <w:rPr/>
        <w:t>报告期内，公司独立董事对公司董事局会议审议的议案及其它相关事项均未提出异议。</w:t>
      </w:r>
    </w:p>
    <w:p>
      <w:pPr>
        <w:spacing w:line="240" w:lineRule="auto" w:before="5"/>
        <w:rPr>
          <w:rFonts w:ascii="宋体" w:hAnsi="宋体" w:cs="宋体" w:eastAsia="宋体" w:hint="default"/>
          <w:sz w:val="24"/>
          <w:szCs w:val="24"/>
        </w:rPr>
      </w:pPr>
    </w:p>
    <w:p>
      <w:pPr>
        <w:pStyle w:val="Heading4"/>
        <w:spacing w:line="240" w:lineRule="auto"/>
        <w:ind w:left="115" w:right="88"/>
        <w:jc w:val="left"/>
      </w:pPr>
      <w:r>
        <w:rPr/>
        <w:t>三、公司与第一大股东在业务、人员、资产、机构与财务等方面分开的情况</w:t>
      </w:r>
    </w:p>
    <w:p>
      <w:pPr>
        <w:spacing w:line="240" w:lineRule="auto" w:before="5"/>
        <w:rPr>
          <w:rFonts w:ascii="宋体" w:hAnsi="宋体" w:cs="宋体" w:eastAsia="宋体" w:hint="default"/>
          <w:sz w:val="28"/>
          <w:szCs w:val="28"/>
        </w:rPr>
      </w:pPr>
    </w:p>
    <w:p>
      <w:pPr>
        <w:pStyle w:val="BodyText"/>
        <w:spacing w:line="350" w:lineRule="auto"/>
        <w:ind w:right="88" w:firstLine="423"/>
        <w:jc w:val="left"/>
      </w:pPr>
      <w:r>
        <w:rPr>
          <w:w w:val="95"/>
        </w:rPr>
        <w:t>公司与第一大股东中国宝安集团控股有限公司在业务、人员、资产、机构与财务等方面均实行分开，</w:t>
      </w:r>
      <w:r>
        <w:rPr>
          <w:spacing w:val="-73"/>
          <w:w w:val="95"/>
        </w:rPr>
        <w:t> </w:t>
      </w:r>
      <w:r>
        <w:rPr>
          <w:spacing w:val="-73"/>
          <w:w w:val="95"/>
        </w:rPr>
      </w:r>
      <w:r>
        <w:rPr/>
        <w:t>确保公司独立完整的业务及自主经营能力，其中：</w:t>
      </w:r>
    </w:p>
    <w:p>
      <w:pPr>
        <w:pStyle w:val="BodyText"/>
        <w:spacing w:line="240" w:lineRule="auto" w:before="27"/>
        <w:ind w:left="539" w:right="88"/>
        <w:jc w:val="left"/>
      </w:pPr>
      <w:r>
        <w:rPr>
          <w:rFonts w:ascii="Times New Roman" w:hAnsi="Times New Roman" w:cs="Times New Roman" w:eastAsia="Times New Roman" w:hint="default"/>
        </w:rPr>
        <w:t>1</w:t>
      </w:r>
      <w:r>
        <w:rPr/>
        <w:t>、资产独立：第一大股东未占用公司资金，公司亦未向第一大股东提供任何担保。</w:t>
      </w:r>
    </w:p>
    <w:p>
      <w:pPr>
        <w:pStyle w:val="BodyText"/>
        <w:spacing w:line="331" w:lineRule="auto" w:before="110"/>
        <w:ind w:right="94" w:firstLine="423"/>
        <w:jc w:val="left"/>
      </w:pPr>
      <w:r>
        <w:rPr>
          <w:rFonts w:ascii="Times New Roman" w:hAnsi="Times New Roman" w:cs="Times New Roman" w:eastAsia="Times New Roman" w:hint="default"/>
          <w:spacing w:val="-4"/>
        </w:rPr>
        <w:t>2</w:t>
      </w:r>
      <w:r>
        <w:rPr>
          <w:spacing w:val="-4"/>
        </w:rPr>
        <w:t>、人员分开</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6"/>
        </w:rPr>
        <w:t> </w:t>
      </w:r>
      <w:r>
        <w:rPr/>
        <w:t>公司高级管理人员未在第一大股东单位中担任除董事、监事之外的职务，同时亦未在第</w:t>
      </w:r>
      <w:r>
        <w:rPr>
          <w:w w:val="99"/>
        </w:rPr>
        <w:t> </w:t>
      </w:r>
      <w:r>
        <w:rPr/>
        <w:t>一大股东单位领取薪酬。</w:t>
      </w:r>
    </w:p>
    <w:p>
      <w:pPr>
        <w:spacing w:after="0" w:line="331" w:lineRule="auto"/>
        <w:jc w:val="left"/>
        <w:sectPr>
          <w:pgSz w:w="11910" w:h="16840"/>
          <w:pgMar w:header="0" w:footer="987" w:top="1460" w:bottom="1180" w:left="1020" w:right="1000"/>
        </w:sectPr>
      </w:pPr>
    </w:p>
    <w:p>
      <w:pPr>
        <w:pStyle w:val="BodyText"/>
        <w:spacing w:line="240" w:lineRule="auto" w:before="14"/>
        <w:ind w:left="539" w:right="88"/>
        <w:jc w:val="left"/>
      </w:pPr>
      <w:bookmarkStart w:name="四、公司内部控制自我评价" w:id="18"/>
      <w:bookmarkEnd w:id="18"/>
      <w:r>
        <w:rPr/>
      </w:r>
      <w:bookmarkStart w:name="五、报告期内，公司对高级管理人员的考评及激励机制、相关奖励制度" w:id="19"/>
      <w:bookmarkEnd w:id="19"/>
      <w:r>
        <w:rPr/>
      </w:r>
      <w:bookmarkStart w:name="第七节股东大会情况简介" w:id="20"/>
      <w:bookmarkEnd w:id="20"/>
      <w:r>
        <w:rPr/>
      </w:r>
      <w:r>
        <w:rPr>
          <w:rFonts w:ascii="Times New Roman" w:hAnsi="Times New Roman" w:cs="Times New Roman" w:eastAsia="Times New Roman" w:hint="default"/>
        </w:rPr>
        <w:t>3</w:t>
      </w:r>
      <w:r>
        <w:rPr/>
        <w:t>、业务独立：公司拥有自身独立完整的业务和自主经营权，不受第一大股东的制约。</w:t>
      </w:r>
    </w:p>
    <w:p>
      <w:pPr>
        <w:pStyle w:val="BodyText"/>
        <w:spacing w:line="331" w:lineRule="auto" w:before="107"/>
        <w:ind w:right="137" w:firstLine="423"/>
        <w:jc w:val="both"/>
      </w:pPr>
      <w:r>
        <w:rPr>
          <w:rFonts w:ascii="Times New Roman" w:hAnsi="Times New Roman" w:cs="Times New Roman" w:eastAsia="Times New Roman" w:hint="default"/>
        </w:rPr>
        <w:t>4</w:t>
      </w:r>
      <w:r>
        <w:rPr/>
        <w:t>、财务独立：公司按照有关法律法规的要求建立独立的会计核算体系和财务管理制度，与第一大股</w:t>
      </w:r>
      <w:r>
        <w:rPr>
          <w:w w:val="99"/>
        </w:rPr>
        <w:t> </w:t>
      </w:r>
      <w:r>
        <w:rPr/>
        <w:t>东严格分开、独立核算。</w:t>
      </w:r>
    </w:p>
    <w:p>
      <w:pPr>
        <w:pStyle w:val="BodyText"/>
        <w:spacing w:line="328" w:lineRule="auto" w:before="46"/>
        <w:ind w:right="137" w:firstLine="423"/>
        <w:jc w:val="both"/>
      </w:pPr>
      <w:r>
        <w:rPr>
          <w:rFonts w:ascii="Times New Roman" w:hAnsi="Times New Roman" w:cs="Times New Roman" w:eastAsia="Times New Roman" w:hint="default"/>
        </w:rPr>
        <w:t>5</w:t>
      </w:r>
      <w:r>
        <w:rPr/>
        <w:t>、机构分开：公司董事局、监事会及职能机构的设置与运作完全独立于第一大股东。第一大股东除</w:t>
      </w:r>
      <w:r>
        <w:rPr>
          <w:w w:val="99"/>
        </w:rPr>
        <w:t> </w:t>
      </w:r>
      <w:r>
        <w:rPr/>
        <w:t>通过股东大会和有关法定程序向公司推荐董事候选人及行使其股东权利外，不干预公司日常经营运作。</w:t>
      </w:r>
    </w:p>
    <w:p>
      <w:pPr>
        <w:spacing w:line="240" w:lineRule="auto" w:before="6"/>
        <w:rPr>
          <w:rFonts w:ascii="宋体" w:hAnsi="宋体" w:cs="宋体" w:eastAsia="宋体" w:hint="default"/>
          <w:sz w:val="18"/>
          <w:szCs w:val="18"/>
        </w:rPr>
      </w:pPr>
    </w:p>
    <w:p>
      <w:pPr>
        <w:pStyle w:val="Heading4"/>
        <w:spacing w:line="240" w:lineRule="auto"/>
        <w:ind w:left="115" w:right="88"/>
        <w:jc w:val="left"/>
      </w:pPr>
      <w:r>
        <w:rPr/>
        <w:t>四、公司内部控制自我评价</w:t>
      </w:r>
    </w:p>
    <w:p>
      <w:pPr>
        <w:spacing w:line="240" w:lineRule="auto" w:before="7"/>
        <w:rPr>
          <w:rFonts w:ascii="宋体" w:hAnsi="宋体" w:cs="宋体" w:eastAsia="宋体" w:hint="default"/>
          <w:sz w:val="28"/>
          <w:szCs w:val="28"/>
        </w:rPr>
      </w:pPr>
    </w:p>
    <w:p>
      <w:pPr>
        <w:pStyle w:val="BodyText"/>
        <w:spacing w:line="328" w:lineRule="auto"/>
        <w:ind w:right="144" w:firstLine="423"/>
        <w:jc w:val="both"/>
      </w:pPr>
      <w:r>
        <w:rPr/>
        <w:t>《公司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年内部控制自我评价报告》已经第六届董事局第十一次定期会议审议通过，公司监事会</w:t>
      </w:r>
      <w:r>
        <w:rPr>
          <w:w w:val="99"/>
        </w:rPr>
        <w:t> </w:t>
      </w:r>
      <w:r>
        <w:rPr/>
        <w:t>和独立董事对公司内部控制自我评价报告发表了意见。</w:t>
      </w:r>
    </w:p>
    <w:p>
      <w:pPr>
        <w:spacing w:line="324" w:lineRule="auto" w:before="48"/>
        <w:ind w:left="115" w:right="101" w:firstLine="423"/>
        <w:jc w:val="both"/>
        <w:rPr>
          <w:rFonts w:ascii="宋体" w:hAnsi="宋体" w:cs="宋体" w:eastAsia="宋体" w:hint="default"/>
          <w:sz w:val="21"/>
          <w:szCs w:val="21"/>
        </w:rPr>
      </w:pPr>
      <w:r>
        <w:rPr>
          <w:rFonts w:ascii="宋体" w:hAnsi="宋体" w:cs="宋体" w:eastAsia="宋体" w:hint="default"/>
          <w:sz w:val="21"/>
          <w:szCs w:val="21"/>
        </w:rPr>
        <w:t>自我评价报告全文详见公司于巨潮资讯网</w:t>
      </w:r>
      <w:r>
        <w:rPr>
          <w:rFonts w:ascii="宋体" w:hAnsi="宋体" w:cs="宋体" w:eastAsia="宋体" w:hint="default"/>
          <w:spacing w:val="-52"/>
          <w:sz w:val="21"/>
          <w:szCs w:val="21"/>
        </w:rPr>
        <w:t> </w:t>
      </w:r>
      <w:r>
        <w:rPr>
          <w:rFonts w:ascii="Times New Roman" w:hAnsi="Times New Roman" w:cs="Times New Roman" w:eastAsia="Times New Roman" w:hint="default"/>
          <w:color w:val="0000FF"/>
          <w:spacing w:val="-52"/>
          <w:sz w:val="24"/>
          <w:szCs w:val="24"/>
        </w:rPr>
      </w:r>
      <w:hyperlink r:id="rId10">
        <w:r>
          <w:rPr>
            <w:rFonts w:ascii="Times New Roman" w:hAnsi="Times New Roman" w:cs="Times New Roman" w:eastAsia="Times New Roman" w:hint="default"/>
            <w:color w:val="0000FF"/>
            <w:sz w:val="24"/>
            <w:szCs w:val="24"/>
            <w:u w:val="single" w:color="0000FF"/>
          </w:rPr>
          <w:t>www.cninfo.com.cn</w:t>
        </w:r>
        <w:r>
          <w:rPr>
            <w:rFonts w:ascii="Times New Roman" w:hAnsi="Times New Roman" w:cs="Times New Roman" w:eastAsia="Times New Roman" w:hint="default"/>
            <w:color w:val="0000FF"/>
            <w:spacing w:val="-2"/>
            <w:sz w:val="24"/>
            <w:szCs w:val="24"/>
            <w:u w:val="single" w:color="0000FF"/>
          </w:rPr>
          <w:t> </w:t>
        </w:r>
        <w:r>
          <w:rPr>
            <w:rFonts w:ascii="Times New Roman" w:hAnsi="Times New Roman" w:cs="Times New Roman" w:eastAsia="Times New Roman" w:hint="default"/>
            <w:color w:val="0000FF"/>
            <w:spacing w:val="-2"/>
            <w:sz w:val="24"/>
            <w:szCs w:val="24"/>
          </w:rPr>
        </w:r>
      </w:hyperlink>
      <w:r>
        <w:rPr>
          <w:rFonts w:ascii="宋体" w:hAnsi="宋体" w:cs="宋体" w:eastAsia="宋体" w:hint="default"/>
          <w:spacing w:val="-3"/>
          <w:sz w:val="21"/>
          <w:szCs w:val="21"/>
        </w:rPr>
        <w:t>披露的《</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年年度公司内部控制的</w:t>
      </w:r>
      <w:r>
        <w:rPr>
          <w:rFonts w:ascii="宋体" w:hAnsi="宋体" w:cs="宋体" w:eastAsia="宋体" w:hint="default"/>
          <w:w w:val="99"/>
          <w:sz w:val="21"/>
          <w:szCs w:val="21"/>
        </w:rPr>
        <w:t> </w:t>
      </w:r>
      <w:r>
        <w:rPr>
          <w:rFonts w:ascii="宋体" w:hAnsi="宋体" w:cs="宋体" w:eastAsia="宋体" w:hint="default"/>
          <w:spacing w:val="-13"/>
          <w:w w:val="99"/>
          <w:sz w:val="21"/>
          <w:szCs w:val="21"/>
        </w:rPr>
        <w:t>自我评价报告》。</w:t>
      </w:r>
      <w:r>
        <w:rPr>
          <w:rFonts w:ascii="宋体" w:hAnsi="宋体" w:cs="宋体" w:eastAsia="宋体" w:hint="default"/>
          <w:spacing w:val="-13"/>
          <w:sz w:val="21"/>
          <w:szCs w:val="21"/>
        </w:rPr>
      </w:r>
    </w:p>
    <w:p>
      <w:pPr>
        <w:spacing w:line="240" w:lineRule="auto" w:before="10"/>
        <w:rPr>
          <w:rFonts w:ascii="宋体" w:hAnsi="宋体" w:cs="宋体" w:eastAsia="宋体" w:hint="default"/>
          <w:sz w:val="18"/>
          <w:szCs w:val="18"/>
        </w:rPr>
      </w:pPr>
    </w:p>
    <w:p>
      <w:pPr>
        <w:pStyle w:val="Heading4"/>
        <w:spacing w:line="240" w:lineRule="auto"/>
        <w:ind w:left="115" w:right="88"/>
        <w:jc w:val="left"/>
      </w:pPr>
      <w:r>
        <w:rPr/>
        <w:t>五、报告期内，公司对高级管理人员的考评及激励机制、相关奖励制度</w:t>
      </w:r>
    </w:p>
    <w:p>
      <w:pPr>
        <w:spacing w:line="240" w:lineRule="auto" w:before="5"/>
        <w:rPr>
          <w:rFonts w:ascii="宋体" w:hAnsi="宋体" w:cs="宋体" w:eastAsia="宋体" w:hint="default"/>
          <w:sz w:val="28"/>
          <w:szCs w:val="28"/>
        </w:rPr>
      </w:pPr>
    </w:p>
    <w:p>
      <w:pPr>
        <w:pStyle w:val="BodyText"/>
        <w:spacing w:line="350" w:lineRule="auto"/>
        <w:ind w:right="105" w:firstLine="423"/>
        <w:jc w:val="both"/>
      </w:pPr>
      <w:r>
        <w:rPr>
          <w:spacing w:val="2"/>
          <w:w w:val="99"/>
        </w:rPr>
        <w:t>董</w:t>
      </w:r>
      <w:r>
        <w:rPr>
          <w:w w:val="99"/>
        </w:rPr>
        <w:t>事</w:t>
      </w:r>
      <w:r>
        <w:rPr>
          <w:spacing w:val="2"/>
          <w:w w:val="99"/>
        </w:rPr>
        <w:t>局</w:t>
      </w:r>
      <w:r>
        <w:rPr>
          <w:w w:val="99"/>
        </w:rPr>
        <w:t>薪</w:t>
      </w:r>
      <w:r>
        <w:rPr>
          <w:spacing w:val="2"/>
          <w:w w:val="99"/>
        </w:rPr>
        <w:t>酬</w:t>
      </w:r>
      <w:r>
        <w:rPr>
          <w:w w:val="99"/>
        </w:rPr>
        <w:t>与</w:t>
      </w:r>
      <w:r>
        <w:rPr>
          <w:spacing w:val="2"/>
          <w:w w:val="99"/>
        </w:rPr>
        <w:t>考</w:t>
      </w:r>
      <w:r>
        <w:rPr>
          <w:w w:val="99"/>
        </w:rPr>
        <w:t>核</w:t>
      </w:r>
      <w:r>
        <w:rPr>
          <w:spacing w:val="2"/>
          <w:w w:val="99"/>
        </w:rPr>
        <w:t>委</w:t>
      </w:r>
      <w:r>
        <w:rPr>
          <w:w w:val="99"/>
        </w:rPr>
        <w:t>员</w:t>
      </w:r>
      <w:r>
        <w:rPr>
          <w:spacing w:val="2"/>
          <w:w w:val="99"/>
        </w:rPr>
        <w:t>会</w:t>
      </w:r>
      <w:r>
        <w:rPr>
          <w:w w:val="99"/>
        </w:rPr>
        <w:t>根</w:t>
      </w:r>
      <w:r>
        <w:rPr>
          <w:spacing w:val="2"/>
          <w:w w:val="99"/>
        </w:rPr>
        <w:t>据</w:t>
      </w:r>
      <w:r>
        <w:rPr>
          <w:w w:val="99"/>
        </w:rPr>
        <w:t>公</w:t>
      </w:r>
      <w:r>
        <w:rPr>
          <w:spacing w:val="-5"/>
          <w:w w:val="99"/>
        </w:rPr>
        <w:t>司</w:t>
      </w:r>
      <w:r>
        <w:rPr>
          <w:w w:val="99"/>
        </w:rPr>
        <w:t>《</w:t>
      </w:r>
      <w:r>
        <w:rPr>
          <w:spacing w:val="2"/>
          <w:w w:val="99"/>
        </w:rPr>
        <w:t>薪</w:t>
      </w:r>
      <w:r>
        <w:rPr>
          <w:w w:val="99"/>
        </w:rPr>
        <w:t>酬</w:t>
      </w:r>
      <w:r>
        <w:rPr>
          <w:spacing w:val="2"/>
          <w:w w:val="99"/>
        </w:rPr>
        <w:t>制</w:t>
      </w:r>
      <w:r>
        <w:rPr>
          <w:w w:val="99"/>
        </w:rPr>
        <w:t>度</w:t>
      </w:r>
      <w:r>
        <w:rPr>
          <w:spacing w:val="-104"/>
          <w:w w:val="99"/>
        </w:rPr>
        <w:t>》</w:t>
      </w:r>
      <w:r>
        <w:rPr>
          <w:spacing w:val="-109"/>
          <w:w w:val="99"/>
        </w:rPr>
        <w:t>、</w:t>
      </w:r>
      <w:r>
        <w:rPr>
          <w:w w:val="99"/>
        </w:rPr>
        <w:t>《</w:t>
      </w:r>
      <w:r>
        <w:rPr>
          <w:spacing w:val="2"/>
          <w:w w:val="99"/>
        </w:rPr>
        <w:t>绩</w:t>
      </w:r>
      <w:r>
        <w:rPr>
          <w:w w:val="99"/>
        </w:rPr>
        <w:t>效</w:t>
      </w:r>
      <w:r>
        <w:rPr>
          <w:spacing w:val="2"/>
          <w:w w:val="99"/>
        </w:rPr>
        <w:t>考</w:t>
      </w:r>
      <w:r>
        <w:rPr>
          <w:w w:val="99"/>
        </w:rPr>
        <w:t>核</w:t>
      </w:r>
      <w:r>
        <w:rPr>
          <w:spacing w:val="2"/>
          <w:w w:val="99"/>
        </w:rPr>
        <w:t>制</w:t>
      </w:r>
      <w:r>
        <w:rPr>
          <w:w w:val="99"/>
        </w:rPr>
        <w:t>度</w:t>
      </w:r>
      <w:r>
        <w:rPr>
          <w:spacing w:val="-5"/>
          <w:w w:val="99"/>
        </w:rPr>
        <w:t>》</w:t>
      </w:r>
      <w:r>
        <w:rPr>
          <w:spacing w:val="-3"/>
          <w:w w:val="99"/>
        </w:rPr>
        <w:t>及</w:t>
      </w:r>
      <w:r>
        <w:rPr>
          <w:w w:val="99"/>
        </w:rPr>
        <w:t>《</w:t>
      </w:r>
      <w:r>
        <w:rPr>
          <w:spacing w:val="2"/>
          <w:w w:val="99"/>
        </w:rPr>
        <w:t>董</w:t>
      </w:r>
      <w:r>
        <w:rPr>
          <w:w w:val="99"/>
        </w:rPr>
        <w:t>事</w:t>
      </w:r>
      <w:r>
        <w:rPr>
          <w:spacing w:val="2"/>
          <w:w w:val="99"/>
        </w:rPr>
        <w:t>局</w:t>
      </w:r>
      <w:r>
        <w:rPr>
          <w:w w:val="99"/>
        </w:rPr>
        <w:t>薪</w:t>
      </w:r>
      <w:r>
        <w:rPr>
          <w:spacing w:val="2"/>
          <w:w w:val="99"/>
        </w:rPr>
        <w:t>酬</w:t>
      </w:r>
      <w:r>
        <w:rPr>
          <w:w w:val="99"/>
        </w:rPr>
        <w:t>与</w:t>
      </w:r>
      <w:r>
        <w:rPr>
          <w:spacing w:val="2"/>
          <w:w w:val="99"/>
        </w:rPr>
        <w:t>考</w:t>
      </w:r>
      <w:r>
        <w:rPr>
          <w:w w:val="99"/>
        </w:rPr>
        <w:t>核</w:t>
      </w:r>
      <w:r>
        <w:rPr>
          <w:spacing w:val="2"/>
          <w:w w:val="99"/>
        </w:rPr>
        <w:t>委</w:t>
      </w:r>
      <w:r>
        <w:rPr>
          <w:w w:val="99"/>
        </w:rPr>
        <w:t>员</w:t>
      </w:r>
      <w:r>
        <w:rPr>
          <w:spacing w:val="2"/>
          <w:w w:val="99"/>
        </w:rPr>
        <w:t>会</w:t>
      </w:r>
      <w:r>
        <w:rPr>
          <w:w w:val="99"/>
        </w:rPr>
        <w:t>工作</w:t>
      </w:r>
      <w:r>
        <w:rPr>
          <w:w w:val="99"/>
        </w:rPr>
        <w:t> </w:t>
      </w:r>
      <w:r>
        <w:rPr>
          <w:spacing w:val="2"/>
          <w:w w:val="99"/>
        </w:rPr>
        <w:t>规程</w:t>
      </w:r>
      <w:r>
        <w:rPr>
          <w:spacing w:val="-106"/>
          <w:w w:val="99"/>
        </w:rPr>
        <w:t>》</w:t>
      </w:r>
      <w:r>
        <w:rPr>
          <w:spacing w:val="2"/>
          <w:w w:val="99"/>
        </w:rPr>
        <w:t>，</w:t>
      </w:r>
      <w:r>
        <w:rPr>
          <w:w w:val="99"/>
        </w:rPr>
        <w:t>负</w:t>
      </w:r>
      <w:r>
        <w:rPr>
          <w:spacing w:val="2"/>
          <w:w w:val="99"/>
        </w:rPr>
        <w:t>责</w:t>
      </w:r>
      <w:r>
        <w:rPr>
          <w:w w:val="99"/>
        </w:rPr>
        <w:t>组</w:t>
      </w:r>
      <w:r>
        <w:rPr>
          <w:spacing w:val="2"/>
          <w:w w:val="99"/>
        </w:rPr>
        <w:t>织</w:t>
      </w:r>
      <w:r>
        <w:rPr>
          <w:w w:val="99"/>
        </w:rPr>
        <w:t>实</w:t>
      </w:r>
      <w:r>
        <w:rPr>
          <w:spacing w:val="2"/>
          <w:w w:val="99"/>
        </w:rPr>
        <w:t>施</w:t>
      </w:r>
      <w:r>
        <w:rPr>
          <w:w w:val="99"/>
        </w:rPr>
        <w:t>对</w:t>
      </w:r>
      <w:r>
        <w:rPr>
          <w:spacing w:val="2"/>
          <w:w w:val="99"/>
        </w:rPr>
        <w:t>高</w:t>
      </w:r>
      <w:r>
        <w:rPr>
          <w:w w:val="99"/>
        </w:rPr>
        <w:t>级</w:t>
      </w:r>
      <w:r>
        <w:rPr>
          <w:spacing w:val="2"/>
          <w:w w:val="99"/>
        </w:rPr>
        <w:t>管</w:t>
      </w:r>
      <w:r>
        <w:rPr>
          <w:w w:val="99"/>
        </w:rPr>
        <w:t>理</w:t>
      </w:r>
      <w:r>
        <w:rPr>
          <w:spacing w:val="2"/>
          <w:w w:val="99"/>
        </w:rPr>
        <w:t>人</w:t>
      </w:r>
      <w:r>
        <w:rPr>
          <w:w w:val="99"/>
        </w:rPr>
        <w:t>员</w:t>
      </w:r>
      <w:r>
        <w:rPr>
          <w:spacing w:val="2"/>
          <w:w w:val="99"/>
        </w:rPr>
        <w:t>的</w:t>
      </w:r>
      <w:r>
        <w:rPr>
          <w:w w:val="99"/>
        </w:rPr>
        <w:t>绩</w:t>
      </w:r>
      <w:r>
        <w:rPr>
          <w:spacing w:val="2"/>
          <w:w w:val="99"/>
        </w:rPr>
        <w:t>效</w:t>
      </w:r>
      <w:r>
        <w:rPr>
          <w:w w:val="99"/>
        </w:rPr>
        <w:t>考</w:t>
      </w:r>
      <w:r>
        <w:rPr>
          <w:spacing w:val="2"/>
          <w:w w:val="99"/>
        </w:rPr>
        <w:t>核</w:t>
      </w:r>
      <w:r>
        <w:rPr>
          <w:w w:val="99"/>
        </w:rPr>
        <w:t>。</w:t>
      </w:r>
      <w:r>
        <w:rPr/>
      </w:r>
    </w:p>
    <w:p>
      <w:pPr>
        <w:pStyle w:val="BodyText"/>
        <w:spacing w:line="350" w:lineRule="auto" w:before="27"/>
        <w:ind w:right="103" w:firstLine="423"/>
        <w:jc w:val="both"/>
      </w:pPr>
      <w:r>
        <w:rPr>
          <w:spacing w:val="-1"/>
          <w:w w:val="99"/>
        </w:rPr>
        <w:t>高管于年初拟定《绩效责任书》，经董事局确认，明确年度目标任务。年度考核时先由高级管理人员</w:t>
      </w:r>
      <w:r>
        <w:rPr>
          <w:w w:val="99"/>
        </w:rPr>
        <w:t> </w:t>
      </w:r>
      <w:r>
        <w:rPr/>
        <w:t>对照各自《绩效责任书》的目标任务完成情况撰写个人述职报告并自评打分，董事局薪酬与考核委员会委</w:t>
      </w:r>
      <w:r>
        <w:rPr>
          <w:w w:val="99"/>
        </w:rPr>
        <w:t> </w:t>
      </w:r>
      <w:r>
        <w:rPr/>
        <w:t>员会汇总各人述职报告、考核评分表及其它相关绩效资料后送董事和总裁分别对各高管进行考核评分，再</w:t>
      </w:r>
      <w:r>
        <w:rPr>
          <w:w w:val="99"/>
        </w:rPr>
        <w:t> </w:t>
      </w:r>
      <w:r>
        <w:rPr/>
        <w:t>提交董事局主席考核评分，加权得出年终考核分数，确定个人绩效年薪和奖金挂钩计发方案。</w:t>
      </w:r>
    </w:p>
    <w:p>
      <w:pPr>
        <w:pStyle w:val="BodyText"/>
        <w:spacing w:line="328" w:lineRule="auto" w:before="29"/>
        <w:ind w:right="103" w:firstLine="423"/>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月，为进一步发挥薪酬的激励作用，公司对高级管理人员薪酬结构及等级进行调整，调整</w:t>
      </w:r>
      <w:r>
        <w:rPr>
          <w:w w:val="99"/>
        </w:rPr>
        <w:t> </w:t>
      </w:r>
      <w:r>
        <w:rPr>
          <w:w w:val="95"/>
        </w:rPr>
        <w:t>后的薪酬结构为：基本年薪</w:t>
      </w:r>
      <w:r>
        <w:rPr>
          <w:rFonts w:ascii="Times New Roman" w:hAnsi="Times New Roman" w:cs="Times New Roman" w:eastAsia="Times New Roman" w:hint="default"/>
          <w:w w:val="95"/>
        </w:rPr>
        <w:t>+</w:t>
      </w:r>
      <w:r>
        <w:rPr>
          <w:w w:val="95"/>
        </w:rPr>
        <w:t>业绩薪酬</w:t>
      </w:r>
      <w:r>
        <w:rPr>
          <w:rFonts w:ascii="Times New Roman" w:hAnsi="Times New Roman" w:cs="Times New Roman" w:eastAsia="Times New Roman" w:hint="default"/>
          <w:w w:val="95"/>
        </w:rPr>
        <w:t>+</w:t>
      </w:r>
      <w:r>
        <w:rPr>
          <w:w w:val="95"/>
        </w:rPr>
        <w:t>奖励基金，其中基本年薪按各自职级档位发放，业绩薪酬根据年终</w:t>
      </w:r>
      <w:r>
        <w:rPr>
          <w:spacing w:val="51"/>
          <w:w w:val="95"/>
        </w:rPr>
        <w:t> </w:t>
      </w:r>
      <w:r>
        <w:rPr>
          <w:spacing w:val="51"/>
          <w:w w:val="95"/>
        </w:rPr>
      </w:r>
      <w:r>
        <w:rPr/>
        <w:t>个人业绩考核成绩，与基本年薪挂钩，奖励基金与公司年度业绩挂钩。</w:t>
      </w:r>
    </w:p>
    <w:p>
      <w:pPr>
        <w:spacing w:line="240" w:lineRule="auto" w:before="1"/>
        <w:rPr>
          <w:rFonts w:ascii="宋体" w:hAnsi="宋体" w:cs="宋体" w:eastAsia="宋体" w:hint="default"/>
          <w:sz w:val="21"/>
          <w:szCs w:val="21"/>
        </w:rPr>
      </w:pPr>
    </w:p>
    <w:p>
      <w:pPr>
        <w:pStyle w:val="Heading3"/>
        <w:tabs>
          <w:tab w:pos="1138" w:val="left" w:leader="none"/>
        </w:tabs>
        <w:spacing w:line="240" w:lineRule="auto"/>
        <w:ind w:left="14" w:right="0"/>
        <w:jc w:val="center"/>
      </w:pPr>
      <w:r>
        <w:rPr/>
        <w:t>第七节</w:t>
        <w:tab/>
        <w:t>股东大会情况简介</w:t>
      </w:r>
    </w:p>
    <w:p>
      <w:pPr>
        <w:spacing w:line="240" w:lineRule="auto" w:before="4"/>
        <w:rPr>
          <w:rFonts w:ascii="宋体" w:hAnsi="宋体" w:cs="宋体" w:eastAsia="宋体" w:hint="default"/>
          <w:sz w:val="33"/>
          <w:szCs w:val="33"/>
        </w:rPr>
      </w:pPr>
    </w:p>
    <w:p>
      <w:pPr>
        <w:pStyle w:val="BodyText"/>
        <w:spacing w:line="331" w:lineRule="auto"/>
        <w:ind w:right="105" w:firstLine="483"/>
        <w:jc w:val="both"/>
      </w:pPr>
      <w:r>
        <w:rPr>
          <w:spacing w:val="-1"/>
          <w:w w:val="95"/>
        </w:rPr>
        <w:t>报告期内，公司召开了</w:t>
      </w:r>
      <w:r>
        <w:rPr>
          <w:rFonts w:ascii="Times New Roman" w:hAnsi="Times New Roman" w:cs="Times New Roman" w:eastAsia="Times New Roman" w:hint="default"/>
          <w:spacing w:val="-1"/>
          <w:w w:val="95"/>
        </w:rPr>
        <w:t>2010</w:t>
      </w:r>
      <w:r>
        <w:rPr>
          <w:spacing w:val="-1"/>
          <w:w w:val="95"/>
        </w:rPr>
        <w:t>年年度股东大会、</w:t>
      </w:r>
      <w:r>
        <w:rPr>
          <w:rFonts w:ascii="Times New Roman" w:hAnsi="Times New Roman" w:cs="Times New Roman" w:eastAsia="Times New Roman" w:hint="default"/>
          <w:spacing w:val="-1"/>
          <w:w w:val="95"/>
        </w:rPr>
        <w:t>2011</w:t>
      </w:r>
      <w:r>
        <w:rPr>
          <w:spacing w:val="-1"/>
          <w:w w:val="95"/>
        </w:rPr>
        <w:t>年第一次临时股东大会。会议召开及信息披露情况</w:t>
      </w:r>
      <w:r>
        <w:rPr>
          <w:w w:val="99"/>
        </w:rPr>
        <w:t> </w:t>
      </w:r>
      <w:r>
        <w:rPr/>
        <w:t>如下：</w:t>
      </w:r>
    </w:p>
    <w:p>
      <w:pPr>
        <w:pStyle w:val="BodyText"/>
        <w:spacing w:line="240" w:lineRule="auto" w:before="46"/>
        <w:ind w:left="539" w:right="0"/>
        <w:jc w:val="left"/>
      </w:pPr>
      <w:r>
        <w:rPr>
          <w:rFonts w:ascii="Times New Roman" w:hAnsi="Times New Roman" w:cs="Times New Roman" w:eastAsia="Times New Roman" w:hint="default"/>
          <w:spacing w:val="1"/>
          <w:w w:val="99"/>
        </w:rPr>
        <w:t>1</w:t>
      </w:r>
      <w:r>
        <w:rPr>
          <w:spacing w:val="2"/>
          <w:w w:val="99"/>
        </w:rPr>
        <w:t>、公司分别</w:t>
      </w:r>
      <w:r>
        <w:rPr>
          <w:w w:val="99"/>
        </w:rPr>
        <w:t>于</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spacing w:val="2"/>
          <w:w w:val="99"/>
        </w:rPr>
        <w:t>日、</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rPr>
        <w:t> </w:t>
      </w:r>
      <w:r>
        <w:rPr>
          <w:w w:val="99"/>
        </w:rPr>
        <w:t>月</w:t>
      </w:r>
      <w:r>
        <w:rPr>
          <w:spacing w:val="-53"/>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日在《中国证券</w:t>
      </w:r>
      <w:r>
        <w:rPr>
          <w:w w:val="99"/>
        </w:rPr>
        <w:t>报</w:t>
      </w:r>
      <w:r>
        <w:rPr>
          <w:spacing w:val="-102"/>
          <w:w w:val="99"/>
        </w:rPr>
        <w:t>》</w:t>
      </w:r>
      <w:r>
        <w:rPr>
          <w:spacing w:val="-104"/>
          <w:w w:val="99"/>
        </w:rPr>
        <w:t>、</w:t>
      </w:r>
      <w:r>
        <w:rPr>
          <w:spacing w:val="2"/>
          <w:w w:val="99"/>
        </w:rPr>
        <w:t>《证券时报》及巨潮资讯网上刊登</w:t>
      </w:r>
      <w:r>
        <w:rPr>
          <w:w w:val="99"/>
        </w:rPr>
        <w:t>了</w:t>
      </w:r>
      <w:r>
        <w:rPr/>
      </w:r>
    </w:p>
    <w:p>
      <w:pPr>
        <w:pStyle w:val="BodyText"/>
        <w:spacing w:line="240" w:lineRule="auto" w:before="107"/>
        <w:ind w:right="0"/>
        <w:jc w:val="left"/>
        <w:rPr>
          <w:rFonts w:ascii="Times New Roman" w:hAnsi="Times New Roman" w:cs="Times New Roman" w:eastAsia="Times New Roman" w:hint="default"/>
        </w:rPr>
      </w:pPr>
      <w:r>
        <w:rPr>
          <w:spacing w:val="2"/>
          <w:w w:val="99"/>
        </w:rPr>
        <w:t>《关于召</w:t>
      </w:r>
      <w:r>
        <w:rPr>
          <w:w w:val="99"/>
        </w:rPr>
        <w:t>开</w:t>
      </w:r>
      <w:r>
        <w:rPr>
          <w:spacing w:val="-45"/>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年年度股东大会的通</w:t>
      </w:r>
      <w:r>
        <w:rPr>
          <w:spacing w:val="14"/>
          <w:w w:val="99"/>
        </w:rPr>
        <w:t>知</w:t>
      </w:r>
      <w:r>
        <w:rPr>
          <w:spacing w:val="-104"/>
          <w:w w:val="99"/>
        </w:rPr>
        <w:t>》</w:t>
      </w:r>
      <w:r>
        <w:rPr>
          <w:spacing w:val="-102"/>
          <w:w w:val="99"/>
        </w:rPr>
        <w:t>、</w:t>
      </w:r>
      <w:r>
        <w:rPr>
          <w:spacing w:val="2"/>
          <w:w w:val="99"/>
        </w:rPr>
        <w:t>《关于召</w:t>
      </w:r>
      <w:r>
        <w:rPr>
          <w:w w:val="99"/>
        </w:rPr>
        <w:t>开</w:t>
      </w:r>
      <w:r>
        <w:rPr>
          <w:spacing w:val="-45"/>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年年度股东大会的补充通</w:t>
      </w:r>
      <w:r>
        <w:rPr>
          <w:spacing w:val="14"/>
          <w:w w:val="99"/>
        </w:rPr>
        <w:t>知</w:t>
      </w:r>
      <w:r>
        <w:rPr>
          <w:spacing w:val="-102"/>
          <w:w w:val="99"/>
        </w:rPr>
        <w:t>》</w:t>
      </w:r>
      <w:r>
        <w:rPr>
          <w:spacing w:val="2"/>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4"/>
        </w:rPr>
        <w:t> </w:t>
      </w:r>
      <w:r>
        <w:rPr>
          <w:w w:val="99"/>
        </w:rPr>
        <w:t>月</w:t>
      </w:r>
      <w:r>
        <w:rPr>
          <w:spacing w:val="-50"/>
        </w:rPr>
        <w:t> </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pStyle w:val="BodyText"/>
        <w:spacing w:line="240" w:lineRule="auto" w:before="110"/>
        <w:ind w:right="0"/>
        <w:jc w:val="left"/>
      </w:pPr>
      <w:r>
        <w:rPr/>
        <w:t>日上午</w:t>
      </w:r>
      <w:r>
        <w:rPr>
          <w:spacing w:val="-53"/>
        </w:rPr>
        <w:t> </w:t>
      </w:r>
      <w:r>
        <w:rPr>
          <w:rFonts w:ascii="Times New Roman" w:hAnsi="Times New Roman" w:cs="Times New Roman" w:eastAsia="Times New Roman" w:hint="default"/>
          <w:spacing w:val="-6"/>
        </w:rPr>
        <w:t>9</w:t>
      </w:r>
      <w:r>
        <w:rPr>
          <w:spacing w:val="-6"/>
        </w:rPr>
        <w:t>：</w:t>
      </w:r>
      <w:r>
        <w:rPr>
          <w:rFonts w:ascii="Times New Roman" w:hAnsi="Times New Roman" w:cs="Times New Roman" w:eastAsia="Times New Roman" w:hint="default"/>
          <w:spacing w:val="-6"/>
        </w:rPr>
        <w:t>30</w:t>
      </w:r>
      <w:r>
        <w:rPr>
          <w:spacing w:val="-6"/>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年年度股东大会在鸿基大厦</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楼会议厅召开，会议决议公告刊登于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p>
    <w:p>
      <w:pPr>
        <w:pStyle w:val="BodyText"/>
        <w:spacing w:line="240" w:lineRule="auto" w:before="110"/>
        <w:ind w:right="88"/>
        <w:jc w:val="left"/>
      </w:pP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spacing w:val="2"/>
          <w:w w:val="99"/>
        </w:rPr>
        <w:t>日</w:t>
      </w:r>
      <w:r>
        <w:rPr>
          <w:w w:val="99"/>
        </w:rPr>
        <w:t>的</w:t>
      </w:r>
      <w:r>
        <w:rPr>
          <w:spacing w:val="2"/>
          <w:w w:val="99"/>
        </w:rPr>
        <w:t>《</w:t>
      </w:r>
      <w:r>
        <w:rPr>
          <w:w w:val="99"/>
        </w:rPr>
        <w:t>证</w:t>
      </w:r>
      <w:r>
        <w:rPr>
          <w:spacing w:val="2"/>
          <w:w w:val="99"/>
        </w:rPr>
        <w:t>券</w:t>
      </w:r>
      <w:r>
        <w:rPr>
          <w:w w:val="99"/>
        </w:rPr>
        <w:t>时报</w:t>
      </w:r>
      <w:r>
        <w:rPr>
          <w:spacing w:val="-104"/>
          <w:w w:val="99"/>
        </w:rPr>
        <w:t>》、</w:t>
      </w:r>
      <w:r>
        <w:rPr>
          <w:spacing w:val="2"/>
          <w:w w:val="99"/>
        </w:rPr>
        <w:t>《</w:t>
      </w:r>
      <w:r>
        <w:rPr>
          <w:w w:val="99"/>
        </w:rPr>
        <w:t>中</w:t>
      </w:r>
      <w:r>
        <w:rPr>
          <w:spacing w:val="2"/>
          <w:w w:val="99"/>
        </w:rPr>
        <w:t>国</w:t>
      </w:r>
      <w:r>
        <w:rPr>
          <w:w w:val="99"/>
        </w:rPr>
        <w:t>证</w:t>
      </w:r>
      <w:r>
        <w:rPr>
          <w:spacing w:val="2"/>
          <w:w w:val="99"/>
        </w:rPr>
        <w:t>券</w:t>
      </w:r>
      <w:r>
        <w:rPr>
          <w:w w:val="99"/>
        </w:rPr>
        <w:t>报</w:t>
      </w:r>
      <w:r>
        <w:rPr>
          <w:spacing w:val="2"/>
          <w:w w:val="99"/>
        </w:rPr>
        <w:t>》</w:t>
      </w:r>
      <w:r>
        <w:rPr>
          <w:w w:val="99"/>
        </w:rPr>
        <w:t>及</w:t>
      </w:r>
      <w:r>
        <w:rPr>
          <w:spacing w:val="2"/>
          <w:w w:val="99"/>
        </w:rPr>
        <w:t>巨</w:t>
      </w:r>
      <w:r>
        <w:rPr>
          <w:w w:val="99"/>
        </w:rPr>
        <w:t>潮</w:t>
      </w:r>
      <w:r>
        <w:rPr>
          <w:spacing w:val="2"/>
          <w:w w:val="99"/>
        </w:rPr>
        <w:t>资</w:t>
      </w:r>
      <w:r>
        <w:rPr>
          <w:w w:val="99"/>
        </w:rPr>
        <w:t>讯</w:t>
      </w:r>
      <w:r>
        <w:rPr>
          <w:spacing w:val="2"/>
          <w:w w:val="99"/>
        </w:rPr>
        <w:t>网</w:t>
      </w:r>
      <w:r>
        <w:rPr>
          <w:w w:val="99"/>
        </w:rPr>
        <w:t>。</w:t>
      </w:r>
      <w:r>
        <w:rPr/>
      </w:r>
    </w:p>
    <w:p>
      <w:pPr>
        <w:pStyle w:val="BodyText"/>
        <w:spacing w:line="240" w:lineRule="auto" w:before="107"/>
        <w:ind w:left="539" w:right="0"/>
        <w:jc w:val="left"/>
        <w:rPr>
          <w:rFonts w:ascii="Times New Roman" w:hAnsi="Times New Roman" w:cs="Times New Roman" w:eastAsia="Times New Roman" w:hint="default"/>
        </w:rPr>
      </w:pPr>
      <w:r>
        <w:rPr>
          <w:rFonts w:ascii="Times New Roman" w:hAnsi="Times New Roman" w:cs="Times New Roman" w:eastAsia="Times New Roman" w:hint="default"/>
          <w:spacing w:val="-2"/>
          <w:w w:val="99"/>
        </w:rPr>
        <w:t>3</w:t>
      </w:r>
      <w:r>
        <w:rPr>
          <w:spacing w:val="-10"/>
          <w:w w:val="99"/>
        </w:rPr>
        <w:t>、</w:t>
      </w:r>
      <w:r>
        <w:rPr>
          <w:spacing w:val="2"/>
          <w:w w:val="99"/>
        </w:rPr>
        <w:t>公</w:t>
      </w:r>
      <w:r>
        <w:rPr>
          <w:w w:val="99"/>
        </w:rPr>
        <w:t>司于</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spacing w:val="2"/>
          <w:w w:val="99"/>
        </w:rPr>
        <w:t>日</w:t>
      </w:r>
      <w:r>
        <w:rPr>
          <w:spacing w:val="-13"/>
          <w:w w:val="99"/>
        </w:rPr>
        <w:t>在</w:t>
      </w:r>
      <w:r>
        <w:rPr>
          <w:w w:val="99"/>
        </w:rPr>
        <w:t>《</w:t>
      </w:r>
      <w:r>
        <w:rPr>
          <w:spacing w:val="2"/>
          <w:w w:val="99"/>
        </w:rPr>
        <w:t>中</w:t>
      </w:r>
      <w:r>
        <w:rPr>
          <w:w w:val="99"/>
        </w:rPr>
        <w:t>国</w:t>
      </w:r>
      <w:r>
        <w:rPr>
          <w:spacing w:val="2"/>
          <w:w w:val="99"/>
        </w:rPr>
        <w:t>证</w:t>
      </w:r>
      <w:r>
        <w:rPr>
          <w:w w:val="99"/>
        </w:rPr>
        <w:t>券</w:t>
      </w:r>
      <w:r>
        <w:rPr>
          <w:spacing w:val="2"/>
          <w:w w:val="99"/>
        </w:rPr>
        <w:t>报</w:t>
      </w:r>
      <w:r>
        <w:rPr>
          <w:spacing w:val="-104"/>
          <w:w w:val="99"/>
        </w:rPr>
        <w:t>》</w:t>
      </w:r>
      <w:r>
        <w:rPr>
          <w:spacing w:val="-116"/>
          <w:w w:val="99"/>
        </w:rPr>
        <w:t>、</w:t>
      </w:r>
      <w:r>
        <w:rPr>
          <w:w w:val="99"/>
        </w:rPr>
        <w:t>《</w:t>
      </w:r>
      <w:r>
        <w:rPr>
          <w:spacing w:val="2"/>
          <w:w w:val="99"/>
        </w:rPr>
        <w:t>证</w:t>
      </w:r>
      <w:r>
        <w:rPr>
          <w:w w:val="99"/>
        </w:rPr>
        <w:t>券</w:t>
      </w:r>
      <w:r>
        <w:rPr>
          <w:spacing w:val="2"/>
          <w:w w:val="99"/>
        </w:rPr>
        <w:t>时</w:t>
      </w:r>
      <w:r>
        <w:rPr>
          <w:w w:val="99"/>
        </w:rPr>
        <w:t>报</w:t>
      </w:r>
      <w:r>
        <w:rPr>
          <w:spacing w:val="-10"/>
          <w:w w:val="99"/>
        </w:rPr>
        <w:t>》</w:t>
      </w:r>
      <w:r>
        <w:rPr>
          <w:spacing w:val="2"/>
          <w:w w:val="99"/>
        </w:rPr>
        <w:t>及</w:t>
      </w:r>
      <w:r>
        <w:rPr>
          <w:w w:val="99"/>
        </w:rPr>
        <w:t>巨</w:t>
      </w:r>
      <w:r>
        <w:rPr>
          <w:spacing w:val="2"/>
          <w:w w:val="99"/>
        </w:rPr>
        <w:t>潮</w:t>
      </w:r>
      <w:r>
        <w:rPr>
          <w:w w:val="99"/>
        </w:rPr>
        <w:t>资</w:t>
      </w:r>
      <w:r>
        <w:rPr>
          <w:spacing w:val="2"/>
          <w:w w:val="99"/>
        </w:rPr>
        <w:t>讯</w:t>
      </w:r>
      <w:r>
        <w:rPr>
          <w:w w:val="99"/>
        </w:rPr>
        <w:t>网</w:t>
      </w:r>
      <w:r>
        <w:rPr>
          <w:spacing w:val="2"/>
          <w:w w:val="99"/>
        </w:rPr>
        <w:t>上</w:t>
      </w:r>
      <w:r>
        <w:rPr>
          <w:w w:val="99"/>
        </w:rPr>
        <w:t>刊</w:t>
      </w:r>
      <w:r>
        <w:rPr>
          <w:spacing w:val="2"/>
          <w:w w:val="99"/>
        </w:rPr>
        <w:t>登</w:t>
      </w:r>
      <w:r>
        <w:rPr>
          <w:spacing w:val="-10"/>
          <w:w w:val="99"/>
        </w:rPr>
        <w:t>了</w:t>
      </w:r>
      <w:r>
        <w:rPr>
          <w:w w:val="99"/>
        </w:rPr>
        <w:t>《</w:t>
      </w:r>
      <w:r>
        <w:rPr>
          <w:spacing w:val="2"/>
          <w:w w:val="99"/>
        </w:rPr>
        <w:t>关</w:t>
      </w:r>
      <w:r>
        <w:rPr>
          <w:w w:val="99"/>
        </w:rPr>
        <w:t>于</w:t>
      </w:r>
      <w:r>
        <w:rPr>
          <w:spacing w:val="2"/>
          <w:w w:val="99"/>
        </w:rPr>
        <w:t>召</w:t>
      </w:r>
      <w:r>
        <w:rPr>
          <w:w w:val="99"/>
        </w:rPr>
        <w:t>开</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pStyle w:val="BodyText"/>
        <w:spacing w:line="240" w:lineRule="auto" w:before="110"/>
        <w:ind w:right="0"/>
        <w:jc w:val="left"/>
      </w:pPr>
      <w:r>
        <w:rPr>
          <w:spacing w:val="2"/>
          <w:w w:val="99"/>
        </w:rPr>
        <w:t>年</w:t>
      </w:r>
      <w:r>
        <w:rPr>
          <w:w w:val="99"/>
        </w:rPr>
        <w:t>第</w:t>
      </w:r>
      <w:r>
        <w:rPr>
          <w:spacing w:val="2"/>
          <w:w w:val="99"/>
        </w:rPr>
        <w:t>一</w:t>
      </w:r>
      <w:r>
        <w:rPr>
          <w:w w:val="99"/>
        </w:rPr>
        <w:t>次</w:t>
      </w:r>
      <w:r>
        <w:rPr>
          <w:spacing w:val="2"/>
          <w:w w:val="99"/>
        </w:rPr>
        <w:t>临</w:t>
      </w:r>
      <w:r>
        <w:rPr>
          <w:w w:val="99"/>
        </w:rPr>
        <w:t>时</w:t>
      </w:r>
      <w:r>
        <w:rPr>
          <w:spacing w:val="2"/>
          <w:w w:val="99"/>
        </w:rPr>
        <w:t>股</w:t>
      </w:r>
      <w:r>
        <w:rPr>
          <w:w w:val="99"/>
        </w:rPr>
        <w:t>东</w:t>
      </w:r>
      <w:r>
        <w:rPr>
          <w:spacing w:val="2"/>
          <w:w w:val="99"/>
        </w:rPr>
        <w:t>大</w:t>
      </w:r>
      <w:r>
        <w:rPr>
          <w:w w:val="99"/>
        </w:rPr>
        <w:t>会</w:t>
      </w:r>
      <w:r>
        <w:rPr>
          <w:spacing w:val="2"/>
          <w:w w:val="99"/>
        </w:rPr>
        <w:t>的</w:t>
      </w:r>
      <w:r>
        <w:rPr>
          <w:w w:val="99"/>
        </w:rPr>
        <w:t>通</w:t>
      </w:r>
      <w:r>
        <w:rPr>
          <w:spacing w:val="4"/>
          <w:w w:val="99"/>
        </w:rPr>
        <w:t>知</w:t>
      </w:r>
      <w:r>
        <w:rPr>
          <w:spacing w:val="-104"/>
          <w:w w:val="99"/>
        </w:rPr>
        <w:t>》</w:t>
      </w:r>
      <w:r>
        <w:rPr>
          <w:spacing w:val="-3"/>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日</w:t>
      </w:r>
      <w:r>
        <w:rPr>
          <w:w w:val="99"/>
        </w:rPr>
        <w:t>上午</w:t>
      </w:r>
      <w:r>
        <w:rPr>
          <w:spacing w:val="-53"/>
        </w:rPr>
        <w:t> </w:t>
      </w:r>
      <w:r>
        <w:rPr>
          <w:rFonts w:ascii="Times New Roman" w:hAnsi="Times New Roman" w:cs="Times New Roman" w:eastAsia="Times New Roman" w:hint="default"/>
          <w:spacing w:val="1"/>
          <w:w w:val="99"/>
        </w:rPr>
        <w:t>9</w:t>
      </w:r>
      <w:r>
        <w:rPr>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2"/>
          <w:w w:val="99"/>
        </w:rPr>
        <w:t>0</w:t>
      </w:r>
      <w:r>
        <w:rPr>
          <w:w w:val="99"/>
        </w:rPr>
        <w:t>，</w:t>
      </w:r>
      <w:r>
        <w:rPr>
          <w:spacing w:val="2"/>
          <w:w w:val="99"/>
        </w:rPr>
        <w:t>公</w:t>
      </w:r>
      <w:r>
        <w:rPr>
          <w:w w:val="99"/>
        </w:rPr>
        <w:t>司</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6"/>
        </w:rPr>
        <w:t> </w:t>
      </w:r>
      <w:r>
        <w:rPr>
          <w:spacing w:val="2"/>
          <w:w w:val="99"/>
        </w:rPr>
        <w:t>年</w:t>
      </w:r>
      <w:r>
        <w:rPr>
          <w:w w:val="99"/>
        </w:rPr>
        <w:t>第</w:t>
      </w:r>
      <w:r>
        <w:rPr>
          <w:spacing w:val="2"/>
          <w:w w:val="99"/>
        </w:rPr>
        <w:t>一</w:t>
      </w:r>
      <w:r>
        <w:rPr>
          <w:w w:val="99"/>
        </w:rPr>
        <w:t>次</w:t>
      </w:r>
      <w:r>
        <w:rPr>
          <w:spacing w:val="2"/>
          <w:w w:val="99"/>
        </w:rPr>
        <w:t>临</w:t>
      </w:r>
      <w:r>
        <w:rPr>
          <w:w w:val="99"/>
        </w:rPr>
        <w:t>时</w:t>
      </w:r>
      <w:r>
        <w:rPr>
          <w:spacing w:val="2"/>
          <w:w w:val="99"/>
        </w:rPr>
        <w:t>股</w:t>
      </w:r>
      <w:r>
        <w:rPr>
          <w:w w:val="99"/>
        </w:rPr>
        <w:t>东</w:t>
      </w:r>
      <w:r>
        <w:rPr>
          <w:spacing w:val="2"/>
          <w:w w:val="99"/>
        </w:rPr>
        <w:t>大</w:t>
      </w:r>
      <w:r>
        <w:rPr>
          <w:w w:val="99"/>
        </w:rPr>
        <w:t>会</w:t>
      </w:r>
      <w:r>
        <w:rPr>
          <w:spacing w:val="2"/>
          <w:w w:val="99"/>
        </w:rPr>
        <w:t>在</w:t>
      </w:r>
      <w:r>
        <w:rPr>
          <w:w w:val="99"/>
        </w:rPr>
        <w:t>鸿基</w:t>
      </w:r>
      <w:r>
        <w:rPr/>
      </w:r>
    </w:p>
    <w:p>
      <w:pPr>
        <w:spacing w:after="0" w:line="240" w:lineRule="auto"/>
        <w:jc w:val="left"/>
        <w:sectPr>
          <w:footerReference w:type="default" r:id="rId12"/>
          <w:pgSz w:w="11910" w:h="16840"/>
          <w:pgMar w:footer="1007" w:header="0" w:top="1460" w:bottom="1200" w:left="1020" w:right="1000"/>
          <w:pgNumType w:start="20"/>
        </w:sectPr>
      </w:pPr>
    </w:p>
    <w:p>
      <w:pPr>
        <w:pStyle w:val="BodyText"/>
        <w:spacing w:line="328" w:lineRule="auto" w:before="14"/>
        <w:ind w:right="0"/>
        <w:jc w:val="left"/>
      </w:pPr>
      <w:bookmarkStart w:name="第八节董事局报告" w:id="21"/>
      <w:bookmarkEnd w:id="21"/>
      <w:r>
        <w:rPr/>
      </w:r>
      <w:bookmarkStart w:name="一、报告期内公司经营情况" w:id="22"/>
      <w:bookmarkEnd w:id="22"/>
      <w:r>
        <w:rPr/>
      </w:r>
      <w:r>
        <w:rPr>
          <w:spacing w:val="1"/>
          <w:w w:val="99"/>
        </w:rPr>
        <w:t>大厦</w:t>
      </w:r>
      <w:r>
        <w:rPr>
          <w:spacing w:val="-49"/>
          <w:w w:val="99"/>
        </w:rPr>
        <w:t> </w:t>
      </w:r>
      <w:r>
        <w:rPr>
          <w:rFonts w:ascii="Times New Roman" w:hAnsi="Times New Roman" w:cs="Times New Roman" w:eastAsia="Times New Roman" w:hint="default"/>
          <w:w w:val="99"/>
        </w:rPr>
        <w:t>25</w:t>
      </w:r>
      <w:r>
        <w:rPr>
          <w:rFonts w:ascii="Times New Roman" w:hAnsi="Times New Roman" w:cs="Times New Roman" w:eastAsia="Times New Roman" w:hint="default"/>
          <w:spacing w:val="5"/>
          <w:w w:val="99"/>
        </w:rPr>
        <w:t> </w:t>
      </w:r>
      <w:r>
        <w:rPr>
          <w:w w:val="99"/>
        </w:rPr>
        <w:t>楼会议厅召开，会议决议公告刊登于</w:t>
      </w:r>
      <w:r>
        <w:rPr>
          <w:spacing w:val="-46"/>
          <w:w w:val="99"/>
        </w:rPr>
        <w:t> </w:t>
      </w:r>
      <w:r>
        <w:rPr>
          <w:rFonts w:ascii="Times New Roman" w:hAnsi="Times New Roman" w:cs="Times New Roman" w:eastAsia="Times New Roman" w:hint="default"/>
          <w:spacing w:val="-1"/>
          <w:w w:val="99"/>
        </w:rPr>
        <w:t>2011 </w:t>
      </w:r>
      <w:r>
        <w:rPr>
          <w:w w:val="99"/>
        </w:rPr>
        <w:t>年</w:t>
      </w:r>
      <w:r>
        <w:rPr>
          <w:spacing w:val="-49"/>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5"/>
          <w:w w:val="99"/>
        </w:rPr>
        <w:t> </w:t>
      </w:r>
      <w:r>
        <w:rPr>
          <w:w w:val="99"/>
        </w:rPr>
        <w:t>月</w:t>
      </w:r>
      <w:r>
        <w:rPr>
          <w:spacing w:val="-49"/>
          <w:w w:val="99"/>
        </w:rPr>
        <w:t> </w:t>
      </w:r>
      <w:r>
        <w:rPr>
          <w:rFonts w:ascii="Times New Roman" w:hAnsi="Times New Roman" w:cs="Times New Roman" w:eastAsia="Times New Roman" w:hint="default"/>
          <w:w w:val="99"/>
        </w:rPr>
        <w:t>29</w:t>
      </w:r>
      <w:r>
        <w:rPr>
          <w:rFonts w:ascii="Times New Roman" w:hAnsi="Times New Roman" w:cs="Times New Roman" w:eastAsia="Times New Roman" w:hint="default"/>
          <w:spacing w:val="5"/>
          <w:w w:val="99"/>
        </w:rPr>
        <w:t> </w:t>
      </w:r>
      <w:r>
        <w:rPr>
          <w:spacing w:val="-11"/>
          <w:w w:val="99"/>
        </w:rPr>
        <w:t>日的《中国证券报》、《证券时报》及巨潮资</w:t>
      </w:r>
      <w:r>
        <w:rPr>
          <w:w w:val="99"/>
        </w:rPr>
        <w:t> </w:t>
      </w:r>
      <w:r>
        <w:rPr/>
        <w:t>讯网。</w:t>
      </w:r>
    </w:p>
    <w:p>
      <w:pPr>
        <w:spacing w:line="240" w:lineRule="auto" w:before="1"/>
        <w:rPr>
          <w:rFonts w:ascii="宋体" w:hAnsi="宋体" w:cs="宋体" w:eastAsia="宋体" w:hint="default"/>
          <w:sz w:val="21"/>
          <w:szCs w:val="21"/>
        </w:rPr>
      </w:pPr>
    </w:p>
    <w:p>
      <w:pPr>
        <w:pStyle w:val="Heading3"/>
        <w:tabs>
          <w:tab w:pos="1123" w:val="left" w:leader="none"/>
        </w:tabs>
        <w:spacing w:line="240" w:lineRule="auto"/>
        <w:ind w:right="265"/>
        <w:jc w:val="center"/>
      </w:pPr>
      <w:r>
        <w:rPr/>
        <w:t>第八节</w:t>
        <w:tab/>
        <w:t>董事局报告</w:t>
      </w:r>
    </w:p>
    <w:p>
      <w:pPr>
        <w:spacing w:line="240" w:lineRule="auto" w:before="3"/>
        <w:rPr>
          <w:rFonts w:ascii="宋体" w:hAnsi="宋体" w:cs="宋体" w:eastAsia="宋体" w:hint="default"/>
          <w:sz w:val="28"/>
          <w:szCs w:val="28"/>
        </w:rPr>
      </w:pPr>
    </w:p>
    <w:p>
      <w:pPr>
        <w:pStyle w:val="Heading4"/>
        <w:spacing w:line="240" w:lineRule="auto"/>
        <w:ind w:left="115" w:right="0"/>
        <w:jc w:val="left"/>
      </w:pPr>
      <w:r>
        <w:rPr/>
        <w:t>一、报告期内公司经营情况</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007" w:top="1460" w:bottom="1200" w:left="1020" w:right="720"/>
        </w:sectPr>
      </w:pPr>
    </w:p>
    <w:p>
      <w:pPr>
        <w:pStyle w:val="BodyText"/>
        <w:spacing w:line="240" w:lineRule="auto" w:before="34"/>
        <w:ind w:right="-12"/>
        <w:jc w:val="left"/>
        <w:rPr>
          <w:rFonts w:ascii="宋体" w:hAnsi="宋体" w:cs="宋体" w:eastAsia="宋体" w:hint="default"/>
        </w:rPr>
      </w:pPr>
      <w:r>
        <w:rPr>
          <w:rFonts w:ascii="宋体" w:hAnsi="宋体" w:cs="宋体" w:eastAsia="宋体" w:hint="default"/>
        </w:rPr>
        <w:t>（一）主营业务范围及其经营状况</w:t>
      </w:r>
    </w:p>
    <w:p>
      <w:pPr>
        <w:pStyle w:val="BodyText"/>
        <w:spacing w:line="240" w:lineRule="auto" w:before="118"/>
        <w:ind w:left="539" w:right="-12"/>
        <w:jc w:val="left"/>
      </w:pPr>
      <w:r>
        <w:rPr>
          <w:rFonts w:ascii="Times New Roman" w:hAnsi="Times New Roman" w:cs="Times New Roman" w:eastAsia="Times New Roman" w:hint="default"/>
        </w:rPr>
        <w:t>1</w:t>
      </w:r>
      <w:r>
        <w:rPr/>
        <w:t>、主营业务范围：房地产开发及物业管理</w:t>
      </w:r>
    </w:p>
    <w:p>
      <w:pPr>
        <w:pStyle w:val="BodyText"/>
        <w:spacing w:line="240" w:lineRule="auto" w:before="107"/>
        <w:ind w:left="539" w:right="-12"/>
        <w:jc w:val="left"/>
      </w:pPr>
      <w:r>
        <w:rPr>
          <w:rFonts w:ascii="Times New Roman" w:hAnsi="Times New Roman" w:cs="Times New Roman" w:eastAsia="Times New Roman" w:hint="default"/>
        </w:rPr>
        <w:t>2</w:t>
      </w:r>
      <w:r>
        <w:rPr/>
        <w:t>、各业务板块收入及其构成情况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pict>
          <v:shape style="position:absolute;margin-left:412.388397pt;margin-top:30.743643pt;width:71.6pt;height:39.5pt;mso-position-horizontal-relative:page;mso-position-vertical-relative:paragraph;z-index:-885520" type="#_x0000_t202" filled="false" stroked="false">
            <v:textbox inset="0,0,0,0">
              <w:txbxContent>
                <w:p>
                  <w:pPr>
                    <w:spacing w:line="240" w:lineRule="auto" w:before="4"/>
                    <w:rPr>
                      <w:rFonts w:ascii="宋体" w:hAnsi="宋体" w:cs="宋体" w:eastAsia="宋体" w:hint="default"/>
                      <w:sz w:val="18"/>
                      <w:szCs w:val="18"/>
                    </w:rPr>
                  </w:pPr>
                </w:p>
                <w:p>
                  <w:pPr>
                    <w:pStyle w:val="BodyText"/>
                    <w:spacing w:line="240" w:lineRule="auto"/>
                    <w:ind w:left="0" w:right="0"/>
                    <w:jc w:val="left"/>
                  </w:pPr>
                  <w:r>
                    <w:rPr>
                      <w:w w:val="99"/>
                    </w:rPr>
                    <w:t>）</w:t>
                  </w:r>
                  <w:r>
                    <w:rPr/>
                  </w:r>
                </w:p>
              </w:txbxContent>
            </v:textbox>
            <w10:wrap type="none"/>
          </v:shape>
        </w:pict>
      </w:r>
      <w:r>
        <w:rPr/>
        <w:pict>
          <v:shape style="position:absolute;margin-left:477.591003pt;margin-top:30.743643pt;width:75.45pt;height:39.5pt;mso-position-horizontal-relative:page;mso-position-vertical-relative:paragraph;z-index:-885496" type="#_x0000_t202" filled="false" stroked="false">
            <v:textbox inset="0,0,0,0">
              <w:txbxContent>
                <w:p>
                  <w:pPr>
                    <w:spacing w:line="240" w:lineRule="auto" w:before="6"/>
                    <w:rPr>
                      <w:rFonts w:ascii="宋体" w:hAnsi="宋体" w:cs="宋体" w:eastAsia="宋体" w:hint="default"/>
                      <w:sz w:val="27"/>
                      <w:szCs w:val="27"/>
                    </w:rPr>
                  </w:pPr>
                </w:p>
                <w:p>
                  <w:pPr>
                    <w:pStyle w:val="BodyText"/>
                    <w:spacing w:line="240" w:lineRule="auto"/>
                    <w:ind w:left="0" w:right="0"/>
                    <w:jc w:val="left"/>
                  </w:pPr>
                  <w:r>
                    <w:rPr>
                      <w:w w:val="99"/>
                    </w:rPr>
                    <w:t>）</w:t>
                  </w:r>
                  <w:r>
                    <w:rPr/>
                  </w:r>
                </w:p>
              </w:txbxContent>
            </v:textbox>
            <w10:wrap type="none"/>
          </v:shape>
        </w:pict>
      </w: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40"/>
          <w:pgMar w:top="1580" w:bottom="1200" w:left="1020" w:right="720"/>
          <w:cols w:num="2" w:equalWidth="0">
            <w:col w:w="4433" w:space="3146"/>
            <w:col w:w="2591"/>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182"/>
        <w:gridCol w:w="1152"/>
        <w:gridCol w:w="1304"/>
        <w:gridCol w:w="1302"/>
        <w:gridCol w:w="1304"/>
        <w:gridCol w:w="1304"/>
        <w:gridCol w:w="1381"/>
      </w:tblGrid>
      <w:tr>
        <w:trPr>
          <w:trHeight w:val="283" w:hRule="exact"/>
        </w:trPr>
        <w:tc>
          <w:tcPr>
            <w:tcW w:w="9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797" w:hRule="exact"/>
        </w:trPr>
        <w:tc>
          <w:tcPr>
            <w:tcW w:w="21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w w:val="95"/>
                <w:sz w:val="21"/>
                <w:szCs w:val="21"/>
              </w:rPr>
              <w:t>毛利率（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c>
          <w:tcPr>
            <w:tcW w:w="1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firstLine="98"/>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上</w:t>
            </w:r>
            <w:r>
              <w:rPr>
                <w:rFonts w:ascii="宋体" w:hAnsi="宋体" w:cs="宋体" w:eastAsia="宋体" w:hint="default"/>
                <w:w w:val="99"/>
                <w:sz w:val="21"/>
                <w:szCs w:val="21"/>
              </w:rPr>
              <w:t>年</w:t>
            </w:r>
            <w:r>
              <w:rPr>
                <w:rFonts w:ascii="宋体" w:hAnsi="宋体" w:cs="宋体" w:eastAsia="宋体" w:hint="default"/>
                <w:spacing w:val="2"/>
                <w:w w:val="99"/>
                <w:sz w:val="21"/>
                <w:szCs w:val="21"/>
              </w:rPr>
              <w:t>增</w:t>
            </w:r>
            <w:r>
              <w:rPr>
                <w:rFonts w:ascii="宋体" w:hAnsi="宋体" w:cs="宋体" w:eastAsia="宋体" w:hint="default"/>
                <w:spacing w:val="-85"/>
                <w:w w:val="99"/>
                <w:sz w:val="21"/>
                <w:szCs w:val="21"/>
              </w:rPr>
              <w:t>减</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13"/>
              <w:ind w:left="24" w:right="120"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14"/>
                <w:w w:val="99"/>
                <w:sz w:val="21"/>
                <w:szCs w:val="21"/>
              </w:rPr>
              <w:t>上年增减（</w:t>
            </w:r>
            <w:r>
              <w:rPr>
                <w:rFonts w:ascii="Times New Roman" w:hAnsi="Times New Roman" w:cs="Times New Roman" w:eastAsia="Times New Roman" w:hint="default"/>
                <w:spacing w:val="-14"/>
                <w:w w:val="99"/>
                <w:sz w:val="21"/>
                <w:szCs w:val="21"/>
              </w:rPr>
              <w:t>%</w:t>
            </w:r>
            <w:r>
              <w:rPr>
                <w:rFonts w:ascii="Times New Roman" w:hAnsi="Times New Roman" w:cs="Times New Roman" w:eastAsia="Times New Roman" w:hint="default"/>
                <w:spacing w:val="-14"/>
                <w:sz w:val="21"/>
                <w:szCs w:val="21"/>
              </w:rPr>
            </w:r>
          </w:p>
        </w:tc>
        <w:tc>
          <w:tcPr>
            <w:tcW w:w="138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13"/>
              <w:ind w:left="178" w:right="50"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99"/>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房地产开发及物业管理</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79" w:right="0"/>
              <w:jc w:val="left"/>
              <w:rPr>
                <w:rFonts w:ascii="Times New Roman" w:hAnsi="Times New Roman" w:cs="Times New Roman" w:eastAsia="Times New Roman" w:hint="default"/>
                <w:sz w:val="21"/>
                <w:szCs w:val="21"/>
              </w:rPr>
            </w:pPr>
            <w:r>
              <w:rPr>
                <w:rFonts w:ascii="Times New Roman"/>
                <w:sz w:val="21"/>
              </w:rPr>
              <w:t>80,396.38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0" w:right="0"/>
              <w:jc w:val="left"/>
              <w:rPr>
                <w:rFonts w:ascii="Times New Roman" w:hAnsi="Times New Roman" w:cs="Times New Roman" w:eastAsia="Times New Roman" w:hint="default"/>
                <w:sz w:val="21"/>
                <w:szCs w:val="21"/>
              </w:rPr>
            </w:pPr>
            <w:r>
              <w:rPr>
                <w:rFonts w:ascii="Times New Roman"/>
                <w:sz w:val="21"/>
              </w:rPr>
              <w:t>53,296.42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33.71%</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3" w:right="0"/>
              <w:jc w:val="left"/>
              <w:rPr>
                <w:rFonts w:ascii="Times New Roman" w:hAnsi="Times New Roman" w:cs="Times New Roman" w:eastAsia="Times New Roman" w:hint="default"/>
                <w:sz w:val="21"/>
                <w:szCs w:val="21"/>
              </w:rPr>
            </w:pPr>
            <w:r>
              <w:rPr>
                <w:rFonts w:ascii="Times New Roman"/>
                <w:sz w:val="21"/>
              </w:rPr>
              <w:t>30.81%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3" w:right="0"/>
              <w:jc w:val="left"/>
              <w:rPr>
                <w:rFonts w:ascii="Times New Roman" w:hAnsi="Times New Roman" w:cs="Times New Roman" w:eastAsia="Times New Roman" w:hint="default"/>
                <w:sz w:val="21"/>
                <w:szCs w:val="21"/>
              </w:rPr>
            </w:pPr>
            <w:r>
              <w:rPr>
                <w:rFonts w:ascii="Times New Roman"/>
                <w:sz w:val="21"/>
              </w:rPr>
              <w:t>51.06%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6" w:right="0"/>
              <w:jc w:val="left"/>
              <w:rPr>
                <w:rFonts w:ascii="Times New Roman" w:hAnsi="Times New Roman" w:cs="Times New Roman" w:eastAsia="Times New Roman" w:hint="default"/>
                <w:sz w:val="21"/>
                <w:szCs w:val="21"/>
              </w:rPr>
            </w:pPr>
            <w:r>
              <w:rPr>
                <w:rFonts w:ascii="Times New Roman"/>
                <w:sz w:val="21"/>
              </w:rPr>
              <w:t>-8.88%</w:t>
            </w:r>
          </w:p>
        </w:tc>
      </w:tr>
    </w:tbl>
    <w:p>
      <w:pPr>
        <w:pStyle w:val="BodyText"/>
        <w:spacing w:line="240" w:lineRule="auto" w:before="74"/>
        <w:ind w:left="0" w:right="267"/>
        <w:jc w:val="center"/>
      </w:pPr>
      <w:r>
        <w:rPr/>
        <w:t>主营业务分地区情况</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170"/>
        <w:gridCol w:w="2868"/>
        <w:gridCol w:w="2815"/>
      </w:tblGrid>
      <w:tr>
        <w:trPr>
          <w:trHeight w:val="282" w:hRule="exact"/>
        </w:trPr>
        <w:tc>
          <w:tcPr>
            <w:tcW w:w="41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sz w:val="21"/>
              </w:rPr>
              <w:t>21,268.96</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-8.82%</w:t>
            </w:r>
            <w:r>
              <w:rPr>
                <w:rFonts w:ascii="Times New Roman"/>
                <w:sz w:val="21"/>
              </w:rPr>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西安地区</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60,468.00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13.86%</w:t>
            </w:r>
            <w:r>
              <w:rPr>
                <w:rFonts w:ascii="Times New Roman"/>
                <w:sz w:val="21"/>
              </w:rPr>
            </w:r>
          </w:p>
        </w:tc>
      </w:tr>
    </w:tbl>
    <w:p>
      <w:pPr>
        <w:pStyle w:val="BodyText"/>
        <w:spacing w:line="240" w:lineRule="auto" w:before="69"/>
        <w:ind w:left="539" w:right="0"/>
        <w:jc w:val="left"/>
      </w:pPr>
      <w:r>
        <w:rPr>
          <w:rFonts w:ascii="Times New Roman" w:hAnsi="Times New Roman" w:cs="Times New Roman" w:eastAsia="Times New Roman" w:hint="default"/>
        </w:rPr>
        <w:t>3</w:t>
      </w:r>
      <w:r>
        <w:rPr/>
        <w:t>、总体经营状况</w:t>
      </w:r>
    </w:p>
    <w:p>
      <w:pPr>
        <w:pStyle w:val="BodyText"/>
        <w:spacing w:line="324" w:lineRule="auto" w:before="86"/>
        <w:ind w:left="103" w:right="383" w:firstLine="575"/>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年是集团实施五年发展战略的开局之年，围绕第六届董事局确立的“加快产业结构调整，集中</w:t>
      </w:r>
      <w:r>
        <w:rPr>
          <w:w w:val="99"/>
        </w:rPr>
        <w:t> </w:t>
      </w:r>
      <w:r>
        <w:rPr/>
        <w:t>资源发展房地产业，打造专业房地产上市公司”的战略目标，集团更新观念、革新模式、调整结构、强化</w:t>
      </w:r>
      <w:r>
        <w:rPr>
          <w:spacing w:val="-98"/>
        </w:rPr>
        <w:t> </w:t>
      </w:r>
      <w:r>
        <w:rPr>
          <w:spacing w:val="-98"/>
        </w:rPr>
      </w:r>
      <w:r>
        <w:rPr/>
        <w:t>管理。全年工作围绕</w:t>
      </w:r>
      <w:r>
        <w:rPr>
          <w:spacing w:val="11"/>
        </w:rPr>
        <w:t> </w:t>
      </w:r>
      <w:r>
        <w:rPr>
          <w:spacing w:val="2"/>
        </w:rPr>
        <w:t>“增项目、上规模、提速度、促发展”的年度目标，全面整合集团资产结构，基本</w:t>
      </w:r>
      <w:r>
        <w:rPr>
          <w:w w:val="99"/>
        </w:rPr>
        <w:t> </w:t>
      </w:r>
      <w:r>
        <w:rPr/>
        <w:t>完成非房地产业务的剥离；为适应房地产业务的发展需要，集团对制度体系进行全面梳理，修订完善各项</w:t>
      </w:r>
      <w:r>
        <w:rPr>
          <w:spacing w:val="-101"/>
        </w:rPr>
        <w:t> </w:t>
      </w:r>
      <w:r>
        <w:rPr>
          <w:spacing w:val="-101"/>
        </w:rPr>
      </w:r>
      <w:r>
        <w:rPr/>
        <w:t>管理制度、调整了组织构架、岗位设置及薪酬体系；强化集团总部对房地产项目的业务管控，加快项目开</w:t>
      </w:r>
      <w:r>
        <w:rPr>
          <w:spacing w:val="-97"/>
        </w:rPr>
        <w:t> </w:t>
      </w:r>
      <w:r>
        <w:rPr>
          <w:spacing w:val="-97"/>
        </w:rPr>
      </w:r>
      <w:r>
        <w:rPr/>
        <w:t>发进度，加大项目拓展力度，房地产战略布局初见成效。</w:t>
      </w:r>
    </w:p>
    <w:p>
      <w:pPr>
        <w:pStyle w:val="BodyText"/>
        <w:spacing w:line="316" w:lineRule="auto" w:before="28"/>
        <w:ind w:left="103" w:right="381" w:firstLine="575"/>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年度，集团通过一系列改革、调整和优化措施，资产结构更趋合理，经营状况明显好转，主营</w:t>
      </w:r>
      <w:r>
        <w:rPr>
          <w:w w:val="99"/>
        </w:rPr>
        <w:t> </w:t>
      </w:r>
      <w:r>
        <w:rPr/>
        <w:t>业务日显突出，资金运营、财务指标、风险控制均创历史最好的水平。年内主要因对非房地产业务的资产</w:t>
      </w:r>
      <w:r>
        <w:rPr>
          <w:spacing w:val="-98"/>
        </w:rPr>
        <w:t> </w:t>
      </w:r>
      <w:r>
        <w:rPr>
          <w:spacing w:val="-98"/>
        </w:rPr>
      </w:r>
      <w:r>
        <w:rPr/>
        <w:t>剥离及结转房地产部分销售收入，集团归属于母公司所有者的净利润</w:t>
      </w:r>
      <w:r>
        <w:rPr>
          <w:spacing w:val="-57"/>
        </w:rPr>
        <w:t> </w:t>
      </w:r>
      <w:r>
        <w:rPr>
          <w:rFonts w:ascii="Times New Roman" w:hAnsi="Times New Roman" w:cs="Times New Roman" w:eastAsia="Times New Roman" w:hint="default"/>
        </w:rPr>
        <w:t>14,008</w:t>
      </w:r>
      <w:r>
        <w:rPr>
          <w:rFonts w:ascii="Times New Roman" w:hAnsi="Times New Roman" w:cs="Times New Roman" w:eastAsia="Times New Roman" w:hint="default"/>
          <w:spacing w:val="-6"/>
        </w:rPr>
        <w:t> </w:t>
      </w:r>
      <w:r>
        <w:rPr>
          <w:spacing w:val="-3"/>
        </w:rPr>
        <w:t>万元，较上年增加</w:t>
      </w:r>
      <w:r>
        <w:rPr>
          <w:spacing w:val="-57"/>
        </w:rPr>
        <w:t> </w:t>
      </w:r>
      <w:r>
        <w:rPr>
          <w:rFonts w:ascii="Times New Roman" w:hAnsi="Times New Roman" w:cs="Times New Roman" w:eastAsia="Times New Roman" w:hint="default"/>
          <w:spacing w:val="-4"/>
        </w:rPr>
        <w:t>45%</w:t>
      </w:r>
      <w:r>
        <w:rPr>
          <w:spacing w:val="-4"/>
        </w:rPr>
        <w:t>，每股</w:t>
      </w:r>
      <w:r>
        <w:rPr>
          <w:w w:val="99"/>
        </w:rPr>
        <w:t> </w:t>
      </w:r>
      <w:r>
        <w:rPr/>
        <w:t>收益</w:t>
      </w:r>
      <w:r>
        <w:rPr>
          <w:spacing w:val="-53"/>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元，较上年增加</w:t>
      </w:r>
      <w:r>
        <w:rPr>
          <w:spacing w:val="-50"/>
        </w:rPr>
        <w:t> </w:t>
      </w:r>
      <w:r>
        <w:rPr>
          <w:rFonts w:ascii="Times New Roman" w:hAnsi="Times New Roman" w:cs="Times New Roman" w:eastAsia="Times New Roman" w:hint="default"/>
        </w:rPr>
        <w:t>43%</w:t>
      </w:r>
      <w:r>
        <w:rPr/>
        <w:t>。</w:t>
      </w:r>
    </w:p>
    <w:p>
      <w:pPr>
        <w:pStyle w:val="BodyText"/>
        <w:spacing w:line="328" w:lineRule="auto" w:before="9"/>
        <w:ind w:left="103" w:right="383" w:firstLine="575"/>
        <w:jc w:val="both"/>
      </w:pPr>
      <w:r>
        <w:rPr>
          <w:spacing w:val="-1"/>
        </w:rPr>
        <w:t>报告期内公司加大西安“鸿基•紫韵”项目以及草埔鸿基花园二期•鸿翠苑、以及鸿业苑•名豪居等项</w:t>
      </w:r>
      <w:r>
        <w:rPr>
          <w:w w:val="99"/>
        </w:rPr>
        <w:t> </w:t>
      </w:r>
      <w:r>
        <w:rPr/>
        <w:t>目尾盘的营销力度，加快资金回笼；重点推进深圳草埔、龙岗中心城等两个旧改项目；同时立足深圳、西</w:t>
      </w:r>
      <w:r>
        <w:rPr>
          <w:spacing w:val="-101"/>
        </w:rPr>
        <w:t> </w:t>
      </w:r>
      <w:r>
        <w:rPr>
          <w:spacing w:val="-101"/>
        </w:rPr>
      </w:r>
      <w:r>
        <w:rPr/>
        <w:t>安，积极拓展广东、陕西、安徽、湖南等地二、三线城市房地产新项目，集团看好深莞惠的融合加速及长</w:t>
      </w:r>
      <w:r>
        <w:rPr>
          <w:spacing w:val="-99"/>
        </w:rPr>
        <w:t> </w:t>
      </w:r>
      <w:r>
        <w:rPr>
          <w:spacing w:val="-99"/>
        </w:rPr>
      </w:r>
      <w:r>
        <w:rPr/>
        <w:t>株潭经济一体化带来的地产机遇，积极在上述区域内进行开发布局，获得了东莞桥头镇、湖南湘潭市岳塘</w:t>
      </w:r>
      <w:r>
        <w:rPr>
          <w:spacing w:val="-101"/>
        </w:rPr>
        <w:t> </w:t>
      </w:r>
      <w:r>
        <w:rPr>
          <w:spacing w:val="-101"/>
        </w:rPr>
      </w:r>
      <w:r>
        <w:rPr/>
        <w:t>区双马工业园等国有土地使用权，</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年初又获得了惠东县港口滨海项目</w:t>
      </w:r>
      <w:r>
        <w:rPr>
          <w:spacing w:val="-47"/>
        </w:rPr>
        <w:t> </w:t>
      </w:r>
      <w:r>
        <w:rPr>
          <w:rFonts w:ascii="Times New Roman" w:hAnsi="Times New Roman" w:cs="Times New Roman" w:eastAsia="Times New Roman" w:hint="default"/>
        </w:rPr>
        <w:t>30872</w:t>
      </w:r>
      <w:r>
        <w:rPr>
          <w:rFonts w:ascii="Times New Roman" w:hAnsi="Times New Roman" w:cs="Times New Roman" w:eastAsia="Times New Roman" w:hint="default"/>
          <w:spacing w:val="2"/>
        </w:rPr>
        <w:t> </w:t>
      </w:r>
      <w:r>
        <w:rPr/>
        <w:t>平米土地使用权。</w:t>
      </w:r>
    </w:p>
    <w:p>
      <w:pPr>
        <w:spacing w:after="0" w:line="328" w:lineRule="auto"/>
        <w:jc w:val="both"/>
        <w:sectPr>
          <w:type w:val="continuous"/>
          <w:pgSz w:w="11910" w:h="16840"/>
          <w:pgMar w:top="1580" w:bottom="1200" w:left="1020" w:right="720"/>
        </w:sectPr>
      </w:pPr>
    </w:p>
    <w:p>
      <w:pPr>
        <w:pStyle w:val="BodyText"/>
        <w:spacing w:line="240" w:lineRule="auto" w:before="9"/>
        <w:ind w:left="642" w:right="88"/>
        <w:jc w:val="left"/>
      </w:pPr>
      <w:r>
        <w:rPr>
          <w:rFonts w:ascii="Times New Roman" w:hAnsi="Times New Roman" w:cs="Times New Roman" w:eastAsia="Times New Roman" w:hint="default"/>
        </w:rPr>
        <w:t>4</w:t>
      </w:r>
      <w:r>
        <w:rPr/>
        <w:t>、主营业务经营情况</w:t>
      </w:r>
    </w:p>
    <w:p>
      <w:pPr>
        <w:pStyle w:val="BodyText"/>
        <w:spacing w:line="312" w:lineRule="auto" w:before="83"/>
        <w:ind w:left="539" w:right="5967"/>
        <w:jc w:val="left"/>
      </w:pPr>
      <w:r>
        <w:rPr/>
        <w:t>（</w:t>
      </w:r>
      <w:r>
        <w:rPr>
          <w:rFonts w:ascii="Times New Roman" w:hAnsi="Times New Roman" w:cs="Times New Roman" w:eastAsia="Times New Roman" w:hint="default"/>
        </w:rPr>
        <w:t>1</w:t>
      </w:r>
      <w:r>
        <w:rPr/>
        <w:t>）房地产开发</w:t>
      </w:r>
      <w:r>
        <w:rPr>
          <w:w w:val="99"/>
        </w:rPr>
        <w:t> </w:t>
      </w:r>
      <w:r>
        <w:rPr/>
        <w:t>报告期内公司房地产项目进展情况：</w:t>
      </w:r>
    </w:p>
    <w:p>
      <w:pPr>
        <w:pStyle w:val="BodyText"/>
        <w:spacing w:line="240" w:lineRule="auto" w:before="39"/>
        <w:ind w:left="539" w:right="88"/>
        <w:jc w:val="left"/>
      </w:pPr>
      <w:r>
        <w:rPr/>
        <w:t>①西安</w:t>
      </w:r>
      <w:r>
        <w:rPr>
          <w:rFonts w:ascii="Times New Roman" w:hAnsi="Times New Roman" w:cs="Times New Roman" w:eastAsia="Times New Roman" w:hint="default"/>
        </w:rPr>
        <w:t>“</w:t>
      </w:r>
      <w:r>
        <w:rPr/>
        <w:t>鸿基</w:t>
      </w:r>
      <w:r>
        <w:rPr>
          <w:rFonts w:ascii="Times New Roman" w:hAnsi="Times New Roman" w:cs="Times New Roman" w:eastAsia="Times New Roman" w:hint="default"/>
        </w:rPr>
        <w:t>·</w:t>
      </w:r>
      <w:r>
        <w:rPr/>
        <w:t>紫韵</w:t>
      </w:r>
      <w:r>
        <w:rPr>
          <w:rFonts w:ascii="Times New Roman" w:hAnsi="Times New Roman" w:cs="Times New Roman" w:eastAsia="Times New Roman" w:hint="default"/>
        </w:rPr>
        <w:t>”</w:t>
      </w:r>
      <w:r>
        <w:rPr/>
        <w:t>项目：该项目占地面积</w:t>
      </w:r>
      <w:r>
        <w:rPr>
          <w:spacing w:val="-41"/>
        </w:rPr>
        <w:t> </w:t>
      </w:r>
      <w:r>
        <w:rPr>
          <w:rFonts w:ascii="Times New Roman" w:hAnsi="Times New Roman" w:cs="Times New Roman" w:eastAsia="Times New Roman" w:hint="default"/>
        </w:rPr>
        <w:t>102,099</w:t>
      </w:r>
      <w:r>
        <w:rPr>
          <w:rFonts w:ascii="Times New Roman" w:hAnsi="Times New Roman" w:cs="Times New Roman" w:eastAsia="Times New Roman" w:hint="default"/>
          <w:spacing w:val="5"/>
        </w:rPr>
        <w:t> </w:t>
      </w:r>
      <w:r>
        <w:rPr/>
        <w:t>平方米，总建筑面积</w:t>
      </w:r>
      <w:r>
        <w:rPr>
          <w:spacing w:val="-41"/>
        </w:rPr>
        <w:t> </w:t>
      </w:r>
      <w:r>
        <w:rPr>
          <w:rFonts w:ascii="Times New Roman" w:hAnsi="Times New Roman" w:cs="Times New Roman" w:eastAsia="Times New Roman" w:hint="default"/>
        </w:rPr>
        <w:t>249,517</w:t>
      </w:r>
      <w:r>
        <w:rPr>
          <w:rFonts w:ascii="Times New Roman" w:hAnsi="Times New Roman" w:cs="Times New Roman" w:eastAsia="Times New Roman" w:hint="default"/>
          <w:spacing w:val="7"/>
        </w:rPr>
        <w:t> </w:t>
      </w:r>
      <w:r>
        <w:rPr/>
        <w:t>平方米。截止本报告</w:t>
      </w:r>
    </w:p>
    <w:p>
      <w:pPr>
        <w:pStyle w:val="BodyText"/>
        <w:spacing w:line="240" w:lineRule="auto" w:before="83"/>
        <w:ind w:right="88"/>
        <w:jc w:val="left"/>
      </w:pPr>
      <w:r>
        <w:rPr/>
        <w:t>期末，该项目累计开工面积为</w:t>
      </w:r>
      <w:r>
        <w:rPr>
          <w:spacing w:val="-49"/>
        </w:rPr>
        <w:t> </w:t>
      </w:r>
      <w:r>
        <w:rPr>
          <w:rFonts w:ascii="Times New Roman" w:hAnsi="Times New Roman" w:cs="Times New Roman" w:eastAsia="Times New Roman" w:hint="default"/>
        </w:rPr>
        <w:t>24 </w:t>
      </w:r>
      <w:r>
        <w:rPr/>
        <w:t>万平方米，累计竣工面积</w:t>
      </w:r>
      <w:r>
        <w:rPr>
          <w:spacing w:val="-52"/>
        </w:rPr>
        <w:t> </w:t>
      </w:r>
      <w:r>
        <w:rPr>
          <w:rFonts w:ascii="Times New Roman" w:hAnsi="Times New Roman" w:cs="Times New Roman" w:eastAsia="Times New Roman" w:hint="default"/>
        </w:rPr>
        <w:t>13.9 </w:t>
      </w:r>
      <w:r>
        <w:rPr/>
        <w:t>万平方米。</w:t>
      </w:r>
    </w:p>
    <w:p>
      <w:pPr>
        <w:pStyle w:val="BodyText"/>
        <w:spacing w:line="312" w:lineRule="auto" w:before="86"/>
        <w:ind w:right="103" w:firstLine="423"/>
        <w:jc w:val="both"/>
      </w:pPr>
      <w:r>
        <w:rPr/>
        <w:t>②东莞桥头镇“宝安·山水江南”项目：该项目占地面积约</w:t>
      </w:r>
      <w:r>
        <w:rPr>
          <w:spacing w:val="-48"/>
        </w:rPr>
        <w:t> </w:t>
      </w:r>
      <w:r>
        <w:rPr>
          <w:rFonts w:ascii="Times New Roman" w:hAnsi="Times New Roman" w:cs="Times New Roman" w:eastAsia="Times New Roman" w:hint="default"/>
        </w:rPr>
        <w:t>12.85</w:t>
      </w:r>
      <w:r>
        <w:rPr>
          <w:rFonts w:ascii="Times New Roman" w:hAnsi="Times New Roman" w:cs="Times New Roman" w:eastAsia="Times New Roman" w:hint="default"/>
          <w:spacing w:val="1"/>
        </w:rPr>
        <w:t> </w:t>
      </w:r>
      <w:r>
        <w:rPr/>
        <w:t>万㎡，规划计容面积约</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18"/>
        </w:rPr>
        <w:t>万㎡。截</w:t>
      </w:r>
      <w:r>
        <w:rPr>
          <w:w w:val="99"/>
        </w:rPr>
        <w:t> </w:t>
      </w:r>
      <w:r>
        <w:rPr/>
        <w:t>止年末，开始进行项目展示区基础工程施工。实现了当年拿地，当年动工。</w:t>
      </w:r>
    </w:p>
    <w:p>
      <w:pPr>
        <w:pStyle w:val="BodyText"/>
        <w:spacing w:line="312" w:lineRule="auto" w:before="36"/>
        <w:ind w:right="108" w:firstLine="423"/>
        <w:jc w:val="both"/>
      </w:pPr>
      <w:r>
        <w:rPr/>
        <w:t>③湖南湘潭“宝安·江南城”项目：该项目占地面积</w:t>
      </w:r>
      <w:r>
        <w:rPr>
          <w:spacing w:val="-39"/>
        </w:rPr>
        <w:t> </w:t>
      </w:r>
      <w:r>
        <w:rPr>
          <w:rFonts w:ascii="Times New Roman" w:hAnsi="Times New Roman" w:cs="Times New Roman" w:eastAsia="Times New Roman" w:hint="default"/>
        </w:rPr>
        <w:t>8.66</w:t>
      </w:r>
      <w:r>
        <w:rPr>
          <w:rFonts w:ascii="Times New Roman" w:hAnsi="Times New Roman" w:cs="Times New Roman" w:eastAsia="Times New Roman" w:hint="default"/>
          <w:spacing w:val="4"/>
        </w:rPr>
        <w:t> </w:t>
      </w:r>
      <w:r>
        <w:rPr/>
        <w:t>万平方米，规划计容面积约</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万平方米。</w:t>
      </w:r>
      <w:r>
        <w:rPr>
          <w:w w:val="99"/>
        </w:rPr>
        <w:t> </w:t>
      </w:r>
      <w:r>
        <w:rPr/>
        <w:t>截止年末，已取得建设用地规划许可证，建设工程规划许可证正在办理过程中。</w:t>
      </w:r>
    </w:p>
    <w:p>
      <w:pPr>
        <w:pStyle w:val="BodyText"/>
        <w:spacing w:line="240" w:lineRule="auto" w:before="39"/>
        <w:ind w:left="539" w:right="88"/>
        <w:jc w:val="left"/>
      </w:pPr>
      <w:r>
        <w:rPr/>
        <w:t>报告期内公司旧改项目进展情况：</w:t>
      </w:r>
    </w:p>
    <w:p>
      <w:pPr>
        <w:pStyle w:val="BodyText"/>
        <w:spacing w:line="309" w:lineRule="auto" w:before="99"/>
        <w:ind w:right="103" w:firstLine="423"/>
        <w:jc w:val="both"/>
      </w:pPr>
      <w:r>
        <w:rPr/>
        <w:t>①深圳草埔鸿基花园三期（“宝安·宝翠苑”）旧改项目：</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月被列入</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年深圳市城市更</w:t>
      </w:r>
      <w:r>
        <w:rPr>
          <w:w w:val="99"/>
        </w:rPr>
        <w:t> </w:t>
      </w:r>
      <w:r>
        <w:rPr/>
        <w:t>新单元规划制定计划第一批计划，获准编制城市更新单元规划。</w:t>
      </w:r>
      <w:r>
        <w:rPr>
          <w:rFonts w:ascii="Times New Roman" w:hAnsi="Times New Roman" w:cs="Times New Roman" w:eastAsia="Times New Roman" w:hint="default"/>
        </w:rPr>
        <w:t>12 </w:t>
      </w:r>
      <w:r>
        <w:rPr>
          <w:spacing w:val="-4"/>
        </w:rPr>
        <w:t>月该项目的专项规划设计报告获批，该</w:t>
      </w:r>
      <w:r>
        <w:rPr>
          <w:spacing w:val="-98"/>
        </w:rPr>
        <w:t> </w:t>
      </w:r>
      <w:r>
        <w:rPr>
          <w:spacing w:val="-98"/>
        </w:rPr>
      </w:r>
      <w:r>
        <w:rPr/>
        <w:t>项目开发建设用地面积</w:t>
      </w:r>
      <w:r>
        <w:rPr>
          <w:spacing w:val="-52"/>
        </w:rPr>
        <w:t> </w:t>
      </w:r>
      <w:r>
        <w:rPr>
          <w:rFonts w:ascii="Times New Roman" w:hAnsi="Times New Roman" w:cs="Times New Roman" w:eastAsia="Times New Roman" w:hint="default"/>
        </w:rPr>
        <w:t>6693.9</w:t>
      </w:r>
      <w:r>
        <w:rPr>
          <w:rFonts w:ascii="Times New Roman" w:hAnsi="Times New Roman" w:cs="Times New Roman" w:eastAsia="Times New Roman" w:hint="default"/>
          <w:spacing w:val="-3"/>
        </w:rPr>
        <w:t> </w:t>
      </w:r>
      <w:r>
        <w:rPr/>
        <w:t>平方米，</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日已经罗湖区重建局确认开发主体并公告。截止年末，开</w:t>
      </w:r>
      <w:r>
        <w:rPr>
          <w:w w:val="99"/>
        </w:rPr>
        <w:t> </w:t>
      </w:r>
      <w:r>
        <w:rPr/>
        <w:t>始办理土地相关手续。</w:t>
      </w:r>
    </w:p>
    <w:p>
      <w:pPr>
        <w:pStyle w:val="BodyText"/>
        <w:spacing w:line="240" w:lineRule="auto" w:before="41"/>
        <w:ind w:left="539" w:right="0"/>
        <w:jc w:val="left"/>
      </w:pPr>
      <w:r>
        <w:rPr>
          <w:w w:val="99"/>
        </w:rPr>
        <w:t>②</w:t>
      </w:r>
      <w:r>
        <w:rPr>
          <w:spacing w:val="2"/>
          <w:w w:val="99"/>
        </w:rPr>
        <w:t>深</w:t>
      </w:r>
      <w:r>
        <w:rPr>
          <w:w w:val="99"/>
        </w:rPr>
        <w:t>圳</w:t>
      </w:r>
      <w:r>
        <w:rPr>
          <w:spacing w:val="2"/>
          <w:w w:val="99"/>
        </w:rPr>
        <w:t>龙</w:t>
      </w:r>
      <w:r>
        <w:rPr>
          <w:w w:val="99"/>
        </w:rPr>
        <w:t>岗</w:t>
      </w:r>
      <w:r>
        <w:rPr>
          <w:spacing w:val="2"/>
          <w:w w:val="99"/>
        </w:rPr>
        <w:t>鸿</w:t>
      </w:r>
      <w:r>
        <w:rPr>
          <w:w w:val="99"/>
        </w:rPr>
        <w:t>基</w:t>
      </w:r>
      <w:r>
        <w:rPr>
          <w:spacing w:val="2"/>
          <w:w w:val="99"/>
        </w:rPr>
        <w:t>花</w:t>
      </w:r>
      <w:r>
        <w:rPr>
          <w:w w:val="99"/>
        </w:rPr>
        <w:t>园</w:t>
      </w:r>
      <w:r>
        <w:rPr>
          <w:spacing w:val="2"/>
          <w:w w:val="99"/>
        </w:rPr>
        <w:t>四</w:t>
      </w:r>
      <w:r>
        <w:rPr>
          <w:w w:val="99"/>
        </w:rPr>
        <w:t>期</w:t>
      </w:r>
      <w:r>
        <w:rPr>
          <w:spacing w:val="2"/>
          <w:w w:val="99"/>
        </w:rPr>
        <w:t>旧</w:t>
      </w:r>
      <w:r>
        <w:rPr>
          <w:w w:val="99"/>
        </w:rPr>
        <w:t>改</w:t>
      </w:r>
      <w:r>
        <w:rPr>
          <w:spacing w:val="2"/>
          <w:w w:val="99"/>
        </w:rPr>
        <w:t>项</w:t>
      </w:r>
      <w:r>
        <w:rPr>
          <w:w w:val="99"/>
        </w:rPr>
        <w:t>目</w:t>
      </w:r>
      <w:r>
        <w:rPr>
          <w:spacing w:val="-22"/>
          <w:w w:val="99"/>
        </w:rPr>
        <w:t>：</w:t>
      </w:r>
      <w:r>
        <w:rPr>
          <w:spacing w:val="2"/>
          <w:w w:val="99"/>
        </w:rPr>
        <w:t>已</w:t>
      </w:r>
      <w:r>
        <w:rPr>
          <w:w w:val="99"/>
        </w:rPr>
        <w:t>被</w:t>
      </w:r>
      <w:r>
        <w:rPr>
          <w:spacing w:val="2"/>
          <w:w w:val="99"/>
        </w:rPr>
        <w:t>列</w:t>
      </w:r>
      <w:r>
        <w:rPr>
          <w:w w:val="99"/>
        </w:rPr>
        <w:t>入</w:t>
      </w:r>
      <w:r>
        <w:rPr>
          <w:spacing w:val="-53"/>
        </w:rPr>
        <w:t> </w:t>
      </w:r>
      <w:r>
        <w:rPr>
          <w:spacing w:val="1"/>
          <w:w w:val="99"/>
        </w:rPr>
        <w:t>201</w:t>
      </w:r>
      <w:r>
        <w:rPr>
          <w:w w:val="99"/>
        </w:rPr>
        <w:t>1</w:t>
      </w:r>
      <w:r>
        <w:rPr>
          <w:spacing w:val="-54"/>
        </w:rPr>
        <w:t> </w:t>
      </w:r>
      <w:r>
        <w:rPr>
          <w:spacing w:val="2"/>
          <w:w w:val="99"/>
        </w:rPr>
        <w:t>年</w:t>
      </w:r>
      <w:r>
        <w:rPr>
          <w:w w:val="99"/>
        </w:rPr>
        <w:t>深</w:t>
      </w:r>
      <w:r>
        <w:rPr>
          <w:spacing w:val="2"/>
          <w:w w:val="99"/>
        </w:rPr>
        <w:t>圳</w:t>
      </w:r>
      <w:r>
        <w:rPr>
          <w:w w:val="99"/>
        </w:rPr>
        <w:t>市</w:t>
      </w:r>
      <w:r>
        <w:rPr>
          <w:spacing w:val="2"/>
          <w:w w:val="99"/>
        </w:rPr>
        <w:t>城</w:t>
      </w:r>
      <w:r>
        <w:rPr>
          <w:w w:val="99"/>
        </w:rPr>
        <w:t>市</w:t>
      </w:r>
      <w:r>
        <w:rPr>
          <w:spacing w:val="2"/>
          <w:w w:val="99"/>
        </w:rPr>
        <w:t>更</w:t>
      </w:r>
      <w:r>
        <w:rPr>
          <w:w w:val="99"/>
        </w:rPr>
        <w:t>新</w:t>
      </w:r>
      <w:r>
        <w:rPr>
          <w:spacing w:val="2"/>
          <w:w w:val="99"/>
        </w:rPr>
        <w:t>单</w:t>
      </w:r>
      <w:r>
        <w:rPr>
          <w:w w:val="99"/>
        </w:rPr>
        <w:t>元</w:t>
      </w:r>
      <w:r>
        <w:rPr>
          <w:spacing w:val="2"/>
          <w:w w:val="99"/>
        </w:rPr>
        <w:t>规</w:t>
      </w:r>
      <w:r>
        <w:rPr>
          <w:w w:val="99"/>
        </w:rPr>
        <w:t>划</w:t>
      </w:r>
      <w:r>
        <w:rPr>
          <w:spacing w:val="2"/>
          <w:w w:val="99"/>
        </w:rPr>
        <w:t>制</w:t>
      </w:r>
      <w:r>
        <w:rPr>
          <w:w w:val="99"/>
        </w:rPr>
        <w:t>定</w:t>
      </w:r>
      <w:r>
        <w:rPr>
          <w:spacing w:val="2"/>
          <w:w w:val="99"/>
        </w:rPr>
        <w:t>计</w:t>
      </w:r>
      <w:r>
        <w:rPr>
          <w:w w:val="99"/>
        </w:rPr>
        <w:t>划</w:t>
      </w:r>
      <w:r>
        <w:rPr>
          <w:spacing w:val="2"/>
          <w:w w:val="99"/>
        </w:rPr>
        <w:t>第</w:t>
      </w:r>
      <w:r>
        <w:rPr>
          <w:w w:val="99"/>
        </w:rPr>
        <w:t>三</w:t>
      </w:r>
      <w:r>
        <w:rPr>
          <w:spacing w:val="2"/>
          <w:w w:val="99"/>
        </w:rPr>
        <w:t>批</w:t>
      </w:r>
      <w:r>
        <w:rPr>
          <w:w w:val="99"/>
        </w:rPr>
        <w:t>计</w:t>
      </w:r>
      <w:r>
        <w:rPr>
          <w:spacing w:val="2"/>
          <w:w w:val="99"/>
        </w:rPr>
        <w:t>划</w:t>
      </w:r>
      <w:r>
        <w:rPr>
          <w:w w:val="49"/>
        </w:rPr>
        <w:t>，</w:t>
      </w:r>
      <w:r>
        <w:rPr/>
      </w:r>
    </w:p>
    <w:p>
      <w:pPr>
        <w:pStyle w:val="BodyText"/>
        <w:spacing w:line="326" w:lineRule="auto" w:before="102"/>
        <w:ind w:right="88"/>
        <w:jc w:val="left"/>
      </w:pPr>
      <w:r>
        <w:rPr/>
        <w:t>获准编制城市更新单元规划。该项目拟拆除重建用地面积约</w:t>
      </w:r>
      <w:r>
        <w:rPr>
          <w:spacing w:val="-5"/>
        </w:rPr>
        <w:t> </w:t>
      </w:r>
      <w:r>
        <w:rPr/>
        <w:t>1.13</w:t>
      </w:r>
      <w:r>
        <w:rPr>
          <w:spacing w:val="-32"/>
        </w:rPr>
        <w:t> </w:t>
      </w:r>
      <w:r>
        <w:rPr/>
        <w:t>万平方米。截止年末，专项规划方案已</w:t>
      </w:r>
      <w:r>
        <w:rPr>
          <w:spacing w:val="-96"/>
        </w:rPr>
        <w:t> </w:t>
      </w:r>
      <w:r>
        <w:rPr>
          <w:spacing w:val="-96"/>
        </w:rPr>
      </w:r>
      <w:r>
        <w:rPr/>
        <w:t>报政府审批。</w:t>
      </w:r>
    </w:p>
    <w:p>
      <w:pPr>
        <w:pStyle w:val="BodyText"/>
        <w:spacing w:line="312" w:lineRule="auto" w:before="26"/>
        <w:ind w:left="539" w:right="87"/>
        <w:jc w:val="left"/>
      </w:pPr>
      <w:r>
        <w:rPr/>
        <w:t>（</w:t>
      </w:r>
      <w:r>
        <w:rPr>
          <w:rFonts w:ascii="Times New Roman" w:hAnsi="Times New Roman" w:cs="Times New Roman" w:eastAsia="Times New Roman" w:hint="default"/>
        </w:rPr>
        <w:t>2</w:t>
      </w:r>
      <w:r>
        <w:rPr/>
        <w:t>）物业管理</w:t>
      </w:r>
      <w:r>
        <w:rPr>
          <w:w w:val="99"/>
        </w:rPr>
        <w:t> </w:t>
      </w:r>
      <w:r>
        <w:rPr/>
        <w:t>加强对公司自有物业租赁统筹管理，积极拓展外部市场；稳固住宅物业管理（含车库管理）项目。截</w:t>
      </w:r>
    </w:p>
    <w:p>
      <w:pPr>
        <w:pStyle w:val="BodyText"/>
        <w:spacing w:line="240" w:lineRule="auto" w:before="36"/>
        <w:ind w:right="88"/>
        <w:jc w:val="left"/>
      </w:pPr>
      <w:r>
        <w:rPr/>
        <w:t>止本报告期末，公司物业管理业务收入约6,335万元。</w:t>
      </w:r>
    </w:p>
    <w:p>
      <w:pPr>
        <w:spacing w:after="0" w:line="240" w:lineRule="auto"/>
        <w:jc w:val="left"/>
        <w:sectPr>
          <w:pgSz w:w="11910" w:h="16840"/>
          <w:pgMar w:header="0" w:footer="1007" w:top="1460" w:bottom="1200" w:left="1020" w:right="1000"/>
        </w:sectPr>
      </w:pPr>
    </w:p>
    <w:p>
      <w:pPr>
        <w:pStyle w:val="BodyText"/>
        <w:spacing w:line="240" w:lineRule="auto" w:before="21"/>
        <w:ind w:left="0" w:right="117"/>
        <w:jc w:val="right"/>
        <w:rPr>
          <w:rFonts w:ascii="宋体" w:hAnsi="宋体" w:cs="宋体" w:eastAsia="宋体" w:hint="default"/>
        </w:rPr>
      </w:pPr>
      <w:r>
        <w:rPr>
          <w:rFonts w:ascii="宋体" w:hAnsi="宋体" w:cs="宋体" w:eastAsia="宋体" w:hint="default"/>
          <w:w w:val="99"/>
        </w:rPr>
        <w:t>（</w:t>
      </w:r>
      <w:r>
        <w:rPr>
          <w:rFonts w:ascii="宋体" w:hAnsi="宋体" w:cs="宋体" w:eastAsia="宋体" w:hint="default"/>
        </w:rPr>
      </w:r>
    </w:p>
    <w:p>
      <w:pPr>
        <w:tabs>
          <w:tab w:pos="11418" w:val="left" w:leader="none"/>
        </w:tabs>
        <w:spacing w:before="5"/>
        <w:ind w:left="261" w:right="0" w:firstLine="0"/>
        <w:jc w:val="left"/>
        <w:rPr>
          <w:rFonts w:ascii="Microsoft JhengHei" w:hAnsi="Microsoft JhengHei" w:cs="Microsoft JhengHei" w:eastAsia="Microsoft JhengHei" w:hint="default"/>
          <w:sz w:val="18"/>
          <w:szCs w:val="18"/>
        </w:rPr>
      </w:pPr>
      <w:r>
        <w:rPr>
          <w:rFonts w:ascii="宋体" w:hAnsi="宋体" w:cs="宋体" w:eastAsia="宋体" w:hint="default"/>
          <w:sz w:val="21"/>
          <w:szCs w:val="21"/>
        </w:rPr>
        <w:t>（二）主要控股公司经营情况</w:t>
        <w:tab/>
      </w:r>
      <w:r>
        <w:rPr>
          <w:rFonts w:ascii="Microsoft JhengHei" w:hAnsi="Microsoft JhengHei" w:cs="Microsoft JhengHei" w:eastAsia="Microsoft JhengHei" w:hint="default"/>
          <w:b/>
          <w:bCs/>
          <w:sz w:val="18"/>
          <w:szCs w:val="18"/>
        </w:rPr>
        <w:t>（单位：万元）</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008"/>
        <w:gridCol w:w="1039"/>
        <w:gridCol w:w="1083"/>
        <w:gridCol w:w="1126"/>
        <w:gridCol w:w="1263"/>
        <w:gridCol w:w="1083"/>
        <w:gridCol w:w="1083"/>
        <w:gridCol w:w="1083"/>
        <w:gridCol w:w="1047"/>
        <w:gridCol w:w="1083"/>
        <w:gridCol w:w="998"/>
      </w:tblGrid>
      <w:tr>
        <w:trPr>
          <w:trHeight w:val="413" w:hRule="exact"/>
        </w:trPr>
        <w:tc>
          <w:tcPr>
            <w:tcW w:w="3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10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注册时间</w:t>
            </w:r>
            <w:r>
              <w:rPr>
                <w:rFonts w:ascii="Microsoft JhengHei" w:hAnsi="Microsoft JhengHei" w:cs="Microsoft JhengHei" w:eastAsia="Microsoft JhengHei" w:hint="default"/>
                <w:sz w:val="18"/>
                <w:szCs w:val="18"/>
              </w:rPr>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12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0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截 止 </w:t>
            </w:r>
            <w:r>
              <w:rPr>
                <w:rFonts w:ascii="Microsoft JhengHei" w:hAnsi="Microsoft JhengHei" w:cs="Microsoft JhengHei" w:eastAsia="Microsoft JhengHei" w:hint="default"/>
                <w:b/>
                <w:bCs/>
                <w:spacing w:val="27"/>
                <w:sz w:val="18"/>
                <w:szCs w:val="18"/>
              </w:rPr>
              <w:t> </w:t>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spacing w:val="-3"/>
                <w:sz w:val="18"/>
                <w:szCs w:val="18"/>
              </w:rPr>
            </w:r>
          </w:p>
        </w:tc>
        <w:tc>
          <w:tcPr>
            <w:tcW w:w="10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截 止 </w:t>
            </w:r>
            <w:r>
              <w:rPr>
                <w:rFonts w:ascii="Microsoft JhengHei" w:hAnsi="Microsoft JhengHei" w:cs="Microsoft JhengHei" w:eastAsia="Microsoft JhengHei" w:hint="default"/>
                <w:b/>
                <w:bCs/>
                <w:spacing w:val="27"/>
                <w:sz w:val="18"/>
                <w:szCs w:val="18"/>
              </w:rPr>
              <w:t> </w:t>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spacing w:val="-3"/>
                <w:sz w:val="18"/>
                <w:szCs w:val="18"/>
              </w:rPr>
            </w:r>
          </w:p>
        </w:tc>
        <w:tc>
          <w:tcPr>
            <w:tcW w:w="10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度</w:t>
            </w:r>
            <w:r>
              <w:rPr>
                <w:rFonts w:ascii="Microsoft JhengHei" w:hAnsi="Microsoft JhengHei" w:cs="Microsoft JhengHei" w:eastAsia="Microsoft JhengHei" w:hint="default"/>
                <w:sz w:val="18"/>
                <w:szCs w:val="18"/>
              </w:rPr>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5"/>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净利润比</w:t>
            </w:r>
            <w:r>
              <w:rPr>
                <w:rFonts w:ascii="Microsoft JhengHei" w:hAnsi="Microsoft JhengHei" w:cs="Microsoft JhengHei" w:eastAsia="Microsoft JhengHei" w:hint="default"/>
                <w:sz w:val="18"/>
                <w:szCs w:val="18"/>
              </w:rPr>
            </w:r>
          </w:p>
        </w:tc>
      </w:tr>
      <w:tr>
        <w:trPr>
          <w:trHeight w:val="360" w:hRule="exact"/>
        </w:trPr>
        <w:tc>
          <w:tcPr>
            <w:tcW w:w="3008"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1083"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
        </w:tc>
        <w:tc>
          <w:tcPr>
            <w:tcW w:w="1083"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sz w:val="18"/>
                <w:szCs w:val="18"/>
              </w:rPr>
            </w:r>
          </w:p>
        </w:tc>
        <w:tc>
          <w:tcPr>
            <w:tcW w:w="1083"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sz w:val="18"/>
                <w:szCs w:val="18"/>
              </w:rPr>
            </w:r>
          </w:p>
        </w:tc>
        <w:tc>
          <w:tcPr>
            <w:tcW w:w="1083"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比上年增</w:t>
            </w:r>
            <w:r>
              <w:rPr>
                <w:rFonts w:ascii="Microsoft JhengHei" w:hAnsi="Microsoft JhengHei" w:cs="Microsoft JhengHei" w:eastAsia="Microsoft JhengHei" w:hint="default"/>
                <w:sz w:val="18"/>
                <w:szCs w:val="18"/>
              </w:rPr>
            </w:r>
          </w:p>
        </w:tc>
        <w:tc>
          <w:tcPr>
            <w:tcW w:w="1083"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上年增减</w:t>
            </w:r>
            <w:r>
              <w:rPr>
                <w:rFonts w:ascii="Microsoft JhengHei" w:hAnsi="Microsoft JhengHei" w:cs="Microsoft JhengHei" w:eastAsia="Microsoft JhengHei" w:hint="default"/>
                <w:sz w:val="18"/>
                <w:szCs w:val="18"/>
              </w:rPr>
            </w:r>
          </w:p>
        </w:tc>
      </w:tr>
      <w:tr>
        <w:trPr>
          <w:trHeight w:val="317" w:hRule="exact"/>
        </w:trPr>
        <w:tc>
          <w:tcPr>
            <w:tcW w:w="3008"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083"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63" w:type="dxa"/>
            <w:tcBorders>
              <w:top w:val="nil" w:sz="6" w:space="0" w:color="auto"/>
              <w:left w:val="single" w:sz="4" w:space="0" w:color="000000"/>
              <w:bottom w:val="single" w:sz="4" w:space="0" w:color="000000"/>
              <w:right w:val="single" w:sz="4" w:space="0" w:color="000000"/>
            </w:tcBorders>
          </w:tcPr>
          <w:p>
            <w:pPr/>
          </w:p>
        </w:tc>
        <w:tc>
          <w:tcPr>
            <w:tcW w:w="1083" w:type="dxa"/>
            <w:tcBorders>
              <w:top w:val="nil" w:sz="6" w:space="0" w:color="auto"/>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日总资产</w:t>
            </w:r>
            <w:r>
              <w:rPr>
                <w:rFonts w:ascii="Microsoft JhengHei" w:hAnsi="Microsoft JhengHei" w:cs="Microsoft JhengHei" w:eastAsia="Microsoft JhengHei" w:hint="default"/>
                <w:sz w:val="18"/>
                <w:szCs w:val="18"/>
              </w:rPr>
            </w:r>
          </w:p>
        </w:tc>
        <w:tc>
          <w:tcPr>
            <w:tcW w:w="1083" w:type="dxa"/>
            <w:tcBorders>
              <w:top w:val="nil" w:sz="6" w:space="0" w:color="auto"/>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日净资产</w:t>
            </w:r>
            <w:r>
              <w:rPr>
                <w:rFonts w:ascii="Microsoft JhengHei" w:hAnsi="Microsoft JhengHei" w:cs="Microsoft JhengHei" w:eastAsia="Microsoft JhengHei" w:hint="default"/>
                <w:sz w:val="18"/>
                <w:szCs w:val="18"/>
              </w:rPr>
            </w:r>
          </w:p>
        </w:tc>
        <w:tc>
          <w:tcPr>
            <w:tcW w:w="1083"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083"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6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1998-01-05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10,548.45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8,610.49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9,433.23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2067.71%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1,560.55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328.20%</w:t>
            </w:r>
          </w:p>
        </w:tc>
      </w:tr>
      <w:tr>
        <w:trPr>
          <w:trHeight w:val="46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深圳市龙岗鸿基房地产有限公司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1993-09-07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3,168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19,822.46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2,324.09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2,976.46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45.22%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1,357.30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169.63%</w:t>
            </w:r>
          </w:p>
        </w:tc>
      </w:tr>
      <w:tr>
        <w:trPr>
          <w:trHeight w:val="61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2003-07-21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56" w:right="173" w:hanging="181"/>
              <w:jc w:val="left"/>
              <w:rPr>
                <w:rFonts w:ascii="宋体" w:hAnsi="宋体" w:cs="宋体" w:eastAsia="宋体" w:hint="default"/>
                <w:sz w:val="18"/>
                <w:szCs w:val="18"/>
              </w:rPr>
            </w:pPr>
            <w:r>
              <w:rPr>
                <w:rFonts w:ascii="宋体" w:hAnsi="宋体" w:cs="宋体" w:eastAsia="宋体" w:hint="default"/>
                <w:sz w:val="18"/>
                <w:szCs w:val="18"/>
              </w:rPr>
              <w:t>房地产开发</w:t>
            </w:r>
            <w:r>
              <w:rPr>
                <w:rFonts w:ascii="宋体" w:hAnsi="宋体" w:cs="宋体" w:eastAsia="宋体" w:hint="default"/>
                <w:spacing w:val="-88"/>
                <w:sz w:val="18"/>
                <w:szCs w:val="18"/>
              </w:rPr>
              <w:t> </w:t>
            </w:r>
            <w:r>
              <w:rPr>
                <w:rFonts w:ascii="宋体" w:hAnsi="宋体" w:cs="宋体" w:eastAsia="宋体" w:hint="default"/>
                <w:sz w:val="18"/>
                <w:szCs w:val="18"/>
              </w:rPr>
              <w:t>及销售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79,972.29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30,752.39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60,468.00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17.58%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9,485.30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pacing w:val="-1"/>
                <w:sz w:val="18"/>
              </w:rPr>
              <w:t>-4.47%</w:t>
            </w:r>
          </w:p>
        </w:tc>
      </w:tr>
      <w:tr>
        <w:trPr>
          <w:trHeight w:val="46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1997-05-04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3,451.85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1,181.77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4,692.15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-15.87%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-45.66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-131.18%</w:t>
            </w:r>
          </w:p>
        </w:tc>
      </w:tr>
      <w:tr>
        <w:trPr>
          <w:trHeight w:val="47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2010-01-13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及销售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29,819.48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-230.65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100"/>
                <w:sz w:val="18"/>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pacing w:val="-1"/>
                <w:sz w:val="18"/>
              </w:rPr>
              <w:t>-330.05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2011-08-16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及销售</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20,558.51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4,954.33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100"/>
                <w:sz w:val="18"/>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-45.66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before="72"/>
        <w:ind w:left="6929" w:right="8018"/>
        <w:jc w:val="center"/>
        <w:rPr>
          <w:rFonts w:ascii="Times New Roman" w:hAnsi="Times New Roman" w:cs="Times New Roman" w:eastAsia="Times New Roman" w:hint="default"/>
        </w:rPr>
      </w:pPr>
      <w:r>
        <w:rPr>
          <w:rFonts w:ascii="Times New Roman"/>
        </w:rPr>
        <w:t>23</w:t>
      </w:r>
    </w:p>
    <w:p>
      <w:pPr>
        <w:spacing w:after="0" w:line="240" w:lineRule="auto"/>
        <w:jc w:val="center"/>
        <w:rPr>
          <w:rFonts w:ascii="Times New Roman" w:hAnsi="Times New Roman" w:cs="Times New Roman" w:eastAsia="Times New Roman" w:hint="default"/>
        </w:rPr>
        <w:sectPr>
          <w:footerReference w:type="default" r:id="rId13"/>
          <w:pgSz w:w="16840" w:h="11910" w:orient="landscape"/>
          <w:pgMar w:footer="0" w:header="0" w:top="1100" w:bottom="280" w:left="1160" w:right="480"/>
        </w:sectPr>
      </w:pPr>
    </w:p>
    <w:p>
      <w:pPr>
        <w:pStyle w:val="BodyText"/>
        <w:spacing w:line="240" w:lineRule="auto" w:before="8"/>
        <w:ind w:left="957" w:right="514"/>
        <w:jc w:val="left"/>
        <w:rPr>
          <w:rFonts w:ascii="宋体" w:hAnsi="宋体" w:cs="宋体" w:eastAsia="宋体" w:hint="default"/>
        </w:rPr>
      </w:pPr>
      <w:r>
        <w:rPr>
          <w:rFonts w:ascii="宋体" w:hAnsi="宋体" w:cs="宋体" w:eastAsia="宋体" w:hint="default"/>
        </w:rPr>
        <w:t>（三）报告期公司资产、负债主要构成变化情况及同比变动的主要原因</w:t>
      </w:r>
      <w:r>
        <w:rPr>
          <w:rFonts w:ascii="宋体" w:hAnsi="宋体" w:cs="宋体" w:eastAsia="宋体" w:hint="default"/>
          <w:spacing w:val="10"/>
        </w:rPr>
        <w:t> </w:t>
      </w:r>
      <w:r>
        <w:rPr>
          <w:rFonts w:ascii="宋体" w:hAnsi="宋体" w:cs="宋体" w:eastAsia="宋体" w:hint="default"/>
        </w:rPr>
        <w:t>（单位：元）</w:t>
      </w:r>
    </w:p>
    <w:p>
      <w:pPr>
        <w:spacing w:line="240" w:lineRule="auto" w:before="4"/>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469"/>
        <w:gridCol w:w="1874"/>
        <w:gridCol w:w="1872"/>
        <w:gridCol w:w="977"/>
        <w:gridCol w:w="1759"/>
        <w:gridCol w:w="1051"/>
        <w:gridCol w:w="1475"/>
      </w:tblGrid>
      <w:tr>
        <w:trPr>
          <w:trHeight w:val="478" w:hRule="exact"/>
        </w:trPr>
        <w:tc>
          <w:tcPr>
            <w:tcW w:w="469" w:type="dxa"/>
            <w:vMerge w:val="restart"/>
            <w:tcBorders>
              <w:top w:val="single" w:sz="4" w:space="0" w:color="000000"/>
              <w:left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6"/>
                <w:szCs w:val="26"/>
              </w:rPr>
            </w:pPr>
          </w:p>
          <w:p>
            <w:pPr>
              <w:pStyle w:val="TableParagraph"/>
              <w:spacing w:line="177" w:lineRule="auto"/>
              <w:ind w:left="125" w:right="1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1874" w:type="dxa"/>
            <w:vMerge w:val="restart"/>
            <w:tcBorders>
              <w:top w:val="single" w:sz="4" w:space="0" w:color="000000"/>
              <w:left w:val="single" w:sz="4"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61" w:lineRule="exact"/>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2"/>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810" w:type="dxa"/>
            <w:gridSpan w:val="2"/>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61" w:lineRule="exact"/>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75" w:type="dxa"/>
            <w:vMerge w:val="restart"/>
            <w:tcBorders>
              <w:top w:val="single" w:sz="4" w:space="0" w:color="000000"/>
              <w:left w:val="single" w:sz="4" w:space="0" w:color="000000"/>
              <w:right w:val="single" w:sz="4" w:space="0" w:color="000000"/>
            </w:tcBorders>
            <w:shd w:val="clear" w:color="auto" w:fill="B3B3B3"/>
          </w:tcPr>
          <w:p>
            <w:pPr>
              <w:pStyle w:val="TableParagraph"/>
              <w:spacing w:line="240" w:lineRule="auto" w:before="2"/>
              <w:ind w:right="0"/>
              <w:jc w:val="left"/>
              <w:rPr>
                <w:rFonts w:ascii="宋体" w:hAnsi="宋体" w:cs="宋体" w:eastAsia="宋体" w:hint="default"/>
                <w:sz w:val="15"/>
                <w:szCs w:val="15"/>
              </w:rPr>
            </w:pPr>
          </w:p>
          <w:p>
            <w:pPr>
              <w:pStyle w:val="TableParagraph"/>
              <w:spacing w:line="180" w:lineRule="auto"/>
              <w:ind w:left="312" w:right="204"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p>
            <w:pPr>
              <w:pStyle w:val="TableParagraph"/>
              <w:spacing w:line="285"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（百分点）</w:t>
            </w:r>
            <w:r>
              <w:rPr>
                <w:rFonts w:ascii="Microsoft JhengHei" w:hAnsi="Microsoft JhengHei" w:cs="Microsoft JhengHei" w:eastAsia="Microsoft JhengHei" w:hint="default"/>
                <w:sz w:val="21"/>
                <w:szCs w:val="21"/>
              </w:rPr>
            </w:r>
          </w:p>
        </w:tc>
      </w:tr>
      <w:tr>
        <w:trPr>
          <w:trHeight w:val="794" w:hRule="exact"/>
        </w:trPr>
        <w:tc>
          <w:tcPr>
            <w:tcW w:w="469" w:type="dxa"/>
            <w:vMerge/>
            <w:tcBorders>
              <w:left w:val="single" w:sz="4" w:space="0" w:color="000000"/>
              <w:bottom w:val="single" w:sz="4" w:space="0" w:color="000000"/>
              <w:right w:val="single" w:sz="4" w:space="0" w:color="000000"/>
            </w:tcBorders>
            <w:shd w:val="clear" w:color="auto" w:fill="B3B3B3"/>
          </w:tcPr>
          <w:p>
            <w:pPr/>
          </w:p>
        </w:tc>
        <w:tc>
          <w:tcPr>
            <w:tcW w:w="1874" w:type="dxa"/>
            <w:vMerge/>
            <w:tcBorders>
              <w:left w:val="single" w:sz="4" w:space="0" w:color="000000"/>
              <w:bottom w:val="single" w:sz="4" w:space="0" w:color="000000"/>
              <w:right w:val="single" w:sz="4" w:space="0" w:color="000000"/>
            </w:tcBorders>
            <w:shd w:val="clear" w:color="auto" w:fill="B3B3B3"/>
          </w:tcPr>
          <w:p>
            <w:pPr/>
          </w:p>
        </w:tc>
        <w:tc>
          <w:tcPr>
            <w:tcW w:w="1872"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5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产比重</w:t>
            </w:r>
            <w:r>
              <w:rPr>
                <w:rFonts w:ascii="Microsoft JhengHei" w:hAnsi="Microsoft JhengHei" w:cs="Microsoft JhengHei" w:eastAsia="Microsoft JhengHei" w:hint="default"/>
                <w:sz w:val="21"/>
                <w:szCs w:val="21"/>
              </w:rPr>
            </w:r>
          </w:p>
          <w:p>
            <w:pPr>
              <w:pStyle w:val="TableParagraph"/>
              <w:spacing w:line="240" w:lineRule="auto" w:before="7"/>
              <w:ind w:left="17"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5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产比重</w:t>
            </w:r>
            <w:r>
              <w:rPr>
                <w:rFonts w:ascii="Microsoft JhengHei" w:hAnsi="Microsoft JhengHei" w:cs="Microsoft JhengHei" w:eastAsia="Microsoft JhengHei" w:hint="default"/>
                <w:sz w:val="21"/>
                <w:szCs w:val="21"/>
              </w:rPr>
            </w:r>
          </w:p>
          <w:p>
            <w:pPr>
              <w:pStyle w:val="TableParagraph"/>
              <w:spacing w:line="240" w:lineRule="auto" w:before="7"/>
              <w:ind w:left="14"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475" w:type="dxa"/>
            <w:vMerge/>
            <w:tcBorders>
              <w:left w:val="single" w:sz="4" w:space="0" w:color="000000"/>
              <w:bottom w:val="single" w:sz="4" w:space="0" w:color="000000"/>
              <w:right w:val="single" w:sz="4" w:space="0" w:color="000000"/>
            </w:tcBorders>
            <w:shd w:val="clear" w:color="auto" w:fill="B3B3B3"/>
          </w:tcPr>
          <w:p>
            <w:pPr/>
          </w:p>
        </w:tc>
      </w:tr>
      <w:tr>
        <w:trPr>
          <w:trHeight w:val="569"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95"/>
                <w:sz w:val="21"/>
              </w:rPr>
              <w:t>362,404,316.56</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95"/>
                <w:sz w:val="21"/>
              </w:rPr>
              <w:t>19.19</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w w:val="95"/>
                <w:sz w:val="21"/>
              </w:rPr>
              <w:t>701,741,671.75</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95"/>
                <w:sz w:val="21"/>
              </w:rPr>
              <w:t>30.73</w:t>
            </w:r>
            <w:r>
              <w:rPr>
                <w:rFonts w:ascii="Times New Roman"/>
                <w:sz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spacing w:val="-2"/>
                <w:sz w:val="21"/>
              </w:rPr>
              <w:t>-11.54</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912,241,811.08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48.31</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638,215,147.94</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27.95</w:t>
            </w:r>
            <w:r>
              <w:rPr>
                <w:rFonts w:ascii="Times New Roman"/>
                <w:sz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20.36</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28,632,389.70</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1.52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pacing w:val="-1"/>
                <w:sz w:val="21"/>
              </w:rPr>
              <w:t>112,585,549.84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4.93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-3.41</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75,000,000.00</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3.28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-3.28</w:t>
            </w:r>
          </w:p>
        </w:tc>
      </w:tr>
      <w:tr>
        <w:trPr>
          <w:trHeight w:val="569"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95"/>
                <w:sz w:val="21"/>
              </w:rPr>
              <w:t>169,687,725.97</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z w:val="21"/>
              </w:rPr>
              <w:t>8.99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w w:val="95"/>
                <w:sz w:val="21"/>
              </w:rPr>
              <w:t>92,301,941.89</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z w:val="21"/>
              </w:rPr>
              <w:t>4.04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sz w:val="21"/>
              </w:rPr>
              <w:t>4.95</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434,428,888.21</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23.01</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722,615,327.08</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31.65</w:t>
            </w:r>
            <w:r>
              <w:rPr>
                <w:rFonts w:ascii="Times New Roman"/>
                <w:sz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-8.64</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93,340,000.00</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4.94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4.94</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221,500,000.00</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9.70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-9.7</w:t>
            </w:r>
          </w:p>
        </w:tc>
      </w:tr>
      <w:tr>
        <w:trPr>
          <w:trHeight w:val="569" w:hRule="exact"/>
        </w:trPr>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Times New Roman" w:hAnsi="Times New Roman" w:cs="Times New Roman" w:eastAsia="Times New Roman" w:hint="default"/>
                <w:sz w:val="21"/>
                <w:szCs w:val="21"/>
              </w:rPr>
            </w:pPr>
            <w:r>
              <w:rPr>
                <w:rFonts w:ascii="Times New Roman"/>
                <w:sz w:val="21"/>
              </w:rPr>
              <w:t>11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95"/>
                <w:sz w:val="21"/>
              </w:rPr>
              <w:t>86,217,520.36</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z w:val="21"/>
              </w:rPr>
              <w:t>4.57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w w:val="95"/>
                <w:sz w:val="21"/>
              </w:rPr>
              <w:t>212,430,339.50</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z w:val="21"/>
              </w:rPr>
              <w:t>9.30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sz w:val="21"/>
              </w:rPr>
              <w:t>-4.73</w:t>
            </w:r>
          </w:p>
        </w:tc>
      </w:tr>
      <w:tr>
        <w:trPr>
          <w:trHeight w:val="566" w:hRule="exact"/>
        </w:trPr>
        <w:tc>
          <w:tcPr>
            <w:tcW w:w="469"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1,888,141,595.10</w:t>
            </w:r>
            <w:r>
              <w:rPr>
                <w:rFonts w:ascii="Times New Roman"/>
                <w:sz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100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2,283,416,351.06</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z w:val="21"/>
              </w:rPr>
              <w:t>100</w:t>
            </w:r>
          </w:p>
        </w:tc>
        <w:tc>
          <w:tcPr>
            <w:tcW w:w="14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1" w:lineRule="auto" w:before="9"/>
        <w:ind w:left="957" w:right="514"/>
        <w:jc w:val="left"/>
      </w:pPr>
      <w:r>
        <w:rPr>
          <w:rFonts w:ascii="Microsoft JhengHei" w:hAnsi="Microsoft JhengHei" w:cs="Microsoft JhengHei" w:eastAsia="Microsoft JhengHei" w:hint="default"/>
          <w:b/>
          <w:bCs/>
        </w:rPr>
        <w:t>变动原因：</w:t>
      </w:r>
      <w:r>
        <w:rPr>
          <w:rFonts w:ascii="Microsoft JhengHei" w:hAnsi="Microsoft JhengHei" w:cs="Microsoft JhengHei" w:eastAsia="Microsoft JhengHei" w:hint="default"/>
          <w:b/>
          <w:bCs/>
          <w:w w:val="99"/>
        </w:rPr>
        <w:t> </w:t>
      </w:r>
      <w:r>
        <w:rPr>
          <w:rFonts w:ascii="Microsoft JhengHei" w:hAnsi="Microsoft JhengHei" w:cs="Microsoft JhengHei" w:eastAsia="Microsoft JhengHei" w:hint="default"/>
          <w:b/>
          <w:bCs/>
          <w:spacing w:val="-2"/>
          <w:w w:val="95"/>
        </w:rPr>
        <w:t>1、</w:t>
      </w:r>
      <w:r>
        <w:rPr>
          <w:spacing w:val="-2"/>
          <w:w w:val="95"/>
        </w:rPr>
        <w:t>货币资金减少的主要原因是，新增子公司支付土地款、以及公司非房地产业务的产业剥</w:t>
      </w:r>
      <w:r>
        <w:rPr>
          <w:spacing w:val="-2"/>
        </w:rPr>
      </w:r>
    </w:p>
    <w:p>
      <w:pPr>
        <w:pStyle w:val="BodyText"/>
        <w:spacing w:line="240" w:lineRule="auto" w:before="77"/>
        <w:ind w:left="536" w:right="514"/>
        <w:jc w:val="left"/>
      </w:pPr>
      <w:r>
        <w:rPr/>
        <w:t>离，转让原控股子公司，期末不再合并报表所致。</w:t>
      </w:r>
    </w:p>
    <w:p>
      <w:pPr>
        <w:pStyle w:val="BodyText"/>
        <w:spacing w:line="328" w:lineRule="auto" w:before="126"/>
        <w:ind w:left="536" w:right="514" w:firstLine="421"/>
        <w:jc w:val="left"/>
      </w:pPr>
      <w:r>
        <w:rPr>
          <w:rFonts w:ascii="Times New Roman" w:hAnsi="Times New Roman" w:cs="Times New Roman" w:eastAsia="Times New Roman" w:hint="default"/>
          <w:spacing w:val="-2"/>
        </w:rPr>
        <w:t>2</w:t>
      </w:r>
      <w:r>
        <w:rPr>
          <w:spacing w:val="-2"/>
        </w:rPr>
        <w:t>、存货增加的主要原因是，本期新增子公司东莞市宜久房地产开发有限公司及湖南宝安鸿</w:t>
      </w:r>
      <w:r>
        <w:rPr>
          <w:w w:val="99"/>
        </w:rPr>
        <w:t> </w:t>
      </w:r>
      <w:r>
        <w:rPr/>
        <w:t>基房地产开发有限公司购入土地所致。</w:t>
      </w:r>
    </w:p>
    <w:p>
      <w:pPr>
        <w:pStyle w:val="BodyText"/>
        <w:spacing w:line="331" w:lineRule="auto" w:before="48"/>
        <w:ind w:left="536" w:right="514" w:firstLine="421"/>
        <w:jc w:val="left"/>
      </w:pPr>
      <w:r>
        <w:rPr>
          <w:rFonts w:ascii="Times New Roman" w:hAnsi="Times New Roman" w:cs="Times New Roman" w:eastAsia="Times New Roman" w:hint="default"/>
          <w:spacing w:val="-2"/>
        </w:rPr>
        <w:t>3</w:t>
      </w:r>
      <w:r>
        <w:rPr>
          <w:spacing w:val="-2"/>
        </w:rPr>
        <w:t>、无形资产、短期借款减少的主要原因是，公司非房地产业务的产业剥离，转让原控股子</w:t>
      </w:r>
      <w:r>
        <w:rPr>
          <w:w w:val="99"/>
        </w:rPr>
        <w:t> </w:t>
      </w:r>
      <w:r>
        <w:rPr/>
        <w:t>公司，期末不再合并报表所致。</w:t>
      </w:r>
    </w:p>
    <w:p>
      <w:pPr>
        <w:pStyle w:val="BodyText"/>
        <w:spacing w:line="331" w:lineRule="auto" w:before="43"/>
        <w:ind w:left="536" w:right="514" w:firstLine="430"/>
        <w:jc w:val="left"/>
      </w:pPr>
      <w:r>
        <w:rPr>
          <w:rFonts w:ascii="Times New Roman" w:hAnsi="Times New Roman" w:cs="Times New Roman" w:eastAsia="Times New Roman" w:hint="default"/>
          <w:spacing w:val="3"/>
          <w:w w:val="95"/>
        </w:rPr>
        <w:t>4</w:t>
      </w:r>
      <w:r>
        <w:rPr>
          <w:spacing w:val="3"/>
          <w:w w:val="95"/>
        </w:rPr>
        <w:t>、应付账款增加的主要原因是，子公司湖南宝安鸿基房地产开发有限公司应付未付土地</w:t>
      </w:r>
      <w:r>
        <w:rPr>
          <w:w w:val="99"/>
        </w:rPr>
        <w:t> </w:t>
      </w:r>
      <w:r>
        <w:rPr/>
        <w:t>款影响所致。</w:t>
      </w:r>
    </w:p>
    <w:p>
      <w:pPr>
        <w:pStyle w:val="BodyText"/>
        <w:spacing w:line="328" w:lineRule="auto" w:before="46"/>
        <w:ind w:left="536" w:right="514" w:firstLine="430"/>
        <w:jc w:val="left"/>
      </w:pPr>
      <w:r>
        <w:rPr>
          <w:rFonts w:ascii="Times New Roman" w:hAnsi="Times New Roman" w:cs="Times New Roman" w:eastAsia="Times New Roman" w:hint="default"/>
          <w:spacing w:val="3"/>
          <w:w w:val="95"/>
        </w:rPr>
        <w:t>5</w:t>
      </w:r>
      <w:r>
        <w:rPr>
          <w:spacing w:val="3"/>
          <w:w w:val="95"/>
        </w:rPr>
        <w:t>、预收款项减少的主要原因是，子公司西安深鸿基房地产开发有限公司预收楼款本期结</w:t>
      </w:r>
      <w:r>
        <w:rPr>
          <w:w w:val="99"/>
        </w:rPr>
        <w:t> </w:t>
      </w:r>
      <w:r>
        <w:rPr/>
        <w:t>转收入所致。</w:t>
      </w:r>
    </w:p>
    <w:p>
      <w:pPr>
        <w:pStyle w:val="BodyText"/>
        <w:spacing w:line="240" w:lineRule="auto" w:before="48"/>
        <w:ind w:left="957"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6</w:t>
      </w:r>
      <w:r>
        <w:rPr>
          <w:spacing w:val="2"/>
        </w:rPr>
        <w:t>、一年内到期的非流动负债增加、长期借款减少的主要原因是，公司银行借款均在</w:t>
      </w:r>
      <w:r>
        <w:rPr>
          <w:spacing w:val="-65"/>
        </w:rPr>
        <w:t> </w:t>
      </w:r>
      <w:r>
        <w:rPr>
          <w:rFonts w:ascii="Times New Roman" w:hAnsi="Times New Roman" w:cs="Times New Roman" w:eastAsia="Times New Roman" w:hint="default"/>
        </w:rPr>
        <w:t>2012</w:t>
      </w:r>
    </w:p>
    <w:p>
      <w:pPr>
        <w:pStyle w:val="BodyText"/>
        <w:spacing w:line="240" w:lineRule="auto" w:before="110"/>
        <w:ind w:left="536" w:right="514"/>
        <w:jc w:val="left"/>
      </w:pPr>
      <w:r>
        <w:rPr/>
        <w:t>年到期，将其重分类到一年内到期的非流动负债科目所致。</w:t>
      </w:r>
    </w:p>
    <w:p>
      <w:pPr>
        <w:pStyle w:val="BodyText"/>
        <w:spacing w:line="240" w:lineRule="auto" w:before="123"/>
        <w:ind w:left="957" w:right="514"/>
        <w:jc w:val="left"/>
      </w:pPr>
      <w:r>
        <w:rPr>
          <w:rFonts w:ascii="Times New Roman" w:hAnsi="Times New Roman" w:cs="Times New Roman" w:eastAsia="Times New Roman" w:hint="default"/>
        </w:rPr>
        <w:t>7</w:t>
      </w:r>
      <w:r>
        <w:rPr/>
        <w:t>、盈余公积减少的主要原因是，本期公司用盈余公积弥补以前年度亏损所致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6"/>
        <w:ind w:left="0" w:right="528" w:firstLine="0"/>
        <w:jc w:val="right"/>
        <w:rPr>
          <w:rFonts w:ascii="Times New Roman" w:hAnsi="Times New Roman" w:cs="Times New Roman" w:eastAsia="Times New Roman" w:hint="default"/>
          <w:sz w:val="18"/>
          <w:szCs w:val="18"/>
        </w:rPr>
      </w:pPr>
      <w:r>
        <w:rPr>
          <w:rFonts w:ascii="Times New Roman"/>
          <w:sz w:val="18"/>
        </w:rPr>
        <w:t>24</w:t>
      </w:r>
    </w:p>
    <w:p>
      <w:pPr>
        <w:spacing w:after="0"/>
        <w:jc w:val="right"/>
        <w:rPr>
          <w:rFonts w:ascii="Times New Roman" w:hAnsi="Times New Roman" w:cs="Times New Roman" w:eastAsia="Times New Roman" w:hint="default"/>
          <w:sz w:val="18"/>
          <w:szCs w:val="18"/>
        </w:rPr>
        <w:sectPr>
          <w:footerReference w:type="default" r:id="rId14"/>
          <w:pgSz w:w="11910" w:h="16840"/>
          <w:pgMar w:footer="0" w:header="0" w:top="1180" w:bottom="280" w:left="1340" w:right="860"/>
        </w:sectPr>
      </w:pPr>
    </w:p>
    <w:p>
      <w:pPr>
        <w:pStyle w:val="BodyText"/>
        <w:tabs>
          <w:tab w:pos="7036" w:val="left" w:leader="none"/>
        </w:tabs>
        <w:spacing w:line="240" w:lineRule="auto" w:before="8"/>
        <w:ind w:left="617" w:right="194"/>
        <w:jc w:val="left"/>
        <w:rPr>
          <w:rFonts w:ascii="宋体" w:hAnsi="宋体" w:cs="宋体" w:eastAsia="宋体" w:hint="default"/>
        </w:rPr>
      </w:pPr>
      <w:r>
        <w:rPr/>
        <w:t>（</w:t>
      </w:r>
      <w:r>
        <w:rPr>
          <w:rFonts w:ascii="宋体" w:hAnsi="宋体" w:cs="宋体" w:eastAsia="宋体" w:hint="default"/>
        </w:rPr>
        <w:t>四）报告期内公司利润构成等财务数据变动情况</w:t>
        <w:tab/>
        <w:t>（单位：元）</w:t>
      </w:r>
    </w:p>
    <w:p>
      <w:pPr>
        <w:spacing w:line="240" w:lineRule="auto" w:before="13"/>
        <w:rPr>
          <w:rFonts w:ascii="宋体" w:hAnsi="宋体" w:cs="宋体" w:eastAsia="宋体" w:hint="default"/>
          <w:sz w:val="3"/>
          <w:szCs w:val="3"/>
        </w:rPr>
      </w:pPr>
    </w:p>
    <w:tbl>
      <w:tblPr>
        <w:tblW w:w="0" w:type="auto"/>
        <w:jc w:val="left"/>
        <w:tblInd w:w="706" w:type="dxa"/>
        <w:tblLayout w:type="fixed"/>
        <w:tblCellMar>
          <w:top w:w="0" w:type="dxa"/>
          <w:left w:w="0" w:type="dxa"/>
          <w:bottom w:w="0" w:type="dxa"/>
          <w:right w:w="0" w:type="dxa"/>
        </w:tblCellMar>
        <w:tblLook w:val="01E0"/>
      </w:tblPr>
      <w:tblGrid>
        <w:gridCol w:w="426"/>
        <w:gridCol w:w="1932"/>
        <w:gridCol w:w="1857"/>
        <w:gridCol w:w="1946"/>
        <w:gridCol w:w="1444"/>
      </w:tblGrid>
      <w:tr>
        <w:trPr>
          <w:trHeight w:val="576" w:hRule="exact"/>
        </w:trPr>
        <w:tc>
          <w:tcPr>
            <w:tcW w:w="426"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932"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7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857"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79"/>
              <w:ind w:left="48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8"/>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94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79"/>
              <w:ind w:left="74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444"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79"/>
              <w:ind w:left="2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r>
      <w:tr>
        <w:trPr>
          <w:trHeight w:val="5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7"/>
              <w:jc w:val="right"/>
              <w:rPr>
                <w:rFonts w:ascii="Times New Roman" w:hAnsi="Times New Roman" w:cs="Times New Roman" w:eastAsia="Times New Roman" w:hint="default"/>
                <w:sz w:val="21"/>
                <w:szCs w:val="21"/>
              </w:rPr>
            </w:pPr>
            <w:r>
              <w:rPr>
                <w:rFonts w:ascii="Times New Roman"/>
                <w:w w:val="95"/>
                <w:sz w:val="21"/>
              </w:rPr>
              <w:t>6,389,169.00</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21,488,674.34</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-70.27%</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73,151,116.06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113,120,235.51</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-35.33%</w:t>
            </w:r>
          </w:p>
        </w:tc>
      </w:tr>
      <w:tr>
        <w:trPr>
          <w:trHeight w:val="5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1,691,128.57</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23,194,679.78</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-92.71%</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106,109,855.95</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76,580,318.68</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7"/>
              <w:jc w:val="right"/>
              <w:rPr>
                <w:rFonts w:ascii="Times New Roman" w:hAnsi="Times New Roman" w:cs="Times New Roman" w:eastAsia="Times New Roman" w:hint="default"/>
                <w:sz w:val="22"/>
                <w:szCs w:val="22"/>
              </w:rPr>
            </w:pPr>
            <w:r>
              <w:rPr>
                <w:rFonts w:ascii="Times New Roman"/>
                <w:sz w:val="22"/>
              </w:rPr>
              <w:t>38.56%</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26" w:right="115" w:hanging="106"/>
              <w:jc w:val="left"/>
              <w:rPr>
                <w:rFonts w:ascii="宋体" w:hAnsi="宋体" w:cs="宋体" w:eastAsia="宋体" w:hint="default"/>
                <w:sz w:val="21"/>
                <w:szCs w:val="21"/>
              </w:rPr>
            </w:pPr>
            <w:r>
              <w:rPr>
                <w:rFonts w:ascii="宋体" w:hAnsi="宋体" w:cs="宋体" w:eastAsia="宋体" w:hint="default"/>
                <w:sz w:val="21"/>
                <w:szCs w:val="21"/>
              </w:rPr>
              <w:t>对联营企业和合营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企业的投资收益</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-9,651,500.90</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-3,276,720.19</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7"/>
              <w:jc w:val="right"/>
              <w:rPr>
                <w:rFonts w:ascii="Times New Roman" w:hAnsi="Times New Roman" w:cs="Times New Roman" w:eastAsia="Times New Roman" w:hint="default"/>
                <w:sz w:val="22"/>
                <w:szCs w:val="22"/>
              </w:rPr>
            </w:pPr>
            <w:r>
              <w:rPr>
                <w:rFonts w:ascii="Times New Roman"/>
                <w:spacing w:val="-1"/>
                <w:sz w:val="22"/>
              </w:rPr>
              <w:t>-194.55%</w:t>
            </w:r>
          </w:p>
        </w:tc>
      </w:tr>
      <w:tr>
        <w:trPr>
          <w:trHeight w:val="5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7"/>
              <w:jc w:val="right"/>
              <w:rPr>
                <w:rFonts w:ascii="Times New Roman" w:hAnsi="Times New Roman" w:cs="Times New Roman" w:eastAsia="Times New Roman" w:hint="default"/>
                <w:sz w:val="21"/>
                <w:szCs w:val="21"/>
              </w:rPr>
            </w:pPr>
            <w:r>
              <w:rPr>
                <w:rFonts w:ascii="Times New Roman"/>
                <w:w w:val="95"/>
                <w:sz w:val="21"/>
              </w:rPr>
              <w:t>1,121,012.34</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7"/>
              <w:jc w:val="right"/>
              <w:rPr>
                <w:rFonts w:ascii="Times New Roman" w:hAnsi="Times New Roman" w:cs="Times New Roman" w:eastAsia="Times New Roman" w:hint="default"/>
                <w:sz w:val="21"/>
                <w:szCs w:val="21"/>
              </w:rPr>
            </w:pPr>
            <w:r>
              <w:rPr>
                <w:rFonts w:ascii="Times New Roman"/>
                <w:spacing w:val="-1"/>
                <w:sz w:val="21"/>
              </w:rPr>
              <w:t>11,350,155.10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-90.12%</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3,315,203.06</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36,809,049.65</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-90.99%</w:t>
            </w:r>
          </w:p>
        </w:tc>
      </w:tr>
      <w:tr>
        <w:trPr>
          <w:trHeight w:val="5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541" w:right="433" w:hanging="106"/>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w w:val="99"/>
                <w:sz w:val="21"/>
                <w:szCs w:val="21"/>
              </w:rPr>
              <w:t> </w:t>
            </w:r>
            <w:r>
              <w:rPr>
                <w:rFonts w:ascii="宋体" w:hAnsi="宋体" w:cs="宋体" w:eastAsia="宋体" w:hint="default"/>
                <w:sz w:val="21"/>
                <w:szCs w:val="21"/>
              </w:rPr>
              <w:t>处置损失</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26,452,538.48</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2"/>
                <w:szCs w:val="22"/>
              </w:rPr>
            </w:pPr>
            <w:r>
              <w:rPr>
                <w:rFonts w:ascii="Times New Roman"/>
                <w:spacing w:val="-1"/>
                <w:sz w:val="22"/>
              </w:rPr>
              <w:t>-98.56%</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86,233,621.66</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35,947,749.50</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7"/>
              <w:jc w:val="right"/>
              <w:rPr>
                <w:rFonts w:ascii="Times New Roman" w:hAnsi="Times New Roman" w:cs="Times New Roman" w:eastAsia="Times New Roman" w:hint="default"/>
                <w:sz w:val="22"/>
                <w:szCs w:val="22"/>
              </w:rPr>
            </w:pPr>
            <w:r>
              <w:rPr>
                <w:rFonts w:ascii="Times New Roman"/>
                <w:sz w:val="22"/>
              </w:rPr>
              <w:t>139.89%</w:t>
            </w:r>
          </w:p>
        </w:tc>
      </w:tr>
      <w:tr>
        <w:trPr>
          <w:trHeight w:val="5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少数股东损益</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397,809.55</w:t>
            </w:r>
            <w:r>
              <w:rPr>
                <w:rFonts w:ascii="Times New Roman"/>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-3,889,549.67</w:t>
            </w:r>
            <w:r>
              <w:rPr>
                <w:rFonts w:ascii="Times New Roman"/>
                <w:sz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7"/>
              <w:jc w:val="right"/>
              <w:rPr>
                <w:rFonts w:ascii="Times New Roman" w:hAnsi="Times New Roman" w:cs="Times New Roman" w:eastAsia="Times New Roman" w:hint="default"/>
                <w:sz w:val="22"/>
                <w:szCs w:val="22"/>
              </w:rPr>
            </w:pPr>
            <w:r>
              <w:rPr>
                <w:rFonts w:ascii="Times New Roman"/>
                <w:spacing w:val="-2"/>
                <w:sz w:val="22"/>
              </w:rPr>
              <w:t>110.23%</w:t>
            </w:r>
          </w:p>
        </w:tc>
      </w:tr>
    </w:tbl>
    <w:p>
      <w:pPr>
        <w:pStyle w:val="Heading5"/>
        <w:spacing w:line="240" w:lineRule="auto" w:before="9"/>
        <w:ind w:left="617" w:right="194"/>
        <w:jc w:val="left"/>
        <w:rPr>
          <w:b w:val="0"/>
          <w:bCs w:val="0"/>
        </w:rPr>
      </w:pPr>
      <w:r>
        <w:rPr/>
        <w:t>变动原因：</w:t>
      </w:r>
      <w:r>
        <w:rPr>
          <w:b w:val="0"/>
          <w:bCs w:val="0"/>
        </w:rPr>
      </w:r>
    </w:p>
    <w:p>
      <w:pPr>
        <w:pStyle w:val="BodyText"/>
        <w:spacing w:line="331" w:lineRule="auto" w:before="99"/>
        <w:ind w:left="196" w:right="194" w:firstLine="421"/>
        <w:jc w:val="left"/>
      </w:pPr>
      <w:r>
        <w:rPr>
          <w:rFonts w:ascii="Times New Roman" w:hAnsi="Times New Roman" w:cs="Times New Roman" w:eastAsia="Times New Roman" w:hint="default"/>
          <w:w w:val="95"/>
        </w:rPr>
        <w:t>1</w:t>
      </w:r>
      <w:r>
        <w:rPr>
          <w:w w:val="95"/>
        </w:rPr>
        <w:t>、销售费用减少的主要原因是：本期</w:t>
      </w:r>
      <w:r>
        <w:rPr>
          <w:rFonts w:ascii="Times New Roman" w:hAnsi="Times New Roman" w:cs="Times New Roman" w:eastAsia="Times New Roman" w:hint="default"/>
          <w:w w:val="95"/>
        </w:rPr>
        <w:t>“</w:t>
      </w:r>
      <w:r>
        <w:rPr>
          <w:w w:val="95"/>
        </w:rPr>
        <w:t>鸿基紫韵</w:t>
      </w:r>
      <w:r>
        <w:rPr>
          <w:rFonts w:ascii="Times New Roman" w:hAnsi="Times New Roman" w:cs="Times New Roman" w:eastAsia="Times New Roman" w:hint="default"/>
          <w:w w:val="95"/>
        </w:rPr>
        <w:t>”</w:t>
      </w:r>
      <w:r>
        <w:rPr>
          <w:w w:val="95"/>
        </w:rPr>
        <w:t>项目未推出新的楼盘预售，广告费减少，</w:t>
      </w:r>
      <w:r>
        <w:rPr>
          <w:w w:val="63"/>
        </w:rPr>
        <w:t> </w:t>
      </w:r>
      <w:r>
        <w:rPr/>
        <w:t>本年度结算的销售代理费也相应减少所致。</w:t>
      </w:r>
    </w:p>
    <w:p>
      <w:pPr>
        <w:pStyle w:val="BodyText"/>
        <w:spacing w:line="328" w:lineRule="auto" w:before="46"/>
        <w:ind w:left="196" w:right="194" w:firstLine="421"/>
        <w:jc w:val="left"/>
      </w:pPr>
      <w:r>
        <w:rPr>
          <w:rFonts w:ascii="Times New Roman" w:hAnsi="Times New Roman" w:cs="Times New Roman" w:eastAsia="Times New Roman" w:hint="default"/>
          <w:spacing w:val="-2"/>
        </w:rPr>
        <w:t>2</w:t>
      </w:r>
      <w:r>
        <w:rPr>
          <w:spacing w:val="-2"/>
        </w:rPr>
        <w:t>、财务费用减少的主要原因是：公司归还银行借款及因非房地产业务的产业剥离，转让原</w:t>
      </w:r>
      <w:r>
        <w:rPr>
          <w:w w:val="99"/>
        </w:rPr>
        <w:t> </w:t>
      </w:r>
      <w:r>
        <w:rPr/>
        <w:t>控股子公司，期末不合并报表所致。</w:t>
      </w:r>
    </w:p>
    <w:p>
      <w:pPr>
        <w:pStyle w:val="BodyText"/>
        <w:spacing w:line="331" w:lineRule="auto" w:before="48"/>
        <w:ind w:left="196" w:right="194" w:firstLine="421"/>
        <w:jc w:val="left"/>
      </w:pPr>
      <w:r>
        <w:rPr>
          <w:rFonts w:ascii="Times New Roman" w:hAnsi="Times New Roman" w:cs="Times New Roman" w:eastAsia="Times New Roman" w:hint="default"/>
          <w:spacing w:val="-5"/>
          <w:w w:val="98"/>
        </w:rPr>
        <w:t>3</w:t>
      </w:r>
      <w:r>
        <w:rPr>
          <w:spacing w:val="-5"/>
          <w:w w:val="98"/>
        </w:rPr>
        <w:t>、管理费用费用减少的主要原因是：因公司非房地产业务的产业剥离，转让原控股子公司，</w:t>
      </w:r>
      <w:r>
        <w:rPr>
          <w:w w:val="49"/>
        </w:rPr>
        <w:t> </w:t>
      </w:r>
      <w:r>
        <w:rPr/>
        <w:t>期末不合并报表所致。</w:t>
      </w:r>
    </w:p>
    <w:p>
      <w:pPr>
        <w:pStyle w:val="BodyText"/>
        <w:spacing w:line="328" w:lineRule="auto" w:before="46"/>
        <w:ind w:left="196" w:right="194" w:firstLine="421"/>
        <w:jc w:val="left"/>
      </w:pPr>
      <w:r>
        <w:rPr>
          <w:rFonts w:ascii="Times New Roman" w:hAnsi="Times New Roman" w:cs="Times New Roman" w:eastAsia="Times New Roman" w:hint="default"/>
          <w:spacing w:val="-2"/>
        </w:rPr>
        <w:t>4</w:t>
      </w:r>
      <w:r>
        <w:rPr>
          <w:spacing w:val="-2"/>
        </w:rPr>
        <w:t>、投资收益、所得税费用增加的主要原因是：报告期公司因转让控股子公司取得的投资收</w:t>
      </w:r>
      <w:r>
        <w:rPr>
          <w:w w:val="99"/>
        </w:rPr>
        <w:t> </w:t>
      </w:r>
      <w:r>
        <w:rPr/>
        <w:t>益较上年同期大幅增加所致。</w:t>
      </w:r>
    </w:p>
    <w:p>
      <w:pPr>
        <w:pStyle w:val="BodyText"/>
        <w:spacing w:line="240" w:lineRule="auto" w:before="48"/>
        <w:ind w:left="617" w:right="0"/>
        <w:jc w:val="left"/>
      </w:pPr>
      <w:r>
        <w:rPr>
          <w:rFonts w:ascii="Times New Roman" w:hAnsi="Times New Roman" w:cs="Times New Roman" w:eastAsia="Times New Roman" w:hint="default"/>
        </w:rPr>
        <w:t>5</w:t>
      </w:r>
      <w:r>
        <w:rPr/>
        <w:t>、对联营企业和合营企业的投资收益减少的主要原因是：联营企业本年度亏损增加所致。</w:t>
      </w:r>
    </w:p>
    <w:p>
      <w:pPr>
        <w:pStyle w:val="BodyText"/>
        <w:spacing w:line="240" w:lineRule="auto" w:before="110"/>
        <w:ind w:left="617" w:right="194"/>
        <w:jc w:val="left"/>
      </w:pPr>
      <w:r>
        <w:rPr>
          <w:rFonts w:ascii="Times New Roman" w:hAnsi="Times New Roman" w:cs="Times New Roman" w:eastAsia="Times New Roman" w:hint="default"/>
        </w:rPr>
        <w:t>6</w:t>
      </w:r>
      <w:r>
        <w:rPr/>
        <w:t>、营业外收入减少的主要原因是：公司上年同期固定资产处置收益较大所致。</w:t>
      </w:r>
    </w:p>
    <w:p>
      <w:pPr>
        <w:pStyle w:val="BodyText"/>
        <w:spacing w:line="331" w:lineRule="auto" w:before="107"/>
        <w:ind w:left="196" w:right="194" w:firstLine="421"/>
        <w:jc w:val="left"/>
      </w:pPr>
      <w:r>
        <w:rPr>
          <w:rFonts w:ascii="Times New Roman" w:hAnsi="Times New Roman" w:cs="Times New Roman" w:eastAsia="Times New Roman" w:hint="default"/>
          <w:spacing w:val="-2"/>
        </w:rPr>
        <w:t>7</w:t>
      </w:r>
      <w:r>
        <w:rPr>
          <w:spacing w:val="-2"/>
        </w:rPr>
        <w:t>、营业外支出、非流动资产处置损失减少的主要原因是：上年同期公司控股子公司——深</w:t>
      </w:r>
      <w:r>
        <w:rPr>
          <w:w w:val="99"/>
        </w:rPr>
        <w:t> </w:t>
      </w:r>
      <w:r>
        <w:rPr/>
        <w:t>圳市鸿基物流有限公司转让资产包产生的损失较大所致。</w:t>
      </w:r>
    </w:p>
    <w:p>
      <w:pPr>
        <w:pStyle w:val="BodyText"/>
        <w:spacing w:line="328" w:lineRule="auto" w:before="46"/>
        <w:ind w:left="196" w:right="194" w:firstLine="421"/>
        <w:jc w:val="left"/>
      </w:pPr>
      <w:r>
        <w:rPr>
          <w:rFonts w:ascii="Times New Roman" w:hAnsi="Times New Roman" w:cs="Times New Roman" w:eastAsia="Times New Roman" w:hint="default"/>
          <w:spacing w:val="-2"/>
        </w:rPr>
        <w:t>8</w:t>
      </w:r>
      <w:r>
        <w:rPr>
          <w:spacing w:val="-2"/>
        </w:rPr>
        <w:t>、少数股东损益减少的主要原因是：公司收购新鸿泰公司持有的七家公司少数股权影响所</w:t>
      </w:r>
      <w:r>
        <w:rPr>
          <w:w w:val="99"/>
        </w:rPr>
        <w:t> </w:t>
      </w:r>
      <w:r>
        <w:rPr/>
        <w:t>致。</w:t>
      </w:r>
    </w:p>
    <w:p>
      <w:pPr>
        <w:pStyle w:val="BodyText"/>
        <w:tabs>
          <w:tab w:pos="7708" w:val="left" w:leader="none"/>
        </w:tabs>
        <w:spacing w:line="240" w:lineRule="auto" w:before="48"/>
        <w:ind w:left="196" w:right="0"/>
        <w:jc w:val="left"/>
        <w:rPr>
          <w:rFonts w:ascii="宋体" w:hAnsi="宋体" w:cs="宋体" w:eastAsia="宋体" w:hint="default"/>
        </w:rPr>
      </w:pPr>
      <w:r>
        <w:rPr>
          <w:rFonts w:ascii="宋体" w:hAnsi="宋体" w:cs="宋体" w:eastAsia="宋体" w:hint="default"/>
          <w:spacing w:val="-2"/>
        </w:rPr>
        <w:t>（五）报告期内公司现金流量变动情况</w:t>
        <w:tab/>
      </w:r>
      <w:r>
        <w:rPr>
          <w:rFonts w:ascii="宋体" w:hAnsi="宋体" w:cs="宋体" w:eastAsia="宋体" w:hint="default"/>
          <w:spacing w:val="-5"/>
        </w:rPr>
        <w:t>（单位：元）</w:t>
      </w:r>
    </w:p>
    <w:p>
      <w:pPr>
        <w:spacing w:line="240" w:lineRule="auto" w:before="10"/>
        <w:rPr>
          <w:rFonts w:ascii="宋体" w:hAnsi="宋体" w:cs="宋体" w:eastAsia="宋体" w:hint="default"/>
          <w:sz w:val="3"/>
          <w:szCs w:val="3"/>
        </w:rPr>
      </w:pPr>
    </w:p>
    <w:tbl>
      <w:tblPr>
        <w:tblW w:w="0" w:type="auto"/>
        <w:jc w:val="left"/>
        <w:tblInd w:w="172" w:type="dxa"/>
        <w:tblLayout w:type="fixed"/>
        <w:tblCellMar>
          <w:top w:w="0" w:type="dxa"/>
          <w:left w:w="0" w:type="dxa"/>
          <w:bottom w:w="0" w:type="dxa"/>
          <w:right w:w="0" w:type="dxa"/>
        </w:tblCellMar>
        <w:tblLook w:val="01E0"/>
      </w:tblPr>
      <w:tblGrid>
        <w:gridCol w:w="481"/>
        <w:gridCol w:w="3010"/>
        <w:gridCol w:w="1626"/>
        <w:gridCol w:w="1783"/>
        <w:gridCol w:w="1773"/>
      </w:tblGrid>
      <w:tr>
        <w:trPr>
          <w:trHeight w:val="569" w:hRule="exact"/>
        </w:trPr>
        <w:tc>
          <w:tcPr>
            <w:tcW w:w="481"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301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4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62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41" w:lineRule="exact"/>
              <w:ind w:left="95"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8"/>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41" w:lineRule="exact"/>
              <w:ind w:left="48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77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41" w:lineRule="exact"/>
              <w:ind w:left="4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r>
      <w:tr>
        <w:trPr>
          <w:trHeight w:val="566"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0" w:right="0"/>
              <w:jc w:val="center"/>
              <w:rPr>
                <w:rFonts w:ascii="Times New Roman" w:hAnsi="Times New Roman" w:cs="Times New Roman" w:eastAsia="Times New Roman" w:hint="default"/>
                <w:sz w:val="21"/>
                <w:szCs w:val="21"/>
              </w:rPr>
            </w:pPr>
            <w:r>
              <w:rPr>
                <w:rFonts w:ascii="Times New Roman"/>
                <w:sz w:val="21"/>
              </w:rPr>
              <w:t>-424,903,021.79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6" w:right="0"/>
              <w:jc w:val="left"/>
              <w:rPr>
                <w:rFonts w:ascii="Times New Roman" w:hAnsi="Times New Roman" w:cs="Times New Roman" w:eastAsia="Times New Roman" w:hint="default"/>
                <w:sz w:val="21"/>
                <w:szCs w:val="21"/>
              </w:rPr>
            </w:pPr>
            <w:r>
              <w:rPr>
                <w:rFonts w:ascii="Times New Roman"/>
                <w:sz w:val="21"/>
              </w:rPr>
              <w:t>537,258,302.29</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37" w:right="0"/>
              <w:jc w:val="left"/>
              <w:rPr>
                <w:rFonts w:ascii="Times New Roman" w:hAnsi="Times New Roman" w:cs="Times New Roman" w:eastAsia="Times New Roman" w:hint="default"/>
                <w:sz w:val="21"/>
                <w:szCs w:val="21"/>
              </w:rPr>
            </w:pPr>
            <w:r>
              <w:rPr>
                <w:rFonts w:ascii="Times New Roman"/>
                <w:sz w:val="21"/>
              </w:rPr>
              <w:t>-179.09%</w:t>
            </w:r>
          </w:p>
        </w:tc>
      </w:tr>
    </w:tbl>
    <w:p>
      <w:pPr>
        <w:spacing w:after="0" w:line="240" w:lineRule="auto"/>
        <w:jc w:val="left"/>
        <w:rPr>
          <w:rFonts w:ascii="Times New Roman" w:hAnsi="Times New Roman" w:cs="Times New Roman" w:eastAsia="Times New Roman" w:hint="default"/>
          <w:sz w:val="21"/>
          <w:szCs w:val="21"/>
        </w:rPr>
        <w:sectPr>
          <w:footerReference w:type="default" r:id="rId15"/>
          <w:pgSz w:w="11910" w:h="16840"/>
          <w:pgMar w:footer="1007" w:header="0" w:top="1180" w:bottom="1200" w:left="1680" w:right="1180"/>
          <w:pgNumType w:start="25"/>
        </w:sectPr>
      </w:pPr>
    </w:p>
    <w:p>
      <w:pPr>
        <w:spacing w:line="240" w:lineRule="auto" w:before="9"/>
        <w:rPr>
          <w:rFonts w:ascii="宋体" w:hAnsi="宋体" w:cs="宋体" w:eastAsia="宋体" w:hint="default"/>
          <w:sz w:val="5"/>
          <w:szCs w:val="5"/>
        </w:rPr>
      </w:pPr>
    </w:p>
    <w:tbl>
      <w:tblPr>
        <w:tblW w:w="0" w:type="auto"/>
        <w:jc w:val="left"/>
        <w:tblInd w:w="172" w:type="dxa"/>
        <w:tblLayout w:type="fixed"/>
        <w:tblCellMar>
          <w:top w:w="0" w:type="dxa"/>
          <w:left w:w="0" w:type="dxa"/>
          <w:bottom w:w="0" w:type="dxa"/>
          <w:right w:w="0" w:type="dxa"/>
        </w:tblCellMar>
        <w:tblLook w:val="01E0"/>
      </w:tblPr>
      <w:tblGrid>
        <w:gridCol w:w="481"/>
        <w:gridCol w:w="3010"/>
        <w:gridCol w:w="1626"/>
        <w:gridCol w:w="1783"/>
        <w:gridCol w:w="1773"/>
      </w:tblGrid>
      <w:tr>
        <w:trPr>
          <w:trHeight w:val="566"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223,202,904.66</w:t>
            </w:r>
            <w:r>
              <w:rPr>
                <w:rFonts w:ascii="Times New Roman"/>
                <w:sz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109,536,013.29</w:t>
            </w:r>
            <w:r>
              <w:rPr>
                <w:rFonts w:ascii="Times New Roman"/>
                <w:sz w:val="21"/>
              </w:rPr>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103.77%</w:t>
            </w:r>
            <w:r>
              <w:rPr>
                <w:rFonts w:ascii="Times New Roman"/>
                <w:sz w:val="21"/>
              </w:rPr>
            </w:r>
          </w:p>
        </w:tc>
      </w:tr>
      <w:tr>
        <w:trPr>
          <w:trHeight w:val="569"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7"/>
              <w:jc w:val="right"/>
              <w:rPr>
                <w:rFonts w:ascii="Times New Roman" w:hAnsi="Times New Roman" w:cs="Times New Roman" w:eastAsia="Times New Roman" w:hint="default"/>
                <w:sz w:val="21"/>
                <w:szCs w:val="21"/>
              </w:rPr>
            </w:pPr>
            <w:r>
              <w:rPr>
                <w:rFonts w:ascii="Times New Roman"/>
                <w:w w:val="95"/>
                <w:sz w:val="21"/>
              </w:rPr>
              <w:t>-136,033,756.81</w:t>
            </w:r>
            <w:r>
              <w:rPr>
                <w:rFonts w:ascii="Times New Roman"/>
                <w:sz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-228,552,010.57</w:t>
            </w:r>
            <w:r>
              <w:rPr>
                <w:rFonts w:ascii="Times New Roman"/>
                <w:sz w:val="21"/>
              </w:rPr>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-40.48%</w:t>
            </w:r>
          </w:p>
        </w:tc>
      </w:tr>
      <w:tr>
        <w:trPr>
          <w:trHeight w:val="566"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汇率变动对现金及现金等价物</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的影响</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pacing w:val="-1"/>
                <w:sz w:val="21"/>
              </w:rPr>
              <w:t>-11,338.43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-72,377.34</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z w:val="21"/>
              </w:rPr>
              <w:t>-84.33%</w:t>
            </w:r>
          </w:p>
        </w:tc>
      </w:tr>
      <w:tr>
        <w:trPr>
          <w:trHeight w:val="566" w:hRule="exact"/>
        </w:trPr>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-337,745,212.37</w:t>
            </w:r>
            <w:r>
              <w:rPr>
                <w:rFonts w:ascii="Times New Roman"/>
                <w:sz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w w:val="95"/>
                <w:sz w:val="21"/>
              </w:rPr>
              <w:t>418,169,927.67</w:t>
            </w:r>
            <w:r>
              <w:rPr>
                <w:rFonts w:ascii="Times New Roman"/>
                <w:sz w:val="21"/>
              </w:rPr>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w w:val="95"/>
                <w:sz w:val="21"/>
              </w:rPr>
              <w:t>-180.77%</w:t>
            </w:r>
            <w:r>
              <w:rPr>
                <w:rFonts w:ascii="Times New Roman"/>
                <w:sz w:val="21"/>
              </w:rPr>
            </w:r>
          </w:p>
        </w:tc>
      </w:tr>
    </w:tbl>
    <w:p>
      <w:pPr>
        <w:pStyle w:val="Heading5"/>
        <w:spacing w:line="240" w:lineRule="auto" w:before="9"/>
        <w:ind w:left="617" w:right="114"/>
        <w:jc w:val="left"/>
        <w:rPr>
          <w:b w:val="0"/>
          <w:bCs w:val="0"/>
        </w:rPr>
      </w:pPr>
      <w:r>
        <w:rPr/>
        <w:t>变动原因：</w:t>
      </w:r>
      <w:r>
        <w:rPr>
          <w:b w:val="0"/>
          <w:bCs w:val="0"/>
        </w:rPr>
      </w:r>
    </w:p>
    <w:p>
      <w:pPr>
        <w:pStyle w:val="BodyText"/>
        <w:spacing w:line="331" w:lineRule="auto" w:before="99"/>
        <w:ind w:left="196" w:right="114" w:firstLine="421"/>
        <w:jc w:val="left"/>
      </w:pPr>
      <w:r>
        <w:rPr>
          <w:rFonts w:ascii="Times New Roman" w:hAnsi="Times New Roman" w:cs="Times New Roman" w:eastAsia="Times New Roman" w:hint="default"/>
          <w:spacing w:val="-2"/>
          <w:w w:val="99"/>
        </w:rPr>
        <w:t>1</w:t>
      </w:r>
      <w:r>
        <w:rPr>
          <w:spacing w:val="-2"/>
          <w:w w:val="99"/>
        </w:rPr>
        <w:t>、经营活动产生的现金流量净额减少的主要原因是：本年度公司开始开拓房地产业务，在</w:t>
      </w:r>
      <w:r>
        <w:rPr>
          <w:w w:val="99"/>
        </w:rPr>
        <w:t> </w:t>
      </w:r>
      <w:r>
        <w:rPr/>
        <w:t>湖南、东莞等地区支付土地款的原因所致。</w:t>
      </w:r>
    </w:p>
    <w:p>
      <w:pPr>
        <w:pStyle w:val="BodyText"/>
        <w:spacing w:line="328" w:lineRule="auto" w:before="46"/>
        <w:ind w:left="196" w:right="114" w:firstLine="421"/>
        <w:jc w:val="left"/>
      </w:pPr>
      <w:r>
        <w:rPr>
          <w:rFonts w:ascii="Times New Roman" w:hAnsi="Times New Roman" w:cs="Times New Roman" w:eastAsia="Times New Roman" w:hint="default"/>
          <w:spacing w:val="-2"/>
        </w:rPr>
        <w:t>2</w:t>
      </w:r>
      <w:r>
        <w:rPr>
          <w:spacing w:val="-2"/>
        </w:rPr>
        <w:t>、投资活动产生的现金流量净额增加的主要原因是：本年度公司转让子公司股权取得现金</w:t>
      </w:r>
      <w:r>
        <w:rPr>
          <w:w w:val="99"/>
        </w:rPr>
        <w:t> </w:t>
      </w:r>
      <w:r>
        <w:rPr/>
        <w:t>所致。</w:t>
      </w:r>
    </w:p>
    <w:p>
      <w:pPr>
        <w:pStyle w:val="BodyText"/>
        <w:spacing w:line="240" w:lineRule="auto" w:before="48"/>
        <w:ind w:left="617" w:right="114"/>
        <w:jc w:val="left"/>
      </w:pPr>
      <w:r>
        <w:rPr>
          <w:rFonts w:ascii="Times New Roman" w:hAnsi="Times New Roman" w:cs="Times New Roman" w:eastAsia="Times New Roman" w:hint="default"/>
        </w:rPr>
        <w:t>3</w:t>
      </w:r>
      <w:r>
        <w:rPr/>
        <w:t>、筹资活动产生的现金流量净额减少的主要原因是：本年度公司归还银行借款所致。</w:t>
      </w:r>
    </w:p>
    <w:p>
      <w:pPr>
        <w:spacing w:line="240" w:lineRule="auto" w:before="0"/>
        <w:rPr>
          <w:rFonts w:ascii="宋体" w:hAnsi="宋体" w:cs="宋体" w:eastAsia="宋体" w:hint="default"/>
          <w:sz w:val="22"/>
          <w:szCs w:val="22"/>
        </w:rPr>
      </w:pPr>
    </w:p>
    <w:p>
      <w:pPr>
        <w:pStyle w:val="Heading4"/>
        <w:spacing w:line="240" w:lineRule="auto" w:before="188"/>
        <w:ind w:right="114"/>
        <w:jc w:val="left"/>
      </w:pPr>
      <w:r>
        <w:rPr/>
        <w:t>二、公司经营中的困难与问题</w:t>
      </w:r>
    </w:p>
    <w:p>
      <w:pPr>
        <w:pStyle w:val="BodyText"/>
        <w:spacing w:line="331" w:lineRule="auto" w:before="119"/>
        <w:ind w:left="196" w:right="121" w:firstLine="40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年集团基本实现了向专业房地产公司转型，管理水平得到提升，经营业绩明显好转。</w:t>
      </w:r>
      <w:r>
        <w:rPr>
          <w:w w:val="89"/>
        </w:rPr>
        <w:t> </w:t>
      </w:r>
      <w:r>
        <w:rPr/>
        <w:t>但受房地产宏观调控政策累积效应逐渐显现的影响，集团经营面临如下困难：</w:t>
      </w:r>
    </w:p>
    <w:p>
      <w:pPr>
        <w:pStyle w:val="BodyText"/>
        <w:spacing w:line="240" w:lineRule="auto" w:before="43"/>
        <w:ind w:left="598" w:right="114"/>
        <w:jc w:val="left"/>
      </w:pPr>
      <w:r>
        <w:rPr>
          <w:rFonts w:ascii="Times New Roman" w:hAnsi="Times New Roman" w:cs="Times New Roman" w:eastAsia="Times New Roman" w:hint="default"/>
        </w:rPr>
        <w:t>1</w:t>
      </w:r>
      <w:r>
        <w:rPr/>
        <w:t>、集团现有融资方式单一，已满足不了企业快速发展的需要。</w:t>
      </w:r>
    </w:p>
    <w:p>
      <w:pPr>
        <w:pStyle w:val="BodyText"/>
        <w:spacing w:line="240" w:lineRule="auto" w:before="110"/>
        <w:ind w:left="598" w:right="114"/>
        <w:jc w:val="left"/>
      </w:pPr>
      <w:r>
        <w:rPr>
          <w:rFonts w:ascii="Times New Roman" w:hAnsi="Times New Roman" w:cs="Times New Roman" w:eastAsia="Times New Roman" w:hint="default"/>
        </w:rPr>
        <w:t>2</w:t>
      </w:r>
      <w:r>
        <w:rPr/>
        <w:t>、新项目拓展方面，思路还需放开，方法还需多样，拓展渠道需要增加。</w:t>
      </w:r>
    </w:p>
    <w:p>
      <w:pPr>
        <w:pStyle w:val="BodyText"/>
        <w:spacing w:line="328" w:lineRule="auto" w:before="110"/>
        <w:ind w:left="196" w:right="114" w:firstLine="401"/>
        <w:jc w:val="left"/>
      </w:pPr>
      <w:r>
        <w:rPr>
          <w:rFonts w:ascii="Times New Roman" w:hAnsi="Times New Roman" w:cs="Times New Roman" w:eastAsia="Times New Roman" w:hint="default"/>
          <w:spacing w:val="-2"/>
        </w:rPr>
        <w:t>3</w:t>
      </w:r>
      <w:r>
        <w:rPr>
          <w:spacing w:val="-2"/>
        </w:rPr>
        <w:t>、受限购限贷政策影响，在售项目资金回笼速度及回款率降低，虽然集团已采取了积极应</w:t>
      </w:r>
      <w:r>
        <w:rPr>
          <w:w w:val="99"/>
        </w:rPr>
        <w:t> </w:t>
      </w:r>
      <w:r>
        <w:rPr/>
        <w:t>对措施，但力度还不够。</w:t>
      </w:r>
    </w:p>
    <w:p>
      <w:pPr>
        <w:pStyle w:val="BodyText"/>
        <w:spacing w:line="331" w:lineRule="auto" w:before="48"/>
        <w:ind w:left="196" w:right="114" w:firstLine="401"/>
        <w:jc w:val="left"/>
      </w:pPr>
      <w:r>
        <w:rPr>
          <w:rFonts w:ascii="Times New Roman" w:hAnsi="Times New Roman" w:cs="Times New Roman" w:eastAsia="Times New Roman" w:hint="default"/>
          <w:spacing w:val="-2"/>
        </w:rPr>
        <w:t>4</w:t>
      </w:r>
      <w:r>
        <w:rPr>
          <w:spacing w:val="-2"/>
        </w:rPr>
        <w:t>、人才梯队建设仍需完善，综合型管理人才、房地产专业技术人才的外部引进和内部培育</w:t>
      </w:r>
      <w:r>
        <w:rPr>
          <w:w w:val="99"/>
        </w:rPr>
        <w:t> </w:t>
      </w:r>
      <w:r>
        <w:rPr/>
        <w:t>需要加强。年轻人才录用，尤其是校园招聘工作还存在不足。</w:t>
      </w:r>
    </w:p>
    <w:p>
      <w:pPr>
        <w:spacing w:line="240" w:lineRule="auto" w:before="0"/>
        <w:rPr>
          <w:rFonts w:ascii="宋体" w:hAnsi="宋体" w:cs="宋体" w:eastAsia="宋体" w:hint="default"/>
          <w:sz w:val="20"/>
          <w:szCs w:val="20"/>
        </w:rPr>
      </w:pPr>
    </w:p>
    <w:p>
      <w:pPr>
        <w:pStyle w:val="Heading4"/>
        <w:spacing w:line="240" w:lineRule="auto" w:before="148"/>
        <w:ind w:right="114"/>
        <w:jc w:val="left"/>
      </w:pPr>
      <w:r>
        <w:rPr/>
        <w:t>三、公司对未来行业发展的展望及经营计划</w:t>
      </w:r>
    </w:p>
    <w:p>
      <w:pPr>
        <w:pStyle w:val="BodyText"/>
        <w:spacing w:line="343" w:lineRule="auto" w:before="121"/>
        <w:ind w:left="196" w:right="128" w:firstLine="401"/>
        <w:jc w:val="both"/>
      </w:pPr>
      <w:r>
        <w:rPr>
          <w:rFonts w:ascii="Times New Roman" w:hAnsi="Times New Roman" w:cs="Times New Roman" w:eastAsia="Times New Roman" w:hint="default"/>
          <w:w w:val="99"/>
        </w:rPr>
        <w:t>2012</w:t>
      </w:r>
      <w:r>
        <w:rPr>
          <w:rFonts w:ascii="Times New Roman" w:hAnsi="Times New Roman" w:cs="Times New Roman" w:eastAsia="Times New Roman" w:hint="default"/>
          <w:spacing w:val="14"/>
          <w:w w:val="99"/>
        </w:rPr>
        <w:t> </w:t>
      </w:r>
      <w:r>
        <w:rPr>
          <w:spacing w:val="-3"/>
          <w:w w:val="98"/>
        </w:rPr>
        <w:t>年，在房地产调控一手打击投资和投机性需求，另一手加大保障房建设的政策基调下，</w:t>
      </w:r>
      <w:r>
        <w:rPr>
          <w:w w:val="49"/>
        </w:rPr>
        <w:t> </w:t>
      </w:r>
      <w:r>
        <w:rPr/>
        <w:t>今后的调控政策目标也转为加强注重房地产的社会功能。随着高铁建设的推进，各省内城际铁</w:t>
      </w:r>
      <w:r>
        <w:rPr>
          <w:spacing w:val="-89"/>
        </w:rPr>
        <w:t> </w:t>
      </w:r>
      <w:r>
        <w:rPr>
          <w:spacing w:val="-89"/>
        </w:rPr>
      </w:r>
      <w:r>
        <w:rPr/>
        <w:t>路和各地轨道交通建设，将使房地产业的区域发展更加分化，具有一定基础建设优势和资源优</w:t>
      </w:r>
      <w:r>
        <w:rPr>
          <w:spacing w:val="-93"/>
        </w:rPr>
        <w:t> </w:t>
      </w:r>
      <w:r>
        <w:rPr>
          <w:spacing w:val="-93"/>
        </w:rPr>
      </w:r>
      <w:r>
        <w:rPr/>
        <w:t>势的区域房地产市场将面临发展机遇。今年公司各项工作将围绕“增项目、扩规模、促销售、</w:t>
      </w:r>
      <w:r>
        <w:rPr>
          <w:spacing w:val="-89"/>
        </w:rPr>
        <w:t> </w:t>
      </w:r>
      <w:r>
        <w:rPr>
          <w:spacing w:val="-89"/>
        </w:rPr>
      </w:r>
      <w:r>
        <w:rPr/>
        <w:t>创收益”重点展开。</w:t>
      </w:r>
    </w:p>
    <w:p>
      <w:pPr>
        <w:pStyle w:val="BodyText"/>
        <w:spacing w:line="331" w:lineRule="auto" w:before="35"/>
        <w:ind w:left="196" w:right="114" w:firstLine="401"/>
        <w:jc w:val="left"/>
      </w:pPr>
      <w:r>
        <w:rPr>
          <w:rFonts w:ascii="Times New Roman" w:hAnsi="Times New Roman" w:cs="Times New Roman" w:eastAsia="Times New Roman" w:hint="default"/>
          <w:spacing w:val="-2"/>
        </w:rPr>
        <w:t>1</w:t>
      </w:r>
      <w:r>
        <w:rPr>
          <w:spacing w:val="-2"/>
        </w:rPr>
        <w:t>、加强项目全过程管理，完善成本管理体系，强化项目质量检查，确保项目进度及施工安</w:t>
      </w:r>
      <w:r>
        <w:rPr>
          <w:w w:val="99"/>
        </w:rPr>
        <w:t> </w:t>
      </w:r>
      <w:r>
        <w:rPr/>
        <w:t>全。</w:t>
      </w:r>
    </w:p>
    <w:p>
      <w:pPr>
        <w:pStyle w:val="BodyText"/>
        <w:spacing w:line="331" w:lineRule="auto" w:before="43"/>
        <w:ind w:left="196" w:right="114" w:firstLine="401"/>
        <w:jc w:val="left"/>
      </w:pPr>
      <w:r>
        <w:rPr>
          <w:rFonts w:ascii="Times New Roman" w:hAnsi="Times New Roman" w:cs="Times New Roman" w:eastAsia="Times New Roman" w:hint="default"/>
          <w:spacing w:val="-1"/>
          <w:w w:val="95"/>
        </w:rPr>
        <w:t>2</w:t>
      </w:r>
      <w:r>
        <w:rPr>
          <w:spacing w:val="-1"/>
          <w:w w:val="95"/>
        </w:rPr>
        <w:t>、加强产品研发，增加刚需产品，创新营销模式，扩大营销渠道，推进新项目及存量物业</w:t>
      </w:r>
      <w:r>
        <w:rPr>
          <w:w w:val="99"/>
        </w:rPr>
        <w:t> </w:t>
      </w:r>
      <w:r>
        <w:rPr/>
        <w:t>资产的销售，加快资金回笼。</w:t>
      </w:r>
    </w:p>
    <w:p>
      <w:pPr>
        <w:pStyle w:val="BodyText"/>
        <w:spacing w:line="240" w:lineRule="auto" w:before="46"/>
        <w:ind w:left="598" w:right="0"/>
        <w:jc w:val="left"/>
      </w:pPr>
      <w:r>
        <w:rPr>
          <w:rFonts w:ascii="Times New Roman" w:hAnsi="Times New Roman" w:cs="Times New Roman" w:eastAsia="Times New Roman" w:hint="default"/>
        </w:rPr>
        <w:t>3</w:t>
      </w:r>
      <w:r>
        <w:rPr/>
        <w:t>、深耕现有区域城市，积极拓展其他二、三线城市的新项目，多元化拓展方式，力争新增</w:t>
      </w:r>
    </w:p>
    <w:p>
      <w:pPr>
        <w:pStyle w:val="BodyText"/>
        <w:spacing w:line="240" w:lineRule="auto" w:before="107"/>
        <w:ind w:left="196" w:right="114"/>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个新项目投资。</w:t>
      </w:r>
    </w:p>
    <w:p>
      <w:pPr>
        <w:pStyle w:val="BodyText"/>
        <w:spacing w:line="240" w:lineRule="auto" w:before="110"/>
        <w:ind w:left="598" w:right="114"/>
        <w:jc w:val="left"/>
      </w:pPr>
      <w:r>
        <w:rPr>
          <w:rFonts w:ascii="Times New Roman" w:hAnsi="Times New Roman" w:cs="Times New Roman" w:eastAsia="Times New Roman" w:hint="default"/>
        </w:rPr>
        <w:t>4</w:t>
      </w:r>
      <w:r>
        <w:rPr/>
        <w:t>、拓宽融资渠道，加大融资力度，优化债务结构。</w:t>
      </w:r>
    </w:p>
    <w:p>
      <w:pPr>
        <w:spacing w:after="0" w:line="240" w:lineRule="auto"/>
        <w:jc w:val="left"/>
        <w:sectPr>
          <w:pgSz w:w="11910" w:h="16840"/>
          <w:pgMar w:header="0" w:footer="1007" w:top="1040" w:bottom="1200" w:left="1680" w:right="1260"/>
        </w:sectPr>
      </w:pPr>
    </w:p>
    <w:p>
      <w:pPr>
        <w:pStyle w:val="BodyText"/>
        <w:spacing w:line="240" w:lineRule="auto" w:before="8"/>
        <w:ind w:left="1118" w:right="190"/>
        <w:jc w:val="left"/>
      </w:pPr>
      <w:bookmarkStart w:name="四、公司投资情况" w:id="23"/>
      <w:bookmarkEnd w:id="23"/>
      <w:r>
        <w:rPr/>
      </w:r>
      <w:bookmarkStart w:name="五、公允价值计量项目相关情况及持有外币金融资产和金融负债情况" w:id="24"/>
      <w:bookmarkEnd w:id="24"/>
      <w:r>
        <w:rPr/>
      </w:r>
      <w:r>
        <w:rPr>
          <w:rFonts w:ascii="Times New Roman" w:hAnsi="Times New Roman" w:cs="Times New Roman" w:eastAsia="Times New Roman" w:hint="default"/>
        </w:rPr>
        <w:t>5</w:t>
      </w:r>
      <w:r>
        <w:rPr/>
        <w:t>、继续推进内部控制建设工作，规范内部控制制度执行，强化内部控制监督检查。</w:t>
      </w:r>
    </w:p>
    <w:p>
      <w:pPr>
        <w:pStyle w:val="BodyText"/>
        <w:spacing w:line="240" w:lineRule="auto" w:before="110"/>
        <w:ind w:left="1118" w:right="190"/>
        <w:jc w:val="left"/>
      </w:pPr>
      <w:r>
        <w:rPr>
          <w:rFonts w:ascii="Times New Roman" w:hAnsi="Times New Roman" w:cs="Times New Roman" w:eastAsia="Times New Roman" w:hint="default"/>
        </w:rPr>
        <w:t>6</w:t>
      </w:r>
      <w:r>
        <w:rPr/>
        <w:t>、加强人才队伍建设，加大人才的储备和培养力度，打造适应房地产发展的人才结构。</w:t>
      </w:r>
    </w:p>
    <w:p>
      <w:pPr>
        <w:pStyle w:val="BodyText"/>
        <w:spacing w:line="328" w:lineRule="auto" w:before="110"/>
        <w:ind w:left="716" w:right="190" w:firstLine="401"/>
        <w:jc w:val="left"/>
      </w:pPr>
      <w:r>
        <w:rPr>
          <w:rFonts w:ascii="Times New Roman" w:hAnsi="Times New Roman" w:cs="Times New Roman" w:eastAsia="Times New Roman" w:hint="default"/>
          <w:spacing w:val="-2"/>
        </w:rPr>
        <w:t>7</w:t>
      </w:r>
      <w:r>
        <w:rPr>
          <w:spacing w:val="-2"/>
        </w:rPr>
        <w:t>、以住宅开发为主，丰富产品系列，提升产品品质，推广“宝安地产”的品牌形象，扩大</w:t>
      </w:r>
      <w:r>
        <w:rPr>
          <w:w w:val="99"/>
        </w:rPr>
        <w:t> </w:t>
      </w:r>
      <w:r>
        <w:rPr/>
        <w:t>市场影响力。</w:t>
      </w:r>
    </w:p>
    <w:p>
      <w:pPr>
        <w:pStyle w:val="BodyText"/>
        <w:spacing w:line="331" w:lineRule="auto" w:before="48"/>
        <w:ind w:left="716" w:right="190" w:firstLine="401"/>
        <w:jc w:val="left"/>
      </w:pPr>
      <w:r>
        <w:rPr>
          <w:rFonts w:ascii="Times New Roman" w:hAnsi="Times New Roman" w:cs="Times New Roman" w:eastAsia="Times New Roman" w:hint="default"/>
          <w:spacing w:val="-7"/>
          <w:w w:val="99"/>
        </w:rPr>
        <w:t>8</w:t>
      </w:r>
      <w:r>
        <w:rPr>
          <w:spacing w:val="-7"/>
          <w:w w:val="99"/>
        </w:rPr>
        <w:t>、全面开展“标杆管理”、“加减法”以及“三力（压力、动力、活力）系统”，建立“凡</w:t>
      </w:r>
      <w:r>
        <w:rPr>
          <w:w w:val="99"/>
        </w:rPr>
        <w:t> </w:t>
      </w:r>
      <w:r>
        <w:rPr/>
        <w:t>事有制度、制度有流程、流程有约束”的管理模式。</w:t>
      </w:r>
    </w:p>
    <w:p>
      <w:pPr>
        <w:pStyle w:val="BodyText"/>
        <w:spacing w:line="240" w:lineRule="auto" w:before="43"/>
        <w:ind w:left="1128" w:right="190"/>
        <w:jc w:val="left"/>
      </w:pPr>
      <w:r>
        <w:rPr>
          <w:rFonts w:ascii="Times New Roman" w:hAnsi="Times New Roman" w:cs="Times New Roman" w:eastAsia="Times New Roman" w:hint="default"/>
        </w:rPr>
        <w:t>9</w:t>
      </w:r>
      <w:r>
        <w:rPr/>
        <w:t>、继续加大历史债权债务及代持法人股相关款项的追收工作。</w:t>
      </w:r>
    </w:p>
    <w:p>
      <w:pPr>
        <w:spacing w:line="240" w:lineRule="auto" w:before="2"/>
        <w:rPr>
          <w:rFonts w:ascii="宋体" w:hAnsi="宋体" w:cs="宋体" w:eastAsia="宋体" w:hint="default"/>
          <w:sz w:val="23"/>
          <w:szCs w:val="23"/>
        </w:rPr>
      </w:pPr>
    </w:p>
    <w:p>
      <w:pPr>
        <w:pStyle w:val="Heading4"/>
        <w:spacing w:line="240" w:lineRule="auto"/>
        <w:ind w:left="716" w:right="190"/>
        <w:jc w:val="left"/>
      </w:pPr>
      <w:r>
        <w:rPr/>
        <w:t>四、公司投资情况</w:t>
      </w:r>
    </w:p>
    <w:p>
      <w:pPr>
        <w:spacing w:line="240" w:lineRule="auto" w:before="7"/>
        <w:rPr>
          <w:rFonts w:ascii="宋体" w:hAnsi="宋体" w:cs="宋体" w:eastAsia="宋体" w:hint="default"/>
          <w:sz w:val="28"/>
          <w:szCs w:val="28"/>
        </w:rPr>
      </w:pPr>
    </w:p>
    <w:p>
      <w:pPr>
        <w:pStyle w:val="BodyText"/>
        <w:spacing w:line="240" w:lineRule="auto"/>
        <w:ind w:left="1137" w:right="190"/>
        <w:jc w:val="left"/>
      </w:pPr>
      <w:r>
        <w:rPr>
          <w:rFonts w:ascii="Times New Roman" w:hAnsi="Times New Roman" w:cs="Times New Roman" w:eastAsia="Times New Roman" w:hint="default"/>
        </w:rPr>
        <w:t>1</w:t>
      </w:r>
      <w:r>
        <w:rPr/>
        <w:t>、报告期内没有募集资金，也没有报告期前的募集资金延续到报告期内的投资项目使用。</w:t>
      </w:r>
    </w:p>
    <w:p>
      <w:pPr>
        <w:pStyle w:val="BodyText"/>
        <w:spacing w:line="240" w:lineRule="auto" w:before="107"/>
        <w:ind w:left="1137" w:right="190"/>
        <w:jc w:val="left"/>
      </w:pPr>
      <w:r>
        <w:rPr>
          <w:rFonts w:ascii="Times New Roman" w:hAnsi="Times New Roman" w:cs="Times New Roman" w:eastAsia="Times New Roman" w:hint="default"/>
        </w:rPr>
        <w:t>2</w:t>
      </w:r>
      <w:r>
        <w:rPr/>
        <w:t>、报告期内非募集资金的投资情况</w:t>
      </w:r>
    </w:p>
    <w:p>
      <w:pPr>
        <w:pStyle w:val="BodyText"/>
        <w:spacing w:line="240" w:lineRule="auto" w:before="110"/>
        <w:ind w:left="1137" w:right="190"/>
        <w:jc w:val="left"/>
      </w:pPr>
      <w:r>
        <w:rPr/>
        <w:t>本年度，公司投资总额约为</w:t>
      </w:r>
      <w:r>
        <w:rPr>
          <w:spacing w:val="-52"/>
        </w:rPr>
        <w:t> </w:t>
      </w:r>
      <w:r>
        <w:rPr>
          <w:rFonts w:ascii="Times New Roman" w:hAnsi="Times New Roman" w:cs="Times New Roman" w:eastAsia="Times New Roman" w:hint="default"/>
        </w:rPr>
        <w:t>75,669</w:t>
      </w:r>
      <w:r>
        <w:rPr>
          <w:rFonts w:ascii="Times New Roman" w:hAnsi="Times New Roman" w:cs="Times New Roman" w:eastAsia="Times New Roman" w:hint="default"/>
          <w:spacing w:val="4"/>
        </w:rPr>
        <w:t> </w:t>
      </w:r>
      <w:r>
        <w:rPr/>
        <w:t>万元，主要用于下列投资项目：</w:t>
      </w:r>
    </w:p>
    <w:p>
      <w:pPr>
        <w:spacing w:line="240" w:lineRule="auto" w:before="9"/>
        <w:rPr>
          <w:rFonts w:ascii="宋体" w:hAnsi="宋体" w:cs="宋体" w:eastAsia="宋体" w:hint="default"/>
          <w:sz w:val="7"/>
          <w:szCs w:val="7"/>
        </w:rPr>
      </w:pPr>
    </w:p>
    <w:tbl>
      <w:tblPr>
        <w:tblW w:w="0" w:type="auto"/>
        <w:jc w:val="left"/>
        <w:tblInd w:w="681" w:type="dxa"/>
        <w:tblLayout w:type="fixed"/>
        <w:tblCellMar>
          <w:top w:w="0" w:type="dxa"/>
          <w:left w:w="0" w:type="dxa"/>
          <w:bottom w:w="0" w:type="dxa"/>
          <w:right w:w="0" w:type="dxa"/>
        </w:tblCellMar>
        <w:tblLook w:val="01E0"/>
      </w:tblPr>
      <w:tblGrid>
        <w:gridCol w:w="2132"/>
        <w:gridCol w:w="2164"/>
        <w:gridCol w:w="2550"/>
        <w:gridCol w:w="1838"/>
      </w:tblGrid>
      <w:tr>
        <w:trPr>
          <w:trHeight w:val="787"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p>
            <w:pPr>
              <w:pStyle w:val="TableParagraph"/>
              <w:spacing w:line="240" w:lineRule="auto" w:before="144"/>
              <w:ind w:left="35" w:right="0"/>
              <w:jc w:val="left"/>
              <w:rPr>
                <w:rFonts w:ascii="宋体" w:hAnsi="宋体" w:cs="宋体" w:eastAsia="宋体" w:hint="default"/>
                <w:sz w:val="18"/>
                <w:szCs w:val="18"/>
              </w:rPr>
            </w:pPr>
            <w:r>
              <w:rPr>
                <w:rFonts w:ascii="宋体" w:hAnsi="宋体" w:cs="宋体" w:eastAsia="宋体" w:hint="default"/>
                <w:sz w:val="18"/>
                <w:szCs w:val="18"/>
              </w:rPr>
              <w:t>西安“鸿基</w:t>
            </w:r>
            <w:r>
              <w:rPr>
                <w:rFonts w:ascii="Times New Roman" w:hAnsi="Times New Roman" w:cs="Times New Roman" w:eastAsia="Times New Roman" w:hint="default"/>
                <w:sz w:val="18"/>
                <w:szCs w:val="18"/>
              </w:rPr>
              <w:t>·</w:t>
            </w:r>
            <w:r>
              <w:rPr>
                <w:rFonts w:ascii="宋体" w:hAnsi="宋体" w:cs="宋体" w:eastAsia="宋体" w:hint="default"/>
                <w:sz w:val="18"/>
                <w:szCs w:val="18"/>
              </w:rPr>
              <w:t>紫韵”项目</w:t>
            </w:r>
          </w:p>
        </w:tc>
        <w:tc>
          <w:tcPr>
            <w:tcW w:w="2164" w:type="dxa"/>
            <w:tcBorders>
              <w:top w:val="nil" w:sz="6" w:space="0" w:color="auto"/>
              <w:left w:val="nil" w:sz="6" w:space="0" w:color="auto"/>
              <w:bottom w:val="nil" w:sz="6" w:space="0" w:color="auto"/>
              <w:right w:val="nil" w:sz="6" w:space="0" w:color="auto"/>
            </w:tcBorders>
          </w:tcPr>
          <w:p>
            <w:pPr>
              <w:pStyle w:val="TableParagraph"/>
              <w:spacing w:line="300" w:lineRule="exact"/>
              <w:ind w:left="249"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本年度投资金额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6"/>
              <w:jc w:val="center"/>
              <w:rPr>
                <w:rFonts w:ascii="Times New Roman" w:hAnsi="Times New Roman" w:cs="Times New Roman" w:eastAsia="Times New Roman" w:hint="default"/>
                <w:sz w:val="18"/>
                <w:szCs w:val="18"/>
              </w:rPr>
            </w:pPr>
            <w:r>
              <w:rPr>
                <w:rFonts w:ascii="Times New Roman"/>
                <w:sz w:val="18"/>
              </w:rPr>
              <w:t>34,798</w:t>
            </w:r>
          </w:p>
        </w:tc>
        <w:tc>
          <w:tcPr>
            <w:tcW w:w="2550" w:type="dxa"/>
            <w:tcBorders>
              <w:top w:val="nil" w:sz="6" w:space="0" w:color="auto"/>
              <w:left w:val="nil" w:sz="6" w:space="0" w:color="auto"/>
              <w:bottom w:val="nil" w:sz="6" w:space="0" w:color="auto"/>
              <w:right w:val="nil" w:sz="6" w:space="0" w:color="auto"/>
            </w:tcBorders>
          </w:tcPr>
          <w:p>
            <w:pPr>
              <w:pStyle w:val="TableParagraph"/>
              <w:spacing w:line="300" w:lineRule="exact"/>
              <w:ind w:left="6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项目进度</w:t>
            </w:r>
            <w:r>
              <w:rPr>
                <w:rFonts w:ascii="Microsoft JhengHei" w:hAnsi="Microsoft JhengHei" w:cs="Microsoft JhengHei" w:eastAsia="Microsoft JhengHei" w:hint="default"/>
                <w:sz w:val="18"/>
                <w:szCs w:val="18"/>
              </w:rPr>
            </w:r>
          </w:p>
          <w:p>
            <w:pPr>
              <w:pStyle w:val="TableParagraph"/>
              <w:spacing w:line="240" w:lineRule="auto" w:before="144"/>
              <w:ind w:left="158" w:right="0"/>
              <w:jc w:val="left"/>
              <w:rPr>
                <w:rFonts w:ascii="宋体" w:hAnsi="宋体" w:cs="宋体" w:eastAsia="宋体" w:hint="default"/>
                <w:sz w:val="18"/>
                <w:szCs w:val="18"/>
              </w:rPr>
            </w:pPr>
            <w:r>
              <w:rPr>
                <w:rFonts w:ascii="宋体" w:hAnsi="宋体" w:cs="宋体" w:eastAsia="宋体" w:hint="default"/>
                <w:sz w:val="18"/>
                <w:szCs w:val="18"/>
              </w:rPr>
              <w:t>参见“报告期内公司经营</w:t>
            </w:r>
          </w:p>
        </w:tc>
        <w:tc>
          <w:tcPr>
            <w:tcW w:w="1838" w:type="dxa"/>
            <w:tcBorders>
              <w:top w:val="nil" w:sz="6" w:space="0" w:color="auto"/>
              <w:left w:val="nil" w:sz="6" w:space="0" w:color="auto"/>
              <w:bottom w:val="nil" w:sz="6" w:space="0" w:color="auto"/>
              <w:right w:val="nil" w:sz="6" w:space="0" w:color="auto"/>
            </w:tcBorders>
          </w:tcPr>
          <w:p>
            <w:pPr>
              <w:pStyle w:val="TableParagraph"/>
              <w:spacing w:line="300" w:lineRule="exact"/>
              <w:ind w:left="406" w:right="0" w:firstLine="4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本年度收益情况</w:t>
            </w:r>
            <w:r>
              <w:rPr>
                <w:rFonts w:ascii="Microsoft JhengHei" w:hAnsi="Microsoft JhengHei" w:cs="Microsoft JhengHei" w:eastAsia="Microsoft JhengHei" w:hint="default"/>
                <w:sz w:val="18"/>
                <w:szCs w:val="18"/>
              </w:rPr>
            </w:r>
          </w:p>
          <w:p>
            <w:pPr>
              <w:pStyle w:val="TableParagraph"/>
              <w:spacing w:line="240" w:lineRule="auto" w:before="144"/>
              <w:ind w:left="4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9,485.30</w:t>
            </w:r>
          </w:p>
        </w:tc>
      </w:tr>
      <w:tr>
        <w:trPr>
          <w:trHeight w:val="405" w:hRule="exact"/>
        </w:trPr>
        <w:tc>
          <w:tcPr>
            <w:tcW w:w="2132"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1"/>
              <w:jc w:val="center"/>
              <w:rPr>
                <w:rFonts w:ascii="宋体" w:hAnsi="宋体" w:cs="宋体" w:eastAsia="宋体" w:hint="default"/>
                <w:sz w:val="20"/>
                <w:szCs w:val="20"/>
              </w:rPr>
            </w:pPr>
            <w:r>
              <w:rPr>
                <w:rFonts w:ascii="宋体" w:hAnsi="宋体" w:cs="宋体" w:eastAsia="宋体" w:hint="default"/>
                <w:sz w:val="18"/>
                <w:szCs w:val="18"/>
              </w:rPr>
              <w:t>情况”</w:t>
            </w:r>
            <w:r>
              <w:rPr>
                <w:rFonts w:ascii="宋体" w:hAnsi="宋体" w:cs="宋体" w:eastAsia="宋体" w:hint="default"/>
                <w:sz w:val="20"/>
                <w:szCs w:val="20"/>
              </w:rPr>
              <w:t>之相关内容</w:t>
            </w:r>
          </w:p>
        </w:tc>
        <w:tc>
          <w:tcPr>
            <w:tcW w:w="1838" w:type="dxa"/>
            <w:tcBorders>
              <w:top w:val="nil" w:sz="6" w:space="0" w:color="auto"/>
              <w:left w:val="nil" w:sz="6" w:space="0" w:color="auto"/>
              <w:bottom w:val="nil" w:sz="6" w:space="0" w:color="auto"/>
              <w:right w:val="nil" w:sz="6" w:space="0" w:color="auto"/>
            </w:tcBorders>
          </w:tcPr>
          <w:p>
            <w:pPr/>
          </w:p>
        </w:tc>
      </w:tr>
      <w:tr>
        <w:trPr>
          <w:trHeight w:val="403"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东莞宝安</w:t>
            </w:r>
            <w:r>
              <w:rPr>
                <w:rFonts w:ascii="Times New Roman" w:hAnsi="Times New Roman" w:cs="Times New Roman" w:eastAsia="Times New Roman" w:hint="default"/>
                <w:sz w:val="18"/>
                <w:szCs w:val="18"/>
              </w:rPr>
              <w:t>•</w:t>
            </w:r>
            <w:r>
              <w:rPr>
                <w:rFonts w:ascii="宋体" w:hAnsi="宋体" w:cs="宋体" w:eastAsia="宋体" w:hint="default"/>
                <w:sz w:val="18"/>
                <w:szCs w:val="18"/>
              </w:rPr>
              <w:t>山水江南</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61" w:right="0"/>
              <w:jc w:val="left"/>
              <w:rPr>
                <w:rFonts w:ascii="Times New Roman" w:hAnsi="Times New Roman" w:cs="Times New Roman" w:eastAsia="Times New Roman" w:hint="default"/>
                <w:sz w:val="18"/>
                <w:szCs w:val="18"/>
              </w:rPr>
            </w:pPr>
            <w:r>
              <w:rPr>
                <w:rFonts w:ascii="Times New Roman"/>
                <w:sz w:val="18"/>
              </w:rPr>
              <w:t>27,931</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8"/>
              <w:jc w:val="center"/>
              <w:rPr>
                <w:rFonts w:ascii="宋体" w:hAnsi="宋体" w:cs="宋体" w:eastAsia="宋体" w:hint="default"/>
                <w:sz w:val="18"/>
                <w:szCs w:val="18"/>
              </w:rPr>
            </w:pPr>
            <w:r>
              <w:rPr>
                <w:rFonts w:ascii="宋体" w:hAnsi="宋体" w:cs="宋体" w:eastAsia="宋体" w:hint="default"/>
                <w:sz w:val="18"/>
                <w:szCs w:val="18"/>
              </w:rPr>
              <w:t>同上</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-330.50</w:t>
            </w:r>
          </w:p>
        </w:tc>
      </w:tr>
      <w:tr>
        <w:trPr>
          <w:trHeight w:val="393"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湘潭宝安</w:t>
            </w:r>
            <w:r>
              <w:rPr>
                <w:rFonts w:ascii="Times New Roman" w:hAnsi="Times New Roman" w:cs="Times New Roman" w:eastAsia="Times New Roman" w:hint="default"/>
                <w:sz w:val="18"/>
                <w:szCs w:val="18"/>
              </w:rPr>
              <w:t>•</w:t>
            </w:r>
            <w:r>
              <w:rPr>
                <w:rFonts w:ascii="宋体" w:hAnsi="宋体" w:cs="宋体" w:eastAsia="宋体" w:hint="default"/>
                <w:sz w:val="18"/>
                <w:szCs w:val="18"/>
              </w:rPr>
              <w:t>江南城</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61" w:right="0"/>
              <w:jc w:val="left"/>
              <w:rPr>
                <w:rFonts w:ascii="Times New Roman" w:hAnsi="Times New Roman" w:cs="Times New Roman" w:eastAsia="Times New Roman" w:hint="default"/>
                <w:sz w:val="18"/>
                <w:szCs w:val="18"/>
              </w:rPr>
            </w:pPr>
            <w:r>
              <w:rPr>
                <w:rFonts w:ascii="Times New Roman"/>
                <w:sz w:val="18"/>
              </w:rPr>
              <w:t>12,940</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8"/>
              <w:jc w:val="center"/>
              <w:rPr>
                <w:rFonts w:ascii="宋体" w:hAnsi="宋体" w:cs="宋体" w:eastAsia="宋体" w:hint="default"/>
                <w:sz w:val="18"/>
                <w:szCs w:val="18"/>
              </w:rPr>
            </w:pPr>
            <w:r>
              <w:rPr>
                <w:rFonts w:ascii="宋体" w:hAnsi="宋体" w:cs="宋体" w:eastAsia="宋体" w:hint="default"/>
                <w:sz w:val="18"/>
                <w:szCs w:val="18"/>
              </w:rPr>
              <w:t>同上</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-45.67</w:t>
            </w:r>
          </w:p>
        </w:tc>
      </w:tr>
    </w:tbl>
    <w:p>
      <w:pPr>
        <w:spacing w:line="240" w:lineRule="auto" w:before="4"/>
        <w:rPr>
          <w:rFonts w:ascii="宋体" w:hAnsi="宋体" w:cs="宋体" w:eastAsia="宋体" w:hint="default"/>
          <w:sz w:val="14"/>
          <w:szCs w:val="14"/>
        </w:rPr>
      </w:pPr>
    </w:p>
    <w:p>
      <w:pPr>
        <w:pStyle w:val="Heading4"/>
        <w:spacing w:line="240" w:lineRule="auto" w:before="26"/>
        <w:ind w:left="716" w:right="0"/>
        <w:jc w:val="both"/>
      </w:pPr>
      <w:r>
        <w:rPr/>
        <w:t>五、公允价值计量项目相关情况及持有外币金融资产和金融负债情况</w:t>
      </w:r>
    </w:p>
    <w:p>
      <w:pPr>
        <w:spacing w:line="240" w:lineRule="auto" w:before="7"/>
        <w:rPr>
          <w:rFonts w:ascii="宋体" w:hAnsi="宋体" w:cs="宋体" w:eastAsia="宋体" w:hint="default"/>
          <w:sz w:val="28"/>
          <w:szCs w:val="28"/>
        </w:rPr>
      </w:pPr>
    </w:p>
    <w:p>
      <w:pPr>
        <w:pStyle w:val="BodyText"/>
        <w:spacing w:line="348" w:lineRule="auto"/>
        <w:ind w:left="716" w:right="736"/>
        <w:jc w:val="both"/>
        <w:rPr>
          <w:rFonts w:ascii="宋体" w:hAnsi="宋体" w:cs="宋体" w:eastAsia="宋体" w:hint="default"/>
        </w:rPr>
      </w:pPr>
      <w:r>
        <w:rPr>
          <w:rFonts w:ascii="宋体" w:hAnsi="宋体" w:cs="宋体" w:eastAsia="宋体" w:hint="default"/>
        </w:rPr>
        <w:t>（一）公司持有的可供出售金融资产主要包括公司持有的其他上市公司法人股，该等股份已取</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得股改流通权，包括尚处于被限制流通的股份。可供出售金融资产以公允价值进行后续计量，</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公允价值变动计入资本公积。</w:t>
      </w:r>
    </w:p>
    <w:p>
      <w:pPr>
        <w:pStyle w:val="BodyText"/>
        <w:spacing w:line="240" w:lineRule="auto" w:before="31"/>
        <w:ind w:left="0" w:right="626"/>
        <w:jc w:val="right"/>
        <w:rPr>
          <w:rFonts w:ascii="宋体" w:hAnsi="宋体" w:cs="宋体" w:eastAsia="宋体" w:hint="default"/>
        </w:rPr>
      </w:pPr>
      <w:r>
        <w:rPr>
          <w:rFonts w:ascii="宋体" w:hAnsi="宋体" w:cs="宋体" w:eastAsia="宋体" w:hint="default"/>
          <w:spacing w:val="2"/>
          <w:w w:val="99"/>
        </w:rPr>
        <w:t>（</w:t>
      </w:r>
      <w:r>
        <w:rPr>
          <w:rFonts w:ascii="宋体" w:hAnsi="宋体" w:cs="宋体" w:eastAsia="宋体" w:hint="default"/>
          <w:w w:val="99"/>
        </w:rPr>
        <w:t>单位</w:t>
      </w:r>
      <w:r>
        <w:rPr>
          <w:rFonts w:ascii="宋体" w:hAnsi="宋体" w:cs="宋体" w:eastAsia="宋体" w:hint="default"/>
          <w:spacing w:val="-97"/>
          <w:w w:val="99"/>
        </w:rPr>
        <w:t>：</w:t>
      </w:r>
      <w:r>
        <w:rPr>
          <w:rFonts w:ascii="宋体" w:hAnsi="宋体" w:cs="宋体" w:eastAsia="宋体" w:hint="default"/>
          <w:w w:val="99"/>
        </w:rPr>
        <w:t>元）</w:t>
      </w:r>
      <w:r>
        <w:rPr>
          <w:rFonts w:ascii="宋体" w:hAnsi="宋体" w:cs="宋体" w:eastAsia="宋体" w:hint="default"/>
        </w:rPr>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58"/>
        <w:gridCol w:w="1499"/>
        <w:gridCol w:w="1499"/>
        <w:gridCol w:w="1499"/>
        <w:gridCol w:w="1499"/>
        <w:gridCol w:w="1499"/>
      </w:tblGrid>
      <w:tr>
        <w:trPr>
          <w:trHeight w:val="828"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324" w:right="111" w:hanging="212"/>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99"/>
                <w:sz w:val="21"/>
                <w:szCs w:val="21"/>
              </w:rPr>
              <w:t> </w:t>
            </w:r>
            <w:r>
              <w:rPr>
                <w:rFonts w:ascii="宋体" w:hAnsi="宋体" w:cs="宋体" w:eastAsia="宋体" w:hint="default"/>
                <w:sz w:val="21"/>
                <w:szCs w:val="21"/>
              </w:rPr>
              <w:t>变动损益</w:t>
            </w:r>
          </w:p>
        </w:tc>
        <w:tc>
          <w:tcPr>
            <w:tcW w:w="14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7"/>
              <w:ind w:left="639" w:right="111" w:hanging="527"/>
              <w:jc w:val="left"/>
              <w:rPr>
                <w:rFonts w:ascii="宋体" w:hAnsi="宋体" w:cs="宋体" w:eastAsia="宋体" w:hint="default"/>
                <w:sz w:val="21"/>
                <w:szCs w:val="21"/>
              </w:rPr>
            </w:pPr>
            <w:r>
              <w:rPr>
                <w:rFonts w:ascii="宋体" w:hAnsi="宋体" w:cs="宋体" w:eastAsia="宋体" w:hint="default"/>
                <w:sz w:val="21"/>
                <w:szCs w:val="21"/>
              </w:rPr>
              <w:t>计公允价值变</w:t>
            </w:r>
            <w:r>
              <w:rPr>
                <w:rFonts w:ascii="宋体" w:hAnsi="宋体" w:cs="宋体" w:eastAsia="宋体" w:hint="default"/>
                <w:w w:val="99"/>
                <w:sz w:val="21"/>
                <w:szCs w:val="21"/>
              </w:rPr>
              <w:t> </w:t>
            </w:r>
            <w:r>
              <w:rPr>
                <w:rFonts w:ascii="宋体" w:hAnsi="宋体" w:cs="宋体" w:eastAsia="宋体" w:hint="default"/>
                <w:sz w:val="21"/>
                <w:szCs w:val="21"/>
              </w:rPr>
              <w:t>动</w:t>
            </w:r>
          </w:p>
        </w:tc>
        <w:tc>
          <w:tcPr>
            <w:tcW w:w="14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639" w:right="111" w:hanging="527"/>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99"/>
                <w:sz w:val="21"/>
                <w:szCs w:val="21"/>
              </w:rPr>
              <w:t> </w:t>
            </w:r>
            <w:r>
              <w:rPr>
                <w:rFonts w:ascii="宋体" w:hAnsi="宋体" w:cs="宋体" w:eastAsia="宋体" w:hint="default"/>
                <w:sz w:val="21"/>
                <w:szCs w:val="21"/>
              </w:rPr>
              <w:t>值</w:t>
            </w:r>
          </w:p>
        </w:tc>
        <w:tc>
          <w:tcPr>
            <w:tcW w:w="14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1" w:hRule="exact"/>
        </w:trPr>
        <w:tc>
          <w:tcPr>
            <w:tcW w:w="9853" w:type="dxa"/>
            <w:gridSpan w:val="6"/>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828"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w:t>
            </w:r>
          </w:p>
          <w:p>
            <w:pPr>
              <w:pStyle w:val="TableParagraph"/>
              <w:spacing w:line="272" w:lineRule="exact" w:before="19"/>
              <w:ind w:left="24" w:right="216"/>
              <w:jc w:val="left"/>
              <w:rPr>
                <w:rFonts w:ascii="宋体" w:hAnsi="宋体" w:cs="宋体" w:eastAsia="宋体" w:hint="default"/>
                <w:sz w:val="21"/>
                <w:szCs w:val="21"/>
              </w:rPr>
            </w:pPr>
            <w:r>
              <w:rPr>
                <w:rFonts w:ascii="宋体" w:hAnsi="宋体" w:cs="宋体" w:eastAsia="宋体" w:hint="default"/>
                <w:sz w:val="21"/>
                <w:szCs w:val="21"/>
              </w:rPr>
              <w:t>且其变动计入当期损益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的金融资产</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w w:val="95"/>
                <w:sz w:val="21"/>
                <w:szCs w:val="21"/>
              </w:rPr>
              <w:t>其中：衍生金融资产</w:t>
            </w:r>
            <w:r>
              <w:rPr>
                <w:rFonts w:ascii="宋体" w:hAnsi="宋体" w:cs="宋体" w:eastAsia="宋体" w:hint="default"/>
                <w:spacing w:val="-1"/>
                <w:sz w:val="21"/>
                <w:szCs w:val="21"/>
              </w:rPr>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60"/>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41,578,330.24</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22,499,633.26</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33,437,762.52</w:t>
            </w:r>
          </w:p>
        </w:tc>
      </w:tr>
      <w:tr>
        <w:trPr>
          <w:trHeight w:val="283"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41,578,330.24</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22,499,633.26</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33,437,762.52</w:t>
            </w:r>
          </w:p>
        </w:tc>
      </w:tr>
      <w:tr>
        <w:trPr>
          <w:trHeight w:val="281"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41,578,330.24</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22,499,633.26</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33,437,762.52</w:t>
            </w:r>
          </w:p>
        </w:tc>
      </w:tr>
    </w:tbl>
    <w:p>
      <w:pPr>
        <w:spacing w:line="240" w:lineRule="auto" w:before="2"/>
        <w:rPr>
          <w:rFonts w:ascii="宋体" w:hAnsi="宋体" w:cs="宋体" w:eastAsia="宋体" w:hint="default"/>
          <w:sz w:val="13"/>
          <w:szCs w:val="13"/>
        </w:rPr>
      </w:pPr>
    </w:p>
    <w:p>
      <w:pPr>
        <w:pStyle w:val="BodyText"/>
        <w:spacing w:line="240" w:lineRule="auto" w:before="34"/>
        <w:ind w:left="716" w:right="190"/>
        <w:jc w:val="left"/>
        <w:rPr>
          <w:rFonts w:ascii="宋体" w:hAnsi="宋体" w:cs="宋体" w:eastAsia="宋体" w:hint="default"/>
        </w:rPr>
      </w:pPr>
      <w:r>
        <w:rPr>
          <w:rFonts w:ascii="宋体" w:hAnsi="宋体" w:cs="宋体" w:eastAsia="宋体" w:hint="default"/>
        </w:rPr>
        <w:t>（二）公司不存在持有外币金融资产、金融负债情况</w:t>
      </w:r>
    </w:p>
    <w:p>
      <w:pPr>
        <w:spacing w:after="0" w:line="240" w:lineRule="auto"/>
        <w:jc w:val="left"/>
        <w:rPr>
          <w:rFonts w:ascii="宋体" w:hAnsi="宋体" w:cs="宋体" w:eastAsia="宋体" w:hint="default"/>
        </w:rPr>
        <w:sectPr>
          <w:pgSz w:w="11910" w:h="16840"/>
          <w:pgMar w:header="0" w:footer="1007" w:top="1180" w:bottom="1200" w:left="1160" w:right="660"/>
        </w:sectPr>
      </w:pPr>
    </w:p>
    <w:p>
      <w:pPr>
        <w:pStyle w:val="Heading4"/>
        <w:spacing w:line="240" w:lineRule="auto" w:before="5"/>
        <w:ind w:left="216" w:right="0"/>
        <w:jc w:val="left"/>
      </w:pPr>
      <w:bookmarkStart w:name="六、会计政策和会计估计变更以及差错更正的说明" w:id="25"/>
      <w:bookmarkEnd w:id="25"/>
      <w:r>
        <w:rPr/>
      </w:r>
      <w:r>
        <w:rPr/>
        <w:t>六、会计政策和会计估计变更以及差错更正的说明</w:t>
      </w:r>
    </w:p>
    <w:p>
      <w:pPr>
        <w:spacing w:line="240" w:lineRule="auto" w:before="5"/>
        <w:rPr>
          <w:rFonts w:ascii="宋体" w:hAnsi="宋体" w:cs="宋体" w:eastAsia="宋体" w:hint="default"/>
          <w:sz w:val="28"/>
          <w:szCs w:val="28"/>
        </w:rPr>
      </w:pPr>
    </w:p>
    <w:p>
      <w:pPr>
        <w:pStyle w:val="BodyText"/>
        <w:spacing w:line="240" w:lineRule="auto"/>
        <w:ind w:left="637" w:right="0"/>
        <w:jc w:val="left"/>
        <w:rPr>
          <w:rFonts w:ascii="宋体" w:hAnsi="宋体" w:cs="宋体" w:eastAsia="宋体" w:hint="default"/>
        </w:rPr>
      </w:pPr>
      <w:r>
        <w:rPr>
          <w:rFonts w:ascii="宋体" w:hAnsi="宋体" w:cs="宋体" w:eastAsia="宋体" w:hint="default"/>
        </w:rPr>
        <w:t>（一）报告期内，公司会计政策、会计估计变更情况</w:t>
      </w:r>
    </w:p>
    <w:p>
      <w:pPr>
        <w:pStyle w:val="BodyText"/>
        <w:spacing w:line="350" w:lineRule="auto" w:before="123"/>
        <w:ind w:left="637" w:right="0"/>
        <w:jc w:val="left"/>
      </w:pPr>
      <w:r>
        <w:rPr/>
        <w:t>一、本期会计估计变更事项</w:t>
      </w:r>
      <w:r>
        <w:rPr>
          <w:spacing w:val="-102"/>
        </w:rPr>
        <w:t> </w:t>
      </w:r>
      <w:r>
        <w:rPr>
          <w:spacing w:val="-102"/>
        </w:rPr>
      </w:r>
      <w:r>
        <w:rPr/>
        <w:t>为了能够更加公允、恰当地反映本公司的财务状况和经营成果，使固定资产折旧年限与其</w:t>
      </w:r>
    </w:p>
    <w:p>
      <w:pPr>
        <w:pStyle w:val="BodyText"/>
        <w:spacing w:line="348" w:lineRule="auto" w:before="29"/>
        <w:ind w:left="216" w:right="0"/>
        <w:jc w:val="left"/>
      </w:pPr>
      <w:r>
        <w:rPr/>
        <w:t>实际使用寿命更加接近，公司依照会计准则等相关会计及税务法规的规定，结合公司的实际情</w:t>
      </w:r>
      <w:r>
        <w:rPr>
          <w:spacing w:val="-93"/>
        </w:rPr>
        <w:t> </w:t>
      </w:r>
      <w:r>
        <w:rPr>
          <w:spacing w:val="-93"/>
        </w:rPr>
      </w:r>
      <w:r>
        <w:rPr/>
        <w:t>况，对固定资产的预计使用寿命、预计净残值进行会计估计变更：</w:t>
      </w:r>
    </w:p>
    <w:p>
      <w:pPr>
        <w:pStyle w:val="BodyText"/>
        <w:tabs>
          <w:tab w:pos="1053" w:val="left" w:leader="none"/>
        </w:tabs>
        <w:spacing w:line="240" w:lineRule="auto" w:before="139"/>
        <w:ind w:left="0" w:right="44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18"/>
        <w:gridCol w:w="2086"/>
        <w:gridCol w:w="2502"/>
        <w:gridCol w:w="1574"/>
      </w:tblGrid>
      <w:tr>
        <w:trPr>
          <w:trHeight w:val="552"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12" w:right="0"/>
              <w:jc w:val="left"/>
              <w:rPr>
                <w:rFonts w:ascii="宋体" w:hAnsi="宋体" w:cs="宋体" w:eastAsia="宋体" w:hint="default"/>
                <w:sz w:val="21"/>
                <w:szCs w:val="21"/>
              </w:rPr>
            </w:pPr>
            <w:r>
              <w:rPr>
                <w:rFonts w:ascii="宋体" w:hAnsi="宋体" w:cs="宋体" w:eastAsia="宋体" w:hint="default"/>
                <w:sz w:val="21"/>
                <w:szCs w:val="21"/>
              </w:rPr>
              <w:t>会计估计变更的内容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15"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511" w:hRule="exact"/>
        </w:trPr>
        <w:tc>
          <w:tcPr>
            <w:tcW w:w="2918" w:type="dxa"/>
            <w:vMerge w:val="restart"/>
            <w:tcBorders>
              <w:top w:val="single" w:sz="4" w:space="0" w:color="000000"/>
              <w:left w:val="nil" w:sz="6" w:space="0" w:color="auto"/>
              <w:right w:val="single" w:sz="4" w:space="0" w:color="000000"/>
            </w:tcBorders>
          </w:tcPr>
          <w:p>
            <w:pPr>
              <w:pStyle w:val="TableParagraph"/>
              <w:spacing w:line="502" w:lineRule="exact" w:before="37"/>
              <w:ind w:left="110" w:right="101"/>
              <w:jc w:val="left"/>
              <w:rPr>
                <w:rFonts w:ascii="宋体" w:hAnsi="宋体" w:cs="宋体" w:eastAsia="宋体" w:hint="default"/>
                <w:sz w:val="21"/>
                <w:szCs w:val="21"/>
              </w:rPr>
            </w:pPr>
            <w:r>
              <w:rPr>
                <w:rFonts w:ascii="宋体" w:hAnsi="宋体" w:cs="宋体" w:eastAsia="宋体" w:hint="default"/>
                <w:spacing w:val="-2"/>
                <w:sz w:val="21"/>
                <w:szCs w:val="21"/>
              </w:rPr>
              <w:t>固定资产的预计使用寿命、预</w:t>
            </w:r>
            <w:r>
              <w:rPr>
                <w:rFonts w:ascii="宋体" w:hAnsi="宋体" w:cs="宋体" w:eastAsia="宋体" w:hint="default"/>
                <w:w w:val="99"/>
                <w:sz w:val="21"/>
                <w:szCs w:val="21"/>
              </w:rPr>
              <w:t> </w:t>
            </w:r>
            <w:r>
              <w:rPr>
                <w:rFonts w:ascii="宋体" w:hAnsi="宋体" w:cs="宋体" w:eastAsia="宋体" w:hint="default"/>
                <w:sz w:val="21"/>
                <w:szCs w:val="21"/>
              </w:rPr>
              <w:t>计净残值</w:t>
            </w:r>
          </w:p>
        </w:tc>
        <w:tc>
          <w:tcPr>
            <w:tcW w:w="2086" w:type="dxa"/>
            <w:vMerge w:val="restart"/>
            <w:tcBorders>
              <w:top w:val="single" w:sz="4" w:space="0" w:color="000000"/>
              <w:left w:val="single" w:sz="4" w:space="0" w:color="000000"/>
              <w:right w:val="single" w:sz="4" w:space="0" w:color="000000"/>
            </w:tcBorders>
          </w:tcPr>
          <w:p>
            <w:pPr>
              <w:pStyle w:val="TableParagraph"/>
              <w:spacing w:line="502" w:lineRule="exact" w:before="37"/>
              <w:ind w:left="103" w:right="101"/>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六</w:t>
            </w:r>
            <w:r>
              <w:rPr>
                <w:rFonts w:ascii="宋体" w:hAnsi="宋体" w:cs="宋体" w:eastAsia="宋体" w:hint="default"/>
                <w:spacing w:val="-80"/>
                <w:sz w:val="21"/>
                <w:szCs w:val="21"/>
              </w:rPr>
              <w:t> </w:t>
            </w:r>
            <w:r>
              <w:rPr>
                <w:rFonts w:ascii="宋体" w:hAnsi="宋体" w:cs="宋体" w:eastAsia="宋体" w:hint="default"/>
                <w:sz w:val="21"/>
                <w:szCs w:val="21"/>
              </w:rPr>
              <w:t>届</w:t>
            </w:r>
            <w:r>
              <w:rPr>
                <w:rFonts w:ascii="宋体" w:hAnsi="宋体" w:cs="宋体" w:eastAsia="宋体" w:hint="default"/>
                <w:spacing w:val="-78"/>
                <w:sz w:val="21"/>
                <w:szCs w:val="21"/>
              </w:rPr>
              <w:t> </w:t>
            </w:r>
            <w:r>
              <w:rPr>
                <w:rFonts w:ascii="宋体" w:hAnsi="宋体" w:cs="宋体" w:eastAsia="宋体" w:hint="default"/>
                <w:sz w:val="21"/>
                <w:szCs w:val="21"/>
              </w:rPr>
              <w:t>董</w:t>
            </w:r>
            <w:r>
              <w:rPr>
                <w:rFonts w:ascii="宋体" w:hAnsi="宋体" w:cs="宋体" w:eastAsia="宋体" w:hint="default"/>
                <w:spacing w:val="-80"/>
                <w:sz w:val="21"/>
                <w:szCs w:val="21"/>
              </w:rPr>
              <w:t> </w:t>
            </w:r>
            <w:r>
              <w:rPr>
                <w:rFonts w:ascii="宋体" w:hAnsi="宋体" w:cs="宋体" w:eastAsia="宋体" w:hint="default"/>
                <w:sz w:val="21"/>
                <w:szCs w:val="21"/>
              </w:rPr>
              <w:t>事</w:t>
            </w:r>
            <w:r>
              <w:rPr>
                <w:rFonts w:ascii="宋体" w:hAnsi="宋体" w:cs="宋体" w:eastAsia="宋体" w:hint="default"/>
                <w:spacing w:val="-78"/>
                <w:sz w:val="21"/>
                <w:szCs w:val="21"/>
              </w:rPr>
              <w:t> </w:t>
            </w:r>
            <w:r>
              <w:rPr>
                <w:rFonts w:ascii="宋体" w:hAnsi="宋体" w:cs="宋体" w:eastAsia="宋体" w:hint="default"/>
                <w:sz w:val="21"/>
                <w:szCs w:val="21"/>
              </w:rPr>
              <w:t>局</w:t>
            </w:r>
            <w:r>
              <w:rPr>
                <w:rFonts w:ascii="宋体" w:hAnsi="宋体" w:cs="宋体" w:eastAsia="宋体" w:hint="default"/>
                <w:spacing w:val="-80"/>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八</w:t>
            </w:r>
            <w:r>
              <w:rPr>
                <w:rFonts w:ascii="宋体" w:hAnsi="宋体" w:cs="宋体" w:eastAsia="宋体" w:hint="default"/>
                <w:w w:val="99"/>
                <w:sz w:val="21"/>
                <w:szCs w:val="21"/>
              </w:rPr>
              <w:t> </w:t>
            </w:r>
            <w:r>
              <w:rPr>
                <w:rFonts w:ascii="宋体" w:hAnsi="宋体" w:cs="宋体" w:eastAsia="宋体" w:hint="default"/>
                <w:sz w:val="21"/>
                <w:szCs w:val="21"/>
              </w:rPr>
              <w:t>次定期会议审批</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-1,183,400</w:t>
            </w:r>
          </w:p>
        </w:tc>
      </w:tr>
      <w:tr>
        <w:trPr>
          <w:trHeight w:val="509" w:hRule="exact"/>
        </w:trPr>
        <w:tc>
          <w:tcPr>
            <w:tcW w:w="2918" w:type="dxa"/>
            <w:vMerge/>
            <w:tcBorders>
              <w:left w:val="nil" w:sz="6" w:space="0" w:color="auto"/>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-1,183,400</w:t>
            </w:r>
          </w:p>
        </w:tc>
      </w:tr>
    </w:tbl>
    <w:p>
      <w:pPr>
        <w:spacing w:line="240" w:lineRule="auto" w:before="4"/>
        <w:rPr>
          <w:rFonts w:ascii="宋体" w:hAnsi="宋体" w:cs="宋体" w:eastAsia="宋体" w:hint="default"/>
          <w:sz w:val="9"/>
          <w:szCs w:val="9"/>
        </w:rPr>
      </w:pPr>
    </w:p>
    <w:p>
      <w:pPr>
        <w:pStyle w:val="BodyText"/>
        <w:spacing w:line="240" w:lineRule="auto" w:before="34"/>
        <w:ind w:left="637" w:right="0"/>
        <w:jc w:val="left"/>
      </w:pPr>
      <w:r>
        <w:rPr/>
        <w:t>会计估计变更具体情况：</w:t>
      </w:r>
    </w:p>
    <w:p>
      <w:pPr>
        <w:spacing w:line="240" w:lineRule="auto" w:before="0"/>
        <w:rPr>
          <w:rFonts w:ascii="宋体" w:hAnsi="宋体" w:cs="宋体" w:eastAsia="宋体" w:hint="default"/>
          <w:sz w:val="14"/>
          <w:szCs w:val="14"/>
        </w:rPr>
      </w:pPr>
    </w:p>
    <w:p>
      <w:pPr>
        <w:pStyle w:val="BodyText"/>
        <w:spacing w:line="240" w:lineRule="auto"/>
        <w:ind w:left="637" w:right="0"/>
        <w:jc w:val="left"/>
      </w:pPr>
      <w:r>
        <w:rPr/>
        <w:t>（</w:t>
      </w:r>
      <w:r>
        <w:rPr>
          <w:rFonts w:ascii="Times New Roman" w:hAnsi="Times New Roman" w:cs="Times New Roman" w:eastAsia="Times New Roman" w:hint="default"/>
        </w:rPr>
        <w:t>1</w:t>
      </w:r>
      <w:r>
        <w:rPr/>
        <w:t>）变更前的会计估计</w:t>
      </w:r>
    </w:p>
    <w:tbl>
      <w:tblPr>
        <w:tblW w:w="0" w:type="auto"/>
        <w:jc w:val="left"/>
        <w:tblInd w:w="101" w:type="dxa"/>
        <w:tblLayout w:type="fixed"/>
        <w:tblCellMar>
          <w:top w:w="0" w:type="dxa"/>
          <w:left w:w="0" w:type="dxa"/>
          <w:bottom w:w="0" w:type="dxa"/>
          <w:right w:w="0" w:type="dxa"/>
        </w:tblCellMar>
        <w:tblLook w:val="01E0"/>
      </w:tblPr>
      <w:tblGrid>
        <w:gridCol w:w="2216"/>
        <w:gridCol w:w="2214"/>
        <w:gridCol w:w="2214"/>
        <w:gridCol w:w="2214"/>
      </w:tblGrid>
      <w:tr>
        <w:trPr>
          <w:trHeight w:val="530" w:hRule="exact"/>
        </w:trPr>
        <w:tc>
          <w:tcPr>
            <w:tcW w:w="2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30" w:hRule="exact"/>
        </w:trPr>
        <w:tc>
          <w:tcPr>
            <w:tcW w:w="2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2.375%</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9.50%</w:t>
            </w:r>
          </w:p>
        </w:tc>
      </w:tr>
      <w:tr>
        <w:trPr>
          <w:trHeight w:val="528" w:hRule="exact"/>
        </w:trPr>
        <w:tc>
          <w:tcPr>
            <w:tcW w:w="2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15.83%</w:t>
            </w:r>
          </w:p>
        </w:tc>
      </w:tr>
      <w:tr>
        <w:trPr>
          <w:trHeight w:val="530" w:hRule="exact"/>
        </w:trPr>
        <w:tc>
          <w:tcPr>
            <w:tcW w:w="2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p>
        </w:tc>
      </w:tr>
      <w:tr>
        <w:trPr>
          <w:trHeight w:val="530" w:hRule="exact"/>
        </w:trPr>
        <w:tc>
          <w:tcPr>
            <w:tcW w:w="2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2"/>
        <w:rPr>
          <w:rFonts w:ascii="宋体" w:hAnsi="宋体" w:cs="宋体" w:eastAsia="宋体" w:hint="default"/>
          <w:sz w:val="17"/>
          <w:szCs w:val="17"/>
        </w:rPr>
      </w:pPr>
    </w:p>
    <w:p>
      <w:pPr>
        <w:pStyle w:val="BodyText"/>
        <w:spacing w:line="240" w:lineRule="auto" w:before="34"/>
        <w:ind w:left="637" w:right="0"/>
        <w:jc w:val="left"/>
      </w:pPr>
      <w:r>
        <w:rPr/>
        <w:t>（</w:t>
      </w:r>
      <w:r>
        <w:rPr>
          <w:rFonts w:ascii="Times New Roman" w:hAnsi="Times New Roman" w:cs="Times New Roman" w:eastAsia="Times New Roman" w:hint="default"/>
        </w:rPr>
        <w:t>2</w:t>
      </w:r>
      <w:r>
        <w:rPr/>
        <w:t>）变更后的会计估计</w:t>
      </w:r>
    </w:p>
    <w:tbl>
      <w:tblPr>
        <w:tblW w:w="0" w:type="auto"/>
        <w:jc w:val="left"/>
        <w:tblInd w:w="101" w:type="dxa"/>
        <w:tblLayout w:type="fixed"/>
        <w:tblCellMar>
          <w:top w:w="0" w:type="dxa"/>
          <w:left w:w="0" w:type="dxa"/>
          <w:bottom w:w="0" w:type="dxa"/>
          <w:right w:w="0" w:type="dxa"/>
        </w:tblCellMar>
        <w:tblLook w:val="01E0"/>
      </w:tblPr>
      <w:tblGrid>
        <w:gridCol w:w="2469"/>
        <w:gridCol w:w="1872"/>
        <w:gridCol w:w="1980"/>
        <w:gridCol w:w="2315"/>
      </w:tblGrid>
      <w:tr>
        <w:trPr>
          <w:trHeight w:val="52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一、房屋及建筑物</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3.23%</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非生产用房</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2.77%</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简易房</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19.2%</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其他建筑物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9.6%</w:t>
            </w:r>
          </w:p>
        </w:tc>
      </w:tr>
      <w:tr>
        <w:trPr>
          <w:trHeight w:val="52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二、机器设备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w:t>
            </w:r>
            <w:r>
              <w:rPr>
                <w:rFonts w:ascii="Times New Roman" w:hAnsi="Times New Roman" w:cs="Times New Roman" w:eastAsia="Times New Roman" w:hint="default"/>
                <w:sz w:val="21"/>
                <w:szCs w:val="21"/>
              </w:rPr>
              <w:t>9.7%</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三、运输设备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16.17%</w:t>
            </w:r>
          </w:p>
        </w:tc>
      </w:tr>
      <w:tr>
        <w:trPr>
          <w:trHeight w:val="53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四、电子及其他设备</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19.4%</w:t>
            </w:r>
          </w:p>
        </w:tc>
      </w:tr>
    </w:tbl>
    <w:p>
      <w:pPr>
        <w:pStyle w:val="BodyText"/>
        <w:spacing w:line="240" w:lineRule="auto" w:before="91"/>
        <w:ind w:left="637" w:right="0"/>
        <w:jc w:val="left"/>
      </w:pPr>
      <w:r>
        <w:rPr/>
        <w:t>（相关内容参见2011年4月27日《中国证券报》、《证券时报》及巨潮资讯网</w:t>
      </w:r>
    </w:p>
    <w:p>
      <w:pPr>
        <w:spacing w:before="93"/>
        <w:ind w:left="216" w:right="0" w:firstLine="0"/>
        <w:jc w:val="left"/>
        <w:rPr>
          <w:rFonts w:ascii="宋体" w:hAnsi="宋体" w:cs="宋体" w:eastAsia="宋体" w:hint="default"/>
          <w:sz w:val="21"/>
          <w:szCs w:val="21"/>
        </w:rPr>
      </w:pPr>
      <w:r>
        <w:rPr>
          <w:rFonts w:ascii="宋体" w:hAnsi="宋体" w:cs="宋体" w:eastAsia="宋体" w:hint="default"/>
          <w:color w:val="0000FF"/>
          <w:w w:val="100"/>
          <w:sz w:val="24"/>
          <w:szCs w:val="24"/>
        </w:rPr>
      </w:r>
      <w:hyperlink r:id="rId17">
        <w:r>
          <w:rPr>
            <w:rFonts w:ascii="宋体" w:hAnsi="宋体" w:cs="宋体" w:eastAsia="宋体" w:hint="default"/>
            <w:color w:val="0000FF"/>
            <w:sz w:val="24"/>
            <w:szCs w:val="24"/>
            <w:u w:val="single" w:color="0000FF"/>
          </w:rPr>
          <w:t>www.cninfo.com.cn</w:t>
        </w:r>
        <w:r>
          <w:rPr>
            <w:rFonts w:ascii="宋体" w:hAnsi="宋体" w:cs="宋体" w:eastAsia="宋体" w:hint="default"/>
            <w:color w:val="0000FF"/>
            <w:sz w:val="21"/>
            <w:szCs w:val="21"/>
            <w:u w:val="single" w:color="0000FF"/>
          </w:rPr>
          <w:t>披露的相关公告</w:t>
        </w:r>
        <w:r>
          <w:rPr>
            <w:rFonts w:ascii="宋体" w:hAnsi="宋体" w:cs="宋体" w:eastAsia="宋体" w:hint="default"/>
            <w:color w:val="0000FF"/>
            <w:sz w:val="21"/>
            <w:szCs w:val="21"/>
          </w:rPr>
        </w:r>
      </w:hyperlink>
      <w:r>
        <w:rPr>
          <w:rFonts w:ascii="宋体" w:hAnsi="宋体" w:cs="宋体" w:eastAsia="宋体" w:hint="default"/>
          <w:sz w:val="21"/>
          <w:szCs w:val="21"/>
        </w:rPr>
        <w:t>）</w:t>
      </w:r>
    </w:p>
    <w:p>
      <w:pPr>
        <w:spacing w:after="0"/>
        <w:jc w:val="left"/>
        <w:rPr>
          <w:rFonts w:ascii="宋体" w:hAnsi="宋体" w:cs="宋体" w:eastAsia="宋体" w:hint="default"/>
          <w:sz w:val="21"/>
          <w:szCs w:val="21"/>
        </w:rPr>
        <w:sectPr>
          <w:footerReference w:type="default" r:id="rId16"/>
          <w:pgSz w:w="11910" w:h="16840"/>
          <w:pgMar w:footer="1007" w:header="0" w:top="1120" w:bottom="1200" w:left="1660" w:right="940"/>
          <w:pgNumType w:start="28"/>
        </w:sectPr>
      </w:pPr>
    </w:p>
    <w:p>
      <w:pPr>
        <w:pStyle w:val="BodyText"/>
        <w:spacing w:line="350" w:lineRule="auto" w:before="8"/>
        <w:ind w:left="617" w:right="0"/>
        <w:jc w:val="left"/>
      </w:pPr>
      <w:r>
        <w:rPr/>
        <w:t>二、本期会计政策变更事项</w:t>
      </w:r>
      <w:r>
        <w:rPr>
          <w:spacing w:val="-102"/>
        </w:rPr>
        <w:t> </w:t>
      </w:r>
      <w:r>
        <w:rPr>
          <w:spacing w:val="-102"/>
        </w:rPr>
      </w:r>
      <w:r>
        <w:rPr/>
        <w:t>依照会计准则等相关会计法规的最新规定，结合公司的实际情况，公司对子公司超额亏损</w:t>
      </w:r>
    </w:p>
    <w:p>
      <w:pPr>
        <w:pStyle w:val="BodyText"/>
        <w:spacing w:line="240" w:lineRule="auto" w:before="29"/>
        <w:ind w:left="196" w:right="0"/>
        <w:jc w:val="left"/>
      </w:pPr>
      <w:r>
        <w:rPr/>
        <w:t>由少数股东按出资比例分担的部分的会计政策进行变更。</w:t>
      </w:r>
    </w:p>
    <w:p>
      <w:pPr>
        <w:pStyle w:val="BodyText"/>
        <w:spacing w:line="240" w:lineRule="auto" w:before="123"/>
        <w:ind w:left="617" w:right="0"/>
        <w:jc w:val="left"/>
      </w:pPr>
      <w:r>
        <w:rPr>
          <w:rFonts w:ascii="Times New Roman" w:hAnsi="Times New Roman" w:cs="Times New Roman" w:eastAsia="Times New Roman" w:hint="default"/>
        </w:rPr>
        <w:t>1</w:t>
      </w:r>
      <w:r>
        <w:rPr/>
        <w:t>、本次会计政策变更概况</w:t>
      </w:r>
    </w:p>
    <w:p>
      <w:pPr>
        <w:pStyle w:val="BodyText"/>
        <w:spacing w:line="240" w:lineRule="auto" w:before="110"/>
        <w:ind w:left="617" w:right="0"/>
        <w:jc w:val="left"/>
      </w:pPr>
      <w:r>
        <w:rPr>
          <w:w w:val="99"/>
        </w:rPr>
        <w:t>（</w:t>
      </w:r>
      <w:r>
        <w:rPr>
          <w:rFonts w:ascii="Times New Roman" w:hAnsi="Times New Roman" w:cs="Times New Roman" w:eastAsia="Times New Roman" w:hint="default"/>
          <w:spacing w:val="1"/>
          <w:w w:val="99"/>
        </w:rPr>
        <w:t>1</w:t>
      </w:r>
      <w:r>
        <w:rPr>
          <w:w w:val="99"/>
        </w:rPr>
        <w:t>）</w:t>
      </w:r>
      <w:r>
        <w:rPr>
          <w:spacing w:val="2"/>
          <w:w w:val="99"/>
        </w:rPr>
        <w:t>变</w:t>
      </w:r>
      <w:r>
        <w:rPr>
          <w:w w:val="99"/>
        </w:rPr>
        <w:t>更</w:t>
      </w:r>
      <w:r>
        <w:rPr>
          <w:spacing w:val="2"/>
          <w:w w:val="99"/>
        </w:rPr>
        <w:t>原</w:t>
      </w:r>
      <w:r>
        <w:rPr>
          <w:w w:val="99"/>
        </w:rPr>
        <w:t>因</w:t>
      </w:r>
      <w:r>
        <w:rPr>
          <w:spacing w:val="-104"/>
          <w:w w:val="99"/>
        </w:rPr>
        <w:t>：</w:t>
      </w:r>
      <w:r>
        <w:rPr>
          <w:spacing w:val="2"/>
          <w:w w:val="99"/>
        </w:rPr>
        <w:t>《</w:t>
      </w:r>
      <w:r>
        <w:rPr>
          <w:w w:val="99"/>
        </w:rPr>
        <w:t>企</w:t>
      </w:r>
      <w:r>
        <w:rPr>
          <w:spacing w:val="2"/>
          <w:w w:val="99"/>
        </w:rPr>
        <w:t>业</w:t>
      </w:r>
      <w:r>
        <w:rPr>
          <w:w w:val="99"/>
        </w:rPr>
        <w:t>会</w:t>
      </w:r>
      <w:r>
        <w:rPr>
          <w:spacing w:val="2"/>
          <w:w w:val="99"/>
        </w:rPr>
        <w:t>计</w:t>
      </w:r>
      <w:r>
        <w:rPr>
          <w:w w:val="99"/>
        </w:rPr>
        <w:t>准</w:t>
      </w:r>
      <w:r>
        <w:rPr>
          <w:spacing w:val="2"/>
          <w:w w:val="99"/>
        </w:rPr>
        <w:t>则</w:t>
      </w:r>
      <w:r>
        <w:rPr>
          <w:w w:val="99"/>
        </w:rPr>
        <w:t>》</w:t>
      </w:r>
      <w:r>
        <w:rPr>
          <w:spacing w:val="2"/>
          <w:w w:val="99"/>
        </w:rPr>
        <w:t>及</w:t>
      </w:r>
      <w:r>
        <w:rPr>
          <w:w w:val="99"/>
        </w:rPr>
        <w:t>其</w:t>
      </w:r>
      <w:r>
        <w:rPr>
          <w:spacing w:val="2"/>
          <w:w w:val="99"/>
        </w:rPr>
        <w:t>相</w:t>
      </w:r>
      <w:r>
        <w:rPr>
          <w:w w:val="99"/>
        </w:rPr>
        <w:t>关</w:t>
      </w:r>
      <w:r>
        <w:rPr>
          <w:spacing w:val="2"/>
          <w:w w:val="99"/>
        </w:rPr>
        <w:t>解</w:t>
      </w:r>
      <w:r>
        <w:rPr>
          <w:w w:val="99"/>
        </w:rPr>
        <w:t>释</w:t>
      </w:r>
      <w:r>
        <w:rPr>
          <w:spacing w:val="2"/>
          <w:w w:val="99"/>
        </w:rPr>
        <w:t>的</w:t>
      </w:r>
      <w:r>
        <w:rPr>
          <w:w w:val="99"/>
        </w:rPr>
        <w:t>要</w:t>
      </w:r>
      <w:r>
        <w:rPr>
          <w:spacing w:val="2"/>
          <w:w w:val="99"/>
        </w:rPr>
        <w:t>求</w:t>
      </w:r>
      <w:r>
        <w:rPr>
          <w:w w:val="99"/>
        </w:rPr>
        <w:t>。</w:t>
      </w:r>
      <w:r>
        <w:rPr/>
      </w:r>
    </w:p>
    <w:p>
      <w:pPr>
        <w:pStyle w:val="BodyText"/>
        <w:spacing w:line="343" w:lineRule="auto" w:before="110"/>
        <w:ind w:left="196" w:right="169" w:firstLine="421"/>
        <w:jc w:val="both"/>
      </w:pPr>
      <w:r>
        <w:rPr>
          <w:spacing w:val="-2"/>
        </w:rPr>
        <w:t>（</w:t>
      </w:r>
      <w:r>
        <w:rPr>
          <w:rFonts w:ascii="Times New Roman" w:hAnsi="Times New Roman" w:cs="Times New Roman" w:eastAsia="Times New Roman" w:hint="default"/>
          <w:spacing w:val="-2"/>
        </w:rPr>
        <w:t>2</w:t>
      </w:r>
      <w:r>
        <w:rPr>
          <w:spacing w:val="-2"/>
        </w:rPr>
        <w:t>）变更前的会计政策：子公司少数股东分担的当期亏损超过了少数股东在该子公司期初</w:t>
      </w:r>
      <w:r>
        <w:rPr>
          <w:w w:val="99"/>
        </w:rPr>
        <w:t> </w:t>
      </w:r>
      <w:r>
        <w:rPr/>
        <w:t>所有者权益中所享有的份额时，如果子公司章程或协议规定少数股东有义务承担，并且少数股</w:t>
      </w:r>
      <w:r>
        <w:rPr>
          <w:spacing w:val="-93"/>
        </w:rPr>
        <w:t> </w:t>
      </w:r>
      <w:r>
        <w:rPr>
          <w:spacing w:val="-93"/>
        </w:rPr>
      </w:r>
      <w:r>
        <w:rPr/>
        <w:t>东有能力予以弥补的，该超额亏损冲减该少数股东权益。否则该超额亏损均冲减母公司所有者</w:t>
      </w:r>
      <w:r>
        <w:rPr>
          <w:spacing w:val="-93"/>
        </w:rPr>
        <w:t> </w:t>
      </w:r>
      <w:r>
        <w:rPr>
          <w:spacing w:val="-93"/>
        </w:rPr>
      </w:r>
      <w:r>
        <w:rPr/>
        <w:t>权益，该子公司在以后期间实现的利润，在弥补了由母公司所有者权益所承担的属于少数股东</w:t>
      </w:r>
      <w:r>
        <w:rPr>
          <w:spacing w:val="-93"/>
        </w:rPr>
        <w:t> </w:t>
      </w:r>
      <w:r>
        <w:rPr>
          <w:spacing w:val="-93"/>
        </w:rPr>
      </w:r>
      <w:r>
        <w:rPr/>
        <w:t>损失之前，全部归属于母公司所有者权益。</w:t>
      </w:r>
    </w:p>
    <w:p>
      <w:pPr>
        <w:pStyle w:val="BodyText"/>
        <w:spacing w:line="331" w:lineRule="auto" w:before="35"/>
        <w:ind w:left="196" w:right="169" w:firstLine="421"/>
        <w:jc w:val="both"/>
      </w:pPr>
      <w:r>
        <w:rPr>
          <w:spacing w:val="-2"/>
        </w:rPr>
        <w:t>（</w:t>
      </w:r>
      <w:r>
        <w:rPr>
          <w:rFonts w:ascii="Times New Roman" w:hAnsi="Times New Roman" w:cs="Times New Roman" w:eastAsia="Times New Roman" w:hint="default"/>
          <w:spacing w:val="-2"/>
        </w:rPr>
        <w:t>3</w:t>
      </w:r>
      <w:r>
        <w:rPr>
          <w:spacing w:val="-2"/>
        </w:rPr>
        <w:t>）变更后的会计政策：在合并财务报表中，子公司少数股东分担的当期亏损超过了少数</w:t>
      </w:r>
      <w:r>
        <w:rPr>
          <w:w w:val="99"/>
        </w:rPr>
        <w:t> </w:t>
      </w:r>
      <w:r>
        <w:rPr/>
        <w:t>股东在该子公司期初所有者权益中所享有的份额的，其余额仍应当冲减少数股东权益。</w:t>
      </w:r>
    </w:p>
    <w:p>
      <w:pPr>
        <w:pStyle w:val="BodyText"/>
        <w:spacing w:line="331" w:lineRule="auto" w:before="43"/>
        <w:ind w:left="617" w:right="0"/>
        <w:jc w:val="left"/>
      </w:pPr>
      <w:r>
        <w:rPr>
          <w:rFonts w:ascii="Times New Roman" w:hAnsi="Times New Roman" w:cs="Times New Roman" w:eastAsia="Times New Roman" w:hint="default"/>
        </w:rPr>
        <w:t>2</w:t>
      </w:r>
      <w:r>
        <w:rPr/>
        <w:t>、本次会计政策变更对公司的影响</w:t>
      </w:r>
      <w:r>
        <w:rPr>
          <w:w w:val="99"/>
        </w:rPr>
        <w:t> </w:t>
      </w:r>
      <w:r>
        <w:rPr/>
        <w:t>本次对子公司超额亏损由少数股东按出资比例分担的部分的变更属于会计政策变更，采用</w:t>
      </w:r>
    </w:p>
    <w:p>
      <w:pPr>
        <w:pStyle w:val="BodyText"/>
        <w:spacing w:line="240" w:lineRule="auto" w:before="46"/>
        <w:ind w:left="196" w:right="0"/>
        <w:jc w:val="left"/>
      </w:pPr>
      <w:r>
        <w:rPr/>
        <w:t>追</w:t>
      </w:r>
      <w:r>
        <w:rPr>
          <w:spacing w:val="-75"/>
        </w:rPr>
        <w:t> </w:t>
      </w:r>
      <w:r>
        <w:rPr/>
        <w:t>溯</w:t>
      </w:r>
      <w:r>
        <w:rPr>
          <w:spacing w:val="-78"/>
        </w:rPr>
        <w:t> </w:t>
      </w:r>
      <w:r>
        <w:rPr/>
        <w:t>调</w:t>
      </w:r>
      <w:r>
        <w:rPr>
          <w:spacing w:val="-75"/>
        </w:rPr>
        <w:t> </w:t>
      </w:r>
      <w:r>
        <w:rPr/>
        <w:t>整</w:t>
      </w:r>
      <w:r>
        <w:rPr>
          <w:spacing w:val="-78"/>
        </w:rPr>
        <w:t> </w:t>
      </w:r>
      <w:r>
        <w:rPr/>
        <w:t>法</w:t>
      </w:r>
      <w:r>
        <w:rPr>
          <w:spacing w:val="-75"/>
        </w:rPr>
        <w:t> </w:t>
      </w:r>
      <w:r>
        <w:rPr/>
        <w:t>处</w:t>
      </w:r>
      <w:r>
        <w:rPr>
          <w:spacing w:val="-78"/>
        </w:rPr>
        <w:t> </w:t>
      </w:r>
      <w:r>
        <w:rPr/>
        <w:t>理</w:t>
      </w:r>
      <w:r>
        <w:rPr>
          <w:spacing w:val="-75"/>
        </w:rPr>
        <w:t> </w:t>
      </w:r>
      <w:r>
        <w:rPr/>
        <w:t>，</w:t>
      </w:r>
      <w:r>
        <w:rPr>
          <w:spacing w:val="-78"/>
        </w:rPr>
        <w:t> </w:t>
      </w:r>
      <w:r>
        <w:rPr/>
        <w:t>影</w:t>
      </w:r>
      <w:r>
        <w:rPr>
          <w:spacing w:val="-75"/>
        </w:rPr>
        <w:t> </w:t>
      </w:r>
      <w:r>
        <w:rPr/>
        <w:t>响</w:t>
      </w:r>
      <w:r>
        <w:rPr>
          <w:spacing w:val="-78"/>
        </w:rPr>
        <w:t> </w:t>
      </w:r>
      <w:r>
        <w:rPr/>
        <w:t>年</w:t>
      </w:r>
      <w:r>
        <w:rPr>
          <w:spacing w:val="-75"/>
        </w:rPr>
        <w:t> </w:t>
      </w:r>
      <w:r>
        <w:rPr/>
        <w:t>初</w:t>
      </w:r>
      <w:r>
        <w:rPr>
          <w:spacing w:val="-78"/>
        </w:rPr>
        <w:t> </w:t>
      </w:r>
      <w:r>
        <w:rPr/>
        <w:t>未</w:t>
      </w:r>
      <w:r>
        <w:rPr>
          <w:spacing w:val="-75"/>
        </w:rPr>
        <w:t> </w:t>
      </w:r>
      <w:r>
        <w:rPr/>
        <w:t>分</w:t>
      </w:r>
      <w:r>
        <w:rPr>
          <w:spacing w:val="-78"/>
        </w:rPr>
        <w:t> </w:t>
      </w:r>
      <w:r>
        <w:rPr/>
        <w:t>配</w:t>
      </w:r>
      <w:r>
        <w:rPr>
          <w:spacing w:val="-75"/>
        </w:rPr>
        <w:t> </w:t>
      </w:r>
      <w:r>
        <w:rPr/>
        <w:t>利</w:t>
      </w:r>
      <w:r>
        <w:rPr>
          <w:spacing w:val="-78"/>
        </w:rPr>
        <w:t> </w:t>
      </w:r>
      <w:r>
        <w:rPr/>
        <w:t>润</w:t>
      </w:r>
      <w:r>
        <w:rPr>
          <w:spacing w:val="-75"/>
        </w:rPr>
        <w:t> </w:t>
      </w:r>
      <w:r>
        <w:rPr/>
        <w:t>增</w:t>
      </w:r>
      <w:r>
        <w:rPr>
          <w:spacing w:val="-78"/>
        </w:rPr>
        <w:t> </w:t>
      </w:r>
      <w:r>
        <w:rPr/>
        <w:t>加</w:t>
      </w:r>
      <w:r>
        <w:rPr>
          <w:spacing w:val="-73"/>
        </w:rPr>
        <w:t> </w:t>
      </w:r>
      <w:r>
        <w:rPr>
          <w:rFonts w:ascii="Times New Roman" w:hAnsi="Times New Roman" w:cs="Times New Roman" w:eastAsia="Times New Roman" w:hint="default"/>
        </w:rPr>
        <w:t>12,674,364.39</w:t>
      </w:r>
      <w:r>
        <w:rPr>
          <w:rFonts w:ascii="Times New Roman" w:hAnsi="Times New Roman" w:cs="Times New Roman" w:eastAsia="Times New Roman" w:hint="default"/>
          <w:spacing w:val="-26"/>
        </w:rPr>
        <w:t> </w:t>
      </w:r>
      <w:r>
        <w:rPr/>
        <w:t>元</w:t>
      </w:r>
      <w:r>
        <w:rPr>
          <w:spacing w:val="-75"/>
        </w:rPr>
        <w:t> </w:t>
      </w:r>
      <w:r>
        <w:rPr/>
        <w:t>，</w:t>
      </w:r>
      <w:r>
        <w:rPr>
          <w:spacing w:val="-78"/>
        </w:rPr>
        <w:t> </w:t>
      </w:r>
      <w:r>
        <w:rPr/>
        <w:t>年</w:t>
      </w:r>
      <w:r>
        <w:rPr>
          <w:spacing w:val="-75"/>
        </w:rPr>
        <w:t> </w:t>
      </w:r>
      <w:r>
        <w:rPr/>
        <w:t>初</w:t>
      </w:r>
      <w:r>
        <w:rPr>
          <w:spacing w:val="-78"/>
        </w:rPr>
        <w:t> </w:t>
      </w:r>
      <w:r>
        <w:rPr/>
        <w:t>少</w:t>
      </w:r>
      <w:r>
        <w:rPr>
          <w:spacing w:val="-75"/>
        </w:rPr>
        <w:t> </w:t>
      </w:r>
      <w:r>
        <w:rPr/>
        <w:t>数</w:t>
      </w:r>
      <w:r>
        <w:rPr>
          <w:spacing w:val="-78"/>
        </w:rPr>
        <w:t> </w:t>
      </w:r>
      <w:r>
        <w:rPr/>
        <w:t>股</w:t>
      </w:r>
      <w:r>
        <w:rPr>
          <w:spacing w:val="-75"/>
        </w:rPr>
        <w:t> </w:t>
      </w:r>
      <w:r>
        <w:rPr/>
        <w:t>东</w:t>
      </w:r>
      <w:r>
        <w:rPr>
          <w:spacing w:val="-78"/>
        </w:rPr>
        <w:t> </w:t>
      </w:r>
      <w:r>
        <w:rPr/>
        <w:t>权</w:t>
      </w:r>
      <w:r>
        <w:rPr>
          <w:spacing w:val="-75"/>
        </w:rPr>
        <w:t> </w:t>
      </w:r>
      <w:r>
        <w:rPr/>
        <w:t>益</w:t>
      </w:r>
      <w:r>
        <w:rPr>
          <w:spacing w:val="-78"/>
        </w:rPr>
        <w:t> </w:t>
      </w:r>
      <w:r>
        <w:rPr/>
        <w:t>减</w:t>
      </w:r>
      <w:r>
        <w:rPr>
          <w:spacing w:val="-75"/>
        </w:rPr>
        <w:t> </w:t>
      </w:r>
      <w:r>
        <w:rPr/>
        <w:t>少</w:t>
      </w:r>
    </w:p>
    <w:p>
      <w:pPr>
        <w:pStyle w:val="BodyText"/>
        <w:spacing w:line="240" w:lineRule="auto" w:before="107"/>
        <w:ind w:left="196" w:right="0"/>
        <w:jc w:val="left"/>
      </w:pPr>
      <w:r>
        <w:rPr>
          <w:rFonts w:ascii="Times New Roman" w:hAnsi="Times New Roman" w:cs="Times New Roman" w:eastAsia="Times New Roman" w:hint="default"/>
        </w:rPr>
        <w:t>12,674,364.39</w:t>
      </w:r>
      <w:r>
        <w:rPr/>
        <w:t>元。该追溯调整事项对公司以前年度的股东权益各项目影响如下表列示：</w:t>
      </w:r>
    </w:p>
    <w:p>
      <w:pPr>
        <w:pStyle w:val="BodyText"/>
        <w:spacing w:line="240" w:lineRule="auto" w:before="110"/>
        <w:ind w:left="617" w:right="0"/>
        <w:jc w:val="left"/>
      </w:pPr>
      <w:r>
        <w:rPr/>
        <w:t>（</w:t>
      </w:r>
      <w:r>
        <w:rPr>
          <w:rFonts w:ascii="Times New Roman" w:hAnsi="Times New Roman" w:cs="Times New Roman" w:eastAsia="Times New Roman" w:hint="default"/>
        </w:rPr>
        <w:t>1</w:t>
      </w:r>
      <w:r>
        <w:rPr/>
        <w:t>）对原报出的</w:t>
      </w:r>
      <w:r>
        <w:rPr>
          <w:rFonts w:ascii="Times New Roman" w:hAnsi="Times New Roman" w:cs="Times New Roman" w:eastAsia="Times New Roman" w:hint="default"/>
        </w:rPr>
        <w:t>2010</w:t>
      </w:r>
      <w:r>
        <w:rPr/>
        <w:t>年度财务报表影响情况</w:t>
      </w:r>
    </w:p>
    <w:p>
      <w:pPr>
        <w:pStyle w:val="BodyText"/>
        <w:tabs>
          <w:tab w:pos="1053" w:val="left" w:leader="none"/>
        </w:tabs>
        <w:spacing w:line="240" w:lineRule="auto" w:before="110"/>
        <w:ind w:left="0" w:right="169"/>
        <w:jc w:val="right"/>
      </w:pPr>
      <w:r>
        <w:rPr/>
        <w:t>单位：元</w:t>
        <w:tab/>
        <w:t>币种：人民币</w:t>
      </w:r>
    </w:p>
    <w:p>
      <w:pPr>
        <w:spacing w:line="240" w:lineRule="auto" w:before="10"/>
        <w:rPr>
          <w:rFonts w:ascii="宋体" w:hAnsi="宋体" w:cs="宋体" w:eastAsia="宋体" w:hint="default"/>
          <w:sz w:val="3"/>
          <w:szCs w:val="3"/>
        </w:rPr>
      </w:pPr>
    </w:p>
    <w:tbl>
      <w:tblPr>
        <w:tblW w:w="0" w:type="auto"/>
        <w:jc w:val="left"/>
        <w:tblInd w:w="189" w:type="dxa"/>
        <w:tblLayout w:type="fixed"/>
        <w:tblCellMar>
          <w:top w:w="0" w:type="dxa"/>
          <w:left w:w="0" w:type="dxa"/>
          <w:bottom w:w="0" w:type="dxa"/>
          <w:right w:w="0" w:type="dxa"/>
        </w:tblCellMar>
        <w:tblLook w:val="01E0"/>
      </w:tblPr>
      <w:tblGrid>
        <w:gridCol w:w="2404"/>
        <w:gridCol w:w="2098"/>
        <w:gridCol w:w="2098"/>
        <w:gridCol w:w="2096"/>
      </w:tblGrid>
      <w:tr>
        <w:trPr>
          <w:trHeight w:val="511"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追溯调整前金额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追溯调整后金额</w:t>
            </w:r>
          </w:p>
        </w:tc>
      </w:tr>
      <w:tr>
        <w:trPr>
          <w:trHeight w:val="554"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pacing w:val="8"/>
                <w:sz w:val="21"/>
                <w:szCs w:val="21"/>
              </w:rPr>
              <w:t>归属于母公司所有者的</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96,586,077.75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-309,757.66</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96,276,320.09</w:t>
            </w:r>
          </w:p>
        </w:tc>
      </w:tr>
      <w:tr>
        <w:trPr>
          <w:trHeight w:val="410"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24"/>
                <w:szCs w:val="24"/>
              </w:rPr>
            </w:pPr>
            <w:r>
              <w:rPr>
                <w:rFonts w:ascii="Times New Roman"/>
                <w:spacing w:val="-1"/>
                <w:sz w:val="24"/>
              </w:rPr>
              <w:t>-4,199,307.33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24"/>
                <w:szCs w:val="24"/>
              </w:rPr>
            </w:pPr>
            <w:r>
              <w:rPr>
                <w:rFonts w:ascii="Times New Roman"/>
                <w:sz w:val="24"/>
              </w:rPr>
              <w:t>309,757.66</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24"/>
                <w:szCs w:val="24"/>
              </w:rPr>
            </w:pPr>
            <w:r>
              <w:rPr>
                <w:rFonts w:ascii="Times New Roman"/>
                <w:spacing w:val="-1"/>
                <w:sz w:val="24"/>
              </w:rPr>
              <w:t>-3,889,549.67</w:t>
            </w:r>
          </w:p>
        </w:tc>
      </w:tr>
      <w:tr>
        <w:trPr>
          <w:trHeight w:val="511"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pacing w:val="-2"/>
                <w:sz w:val="24"/>
              </w:rPr>
              <w:t>25,111,672.72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-12,674,364.39</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12,437,308.33</w:t>
            </w:r>
          </w:p>
        </w:tc>
      </w:tr>
      <w:tr>
        <w:trPr>
          <w:trHeight w:val="509"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-153,665,128.53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12,674,364.39</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pacing w:val="-1"/>
                <w:sz w:val="24"/>
              </w:rPr>
              <w:t>-140,990,764.14</w:t>
            </w:r>
          </w:p>
        </w:tc>
      </w:tr>
    </w:tbl>
    <w:p>
      <w:pPr>
        <w:spacing w:line="240" w:lineRule="auto" w:before="4"/>
        <w:rPr>
          <w:rFonts w:ascii="宋体" w:hAnsi="宋体" w:cs="宋体" w:eastAsia="宋体" w:hint="default"/>
          <w:sz w:val="9"/>
          <w:szCs w:val="9"/>
        </w:rPr>
      </w:pPr>
    </w:p>
    <w:p>
      <w:pPr>
        <w:pStyle w:val="BodyText"/>
        <w:spacing w:line="240" w:lineRule="auto" w:before="34"/>
        <w:ind w:left="617" w:right="0"/>
        <w:jc w:val="left"/>
      </w:pPr>
      <w:r>
        <w:rPr/>
        <w:t>（</w:t>
      </w:r>
      <w:r>
        <w:rPr>
          <w:rFonts w:ascii="Times New Roman" w:hAnsi="Times New Roman" w:cs="Times New Roman" w:eastAsia="Times New Roman" w:hint="default"/>
        </w:rPr>
        <w:t>2</w:t>
      </w:r>
      <w:r>
        <w:rPr/>
        <w:t>）对原报出的</w:t>
      </w:r>
      <w:r>
        <w:rPr>
          <w:rFonts w:ascii="Times New Roman" w:hAnsi="Times New Roman" w:cs="Times New Roman" w:eastAsia="Times New Roman" w:hint="default"/>
        </w:rPr>
        <w:t>2009</w:t>
      </w:r>
      <w:r>
        <w:rPr/>
        <w:t>年度财务报表影响情况</w:t>
      </w:r>
    </w:p>
    <w:p>
      <w:pPr>
        <w:pStyle w:val="BodyText"/>
        <w:tabs>
          <w:tab w:pos="1053" w:val="left" w:leader="none"/>
        </w:tabs>
        <w:spacing w:line="240" w:lineRule="auto" w:before="21"/>
        <w:ind w:left="0" w:right="169"/>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2404"/>
        <w:gridCol w:w="2098"/>
        <w:gridCol w:w="2098"/>
        <w:gridCol w:w="2096"/>
      </w:tblGrid>
      <w:tr>
        <w:trPr>
          <w:trHeight w:val="511"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追溯调整前金额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追溯调整后金额</w:t>
            </w:r>
          </w:p>
        </w:tc>
      </w:tr>
      <w:tr>
        <w:trPr>
          <w:trHeight w:val="562"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10" w:right="0"/>
              <w:jc w:val="left"/>
              <w:rPr>
                <w:rFonts w:ascii="宋体" w:hAnsi="宋体" w:cs="宋体" w:eastAsia="宋体" w:hint="default"/>
                <w:sz w:val="21"/>
                <w:szCs w:val="21"/>
              </w:rPr>
            </w:pPr>
            <w:r>
              <w:rPr>
                <w:rFonts w:ascii="宋体" w:hAnsi="宋体" w:cs="宋体" w:eastAsia="宋体" w:hint="default"/>
                <w:spacing w:val="8"/>
                <w:sz w:val="21"/>
                <w:szCs w:val="21"/>
              </w:rPr>
              <w:t>归属于母公司所有者的</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64,907,773.22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6,913,555.46</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71,821,328.68</w:t>
            </w:r>
          </w:p>
        </w:tc>
      </w:tr>
      <w:tr>
        <w:trPr>
          <w:trHeight w:val="562"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-14,135,694.57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-6,913,555.46</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pacing w:val="-1"/>
                <w:sz w:val="24"/>
              </w:rPr>
              <w:t>-21,049,250.03</w:t>
            </w:r>
          </w:p>
        </w:tc>
      </w:tr>
      <w:tr>
        <w:trPr>
          <w:trHeight w:val="562"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pacing w:val="-1"/>
                <w:sz w:val="24"/>
              </w:rPr>
              <w:t>114,385,953.19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-12,984,122.05</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101,401,831.14</w:t>
            </w:r>
          </w:p>
        </w:tc>
      </w:tr>
      <w:tr>
        <w:trPr>
          <w:trHeight w:val="562" w:hRule="exact"/>
        </w:trPr>
        <w:tc>
          <w:tcPr>
            <w:tcW w:w="2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-250,251,206.28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12,984,122.05</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pacing w:val="-1"/>
                <w:sz w:val="24"/>
              </w:rPr>
              <w:t>-237,267,084.23</w:t>
            </w:r>
          </w:p>
        </w:tc>
      </w:tr>
    </w:tbl>
    <w:p>
      <w:pPr>
        <w:spacing w:line="240" w:lineRule="auto" w:before="4"/>
        <w:rPr>
          <w:rFonts w:ascii="宋体" w:hAnsi="宋体" w:cs="宋体" w:eastAsia="宋体" w:hint="default"/>
          <w:sz w:val="13"/>
          <w:szCs w:val="13"/>
        </w:rPr>
      </w:pPr>
    </w:p>
    <w:p>
      <w:pPr>
        <w:pStyle w:val="BodyText"/>
        <w:spacing w:line="240" w:lineRule="auto" w:before="34"/>
        <w:ind w:left="617" w:right="0"/>
        <w:jc w:val="left"/>
        <w:rPr>
          <w:rFonts w:ascii="宋体" w:hAnsi="宋体" w:cs="宋体" w:eastAsia="宋体" w:hint="default"/>
        </w:rPr>
      </w:pPr>
      <w:r>
        <w:rPr>
          <w:rFonts w:ascii="宋体" w:hAnsi="宋体" w:cs="宋体" w:eastAsia="宋体" w:hint="default"/>
        </w:rPr>
        <w:t>（二）本期无会计差错更正事项</w:t>
      </w:r>
    </w:p>
    <w:p>
      <w:pPr>
        <w:spacing w:after="0" w:line="240" w:lineRule="auto"/>
        <w:jc w:val="left"/>
        <w:rPr>
          <w:rFonts w:ascii="宋体" w:hAnsi="宋体" w:cs="宋体" w:eastAsia="宋体" w:hint="default"/>
        </w:rPr>
        <w:sectPr>
          <w:pgSz w:w="11910" w:h="16840"/>
          <w:pgMar w:header="0" w:footer="1007" w:top="1180" w:bottom="1200" w:left="1680" w:right="1220"/>
        </w:sectPr>
      </w:pPr>
    </w:p>
    <w:p>
      <w:pPr>
        <w:pStyle w:val="Heading4"/>
        <w:spacing w:line="240" w:lineRule="auto" w:before="5"/>
        <w:ind w:left="456" w:right="0"/>
        <w:jc w:val="left"/>
      </w:pPr>
      <w:bookmarkStart w:name="七、董事局日常工作情况" w:id="26"/>
      <w:bookmarkEnd w:id="26"/>
      <w:r>
        <w:rPr/>
      </w:r>
      <w:r>
        <w:rPr/>
        <w:t>七、董事局日常工作情况</w:t>
      </w:r>
    </w:p>
    <w:p>
      <w:pPr>
        <w:spacing w:line="240" w:lineRule="auto" w:before="5"/>
        <w:rPr>
          <w:rFonts w:ascii="宋体" w:hAnsi="宋体" w:cs="宋体" w:eastAsia="宋体" w:hint="default"/>
          <w:sz w:val="28"/>
          <w:szCs w:val="28"/>
        </w:rPr>
      </w:pPr>
    </w:p>
    <w:p>
      <w:pPr>
        <w:pStyle w:val="BodyText"/>
        <w:spacing w:line="240" w:lineRule="auto"/>
        <w:ind w:left="456" w:right="0"/>
        <w:jc w:val="left"/>
        <w:rPr>
          <w:rFonts w:ascii="宋体" w:hAnsi="宋体" w:cs="宋体" w:eastAsia="宋体" w:hint="default"/>
        </w:rPr>
      </w:pPr>
      <w:r>
        <w:rPr>
          <w:rFonts w:ascii="宋体" w:hAnsi="宋体" w:cs="宋体" w:eastAsia="宋体" w:hint="default"/>
        </w:rPr>
        <w:t>（一）报告期内董事局的会议情况</w:t>
      </w:r>
    </w:p>
    <w:p>
      <w:pPr>
        <w:pStyle w:val="BodyText"/>
        <w:spacing w:line="240" w:lineRule="auto" w:before="123"/>
        <w:ind w:left="877" w:right="0"/>
        <w:jc w:val="left"/>
      </w:pPr>
      <w:r>
        <w:rPr/>
        <w:t>报告期内公司董事局共召开</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次会议，情况如下：</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60"/>
        <w:gridCol w:w="1258"/>
        <w:gridCol w:w="1066"/>
        <w:gridCol w:w="1321"/>
        <w:gridCol w:w="2630"/>
        <w:gridCol w:w="1311"/>
        <w:gridCol w:w="1266"/>
      </w:tblGrid>
      <w:tr>
        <w:trPr>
          <w:trHeight w:val="631" w:hRule="exact"/>
        </w:trPr>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0"/>
              <w:jc w:val="left"/>
              <w:rPr>
                <w:rFonts w:ascii="宋体" w:hAnsi="宋体" w:cs="宋体" w:eastAsia="宋体" w:hint="default"/>
                <w:sz w:val="24"/>
                <w:szCs w:val="24"/>
              </w:rPr>
            </w:pPr>
            <w:r>
              <w:rPr>
                <w:rFonts w:ascii="宋体" w:hAnsi="宋体" w:cs="宋体" w:eastAsia="宋体" w:hint="default"/>
                <w:w w:val="100"/>
                <w:sz w:val="24"/>
                <w:szCs w:val="24"/>
              </w:rPr>
              <w:t>序</w:t>
            </w:r>
          </w:p>
          <w:p>
            <w:pPr>
              <w:pStyle w:val="TableParagraph"/>
              <w:spacing w:line="312" w:lineRule="exact"/>
              <w:ind w:left="113" w:right="0"/>
              <w:jc w:val="left"/>
              <w:rPr>
                <w:rFonts w:ascii="宋体" w:hAnsi="宋体" w:cs="宋体" w:eastAsia="宋体" w:hint="default"/>
                <w:sz w:val="24"/>
                <w:szCs w:val="24"/>
              </w:rPr>
            </w:pPr>
            <w:r>
              <w:rPr>
                <w:rFonts w:ascii="宋体" w:hAnsi="宋体" w:cs="宋体" w:eastAsia="宋体" w:hint="default"/>
                <w:w w:val="100"/>
                <w:sz w:val="24"/>
                <w:szCs w:val="24"/>
              </w:rPr>
              <w:t>号</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92" w:right="0"/>
              <w:jc w:val="left"/>
              <w:rPr>
                <w:rFonts w:ascii="宋体" w:hAnsi="宋体" w:cs="宋体" w:eastAsia="宋体" w:hint="default"/>
                <w:sz w:val="24"/>
                <w:szCs w:val="24"/>
              </w:rPr>
            </w:pPr>
            <w:r>
              <w:rPr>
                <w:rFonts w:ascii="宋体" w:hAnsi="宋体" w:cs="宋体" w:eastAsia="宋体" w:hint="default"/>
                <w:sz w:val="24"/>
                <w:szCs w:val="24"/>
              </w:rPr>
              <w:t>时间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 w:right="0"/>
              <w:jc w:val="center"/>
              <w:rPr>
                <w:rFonts w:ascii="宋体" w:hAnsi="宋体" w:cs="宋体" w:eastAsia="宋体" w:hint="default"/>
                <w:sz w:val="24"/>
                <w:szCs w:val="24"/>
              </w:rPr>
            </w:pPr>
            <w:r>
              <w:rPr>
                <w:rFonts w:ascii="宋体" w:hAnsi="宋体" w:cs="宋体" w:eastAsia="宋体" w:hint="default"/>
                <w:sz w:val="24"/>
                <w:szCs w:val="24"/>
              </w:rPr>
              <w:t>方式</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3" w:right="0"/>
              <w:jc w:val="left"/>
              <w:rPr>
                <w:rFonts w:ascii="宋体" w:hAnsi="宋体" w:cs="宋体" w:eastAsia="宋体" w:hint="default"/>
                <w:sz w:val="24"/>
                <w:szCs w:val="24"/>
              </w:rPr>
            </w:pPr>
            <w:r>
              <w:rPr>
                <w:rFonts w:ascii="宋体" w:hAnsi="宋体" w:cs="宋体" w:eastAsia="宋体" w:hint="default"/>
                <w:sz w:val="24"/>
                <w:szCs w:val="24"/>
              </w:rPr>
              <w:t>届次</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37" w:right="0"/>
              <w:jc w:val="left"/>
              <w:rPr>
                <w:rFonts w:ascii="宋体" w:hAnsi="宋体" w:cs="宋体" w:eastAsia="宋体" w:hint="default"/>
                <w:sz w:val="24"/>
                <w:szCs w:val="24"/>
              </w:rPr>
            </w:pPr>
            <w:r>
              <w:rPr>
                <w:rFonts w:ascii="宋体" w:hAnsi="宋体" w:cs="宋体" w:eastAsia="宋体" w:hint="default"/>
                <w:sz w:val="24"/>
                <w:szCs w:val="24"/>
              </w:rPr>
              <w:t>主要议题</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8" w:right="0"/>
              <w:jc w:val="left"/>
              <w:rPr>
                <w:rFonts w:ascii="宋体" w:hAnsi="宋体" w:cs="宋体" w:eastAsia="宋体" w:hint="default"/>
                <w:sz w:val="24"/>
                <w:szCs w:val="24"/>
              </w:rPr>
            </w:pPr>
            <w:r>
              <w:rPr>
                <w:rFonts w:ascii="宋体" w:hAnsi="宋体" w:cs="宋体" w:eastAsia="宋体" w:hint="default"/>
                <w:sz w:val="24"/>
                <w:szCs w:val="24"/>
              </w:rPr>
              <w:t>是否发表</w:t>
            </w:r>
          </w:p>
          <w:p>
            <w:pPr>
              <w:pStyle w:val="TableParagraph"/>
              <w:spacing w:line="312" w:lineRule="exact"/>
              <w:ind w:left="178" w:right="0"/>
              <w:jc w:val="left"/>
              <w:rPr>
                <w:rFonts w:ascii="宋体" w:hAnsi="宋体" w:cs="宋体" w:eastAsia="宋体" w:hint="default"/>
                <w:sz w:val="24"/>
                <w:szCs w:val="24"/>
              </w:rPr>
            </w:pPr>
            <w:r>
              <w:rPr>
                <w:rFonts w:ascii="宋体" w:hAnsi="宋体" w:cs="宋体" w:eastAsia="宋体" w:hint="default"/>
                <w:sz w:val="24"/>
                <w:szCs w:val="24"/>
              </w:rPr>
              <w:t>独立意见</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hAnsi="宋体" w:cs="宋体" w:eastAsia="宋体" w:hint="default"/>
                <w:sz w:val="24"/>
                <w:szCs w:val="24"/>
              </w:rPr>
              <w:t>公告日期</w:t>
            </w:r>
          </w:p>
        </w:tc>
      </w:tr>
      <w:tr>
        <w:trPr>
          <w:trHeight w:val="761" w:hRule="exact"/>
        </w:trPr>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0"/>
                <w:sz w:val="18"/>
              </w:rPr>
              <w:t>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5"/>
              <w:jc w:val="center"/>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2"/>
                <w:sz w:val="18"/>
                <w:szCs w:val="18"/>
              </w:rPr>
              <w:t>第十四次临时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会议</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《关于公司受让广州中联创投</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资公司持有的宜久公司</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100%</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股权的议案》</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2011-03-18</w:t>
            </w:r>
          </w:p>
        </w:tc>
      </w:tr>
      <w:tr>
        <w:trPr>
          <w:trHeight w:val="243"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0"/>
                <w:sz w:val="18"/>
              </w:rPr>
              <w:t>2</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2011-03-15</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125"/>
              <w:jc w:val="center"/>
              <w:rPr>
                <w:rFonts w:ascii="宋体" w:hAnsi="宋体" w:cs="宋体" w:eastAsia="宋体" w:hint="default"/>
                <w:sz w:val="18"/>
                <w:szCs w:val="18"/>
              </w:rPr>
            </w:pPr>
            <w:r>
              <w:rPr>
                <w:rFonts w:ascii="宋体" w:hAnsi="宋体" w:cs="宋体" w:eastAsia="宋体" w:hint="default"/>
                <w:sz w:val="18"/>
                <w:szCs w:val="18"/>
              </w:rPr>
              <w:t>现场会议</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年计提各项资</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第七次定期会</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产减值准备的专项报告》</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pacing w:val="6"/>
                <w:sz w:val="18"/>
                <w:szCs w:val="18"/>
              </w:rPr>
              <w:t>公司</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pacing w:val="12"/>
                <w:sz w:val="18"/>
                <w:szCs w:val="18"/>
              </w:rPr>
              <w:t>年度财务决算报</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0"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年度利润分配的预</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年度盈余公积金弥</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补亏损的预案》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《董事局关于非标审计意见所</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涉事项的相关说明》</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年度总裁工作报告》</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01"/>
              <w:jc w:val="right"/>
              <w:rPr>
                <w:rFonts w:ascii="Times New Roman" w:hAnsi="Times New Roman" w:cs="Times New Roman" w:eastAsia="Times New Roman" w:hint="default"/>
                <w:sz w:val="18"/>
                <w:szCs w:val="18"/>
              </w:rPr>
            </w:pPr>
            <w:r>
              <w:rPr>
                <w:rFonts w:ascii="Times New Roman"/>
                <w:spacing w:val="-1"/>
                <w:sz w:val="18"/>
              </w:rPr>
              <w:t>2011-03-19</w:t>
            </w: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年度内部控制自我</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评价报告》</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年度工作报告》</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年年度报告及其摘</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要》</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《关于提请股东大会对董事局</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受让土地使用权事项特别授权</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的预案》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年度股东大会</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0"/>
                <w:sz w:val="18"/>
              </w:rPr>
              <w:t>3</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2011-04-25</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25"/>
              <w:jc w:val="center"/>
              <w:rPr>
                <w:rFonts w:ascii="宋体" w:hAnsi="宋体" w:cs="宋体" w:eastAsia="宋体" w:hint="default"/>
                <w:sz w:val="18"/>
                <w:szCs w:val="18"/>
              </w:rPr>
            </w:pPr>
            <w:r>
              <w:rPr>
                <w:rFonts w:ascii="宋体" w:hAnsi="宋体" w:cs="宋体" w:eastAsia="宋体" w:hint="default"/>
                <w:sz w:val="18"/>
                <w:szCs w:val="18"/>
              </w:rPr>
              <w:t>现场会议</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《关于固定资产会计估计变更</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第八次定期会</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年第一季度报告》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《公司内控实施工作方案》</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201"/>
              <w:jc w:val="right"/>
              <w:rPr>
                <w:rFonts w:ascii="Times New Roman" w:hAnsi="Times New Roman" w:cs="Times New Roman" w:eastAsia="Times New Roman" w:hint="default"/>
                <w:sz w:val="18"/>
                <w:szCs w:val="18"/>
              </w:rPr>
            </w:pPr>
            <w:r>
              <w:rPr>
                <w:rFonts w:ascii="Times New Roman"/>
                <w:spacing w:val="-1"/>
                <w:sz w:val="18"/>
              </w:rPr>
              <w:t>2011-04-27</w:t>
            </w:r>
          </w:p>
        </w:tc>
      </w:tr>
      <w:tr>
        <w:trPr>
          <w:trHeight w:val="23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董事局薪酬与考</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核委员会工作规程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w w:val="100"/>
                <w:sz w:val="18"/>
              </w:rPr>
              <w:t>4</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2011-06-08</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125"/>
              <w:jc w:val="center"/>
              <w:rPr>
                <w:rFonts w:ascii="宋体" w:hAnsi="宋体" w:cs="宋体" w:eastAsia="宋体" w:hint="default"/>
                <w:sz w:val="18"/>
                <w:szCs w:val="18"/>
              </w:rPr>
            </w:pPr>
            <w:r>
              <w:rPr>
                <w:rFonts w:ascii="宋体" w:hAnsi="宋体" w:cs="宋体" w:eastAsia="宋体" w:hint="default"/>
                <w:sz w:val="18"/>
                <w:szCs w:val="18"/>
              </w:rPr>
              <w:t>现场会议</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《关于总裁辞职的议案》</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第十五次临时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《关于选举第六届董事局常务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副主席的议案》</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01"/>
              <w:jc w:val="right"/>
              <w:rPr>
                <w:rFonts w:ascii="Times New Roman" w:hAnsi="Times New Roman" w:cs="Times New Roman" w:eastAsia="Times New Roman" w:hint="default"/>
                <w:sz w:val="18"/>
                <w:szCs w:val="18"/>
              </w:rPr>
            </w:pPr>
            <w:r>
              <w:rPr>
                <w:rFonts w:ascii="Times New Roman"/>
                <w:spacing w:val="-1"/>
                <w:sz w:val="18"/>
              </w:rPr>
              <w:t>2011-06-09</w:t>
            </w:r>
          </w:p>
        </w:tc>
      </w:tr>
      <w:tr>
        <w:trPr>
          <w:trHeight w:val="237"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《关于聘任公司总裁的议案》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44"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5" w:right="0"/>
              <w:jc w:val="left"/>
              <w:rPr>
                <w:rFonts w:ascii="Times New Roman" w:hAnsi="Times New Roman" w:cs="Times New Roman" w:eastAsia="Times New Roman" w:hint="default"/>
                <w:sz w:val="18"/>
                <w:szCs w:val="18"/>
              </w:rPr>
            </w:pPr>
            <w:r>
              <w:rPr>
                <w:rFonts w:ascii="Times New Roman"/>
                <w:w w:val="100"/>
                <w:sz w:val="18"/>
              </w:rPr>
              <w:t>5</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Times New Roman"/>
                <w:sz w:val="18"/>
              </w:rPr>
              <w:t>2011-06-13</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right="125"/>
              <w:jc w:val="center"/>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年度财务报告会计</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第十六次临时</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差错更正及追溯调整议案》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重新审计后的《公司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财务报告》</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董事局关于会计师对公司</w:t>
            </w:r>
            <w:r>
              <w:rPr>
                <w:rFonts w:ascii="Times New Roman" w:hAnsi="Times New Roman" w:cs="Times New Roman" w:eastAsia="Times New Roman" w:hint="default"/>
                <w:sz w:val="18"/>
                <w:szCs w:val="18"/>
              </w:rPr>
              <w:t>2010</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01"/>
              <w:jc w:val="right"/>
              <w:rPr>
                <w:rFonts w:ascii="Times New Roman" w:hAnsi="Times New Roman" w:cs="Times New Roman" w:eastAsia="Times New Roman" w:hint="default"/>
                <w:sz w:val="18"/>
                <w:szCs w:val="18"/>
              </w:rPr>
            </w:pPr>
            <w:r>
              <w:rPr>
                <w:rFonts w:ascii="Times New Roman"/>
                <w:spacing w:val="-1"/>
                <w:sz w:val="18"/>
              </w:rPr>
              <w:t>2011-06-15</w:t>
            </w: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年度财务报告重新审计后出具</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的非标审计意见所涉事项的相</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关说明</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0"/>
                <w:sz w:val="18"/>
              </w:rPr>
              <w:t>6</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2011-07-15</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125"/>
              <w:jc w:val="center"/>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《公司“代持”法人股欠款追</w:t>
            </w:r>
          </w:p>
        </w:tc>
        <w:tc>
          <w:tcPr>
            <w:tcW w:w="131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第十七次临时</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收方案》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single" w:sz="4" w:space="0" w:color="000000"/>
              <w:right w:val="single" w:sz="4" w:space="0" w:color="000000"/>
            </w:tcBorders>
          </w:tcPr>
          <w:p>
            <w:pP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0"/>
                <w:sz w:val="18"/>
              </w:rPr>
              <w:t>7</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2011-08-01</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125"/>
              <w:jc w:val="center"/>
              <w:rPr>
                <w:rFonts w:ascii="宋体" w:hAnsi="宋体" w:cs="宋体" w:eastAsia="宋体" w:hint="default"/>
                <w:sz w:val="18"/>
                <w:szCs w:val="18"/>
              </w:rPr>
            </w:pPr>
            <w:r>
              <w:rPr>
                <w:rFonts w:ascii="宋体" w:hAnsi="宋体" w:cs="宋体" w:eastAsia="宋体" w:hint="default"/>
                <w:sz w:val="18"/>
                <w:szCs w:val="18"/>
              </w:rPr>
              <w:t>现场会议</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《关于增设集团高级巡视员、</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第十八次临时</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巡视员职务的议案》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《关于颜金辉先生辞去集团副</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总裁职务的议案》</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01"/>
              <w:jc w:val="right"/>
              <w:rPr>
                <w:rFonts w:ascii="Times New Roman" w:hAnsi="Times New Roman" w:cs="Times New Roman" w:eastAsia="Times New Roman" w:hint="default"/>
                <w:sz w:val="18"/>
                <w:szCs w:val="18"/>
              </w:rPr>
            </w:pPr>
            <w:r>
              <w:rPr>
                <w:rFonts w:ascii="Times New Roman"/>
                <w:spacing w:val="-1"/>
                <w:sz w:val="18"/>
              </w:rPr>
              <w:t>2011-08-02</w:t>
            </w: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《关于选举第六届董事局副主</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席的议案》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《关于集团部分高级管理人员</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007" w:header="0" w:top="1120" w:bottom="1200" w:left="1420" w:right="940"/>
          <w:pgNumType w:start="30"/>
        </w:sectPr>
      </w:pPr>
    </w:p>
    <w:p>
      <w:pPr>
        <w:spacing w:line="240" w:lineRule="auto" w:before="9"/>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60"/>
        <w:gridCol w:w="1258"/>
        <w:gridCol w:w="1066"/>
        <w:gridCol w:w="1321"/>
        <w:gridCol w:w="2630"/>
        <w:gridCol w:w="1311"/>
        <w:gridCol w:w="1266"/>
      </w:tblGrid>
      <w:tr>
        <w:trPr>
          <w:trHeight w:val="239" w:hRule="exact"/>
        </w:trPr>
        <w:tc>
          <w:tcPr>
            <w:tcW w:w="460" w:type="dxa"/>
            <w:vMerge w:val="restart"/>
            <w:tcBorders>
              <w:top w:val="single" w:sz="4" w:space="0" w:color="000000"/>
              <w:left w:val="single" w:sz="4" w:space="0" w:color="000000"/>
              <w:right w:val="single" w:sz="4" w:space="0" w:color="000000"/>
            </w:tcBorders>
          </w:tcPr>
          <w:p>
            <w:pPr/>
          </w:p>
        </w:tc>
        <w:tc>
          <w:tcPr>
            <w:tcW w:w="1258"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321" w:type="dxa"/>
            <w:vMerge w:val="restart"/>
            <w:tcBorders>
              <w:top w:val="single" w:sz="4" w:space="0" w:color="000000"/>
              <w:left w:val="single" w:sz="4" w:space="0" w:color="000000"/>
              <w:right w:val="single" w:sz="4" w:space="0" w:color="000000"/>
            </w:tcBorders>
          </w:tcPr>
          <w:p>
            <w:pP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请辞的议案》</w:t>
            </w:r>
          </w:p>
        </w:tc>
        <w:tc>
          <w:tcPr>
            <w:tcW w:w="1311"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r>
      <w:tr>
        <w:trPr>
          <w:trHeight w:val="233" w:hRule="exact"/>
        </w:trPr>
        <w:tc>
          <w:tcPr>
            <w:tcW w:w="460" w:type="dxa"/>
            <w:vMerge/>
            <w:tcBorders>
              <w:left w:val="single" w:sz="4" w:space="0" w:color="000000"/>
              <w:right w:val="single" w:sz="4" w:space="0" w:color="000000"/>
            </w:tcBorders>
          </w:tcPr>
          <w:p>
            <w:pPr/>
          </w:p>
        </w:tc>
        <w:tc>
          <w:tcPr>
            <w:tcW w:w="125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《关于聘任集团高级巡视员、</w:t>
            </w:r>
          </w:p>
        </w:tc>
        <w:tc>
          <w:tcPr>
            <w:tcW w:w="1311"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234" w:hRule="exact"/>
        </w:trPr>
        <w:tc>
          <w:tcPr>
            <w:tcW w:w="460" w:type="dxa"/>
            <w:vMerge/>
            <w:tcBorders>
              <w:left w:val="single" w:sz="4" w:space="0" w:color="000000"/>
              <w:right w:val="single" w:sz="4" w:space="0" w:color="000000"/>
            </w:tcBorders>
          </w:tcPr>
          <w:p>
            <w:pPr/>
          </w:p>
        </w:tc>
        <w:tc>
          <w:tcPr>
            <w:tcW w:w="125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巡视员的议案》</w:t>
            </w:r>
          </w:p>
        </w:tc>
        <w:tc>
          <w:tcPr>
            <w:tcW w:w="1311"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234" w:hRule="exact"/>
        </w:trPr>
        <w:tc>
          <w:tcPr>
            <w:tcW w:w="460" w:type="dxa"/>
            <w:vMerge/>
            <w:tcBorders>
              <w:left w:val="single" w:sz="4" w:space="0" w:color="000000"/>
              <w:right w:val="single" w:sz="4" w:space="0" w:color="000000"/>
            </w:tcBorders>
          </w:tcPr>
          <w:p>
            <w:pPr/>
          </w:p>
        </w:tc>
        <w:tc>
          <w:tcPr>
            <w:tcW w:w="125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《关于设立湖南宝安鸿基房地</w:t>
            </w:r>
          </w:p>
        </w:tc>
        <w:tc>
          <w:tcPr>
            <w:tcW w:w="1311"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r>
      <w:tr>
        <w:trPr>
          <w:trHeight w:val="239" w:hRule="exact"/>
        </w:trPr>
        <w:tc>
          <w:tcPr>
            <w:tcW w:w="460"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产开发有限公司的议案》</w:t>
            </w:r>
          </w:p>
        </w:tc>
        <w:tc>
          <w:tcPr>
            <w:tcW w:w="1311"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r>
        <w:trPr>
          <w:trHeight w:val="239"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45"/>
              <w:jc w:val="center"/>
              <w:rPr>
                <w:rFonts w:ascii="Times New Roman" w:hAnsi="Times New Roman" w:cs="Times New Roman" w:eastAsia="Times New Roman" w:hint="default"/>
                <w:sz w:val="18"/>
                <w:szCs w:val="18"/>
              </w:rPr>
            </w:pPr>
            <w:r>
              <w:rPr>
                <w:rFonts w:ascii="Times New Roman"/>
                <w:w w:val="100"/>
                <w:sz w:val="18"/>
              </w:rPr>
              <w:t>8</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2011-08-16</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关于集团与湘潭双旺投资置业</w:t>
            </w:r>
          </w:p>
        </w:tc>
        <w:tc>
          <w:tcPr>
            <w:tcW w:w="131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第十九次临时</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有限公司签署《五岳新城二期</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项目国有土地使用权转让协</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议》的议案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45"/>
              <w:jc w:val="center"/>
              <w:rPr>
                <w:rFonts w:ascii="Times New Roman" w:hAnsi="Times New Roman" w:cs="Times New Roman" w:eastAsia="Times New Roman" w:hint="default"/>
                <w:sz w:val="18"/>
                <w:szCs w:val="18"/>
              </w:rPr>
            </w:pPr>
            <w:r>
              <w:rPr>
                <w:rFonts w:ascii="Times New Roman"/>
                <w:w w:val="100"/>
                <w:sz w:val="18"/>
              </w:rPr>
              <w:t>9</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2011-08-24</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年半年度报告》及</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462"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第九次定期会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其摘要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《关于调整集团组织架构的议</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201"/>
              <w:jc w:val="right"/>
              <w:rPr>
                <w:rFonts w:ascii="Times New Roman" w:hAnsi="Times New Roman" w:cs="Times New Roman" w:eastAsia="Times New Roman" w:hint="default"/>
                <w:sz w:val="18"/>
                <w:szCs w:val="18"/>
              </w:rPr>
            </w:pPr>
            <w:r>
              <w:rPr>
                <w:rFonts w:ascii="Times New Roman"/>
                <w:spacing w:val="-1"/>
                <w:sz w:val="18"/>
              </w:rPr>
              <w:t>2011-08-26</w:t>
            </w:r>
          </w:p>
        </w:tc>
      </w:tr>
      <w:tr>
        <w:trPr>
          <w:trHeight w:val="237"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40"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54"/>
              <w:jc w:val="center"/>
              <w:rPr>
                <w:rFonts w:ascii="Times New Roman" w:hAnsi="Times New Roman" w:cs="Times New Roman" w:eastAsia="Times New Roman" w:hint="default"/>
                <w:sz w:val="18"/>
                <w:szCs w:val="18"/>
              </w:rPr>
            </w:pPr>
            <w:r>
              <w:rPr>
                <w:rFonts w:ascii="Times New Roman"/>
                <w:sz w:val="18"/>
              </w:rPr>
              <w:t>10</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Times New Roman"/>
                <w:sz w:val="18"/>
              </w:rPr>
              <w:t>2011-09-02</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w w:val="95"/>
                <w:sz w:val="18"/>
                <w:szCs w:val="18"/>
              </w:rPr>
              <w:t>关于修改《公司财务管理制度》</w:t>
            </w:r>
            <w:r>
              <w:rPr>
                <w:rFonts w:ascii="宋体" w:hAnsi="宋体" w:cs="宋体" w:eastAsia="宋体" w:hint="default"/>
                <w:sz w:val="18"/>
                <w:szCs w:val="18"/>
              </w:rPr>
            </w:r>
          </w:p>
        </w:tc>
        <w:tc>
          <w:tcPr>
            <w:tcW w:w="1311"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right="467"/>
              <w:jc w:val="right"/>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第二十次临时</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2630" w:type="dxa"/>
            <w:tcBorders>
              <w:top w:val="nil" w:sz="6" w:space="0" w:color="auto"/>
              <w:left w:val="single" w:sz="4" w:space="0" w:color="000000"/>
              <w:bottom w:val="single" w:sz="4" w:space="0" w:color="000000"/>
              <w:right w:val="single" w:sz="4" w:space="0" w:color="000000"/>
            </w:tcBorders>
          </w:tcPr>
          <w:p>
            <w:pP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54"/>
              <w:jc w:val="center"/>
              <w:rPr>
                <w:rFonts w:ascii="Times New Roman" w:hAnsi="Times New Roman" w:cs="Times New Roman" w:eastAsia="Times New Roman" w:hint="default"/>
                <w:sz w:val="18"/>
                <w:szCs w:val="18"/>
              </w:rPr>
            </w:pPr>
            <w:r>
              <w:rPr>
                <w:rFonts w:ascii="Times New Roman"/>
                <w:sz w:val="18"/>
              </w:rPr>
              <w:t>11</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2011-10-21</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《关于授权安徽宝安鸿基房地</w:t>
            </w:r>
          </w:p>
        </w:tc>
        <w:tc>
          <w:tcPr>
            <w:tcW w:w="131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467"/>
              <w:jc w:val="right"/>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2011-10-25</w:t>
            </w:r>
          </w:p>
        </w:tc>
      </w:tr>
      <w:tr>
        <w:trPr>
          <w:trHeight w:val="233"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第十次定期会</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产开发有限公司参与安徽池州</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国有土地使用权出让竞买的议</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年第三季度报告》</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54"/>
              <w:jc w:val="center"/>
              <w:rPr>
                <w:rFonts w:ascii="Times New Roman" w:hAnsi="Times New Roman" w:cs="Times New Roman" w:eastAsia="Times New Roman" w:hint="default"/>
                <w:sz w:val="18"/>
                <w:szCs w:val="18"/>
              </w:rPr>
            </w:pPr>
            <w:r>
              <w:rPr>
                <w:rFonts w:ascii="Times New Roman"/>
                <w:sz w:val="18"/>
              </w:rPr>
              <w:t>12</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2011-12-12</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通讯表决</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《关于聘任公司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年年度审</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第二十一次临</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计单位的预案》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时会议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《重新审计后公司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年年度</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利润分配的预案》</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《重新审计后公司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年度盈</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201"/>
              <w:jc w:val="right"/>
              <w:rPr>
                <w:rFonts w:ascii="Times New Roman" w:hAnsi="Times New Roman" w:cs="Times New Roman" w:eastAsia="Times New Roman" w:hint="default"/>
                <w:sz w:val="18"/>
                <w:szCs w:val="18"/>
              </w:rPr>
            </w:pPr>
            <w:r>
              <w:rPr>
                <w:rFonts w:ascii="Times New Roman"/>
                <w:spacing w:val="-1"/>
                <w:sz w:val="18"/>
              </w:rPr>
              <w:t>2011-12-13</w:t>
            </w:r>
          </w:p>
        </w:tc>
      </w:tr>
      <w:tr>
        <w:trPr>
          <w:trHeight w:val="229"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余公积金弥补亏损的预案》</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《关于召开公司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年度第一</w:t>
            </w:r>
          </w:p>
        </w:tc>
        <w:tc>
          <w:tcPr>
            <w:tcW w:w="1311"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次临时股东大会的议案》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4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54"/>
              <w:jc w:val="center"/>
              <w:rPr>
                <w:rFonts w:ascii="Times New Roman" w:hAnsi="Times New Roman" w:cs="Times New Roman" w:eastAsia="Times New Roman" w:hint="default"/>
                <w:sz w:val="18"/>
                <w:szCs w:val="18"/>
              </w:rPr>
            </w:pPr>
            <w:r>
              <w:rPr>
                <w:rFonts w:ascii="Times New Roman"/>
                <w:sz w:val="18"/>
              </w:rPr>
              <w:t>13</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2011-12-28</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现场会议</w:t>
            </w: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第六届董事局</w:t>
            </w:r>
          </w:p>
        </w:tc>
        <w:tc>
          <w:tcPr>
            <w:tcW w:w="263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pacing w:val="18"/>
                <w:sz w:val="18"/>
                <w:szCs w:val="18"/>
              </w:rPr>
              <w:t>关于聘任公司副总裁的议</w:t>
            </w:r>
          </w:p>
        </w:tc>
        <w:tc>
          <w:tcPr>
            <w:tcW w:w="1311"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460"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第二十二次临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时会议</w:t>
            </w:r>
          </w:p>
        </w:tc>
        <w:tc>
          <w:tcPr>
            <w:tcW w:w="26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《关于调整公司高层管理人员</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2011-12-29</w:t>
            </w:r>
          </w:p>
        </w:tc>
      </w:tr>
      <w:tr>
        <w:trPr>
          <w:trHeight w:val="349" w:hRule="exact"/>
        </w:trPr>
        <w:tc>
          <w:tcPr>
            <w:tcW w:w="460" w:type="dxa"/>
            <w:tcBorders>
              <w:top w:val="nil" w:sz="6" w:space="0" w:color="auto"/>
              <w:left w:val="single" w:sz="4" w:space="0" w:color="000000"/>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26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薪酬方案的议案》</w:t>
            </w:r>
          </w:p>
        </w:tc>
        <w:tc>
          <w:tcPr>
            <w:tcW w:w="131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74"/>
        <w:ind w:left="456" w:right="0"/>
        <w:jc w:val="left"/>
        <w:rPr>
          <w:rFonts w:ascii="宋体" w:hAnsi="宋体" w:cs="宋体" w:eastAsia="宋体" w:hint="default"/>
        </w:rPr>
      </w:pPr>
      <w:r>
        <w:rPr>
          <w:rFonts w:ascii="宋体" w:hAnsi="宋体" w:cs="宋体" w:eastAsia="宋体" w:hint="default"/>
        </w:rPr>
        <w:t>（二）报告期内董事局对股东大会决议的执行情况</w:t>
      </w:r>
    </w:p>
    <w:p>
      <w:pPr>
        <w:pStyle w:val="BodyText"/>
        <w:spacing w:line="240" w:lineRule="auto" w:before="126"/>
        <w:ind w:left="877" w:right="0"/>
        <w:jc w:val="left"/>
      </w:pPr>
      <w:r>
        <w:rPr>
          <w:rFonts w:ascii="Times New Roman" w:hAnsi="Times New Roman" w:cs="Times New Roman" w:eastAsia="Times New Roman" w:hint="default"/>
        </w:rPr>
        <w:t>1</w:t>
      </w:r>
      <w:r>
        <w:rPr/>
        <w:t>、报告期内，董事局对年度股东大会、临时股东大会通过的各项决议均已执行落实。</w:t>
      </w:r>
    </w:p>
    <w:p>
      <w:pPr>
        <w:pStyle w:val="BodyText"/>
        <w:spacing w:line="240" w:lineRule="auto" w:before="110"/>
        <w:ind w:left="877" w:right="0"/>
        <w:jc w:val="left"/>
      </w:pPr>
      <w:r>
        <w:rPr>
          <w:rFonts w:ascii="Times New Roman" w:hAnsi="Times New Roman" w:cs="Times New Roman" w:eastAsia="Times New Roman" w:hint="default"/>
        </w:rPr>
        <w:t>2</w:t>
      </w:r>
      <w:r>
        <w:rPr/>
        <w:t>、报告期内，公司无利润分配、公积金转增股本以及配股、增发新股等方案的实施。</w:t>
      </w:r>
    </w:p>
    <w:p>
      <w:pPr>
        <w:pStyle w:val="BodyText"/>
        <w:spacing w:line="240" w:lineRule="auto" w:before="107"/>
        <w:ind w:left="456" w:right="0"/>
        <w:jc w:val="left"/>
        <w:rPr>
          <w:rFonts w:ascii="宋体" w:hAnsi="宋体" w:cs="宋体" w:eastAsia="宋体" w:hint="default"/>
        </w:rPr>
      </w:pPr>
      <w:r>
        <w:rPr>
          <w:rFonts w:ascii="宋体" w:hAnsi="宋体" w:cs="宋体" w:eastAsia="宋体" w:hint="default"/>
        </w:rPr>
        <w:t>（三）董事局专门委员会的履职情况</w:t>
      </w:r>
    </w:p>
    <w:p>
      <w:pPr>
        <w:pStyle w:val="BodyText"/>
        <w:spacing w:line="348" w:lineRule="auto" w:before="126"/>
        <w:ind w:left="456" w:right="449" w:firstLine="421"/>
        <w:jc w:val="both"/>
      </w:pPr>
      <w:r>
        <w:rPr>
          <w:spacing w:val="-7"/>
          <w:w w:val="98"/>
        </w:rPr>
        <w:t>报告期内，董事局审计委员会和薪酬与考核委员会根据《上市公司治理准则》、《公司章程》</w:t>
      </w:r>
      <w:r>
        <w:rPr>
          <w:w w:val="49"/>
        </w:rPr>
        <w:t> </w:t>
      </w:r>
      <w:r>
        <w:rPr>
          <w:spacing w:val="-7"/>
          <w:w w:val="98"/>
        </w:rPr>
        <w:t>和《公司董事局审计委员会工作规程》、《公司董事局薪酬与考核委员会工作规程》，切实履职，</w:t>
      </w:r>
      <w:r>
        <w:rPr>
          <w:spacing w:val="-79"/>
          <w:w w:val="98"/>
        </w:rPr>
        <w:t> </w:t>
      </w:r>
      <w:r>
        <w:rPr>
          <w:spacing w:val="-79"/>
          <w:w w:val="98"/>
        </w:rPr>
      </w:r>
      <w:r>
        <w:rPr/>
        <w:t>开展了卓有成效的工作，进一步提升公司规范治理水平。</w:t>
      </w:r>
    </w:p>
    <w:p>
      <w:pPr>
        <w:pStyle w:val="Heading5"/>
        <w:spacing w:line="330" w:lineRule="exact"/>
        <w:ind w:left="884" w:right="0"/>
        <w:jc w:val="left"/>
        <w:rPr>
          <w:b w:val="0"/>
          <w:bCs w:val="0"/>
        </w:rPr>
      </w:pPr>
      <w:r>
        <w:rPr>
          <w:rFonts w:ascii="Times New Roman" w:hAnsi="Times New Roman" w:cs="Times New Roman" w:eastAsia="Times New Roman" w:hint="default"/>
        </w:rPr>
        <w:t>1</w:t>
      </w:r>
      <w:r>
        <w:rPr/>
        <w:t>、董事局审计委员会履职情况</w:t>
      </w:r>
      <w:r>
        <w:rPr>
          <w:b w:val="0"/>
          <w:bCs w:val="0"/>
        </w:rPr>
      </w:r>
    </w:p>
    <w:p>
      <w:pPr>
        <w:spacing w:before="35"/>
        <w:ind w:left="877" w:right="0"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Microsoft JhengHei" w:hAnsi="Microsoft JhengHei" w:cs="Microsoft JhengHei" w:eastAsia="Microsoft JhengHei" w:hint="default"/>
          <w:b/>
          <w:bCs/>
          <w:sz w:val="21"/>
          <w:szCs w:val="21"/>
        </w:rPr>
        <w:t>第六届董事局审计委员会日常工作</w:t>
      </w:r>
      <w:r>
        <w:rPr>
          <w:rFonts w:ascii="Microsoft JhengHei" w:hAnsi="Microsoft JhengHei" w:cs="Microsoft JhengHei" w:eastAsia="Microsoft JhengHei" w:hint="default"/>
          <w:sz w:val="21"/>
          <w:szCs w:val="21"/>
        </w:rPr>
      </w:r>
    </w:p>
    <w:p>
      <w:pPr>
        <w:pStyle w:val="BodyText"/>
        <w:spacing w:line="340" w:lineRule="auto" w:before="99"/>
        <w:ind w:left="456" w:right="449" w:firstLine="421"/>
        <w:jc w:val="both"/>
      </w:pPr>
      <w:r>
        <w:rPr>
          <w:rFonts w:ascii="Times New Roman" w:hAnsi="Times New Roman" w:cs="Times New Roman" w:eastAsia="Times New Roman" w:hint="default"/>
          <w:spacing w:val="-2"/>
        </w:rPr>
        <w:t>2011</w:t>
      </w:r>
      <w:r>
        <w:rPr>
          <w:spacing w:val="-2"/>
        </w:rPr>
        <w:t>年度，审计委员会共召开</w:t>
      </w:r>
      <w:r>
        <w:rPr>
          <w:rFonts w:ascii="Times New Roman" w:hAnsi="Times New Roman" w:cs="Times New Roman" w:eastAsia="Times New Roman" w:hint="default"/>
          <w:spacing w:val="-2"/>
        </w:rPr>
        <w:t>9</w:t>
      </w:r>
      <w:r>
        <w:rPr>
          <w:spacing w:val="-2"/>
        </w:rPr>
        <w:t>次会议。主要审议通过了公司定期财务报告、年度审计单位</w:t>
      </w:r>
      <w:r>
        <w:rPr>
          <w:w w:val="99"/>
        </w:rPr>
        <w:t> </w:t>
      </w:r>
      <w:r>
        <w:rPr/>
        <w:t>履职评价及续聘、关于实施《企业内部控制基本规范》的工作方案、</w:t>
      </w:r>
      <w:r>
        <w:rPr>
          <w:rFonts w:ascii="Times New Roman" w:hAnsi="Times New Roman" w:cs="Times New Roman" w:eastAsia="Times New Roman" w:hint="default"/>
        </w:rPr>
        <w:t>2010</w:t>
      </w:r>
      <w:r>
        <w:rPr/>
        <w:t>年度财务报告会计差</w:t>
      </w:r>
      <w:r>
        <w:rPr>
          <w:spacing w:val="-94"/>
        </w:rPr>
        <w:t> </w:t>
      </w:r>
      <w:r>
        <w:rPr>
          <w:spacing w:val="-94"/>
        </w:rPr>
      </w:r>
      <w:r>
        <w:rPr/>
        <w:t>错更正及追溯调整议案等。除各项日常事务外，本年度，审计委员会通过不定期与公司经营层</w:t>
      </w:r>
      <w:r>
        <w:rPr>
          <w:spacing w:val="-93"/>
        </w:rPr>
        <w:t> </w:t>
      </w:r>
      <w:r>
        <w:rPr>
          <w:spacing w:val="-93"/>
        </w:rPr>
      </w:r>
      <w:r>
        <w:rPr/>
        <w:t>的沟通，督促及协调相关各方尽快解决公司与深圳市赛德隆投资发展有限公司之间债权债务清</w:t>
      </w:r>
      <w:r>
        <w:rPr>
          <w:spacing w:val="-93"/>
        </w:rPr>
        <w:t> </w:t>
      </w:r>
      <w:r>
        <w:rPr>
          <w:spacing w:val="-93"/>
        </w:rPr>
      </w:r>
      <w:r>
        <w:rPr/>
        <w:t>收等历史遗留问题解决，协助公司规避财务及法律风险。</w:t>
      </w:r>
    </w:p>
    <w:p>
      <w:pPr>
        <w:pStyle w:val="BodyText"/>
        <w:spacing w:line="240" w:lineRule="auto" w:before="35"/>
        <w:ind w:left="877" w:right="0"/>
        <w:jc w:val="left"/>
      </w:pPr>
      <w:r>
        <w:rPr/>
        <w:t>此外还重点关注了公司代持法人股事项及公司内部控制规范实施情况：</w:t>
      </w:r>
    </w:p>
    <w:p>
      <w:pPr>
        <w:spacing w:after="0" w:line="240" w:lineRule="auto"/>
        <w:jc w:val="left"/>
        <w:sectPr>
          <w:pgSz w:w="11910" w:h="16840"/>
          <w:pgMar w:header="0" w:footer="1007" w:top="1040" w:bottom="1200" w:left="1420" w:right="940"/>
        </w:sectPr>
      </w:pPr>
    </w:p>
    <w:p>
      <w:pPr>
        <w:pStyle w:val="BodyText"/>
        <w:spacing w:line="350" w:lineRule="auto" w:before="8"/>
        <w:ind w:left="196" w:right="109" w:firstLine="421"/>
        <w:jc w:val="both"/>
      </w:pPr>
      <w:r>
        <w:rPr/>
        <w:t>2011</w:t>
      </w:r>
      <w:r>
        <w:rPr>
          <w:spacing w:val="-65"/>
        </w:rPr>
        <w:t> </w:t>
      </w:r>
      <w:r>
        <w:rPr/>
        <w:t>年</w:t>
      </w:r>
      <w:r>
        <w:rPr>
          <w:spacing w:val="-62"/>
        </w:rPr>
        <w:t> </w:t>
      </w:r>
      <w:r>
        <w:rPr/>
        <w:t>6</w:t>
      </w:r>
      <w:r>
        <w:rPr>
          <w:spacing w:val="-65"/>
        </w:rPr>
        <w:t> </w:t>
      </w:r>
      <w:r>
        <w:rPr/>
        <w:t>月根据深圳联创立信会计师事务所对法人股事项进一步核查的情况，审计委员会</w:t>
      </w:r>
      <w:r>
        <w:rPr>
          <w:w w:val="99"/>
        </w:rPr>
        <w:t> </w:t>
      </w:r>
      <w:r>
        <w:rPr>
          <w:spacing w:val="-5"/>
          <w:w w:val="99"/>
        </w:rPr>
        <w:t>聘请了北京地石律师事务所谢望原律师出具《法律意见书》，谢望原律师认为，“从联创立信的</w:t>
      </w:r>
      <w:r>
        <w:rPr>
          <w:spacing w:val="-65"/>
          <w:w w:val="99"/>
        </w:rPr>
        <w:t> </w:t>
      </w:r>
      <w:r>
        <w:rPr>
          <w:spacing w:val="-65"/>
          <w:w w:val="99"/>
        </w:rPr>
      </w:r>
      <w:r>
        <w:rPr>
          <w:spacing w:val="-1"/>
          <w:w w:val="99"/>
        </w:rPr>
        <w:t>专项审计报告的材料和证据分析，其中涉及的皖能电力（500</w:t>
      </w:r>
      <w:r>
        <w:rPr>
          <w:spacing w:val="-39"/>
          <w:w w:val="99"/>
        </w:rPr>
        <w:t> </w:t>
      </w:r>
      <w:r>
        <w:rPr>
          <w:spacing w:val="-4"/>
          <w:w w:val="99"/>
        </w:rPr>
        <w:t>万股）、鄂武商（196.3184</w:t>
      </w:r>
      <w:r>
        <w:rPr>
          <w:spacing w:val="-42"/>
          <w:w w:val="99"/>
        </w:rPr>
        <w:t> </w:t>
      </w:r>
      <w:r>
        <w:rPr>
          <w:w w:val="83"/>
        </w:rPr>
        <w:t>万股）</w:t>
      </w:r>
      <w:r>
        <w:rPr>
          <w:spacing w:val="-83"/>
          <w:w w:val="83"/>
        </w:rPr>
        <w:t> </w:t>
      </w:r>
      <w:r>
        <w:rPr>
          <w:spacing w:val="-83"/>
          <w:w w:val="83"/>
        </w:rPr>
      </w:r>
      <w:r>
        <w:rPr/>
        <w:t>和昆百大（110.8100</w:t>
      </w:r>
      <w:r>
        <w:rPr>
          <w:spacing w:val="-81"/>
        </w:rPr>
        <w:t> </w:t>
      </w:r>
      <w:r>
        <w:rPr/>
        <w:t>万股）三只股票所谓的“代持法人股”的代持协议无效，其股票权属应当</w:t>
      </w:r>
      <w:r>
        <w:rPr>
          <w:w w:val="99"/>
        </w:rPr>
        <w:t> </w:t>
      </w:r>
      <w:r>
        <w:rPr/>
        <w:t>认定为公司所有”。12</w:t>
      </w:r>
      <w:r>
        <w:rPr>
          <w:spacing w:val="-79"/>
        </w:rPr>
        <w:t> </w:t>
      </w:r>
      <w:r>
        <w:rPr/>
        <w:t>月，审计委员会再次听取了联创立信关于“代持法人股”专项审计等情</w:t>
      </w:r>
      <w:r>
        <w:rPr>
          <w:w w:val="99"/>
        </w:rPr>
        <w:t> </w:t>
      </w:r>
      <w:r>
        <w:rPr/>
        <w:t>况的汇报，审计委员会建议公司计划财务部要提前评估法人股事项涉及的税务风险及影响；对</w:t>
      </w:r>
      <w:r>
        <w:rPr>
          <w:spacing w:val="-93"/>
        </w:rPr>
        <w:t> </w:t>
      </w:r>
      <w:r>
        <w:rPr>
          <w:spacing w:val="-93"/>
        </w:rPr>
      </w:r>
      <w:r>
        <w:rPr/>
        <w:t>法人股涉及资产的所有对外资料，必须审慎核查及履行相关程序。</w:t>
      </w:r>
    </w:p>
    <w:p>
      <w:pPr>
        <w:pStyle w:val="BodyText"/>
        <w:spacing w:line="348" w:lineRule="auto" w:before="29"/>
        <w:ind w:left="196" w:right="116" w:firstLine="421"/>
        <w:jc w:val="both"/>
      </w:pPr>
      <w:r>
        <w:rPr/>
        <w:t>审计委员会十分关注公司内部控制检查监督部门的设置和人员到位等情况，审计部（审计</w:t>
      </w:r>
      <w:r>
        <w:rPr>
          <w:w w:val="99"/>
        </w:rPr>
        <w:t> </w:t>
      </w:r>
      <w:r>
        <w:rPr/>
        <w:t>委员会工作组）作为审计委员会的日常办事机构，具体负责落实审计委员会对公司内控的监督</w:t>
      </w:r>
      <w:r>
        <w:rPr>
          <w:spacing w:val="-93"/>
        </w:rPr>
        <w:t> </w:t>
      </w:r>
      <w:r>
        <w:rPr>
          <w:spacing w:val="-93"/>
        </w:rPr>
      </w:r>
      <w:r>
        <w:rPr/>
        <w:t>检查工作，审计委员会积极支持审计部依法履行审计职能，发挥审计监督作用。报告期内审计</w:t>
      </w:r>
      <w:r>
        <w:rPr>
          <w:spacing w:val="-93"/>
        </w:rPr>
        <w:t> </w:t>
      </w:r>
      <w:r>
        <w:rPr>
          <w:spacing w:val="-93"/>
        </w:rPr>
      </w:r>
      <w:r>
        <w:rPr/>
        <w:t>委员会召开会议听取公司内部控制制度的建立和健全及执行情况汇报，在此基础上对公司整个</w:t>
      </w:r>
      <w:r>
        <w:rPr>
          <w:spacing w:val="-93"/>
        </w:rPr>
        <w:t> </w:t>
      </w:r>
      <w:r>
        <w:rPr>
          <w:spacing w:val="-93"/>
        </w:rPr>
      </w:r>
      <w:r>
        <w:rPr/>
        <w:t>内部控制制度的完善及执行过程中存在的问题提出了宝贵的意见和建议，促进公司不断完善内</w:t>
      </w:r>
      <w:r>
        <w:rPr>
          <w:spacing w:val="-93"/>
        </w:rPr>
        <w:t> </w:t>
      </w:r>
      <w:r>
        <w:rPr>
          <w:spacing w:val="-93"/>
        </w:rPr>
      </w:r>
      <w:r>
        <w:rPr/>
        <w:t>部控制体系，加大内部控制制度的执行力度，积极有效地履行审计委员会委员的职责。</w:t>
      </w:r>
    </w:p>
    <w:p>
      <w:pPr>
        <w:pStyle w:val="Heading5"/>
        <w:spacing w:line="330" w:lineRule="exact"/>
        <w:ind w:left="617" w:right="0"/>
        <w:jc w:val="left"/>
        <w:rPr>
          <w:b w:val="0"/>
          <w:bCs w:val="0"/>
        </w:rPr>
      </w:pPr>
      <w:r>
        <w:rPr>
          <w:w w:val="95"/>
        </w:rPr>
        <w:t>（</w:t>
      </w:r>
      <w:r>
        <w:rPr>
          <w:rFonts w:ascii="Times New Roman" w:hAnsi="Times New Roman" w:cs="Times New Roman" w:eastAsia="Times New Roman" w:hint="default"/>
          <w:w w:val="95"/>
        </w:rPr>
        <w:t>2</w:t>
      </w:r>
      <w:r>
        <w:rPr>
          <w:w w:val="95"/>
        </w:rPr>
        <w:t>）第六届董事局审计委员会在公司     </w:t>
      </w:r>
      <w:r>
        <w:rPr>
          <w:spacing w:val="16"/>
          <w:w w:val="95"/>
        </w:rPr>
        <w:t> </w:t>
      </w:r>
      <w:r>
        <w:rPr>
          <w:rFonts w:ascii="Times New Roman" w:hAnsi="Times New Roman" w:cs="Times New Roman" w:eastAsia="Times New Roman" w:hint="default"/>
          <w:w w:val="95"/>
        </w:rPr>
        <w:t>2011</w:t>
      </w:r>
      <w:r>
        <w:rPr>
          <w:w w:val="95"/>
        </w:rPr>
        <w:t>年度审计工作中履职说明</w:t>
      </w:r>
      <w:r>
        <w:rPr>
          <w:b w:val="0"/>
          <w:bCs w:val="0"/>
        </w:rPr>
      </w:r>
    </w:p>
    <w:p>
      <w:pPr>
        <w:pStyle w:val="BodyText"/>
        <w:spacing w:line="328" w:lineRule="auto" w:before="102"/>
        <w:ind w:left="196" w:right="0" w:firstLine="630"/>
        <w:jc w:val="left"/>
      </w:pPr>
      <w:r>
        <w:rPr>
          <w:w w:val="95"/>
        </w:rPr>
        <w:t>在 </w:t>
      </w:r>
      <w:r>
        <w:rPr>
          <w:rFonts w:ascii="Times New Roman" w:hAnsi="Times New Roman" w:cs="Times New Roman" w:eastAsia="Times New Roman" w:hint="default"/>
          <w:w w:val="95"/>
        </w:rPr>
        <w:t>2011</w:t>
      </w:r>
      <w:r>
        <w:rPr>
          <w:rFonts w:ascii="Times New Roman" w:hAnsi="Times New Roman" w:cs="Times New Roman" w:eastAsia="Times New Roman" w:hint="default"/>
          <w:spacing w:val="22"/>
          <w:w w:val="95"/>
        </w:rPr>
        <w:t> </w:t>
      </w:r>
      <w:r>
        <w:rPr>
          <w:w w:val="95"/>
        </w:rPr>
        <w:t>年年度审计过程中，董事局审计委员会认真履行职责，根据《公司董事局审计委</w:t>
      </w:r>
      <w:r>
        <w:rPr>
          <w:w w:val="99"/>
        </w:rPr>
        <w:t> </w:t>
      </w:r>
      <w:r>
        <w:rPr/>
        <w:t>员会工作规程》的规定，完成了下列工作：</w:t>
      </w:r>
    </w:p>
    <w:p>
      <w:pPr>
        <w:pStyle w:val="BodyText"/>
        <w:spacing w:line="340" w:lineRule="auto" w:before="48"/>
        <w:ind w:left="196" w:right="109" w:firstLine="421"/>
        <w:jc w:val="both"/>
      </w:pPr>
      <w:r>
        <w:rPr>
          <w:rFonts w:ascii="Times New Roman" w:hAnsi="Times New Roman" w:cs="Times New Roman" w:eastAsia="Times New Roman" w:hint="default"/>
        </w:rPr>
        <w:t>1</w:t>
      </w:r>
      <w:r>
        <w:rPr/>
        <w:t>、审计委员会于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日就年报审计单位深圳市鹏城会计师事务所有限公司提</w:t>
      </w:r>
      <w:r>
        <w:rPr>
          <w:w w:val="99"/>
        </w:rPr>
        <w:t> </w:t>
      </w:r>
      <w:r>
        <w:rPr>
          <w:spacing w:val="-3"/>
        </w:rPr>
        <w:t>交的《</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年度财务报表审计安排》进行了充分沟通，听取年度审计项目负责人关于年度审计</w:t>
      </w:r>
      <w:r>
        <w:rPr>
          <w:w w:val="99"/>
        </w:rPr>
        <w:t> </w:t>
      </w:r>
      <w:r>
        <w:rPr/>
        <w:t>主要事项通报，并就审计准则要求与治理层及管理层沟通事项、审计责任和审计主要工作、审</w:t>
      </w:r>
      <w:r>
        <w:rPr>
          <w:spacing w:val="-93"/>
        </w:rPr>
        <w:t> </w:t>
      </w:r>
      <w:r>
        <w:rPr>
          <w:spacing w:val="-93"/>
        </w:rPr>
      </w:r>
      <w:r>
        <w:rPr/>
        <w:t>计目的与范围、审计总体安排、审计费用预算、初步审计重要事项等内容进行了充分有效的沟</w:t>
      </w:r>
      <w:r>
        <w:rPr>
          <w:spacing w:val="-93"/>
        </w:rPr>
        <w:t> </w:t>
      </w:r>
      <w:r>
        <w:rPr>
          <w:spacing w:val="-93"/>
        </w:rPr>
      </w:r>
      <w:r>
        <w:rPr/>
        <w:t>通，协商确定了审计进场时间及报告签署时间，要求会计师严格履行审计程序，按照中国证监</w:t>
      </w:r>
      <w:r>
        <w:rPr>
          <w:spacing w:val="-91"/>
        </w:rPr>
        <w:t> </w:t>
      </w:r>
      <w:r>
        <w:rPr>
          <w:spacing w:val="-91"/>
        </w:rPr>
      </w:r>
      <w:r>
        <w:rPr/>
        <w:t>会的有关要求、审计准则、会计准则的相关规定认真完成</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年年报审计工作。</w:t>
      </w:r>
    </w:p>
    <w:p>
      <w:pPr>
        <w:pStyle w:val="BodyText"/>
        <w:spacing w:line="338" w:lineRule="auto" w:before="12"/>
        <w:ind w:left="196" w:right="107" w:firstLine="421"/>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日，审计委员会现场召开会议审议了公司编制的</w:t>
      </w:r>
      <w:r>
        <w:rPr>
          <w:spacing w:val="-2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年度财务报告，</w:t>
      </w:r>
      <w:r>
        <w:rPr>
          <w:w w:val="99"/>
        </w:rPr>
        <w:t> </w:t>
      </w:r>
      <w:r>
        <w:rPr/>
        <w:t>各委员就年报中涉及的重要事项及或有风险等情况进行了审核，认为：公司编制的财务报告的</w:t>
      </w:r>
      <w:r>
        <w:rPr>
          <w:spacing w:val="-93"/>
        </w:rPr>
        <w:t> </w:t>
      </w:r>
      <w:r>
        <w:rPr>
          <w:spacing w:val="-93"/>
        </w:rPr>
      </w:r>
      <w:r>
        <w:rPr>
          <w:w w:val="99"/>
        </w:rPr>
        <w:t>有关数据基本反映了公司截止</w:t>
      </w:r>
      <w:r>
        <w:rPr>
          <w:spacing w:val="-48"/>
          <w:w w:val="99"/>
        </w:rPr>
        <w:t> </w:t>
      </w:r>
      <w:r>
        <w:rPr>
          <w:rFonts w:ascii="Times New Roman" w:hAnsi="Times New Roman" w:cs="Times New Roman" w:eastAsia="Times New Roman" w:hint="default"/>
          <w:spacing w:val="-1"/>
          <w:w w:val="99"/>
        </w:rPr>
        <w:t>2011</w:t>
      </w:r>
      <w:r>
        <w:rPr>
          <w:rFonts w:ascii="Times New Roman" w:hAnsi="Times New Roman" w:cs="Times New Roman" w:eastAsia="Times New Roman" w:hint="default"/>
          <w:w w:val="99"/>
        </w:rPr>
        <w:t> </w:t>
      </w:r>
      <w:r>
        <w:rPr>
          <w:w w:val="99"/>
        </w:rPr>
        <w:t>年</w:t>
      </w:r>
      <w:r>
        <w:rPr>
          <w:spacing w:val="-45"/>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4"/>
          <w:w w:val="99"/>
        </w:rPr>
        <w:t> </w:t>
      </w:r>
      <w:r>
        <w:rPr>
          <w:w w:val="99"/>
        </w:rPr>
        <w:t>月</w:t>
      </w:r>
      <w:r>
        <w:rPr>
          <w:spacing w:val="-48"/>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6"/>
          <w:w w:val="99"/>
        </w:rPr>
        <w:t> </w:t>
      </w:r>
      <w:r>
        <w:rPr>
          <w:spacing w:val="-4"/>
          <w:w w:val="99"/>
        </w:rPr>
        <w:t>日的财务状况和经营成果，并同意以此财务报表</w:t>
      </w:r>
      <w:r>
        <w:rPr>
          <w:spacing w:val="-4"/>
        </w:rPr>
      </w:r>
    </w:p>
    <w:p>
      <w:pPr>
        <w:pStyle w:val="BodyText"/>
        <w:spacing w:line="240" w:lineRule="auto" w:before="14"/>
        <w:ind w:left="196" w:right="0"/>
        <w:jc w:val="both"/>
      </w:pPr>
      <w:r>
        <w:rPr/>
        <w:t>为基础开展</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年度的审计工作。</w:t>
      </w:r>
    </w:p>
    <w:p>
      <w:pPr>
        <w:pStyle w:val="BodyText"/>
        <w:spacing w:line="328" w:lineRule="auto" w:before="110"/>
        <w:ind w:left="196" w:right="109" w:firstLine="421"/>
        <w:jc w:val="both"/>
      </w:pPr>
      <w:r>
        <w:rPr>
          <w:rFonts w:ascii="Times New Roman" w:hAnsi="Times New Roman" w:cs="Times New Roman" w:eastAsia="Times New Roman" w:hint="default"/>
          <w:spacing w:val="-2"/>
        </w:rPr>
        <w:t>3</w:t>
      </w:r>
      <w:r>
        <w:rPr>
          <w:spacing w:val="-2"/>
        </w:rPr>
        <w:t>、年审会计师按照审计工作计划进场后，审计委员会就会计政策运用、以及审计中发现的</w:t>
      </w:r>
      <w:r>
        <w:rPr>
          <w:w w:val="99"/>
        </w:rPr>
        <w:t> </w:t>
      </w:r>
      <w:r>
        <w:rPr>
          <w:spacing w:val="2"/>
        </w:rPr>
        <w:t>重要事项及或有风险等情况与审计单位作了持续、充分的沟通。</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日审计委员会</w:t>
      </w:r>
    </w:p>
    <w:p>
      <w:pPr>
        <w:pStyle w:val="BodyText"/>
        <w:spacing w:line="343" w:lineRule="auto" w:before="24"/>
        <w:ind w:left="196" w:right="107"/>
        <w:jc w:val="both"/>
      </w:pPr>
      <w:r>
        <w:rPr>
          <w:spacing w:val="-3"/>
        </w:rPr>
        <w:t>召开会议，以审计单位提交的《与治理层的沟通函》为基础，与其就</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年财务审计报告结果</w:t>
      </w:r>
      <w:r>
        <w:rPr>
          <w:w w:val="99"/>
        </w:rPr>
        <w:t> </w:t>
      </w:r>
      <w:r>
        <w:rPr/>
        <w:t>以及重要审计事项中的代持法人股事项的后续情况、房屋建筑物的核算入账情况、会计政策变</w:t>
      </w:r>
      <w:r>
        <w:rPr>
          <w:spacing w:val="-93"/>
        </w:rPr>
        <w:t> </w:t>
      </w:r>
      <w:r>
        <w:rPr>
          <w:spacing w:val="-93"/>
        </w:rPr>
      </w:r>
      <w:r>
        <w:rPr/>
        <w:t>更的追溯调整事项、起诉关联企业偿还欠款、东南网股权、西安房地产收入确认等需关注的重</w:t>
      </w:r>
      <w:r>
        <w:rPr>
          <w:spacing w:val="-86"/>
        </w:rPr>
        <w:t> </w:t>
      </w:r>
      <w:r>
        <w:rPr>
          <w:spacing w:val="-86"/>
        </w:rPr>
      </w:r>
      <w:r>
        <w:rPr>
          <w:w w:val="95"/>
        </w:rPr>
        <w:t>要事项进行了审议，对会计师事务所出具的  </w:t>
      </w:r>
      <w:r>
        <w:rPr>
          <w:rFonts w:ascii="Times New Roman" w:hAnsi="Times New Roman" w:cs="Times New Roman" w:eastAsia="Times New Roman" w:hint="default"/>
          <w:w w:val="95"/>
        </w:rPr>
        <w:t>2011     </w:t>
      </w:r>
      <w:r>
        <w:rPr>
          <w:w w:val="95"/>
        </w:rPr>
        <w:t>年度审计报告进行了审阅。同时还审议通过了</w:t>
      </w:r>
      <w:r>
        <w:rPr/>
      </w:r>
    </w:p>
    <w:p>
      <w:pPr>
        <w:pStyle w:val="BodyText"/>
        <w:spacing w:line="240" w:lineRule="auto" w:before="10"/>
        <w:ind w:left="196" w:right="0"/>
        <w:jc w:val="both"/>
      </w:pPr>
      <w:r>
        <w:rPr>
          <w:spacing w:val="2"/>
          <w:w w:val="99"/>
        </w:rPr>
        <w:t>《</w:t>
      </w:r>
      <w:r>
        <w:rPr>
          <w:w w:val="99"/>
        </w:rPr>
        <w:t>关</w:t>
      </w:r>
      <w:r>
        <w:rPr>
          <w:spacing w:val="2"/>
          <w:w w:val="99"/>
        </w:rPr>
        <w:t>于</w:t>
      </w:r>
      <w:r>
        <w:rPr>
          <w:w w:val="99"/>
        </w:rPr>
        <w:t>对</w:t>
      </w:r>
      <w:r>
        <w:rPr>
          <w:spacing w:val="2"/>
          <w:w w:val="99"/>
        </w:rPr>
        <w:t>应</w:t>
      </w:r>
      <w:r>
        <w:rPr>
          <w:w w:val="99"/>
        </w:rPr>
        <w:t>由</w:t>
      </w:r>
      <w:r>
        <w:rPr>
          <w:spacing w:val="2"/>
          <w:w w:val="99"/>
        </w:rPr>
        <w:t>少</w:t>
      </w:r>
      <w:r>
        <w:rPr>
          <w:w w:val="99"/>
        </w:rPr>
        <w:t>数</w:t>
      </w:r>
      <w:r>
        <w:rPr>
          <w:spacing w:val="2"/>
          <w:w w:val="99"/>
        </w:rPr>
        <w:t>股</w:t>
      </w:r>
      <w:r>
        <w:rPr>
          <w:w w:val="99"/>
        </w:rPr>
        <w:t>东</w:t>
      </w:r>
      <w:r>
        <w:rPr>
          <w:spacing w:val="2"/>
          <w:w w:val="99"/>
        </w:rPr>
        <w:t>承</w:t>
      </w:r>
      <w:r>
        <w:rPr>
          <w:w w:val="99"/>
        </w:rPr>
        <w:t>担</w:t>
      </w:r>
      <w:r>
        <w:rPr>
          <w:spacing w:val="2"/>
          <w:w w:val="99"/>
        </w:rPr>
        <w:t>的</w:t>
      </w:r>
      <w:r>
        <w:rPr>
          <w:w w:val="99"/>
        </w:rPr>
        <w:t>超</w:t>
      </w:r>
      <w:r>
        <w:rPr>
          <w:spacing w:val="2"/>
          <w:w w:val="99"/>
        </w:rPr>
        <w:t>额</w:t>
      </w:r>
      <w:r>
        <w:rPr>
          <w:w w:val="99"/>
        </w:rPr>
        <w:t>亏</w:t>
      </w:r>
      <w:r>
        <w:rPr>
          <w:spacing w:val="2"/>
          <w:w w:val="99"/>
        </w:rPr>
        <w:t>损</w:t>
      </w:r>
      <w:r>
        <w:rPr>
          <w:w w:val="99"/>
        </w:rPr>
        <w:t>事</w:t>
      </w:r>
      <w:r>
        <w:rPr>
          <w:spacing w:val="2"/>
          <w:w w:val="99"/>
        </w:rPr>
        <w:t>项</w:t>
      </w:r>
      <w:r>
        <w:rPr>
          <w:w w:val="99"/>
        </w:rPr>
        <w:t>进</w:t>
      </w:r>
      <w:r>
        <w:rPr>
          <w:spacing w:val="2"/>
          <w:w w:val="99"/>
        </w:rPr>
        <w:t>行</w:t>
      </w:r>
      <w:r>
        <w:rPr>
          <w:w w:val="99"/>
        </w:rPr>
        <w:t>会</w:t>
      </w:r>
      <w:r>
        <w:rPr>
          <w:spacing w:val="2"/>
          <w:w w:val="99"/>
        </w:rPr>
        <w:t>计</w:t>
      </w:r>
      <w:r>
        <w:rPr>
          <w:w w:val="99"/>
        </w:rPr>
        <w:t>政</w:t>
      </w:r>
      <w:r>
        <w:rPr>
          <w:spacing w:val="2"/>
          <w:w w:val="99"/>
        </w:rPr>
        <w:t>策</w:t>
      </w:r>
      <w:r>
        <w:rPr>
          <w:w w:val="99"/>
        </w:rPr>
        <w:t>变</w:t>
      </w:r>
      <w:r>
        <w:rPr>
          <w:spacing w:val="2"/>
          <w:w w:val="99"/>
        </w:rPr>
        <w:t>更</w:t>
      </w:r>
      <w:r>
        <w:rPr>
          <w:w w:val="99"/>
        </w:rPr>
        <w:t>的</w:t>
      </w:r>
      <w:r>
        <w:rPr>
          <w:spacing w:val="2"/>
          <w:w w:val="99"/>
        </w:rPr>
        <w:t>议</w:t>
      </w:r>
      <w:r>
        <w:rPr>
          <w:w w:val="99"/>
        </w:rPr>
        <w:t>案</w:t>
      </w:r>
      <w:r>
        <w:rPr>
          <w:spacing w:val="-104"/>
          <w:w w:val="99"/>
        </w:rPr>
        <w:t>》</w:t>
      </w:r>
      <w:r>
        <w:rPr>
          <w:spacing w:val="-195"/>
          <w:w w:val="99"/>
        </w:rPr>
        <w:t>、</w:t>
      </w:r>
      <w:r>
        <w:rPr>
          <w:w w:val="99"/>
        </w:rPr>
        <w:t>《</w:t>
      </w:r>
      <w:r>
        <w:rPr>
          <w:spacing w:val="2"/>
          <w:w w:val="99"/>
        </w:rPr>
        <w:t>关</w:t>
      </w:r>
      <w:r>
        <w:rPr>
          <w:w w:val="99"/>
        </w:rPr>
        <w:t>于</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spacing w:val="2"/>
          <w:w w:val="99"/>
        </w:rPr>
        <w:t>年</w:t>
      </w:r>
      <w:r>
        <w:rPr>
          <w:w w:val="99"/>
        </w:rPr>
        <w:t>计</w:t>
      </w:r>
      <w:r>
        <w:rPr>
          <w:spacing w:val="2"/>
          <w:w w:val="99"/>
        </w:rPr>
        <w:t>提</w:t>
      </w:r>
      <w:r>
        <w:rPr>
          <w:w w:val="99"/>
        </w:rPr>
        <w:t>各项</w:t>
      </w:r>
      <w:r>
        <w:rPr/>
      </w:r>
    </w:p>
    <w:p>
      <w:pPr>
        <w:pStyle w:val="BodyText"/>
        <w:spacing w:line="331" w:lineRule="auto" w:before="107"/>
        <w:ind w:left="196" w:right="109"/>
        <w:jc w:val="both"/>
      </w:pPr>
      <w:r>
        <w:rPr>
          <w:spacing w:val="2"/>
          <w:w w:val="99"/>
        </w:rPr>
        <w:t>资</w:t>
      </w:r>
      <w:r>
        <w:rPr>
          <w:w w:val="99"/>
        </w:rPr>
        <w:t>产</w:t>
      </w:r>
      <w:r>
        <w:rPr>
          <w:spacing w:val="2"/>
          <w:w w:val="99"/>
        </w:rPr>
        <w:t>减</w:t>
      </w:r>
      <w:r>
        <w:rPr>
          <w:w w:val="99"/>
        </w:rPr>
        <w:t>值</w:t>
      </w:r>
      <w:r>
        <w:rPr>
          <w:spacing w:val="2"/>
          <w:w w:val="99"/>
        </w:rPr>
        <w:t>准</w:t>
      </w:r>
      <w:r>
        <w:rPr>
          <w:w w:val="99"/>
        </w:rPr>
        <w:t>备</w:t>
      </w:r>
      <w:r>
        <w:rPr>
          <w:spacing w:val="2"/>
          <w:w w:val="99"/>
        </w:rPr>
        <w:t>的</w:t>
      </w:r>
      <w:r>
        <w:rPr>
          <w:w w:val="99"/>
        </w:rPr>
        <w:t>专</w:t>
      </w:r>
      <w:r>
        <w:rPr>
          <w:spacing w:val="2"/>
          <w:w w:val="99"/>
        </w:rPr>
        <w:t>项</w:t>
      </w:r>
      <w:r>
        <w:rPr>
          <w:w w:val="99"/>
        </w:rPr>
        <w:t>报</w:t>
      </w:r>
      <w:r>
        <w:rPr>
          <w:spacing w:val="7"/>
          <w:w w:val="99"/>
        </w:rPr>
        <w:t>告</w:t>
      </w:r>
      <w:r>
        <w:rPr>
          <w:spacing w:val="-104"/>
          <w:w w:val="99"/>
        </w:rPr>
        <w:t>》、</w:t>
      </w:r>
      <w:r>
        <w:rPr>
          <w:spacing w:val="2"/>
          <w:w w:val="99"/>
        </w:rPr>
        <w:t>《</w:t>
      </w:r>
      <w:r>
        <w:rPr>
          <w:w w:val="99"/>
        </w:rPr>
        <w:t>关于</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预</w:t>
      </w:r>
      <w:r>
        <w:rPr>
          <w:w w:val="99"/>
        </w:rPr>
        <w:t>案</w:t>
      </w:r>
      <w:r>
        <w:rPr>
          <w:spacing w:val="2"/>
          <w:w w:val="99"/>
        </w:rPr>
        <w:t>的</w:t>
      </w:r>
      <w:r>
        <w:rPr>
          <w:w w:val="99"/>
        </w:rPr>
        <w:t>建</w:t>
      </w:r>
      <w:r>
        <w:rPr>
          <w:spacing w:val="7"/>
          <w:w w:val="99"/>
        </w:rPr>
        <w:t>议</w:t>
      </w:r>
      <w:r>
        <w:rPr>
          <w:spacing w:val="-104"/>
          <w:w w:val="99"/>
        </w:rPr>
        <w:t>》、</w:t>
      </w:r>
      <w:r>
        <w:rPr>
          <w:spacing w:val="2"/>
          <w:w w:val="99"/>
        </w:rPr>
        <w:t>《</w:t>
      </w:r>
      <w:r>
        <w:rPr>
          <w:w w:val="99"/>
        </w:rPr>
        <w:t>审议</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年</w:t>
      </w:r>
      <w:r>
        <w:rPr>
          <w:w w:val="99"/>
        </w:rPr>
        <w:t>度</w:t>
      </w:r>
      <w:r>
        <w:rPr>
          <w:spacing w:val="2"/>
          <w:w w:val="99"/>
        </w:rPr>
        <w:t>财</w:t>
      </w:r>
      <w:r>
        <w:rPr>
          <w:w w:val="99"/>
        </w:rPr>
        <w:t>务</w:t>
      </w:r>
      <w:r>
        <w:rPr>
          <w:spacing w:val="2"/>
          <w:w w:val="99"/>
        </w:rPr>
        <w:t>决</w:t>
      </w:r>
      <w:r>
        <w:rPr>
          <w:w w:val="99"/>
        </w:rPr>
        <w:t>算</w:t>
      </w:r>
      <w:r>
        <w:rPr>
          <w:w w:val="99"/>
        </w:rPr>
        <w:t> </w:t>
      </w:r>
      <w:r>
        <w:rPr>
          <w:spacing w:val="2"/>
          <w:w w:val="99"/>
        </w:rPr>
        <w:t>报</w:t>
      </w:r>
      <w:r>
        <w:rPr>
          <w:w w:val="99"/>
        </w:rPr>
        <w:t>告</w:t>
      </w:r>
      <w:r>
        <w:rPr>
          <w:spacing w:val="-106"/>
          <w:w w:val="99"/>
        </w:rPr>
        <w:t>》</w:t>
      </w:r>
      <w:r>
        <w:rPr>
          <w:spacing w:val="2"/>
          <w:w w:val="99"/>
        </w:rPr>
        <w:t>、</w:t>
      </w:r>
      <w:r>
        <w:rPr>
          <w:w w:val="99"/>
        </w:rPr>
        <w:t>关</w:t>
      </w:r>
      <w:r>
        <w:rPr>
          <w:spacing w:val="2"/>
          <w:w w:val="99"/>
        </w:rPr>
        <w:t>于</w:t>
      </w:r>
      <w:r>
        <w:rPr>
          <w:w w:val="99"/>
        </w:rPr>
        <w:t>公</w:t>
      </w:r>
      <w:r>
        <w:rPr>
          <w:spacing w:val="2"/>
          <w:w w:val="99"/>
        </w:rPr>
        <w:t>司</w:t>
      </w:r>
      <w:r>
        <w:rPr>
          <w:w w:val="99"/>
        </w:rPr>
        <w:t>《</w:t>
      </w:r>
      <w:r>
        <w:rPr>
          <w:spacing w:val="2"/>
          <w:w w:val="99"/>
        </w:rPr>
        <w:t>内</w:t>
      </w:r>
      <w:r>
        <w:rPr>
          <w:w w:val="99"/>
        </w:rPr>
        <w:t>部</w:t>
      </w:r>
      <w:r>
        <w:rPr>
          <w:spacing w:val="2"/>
          <w:w w:val="99"/>
        </w:rPr>
        <w:t>控</w:t>
      </w:r>
      <w:r>
        <w:rPr>
          <w:w w:val="99"/>
        </w:rPr>
        <w:t>制</w:t>
      </w:r>
      <w:r>
        <w:rPr>
          <w:spacing w:val="2"/>
          <w:w w:val="99"/>
        </w:rPr>
        <w:t>自</w:t>
      </w:r>
      <w:r>
        <w:rPr>
          <w:w w:val="99"/>
        </w:rPr>
        <w:t>我</w:t>
      </w:r>
      <w:r>
        <w:rPr>
          <w:spacing w:val="2"/>
          <w:w w:val="99"/>
        </w:rPr>
        <w:t>评</w:t>
      </w:r>
      <w:r>
        <w:rPr>
          <w:w w:val="99"/>
        </w:rPr>
        <w:t>价</w:t>
      </w:r>
      <w:r>
        <w:rPr>
          <w:spacing w:val="2"/>
          <w:w w:val="99"/>
        </w:rPr>
        <w:t>报</w:t>
      </w:r>
      <w:r>
        <w:rPr>
          <w:w w:val="99"/>
        </w:rPr>
        <w:t>告</w:t>
      </w:r>
      <w:r>
        <w:rPr>
          <w:spacing w:val="2"/>
          <w:w w:val="99"/>
        </w:rPr>
        <w:t>》</w:t>
      </w:r>
      <w:r>
        <w:rPr>
          <w:w w:val="99"/>
        </w:rPr>
        <w:t>的</w:t>
      </w:r>
      <w:r>
        <w:rPr>
          <w:spacing w:val="2"/>
          <w:w w:val="99"/>
        </w:rPr>
        <w:t>议</w:t>
      </w:r>
      <w:r>
        <w:rPr>
          <w:w w:val="99"/>
        </w:rPr>
        <w:t>案。</w:t>
      </w:r>
      <w:r>
        <w:rPr/>
      </w:r>
    </w:p>
    <w:p>
      <w:pPr>
        <w:pStyle w:val="BodyText"/>
        <w:spacing w:line="240" w:lineRule="auto" w:before="46"/>
        <w:ind w:left="617" w:right="0"/>
        <w:jc w:val="left"/>
        <w:rPr>
          <w:rFonts w:ascii="Times New Roman" w:hAnsi="Times New Roman" w:cs="Times New Roman" w:eastAsia="Times New Roman" w:hint="default"/>
        </w:rPr>
      </w:pPr>
      <w:r>
        <w:rPr>
          <w:spacing w:val="2"/>
          <w:w w:val="99"/>
        </w:rPr>
        <w:t>审</w:t>
      </w:r>
      <w:r>
        <w:rPr>
          <w:w w:val="99"/>
        </w:rPr>
        <w:t>计</w:t>
      </w:r>
      <w:r>
        <w:rPr>
          <w:spacing w:val="2"/>
          <w:w w:val="99"/>
        </w:rPr>
        <w:t>委</w:t>
      </w:r>
      <w:r>
        <w:rPr>
          <w:w w:val="99"/>
        </w:rPr>
        <w:t>员</w:t>
      </w:r>
      <w:r>
        <w:rPr>
          <w:spacing w:val="2"/>
          <w:w w:val="99"/>
        </w:rPr>
        <w:t>会</w:t>
      </w:r>
      <w:r>
        <w:rPr>
          <w:w w:val="99"/>
        </w:rPr>
        <w:t>认为</w:t>
      </w:r>
      <w:r>
        <w:rPr>
          <w:spacing w:val="-82"/>
          <w:w w:val="99"/>
        </w:rPr>
        <w:t>：</w:t>
      </w:r>
      <w:r>
        <w:rPr>
          <w:spacing w:val="2"/>
          <w:w w:val="99"/>
        </w:rPr>
        <w:t>公</w:t>
      </w:r>
      <w:r>
        <w:rPr>
          <w:w w:val="99"/>
        </w:rPr>
        <w:t>司</w:t>
      </w:r>
      <w:r>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spacing w:val="2"/>
          <w:w w:val="99"/>
        </w:rPr>
        <w:t>年</w:t>
      </w:r>
      <w:r>
        <w:rPr>
          <w:w w:val="99"/>
        </w:rPr>
        <w:t>度</w:t>
      </w:r>
      <w:r>
        <w:rPr>
          <w:spacing w:val="2"/>
          <w:w w:val="99"/>
        </w:rPr>
        <w:t>财</w:t>
      </w:r>
      <w:r>
        <w:rPr>
          <w:w w:val="99"/>
        </w:rPr>
        <w:t>务</w:t>
      </w:r>
      <w:r>
        <w:rPr>
          <w:spacing w:val="2"/>
          <w:w w:val="99"/>
        </w:rPr>
        <w:t>会</w:t>
      </w:r>
      <w:r>
        <w:rPr>
          <w:w w:val="99"/>
        </w:rPr>
        <w:t>计报</w:t>
      </w:r>
      <w:r>
        <w:rPr>
          <w:spacing w:val="2"/>
          <w:w w:val="99"/>
        </w:rPr>
        <w:t>告在</w:t>
      </w:r>
      <w:r>
        <w:rPr>
          <w:w w:val="99"/>
        </w:rPr>
        <w:t>所</w:t>
      </w:r>
      <w:r>
        <w:rPr>
          <w:spacing w:val="2"/>
          <w:w w:val="99"/>
        </w:rPr>
        <w:t>有</w:t>
      </w:r>
      <w:r>
        <w:rPr>
          <w:w w:val="99"/>
        </w:rPr>
        <w:t>重</w:t>
      </w:r>
      <w:r>
        <w:rPr>
          <w:spacing w:val="2"/>
          <w:w w:val="99"/>
        </w:rPr>
        <w:t>大</w:t>
      </w:r>
      <w:r>
        <w:rPr>
          <w:w w:val="99"/>
        </w:rPr>
        <w:t>方</w:t>
      </w:r>
      <w:r>
        <w:rPr>
          <w:spacing w:val="2"/>
          <w:w w:val="99"/>
        </w:rPr>
        <w:t>面</w:t>
      </w:r>
      <w:r>
        <w:rPr>
          <w:w w:val="99"/>
        </w:rPr>
        <w:t>反</w:t>
      </w:r>
      <w:r>
        <w:rPr>
          <w:spacing w:val="2"/>
          <w:w w:val="99"/>
        </w:rPr>
        <w:t>映</w:t>
      </w:r>
      <w:r>
        <w:rPr>
          <w:w w:val="99"/>
        </w:rPr>
        <w:t>了</w:t>
      </w:r>
      <w:r>
        <w:rPr>
          <w:spacing w:val="2"/>
          <w:w w:val="99"/>
        </w:rPr>
        <w:t>公</w:t>
      </w:r>
      <w:r>
        <w:rPr>
          <w:w w:val="99"/>
        </w:rPr>
        <w:t>司</w:t>
      </w:r>
      <w:r>
        <w:rPr>
          <w:spacing w:val="2"/>
          <w:w w:val="99"/>
        </w:rPr>
        <w:t>截</w:t>
      </w:r>
      <w:r>
        <w:rPr>
          <w:w w:val="99"/>
        </w:rPr>
        <w:t>至</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w w:val="99"/>
        </w:rPr>
        <w:t>年</w:t>
      </w:r>
      <w:r>
        <w:rPr>
          <w:spacing w:val="-50"/>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0" w:footer="1007" w:top="1180" w:bottom="1200" w:left="1680" w:right="1280"/>
        </w:sectPr>
      </w:pPr>
    </w:p>
    <w:p>
      <w:pPr>
        <w:pStyle w:val="BodyText"/>
        <w:spacing w:line="340" w:lineRule="auto" w:before="8"/>
        <w:ind w:left="396" w:right="387"/>
        <w:jc w:val="both"/>
      </w:pPr>
      <w:bookmarkStart w:name="八、2011年度利润分配预案" w:id="27"/>
      <w:bookmarkEnd w:id="27"/>
      <w:r>
        <w:rPr/>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日的资产负债状况及</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年度的生产经营成果，同意将此报告提交董事会审议。同时对</w:t>
      </w:r>
      <w:r>
        <w:rPr>
          <w:w w:val="99"/>
        </w:rPr>
        <w:t> </w:t>
      </w:r>
      <w:r>
        <w:rPr/>
        <w:t>深圳市鹏城会计师事务所有限公司从事本年度的审计工作进行了总结，认为年审注册会计师已</w:t>
      </w:r>
      <w:r>
        <w:rPr>
          <w:spacing w:val="-89"/>
        </w:rPr>
        <w:t> </w:t>
      </w:r>
      <w:r>
        <w:rPr>
          <w:spacing w:val="-89"/>
        </w:rPr>
      </w:r>
      <w:r>
        <w:rPr/>
        <w:t>严格执行相关审计程序，并按照中国注册会计师独立审计准则的规定执行了审计工作，完成了</w:t>
      </w:r>
      <w:r>
        <w:rPr>
          <w:spacing w:val="-93"/>
        </w:rPr>
        <w:t> </w:t>
      </w:r>
      <w:r>
        <w:rPr>
          <w:spacing w:val="-93"/>
        </w:rPr>
      </w:r>
      <w:r>
        <w:rPr/>
        <w:t>各项审计任务，出具的审计报告能够充分反映公司</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w w:val="99"/>
        </w:rPr>
        <w:t> </w:t>
      </w:r>
      <w:r>
        <w:rPr/>
        <w:t>度的经营成果及现金流量，出具的审计结论符合公司的实际情况。</w:t>
      </w:r>
    </w:p>
    <w:p>
      <w:pPr>
        <w:pStyle w:val="Heading5"/>
        <w:spacing w:line="336" w:lineRule="exact"/>
        <w:ind w:left="824" w:right="0"/>
        <w:jc w:val="left"/>
        <w:rPr>
          <w:b w:val="0"/>
          <w:bCs w:val="0"/>
        </w:rPr>
      </w:pPr>
      <w:r>
        <w:rPr>
          <w:rFonts w:ascii="Times New Roman" w:hAnsi="Times New Roman" w:cs="Times New Roman" w:eastAsia="Times New Roman" w:hint="default"/>
        </w:rPr>
        <w:t>2</w:t>
      </w:r>
      <w:r>
        <w:rPr/>
        <w:t>、董事局薪酬与考核委员会的履职情况</w:t>
      </w:r>
      <w:r>
        <w:rPr>
          <w:b w:val="0"/>
          <w:bCs w:val="0"/>
        </w:rPr>
      </w:r>
    </w:p>
    <w:p>
      <w:pPr>
        <w:pStyle w:val="BodyText"/>
        <w:spacing w:line="343" w:lineRule="auto" w:before="99"/>
        <w:ind w:left="396" w:right="392" w:firstLine="421"/>
        <w:jc w:val="both"/>
      </w:pPr>
      <w:r>
        <w:rPr>
          <w:spacing w:val="-2"/>
        </w:rPr>
        <w:t>报告期内，第六届董事局薪酬与考核共召开了</w:t>
      </w:r>
      <w:r>
        <w:rPr>
          <w:rFonts w:ascii="Times New Roman" w:hAnsi="Times New Roman" w:cs="Times New Roman" w:eastAsia="Times New Roman" w:hint="default"/>
          <w:spacing w:val="-2"/>
        </w:rPr>
        <w:t>3</w:t>
      </w:r>
      <w:r>
        <w:rPr>
          <w:spacing w:val="-2"/>
        </w:rPr>
        <w:t>次会议，主要审议了《董事局薪酬与考核委</w:t>
      </w:r>
      <w:r>
        <w:rPr>
          <w:w w:val="99"/>
        </w:rPr>
        <w:t> </w:t>
      </w:r>
      <w:r>
        <w:rPr/>
        <w:t>员会工作规程》修订稿、关于调整高层管理人员薪酬方案的议案并报董事局会议审定；组织了</w:t>
      </w:r>
      <w:r>
        <w:rPr>
          <w:spacing w:val="-93"/>
        </w:rPr>
        <w:t> </w:t>
      </w:r>
      <w:r>
        <w:rPr>
          <w:spacing w:val="-93"/>
        </w:rPr>
      </w:r>
      <w:r>
        <w:rPr/>
        <w:t>对公司高级管理人员年度绩效责任书的拟订、年度和年中考核绩效考核、季度绩效跟踪促进、</w:t>
      </w:r>
      <w:r>
        <w:rPr>
          <w:spacing w:val="-93"/>
        </w:rPr>
        <w:t> </w:t>
      </w:r>
      <w:r>
        <w:rPr>
          <w:spacing w:val="-93"/>
        </w:rPr>
      </w:r>
      <w:r>
        <w:rPr/>
        <w:t>审核高管人员</w:t>
      </w:r>
      <w:r>
        <w:rPr>
          <w:rFonts w:ascii="Times New Roman" w:hAnsi="Times New Roman" w:cs="Times New Roman" w:eastAsia="Times New Roman" w:hint="default"/>
        </w:rPr>
        <w:t>2010</w:t>
      </w:r>
      <w:r>
        <w:rPr/>
        <w:t>年绩效考核评分办法及考核结果运用方案、对绩效跟踪及考核具体操作办法</w:t>
      </w:r>
      <w:r>
        <w:rPr>
          <w:spacing w:val="-94"/>
        </w:rPr>
        <w:t> </w:t>
      </w:r>
      <w:r>
        <w:rPr>
          <w:spacing w:val="-94"/>
        </w:rPr>
      </w:r>
      <w:r>
        <w:rPr/>
        <w:t>进行了改进。此外，委员会委员与薪酬与考核委员会工作组成员保持密切联系和沟通，通过各</w:t>
      </w:r>
      <w:r>
        <w:rPr>
          <w:spacing w:val="-93"/>
        </w:rPr>
        <w:t> </w:t>
      </w:r>
      <w:r>
        <w:rPr>
          <w:spacing w:val="-93"/>
        </w:rPr>
      </w:r>
      <w:r>
        <w:rPr/>
        <w:t>种方式及时掌握集团公司有关薪酬与考核工作的进展、状况，主任委员还经常到公司与相关工</w:t>
      </w:r>
      <w:r>
        <w:rPr>
          <w:spacing w:val="-93"/>
        </w:rPr>
        <w:t> </w:t>
      </w:r>
      <w:r>
        <w:rPr>
          <w:spacing w:val="-93"/>
        </w:rPr>
      </w:r>
      <w:r>
        <w:rPr>
          <w:spacing w:val="-2"/>
          <w:w w:val="98"/>
        </w:rPr>
        <w:t>作人员分析研讨改进绩效管理的思路、办法，了解和分析解决具体问题，提出要求和安排意见，</w:t>
      </w:r>
      <w:r>
        <w:rPr>
          <w:spacing w:val="-80"/>
          <w:w w:val="98"/>
        </w:rPr>
        <w:t> </w:t>
      </w:r>
      <w:r>
        <w:rPr>
          <w:spacing w:val="-80"/>
          <w:w w:val="98"/>
        </w:rPr>
      </w:r>
      <w:r>
        <w:rPr/>
        <w:t>及时向董事局报告工作和提出建议，确保薪酬与考核相关工作顺利开展。</w:t>
      </w:r>
    </w:p>
    <w:p>
      <w:pPr>
        <w:spacing w:line="240" w:lineRule="auto" w:before="6"/>
        <w:rPr>
          <w:rFonts w:ascii="宋体" w:hAnsi="宋体" w:cs="宋体" w:eastAsia="宋体" w:hint="default"/>
          <w:sz w:val="17"/>
          <w:szCs w:val="17"/>
        </w:rPr>
      </w:pPr>
    </w:p>
    <w:p>
      <w:pPr>
        <w:pStyle w:val="Heading4"/>
        <w:spacing w:line="240" w:lineRule="auto"/>
        <w:ind w:left="396" w:right="0"/>
        <w:jc w:val="both"/>
      </w:pPr>
      <w:r>
        <w:rPr/>
        <w:t>八、</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年度利润分配预案</w:t>
      </w:r>
    </w:p>
    <w:p>
      <w:pPr>
        <w:spacing w:line="240" w:lineRule="auto" w:before="13"/>
        <w:rPr>
          <w:rFonts w:ascii="宋体" w:hAnsi="宋体" w:cs="宋体" w:eastAsia="宋体" w:hint="default"/>
          <w:sz w:val="26"/>
          <w:szCs w:val="26"/>
        </w:rPr>
      </w:pPr>
    </w:p>
    <w:p>
      <w:pPr>
        <w:pStyle w:val="BodyText"/>
        <w:spacing w:line="240" w:lineRule="auto"/>
        <w:ind w:left="817" w:right="0"/>
        <w:jc w:val="left"/>
      </w:pPr>
      <w:r>
        <w:rPr/>
        <w:t>经</w:t>
      </w:r>
      <w:r>
        <w:rPr>
          <w:spacing w:val="-81"/>
        </w:rPr>
        <w:t> </w:t>
      </w:r>
      <w:r>
        <w:rPr>
          <w:spacing w:val="12"/>
        </w:rPr>
        <w:t>深圳</w:t>
      </w:r>
      <w:r>
        <w:rPr>
          <w:spacing w:val="-81"/>
        </w:rPr>
        <w:t> </w:t>
      </w:r>
      <w:r>
        <w:rPr>
          <w:spacing w:val="12"/>
        </w:rPr>
        <w:t>市鹏</w:t>
      </w:r>
      <w:r>
        <w:rPr>
          <w:spacing w:val="-81"/>
        </w:rPr>
        <w:t> </w:t>
      </w:r>
      <w:r>
        <w:rPr>
          <w:spacing w:val="12"/>
        </w:rPr>
        <w:t>城会</w:t>
      </w:r>
      <w:r>
        <w:rPr>
          <w:spacing w:val="-81"/>
        </w:rPr>
        <w:t> </w:t>
      </w:r>
      <w:r>
        <w:rPr>
          <w:spacing w:val="12"/>
        </w:rPr>
        <w:t>计师</w:t>
      </w:r>
      <w:r>
        <w:rPr>
          <w:spacing w:val="-81"/>
        </w:rPr>
        <w:t> </w:t>
      </w:r>
      <w:r>
        <w:rPr>
          <w:spacing w:val="12"/>
        </w:rPr>
        <w:t>事务</w:t>
      </w:r>
      <w:r>
        <w:rPr>
          <w:spacing w:val="-81"/>
        </w:rPr>
        <w:t> </w:t>
      </w:r>
      <w:r>
        <w:rPr>
          <w:spacing w:val="12"/>
        </w:rPr>
        <w:t>所有</w:t>
      </w:r>
      <w:r>
        <w:rPr>
          <w:spacing w:val="-81"/>
        </w:rPr>
        <w:t> </w:t>
      </w:r>
      <w:r>
        <w:rPr>
          <w:spacing w:val="12"/>
        </w:rPr>
        <w:t>限公</w:t>
      </w:r>
      <w:r>
        <w:rPr>
          <w:spacing w:val="-81"/>
        </w:rPr>
        <w:t> </w:t>
      </w:r>
      <w:r>
        <w:rPr>
          <w:spacing w:val="12"/>
        </w:rPr>
        <w:t>司审</w:t>
      </w:r>
      <w:r>
        <w:rPr>
          <w:spacing w:val="-81"/>
        </w:rPr>
        <w:t> </w:t>
      </w:r>
      <w:r>
        <w:rPr>
          <w:spacing w:val="12"/>
        </w:rPr>
        <w:t>计确</w:t>
      </w:r>
      <w:r>
        <w:rPr>
          <w:spacing w:val="-81"/>
        </w:rPr>
        <w:t> </w:t>
      </w:r>
      <w:r>
        <w:rPr>
          <w:spacing w:val="12"/>
        </w:rPr>
        <w:t>认，</w:t>
      </w:r>
      <w:r>
        <w:rPr>
          <w:spacing w:val="-81"/>
        </w:rPr>
        <w:t> </w:t>
      </w:r>
      <w:r>
        <w:rPr>
          <w:spacing w:val="12"/>
        </w:rPr>
        <w:t>调整</w:t>
      </w:r>
      <w:r>
        <w:rPr>
          <w:spacing w:val="-81"/>
        </w:rPr>
        <w:t> </w:t>
      </w:r>
      <w:r>
        <w:rPr>
          <w:spacing w:val="12"/>
        </w:rPr>
        <w:t>前年</w:t>
      </w:r>
      <w:r>
        <w:rPr>
          <w:spacing w:val="-81"/>
        </w:rPr>
        <w:t> </w:t>
      </w:r>
      <w:r>
        <w:rPr>
          <w:spacing w:val="12"/>
        </w:rPr>
        <w:t>初未</w:t>
      </w:r>
      <w:r>
        <w:rPr>
          <w:spacing w:val="-81"/>
        </w:rPr>
        <w:t> </w:t>
      </w:r>
      <w:r>
        <w:rPr>
          <w:spacing w:val="12"/>
        </w:rPr>
        <w:t>分配</w:t>
      </w:r>
      <w:r>
        <w:rPr>
          <w:spacing w:val="-81"/>
        </w:rPr>
        <w:t> </w:t>
      </w:r>
      <w:r>
        <w:rPr>
          <w:spacing w:val="12"/>
        </w:rPr>
        <w:t>利润</w:t>
      </w:r>
      <w:r>
        <w:rPr>
          <w:spacing w:val="-81"/>
        </w:rPr>
        <w:t> </w:t>
      </w:r>
      <w:r>
        <w:rPr>
          <w:spacing w:val="12"/>
        </w:rPr>
        <w:t>为人</w:t>
      </w:r>
      <w:r>
        <w:rPr>
          <w:spacing w:val="-81"/>
        </w:rPr>
        <w:t> </w:t>
      </w:r>
      <w:r>
        <w:rPr>
          <w:spacing w:val="12"/>
        </w:rPr>
        <w:t>民币</w:t>
      </w:r>
    </w:p>
    <w:p>
      <w:pPr>
        <w:pStyle w:val="BodyText"/>
        <w:spacing w:line="331" w:lineRule="auto" w:before="126"/>
        <w:ind w:left="396" w:right="387"/>
        <w:jc w:val="both"/>
      </w:pPr>
      <w:r>
        <w:rPr>
          <w:rFonts w:ascii="Times New Roman" w:hAnsi="Times New Roman" w:cs="Times New Roman" w:eastAsia="Times New Roman" w:hint="default"/>
          <w:spacing w:val="-1"/>
        </w:rPr>
        <w:t>-153,665,128.53</w:t>
      </w:r>
      <w:r>
        <w:rPr>
          <w:spacing w:val="-1"/>
        </w:rPr>
        <w:t>元，本期会计政策变更调增年初未分配利润</w:t>
      </w:r>
      <w:r>
        <w:rPr>
          <w:rFonts w:ascii="Times New Roman" w:hAnsi="Times New Roman" w:cs="Times New Roman" w:eastAsia="Times New Roman" w:hint="default"/>
          <w:spacing w:val="-1"/>
        </w:rPr>
        <w:t>12,674,364.39</w:t>
      </w:r>
      <w:r>
        <w:rPr>
          <w:spacing w:val="-1"/>
        </w:rPr>
        <w:t>元，调整后年初未分配</w:t>
      </w:r>
      <w:r>
        <w:rPr>
          <w:w w:val="99"/>
        </w:rPr>
        <w:t> </w:t>
      </w:r>
      <w:r>
        <w:rPr>
          <w:spacing w:val="6"/>
        </w:rPr>
        <w:t>利润为人民币</w:t>
      </w:r>
      <w:r>
        <w:rPr>
          <w:rFonts w:ascii="Times New Roman" w:hAnsi="Times New Roman" w:cs="Times New Roman" w:eastAsia="Times New Roman" w:hint="default"/>
          <w:spacing w:val="6"/>
        </w:rPr>
        <w:t>-140,990,764.14</w:t>
      </w:r>
      <w:r>
        <w:rPr>
          <w:spacing w:val="6"/>
        </w:rPr>
        <w:t>元，加上</w:t>
      </w:r>
      <w:r>
        <w:rPr>
          <w:rFonts w:ascii="Times New Roman" w:hAnsi="Times New Roman" w:cs="Times New Roman" w:eastAsia="Times New Roman" w:hint="default"/>
          <w:spacing w:val="6"/>
        </w:rPr>
        <w:t>2011</w:t>
      </w:r>
      <w:r>
        <w:rPr>
          <w:spacing w:val="6"/>
        </w:rPr>
        <w:t>年第一次临时股东大会通过的盈余公积弥补亏损</w:t>
      </w:r>
      <w:r>
        <w:rPr>
          <w:spacing w:val="-102"/>
        </w:rPr>
        <w:t> </w:t>
      </w:r>
      <w:r>
        <w:rPr>
          <w:spacing w:val="-102"/>
        </w:rPr>
      </w:r>
      <w:r>
        <w:rPr>
          <w:rFonts w:ascii="Times New Roman" w:hAnsi="Times New Roman" w:cs="Times New Roman" w:eastAsia="Times New Roman" w:hint="default"/>
          <w:spacing w:val="-2"/>
          <w:w w:val="99"/>
        </w:rPr>
        <w:t>153,665,128.53</w:t>
      </w:r>
      <w:r>
        <w:rPr>
          <w:spacing w:val="-2"/>
          <w:w w:val="99"/>
        </w:rPr>
        <w:t>元，</w:t>
      </w:r>
      <w:r>
        <w:rPr>
          <w:rFonts w:ascii="Times New Roman" w:hAnsi="Times New Roman" w:cs="Times New Roman" w:eastAsia="Times New Roman" w:hint="default"/>
          <w:spacing w:val="-2"/>
          <w:w w:val="99"/>
        </w:rPr>
        <w:t>2011</w:t>
      </w:r>
      <w:r>
        <w:rPr>
          <w:spacing w:val="-2"/>
          <w:w w:val="99"/>
        </w:rPr>
        <w:t>年度公司实现归属于母公司所有者的净利润人民币</w:t>
      </w:r>
      <w:r>
        <w:rPr>
          <w:rFonts w:ascii="Times New Roman" w:hAnsi="Times New Roman" w:cs="Times New Roman" w:eastAsia="Times New Roman" w:hint="default"/>
          <w:spacing w:val="-2"/>
          <w:w w:val="99"/>
        </w:rPr>
        <w:t>140,080,654.63</w:t>
      </w:r>
      <w:r>
        <w:rPr>
          <w:spacing w:val="-2"/>
          <w:w w:val="99"/>
        </w:rPr>
        <w:t>元，减</w:t>
      </w:r>
      <w:r>
        <w:rPr>
          <w:spacing w:val="-53"/>
          <w:w w:val="99"/>
        </w:rPr>
        <w:t> </w:t>
      </w:r>
      <w:r>
        <w:rPr>
          <w:spacing w:val="-53"/>
          <w:w w:val="99"/>
        </w:rPr>
      </w:r>
      <w:r>
        <w:rPr/>
        <w:t>去</w:t>
      </w:r>
      <w:r>
        <w:rPr>
          <w:rFonts w:ascii="Times New Roman" w:hAnsi="Times New Roman" w:cs="Times New Roman" w:eastAsia="Times New Roman" w:hint="default"/>
        </w:rPr>
        <w:t>2011</w:t>
      </w:r>
      <w:r>
        <w:rPr/>
        <w:t>年度公司按章程计提的法定盈余公积金</w:t>
      </w:r>
      <w:r>
        <w:rPr>
          <w:spacing w:val="-73"/>
        </w:rPr>
        <w:t> </w:t>
      </w:r>
      <w:r>
        <w:rPr>
          <w:rFonts w:ascii="Times New Roman" w:hAnsi="Times New Roman" w:cs="Times New Roman" w:eastAsia="Times New Roman" w:hint="default"/>
        </w:rPr>
        <w:t>27,452,309.39</w:t>
      </w:r>
      <w:r>
        <w:rPr/>
        <w:t>元，</w:t>
      </w:r>
      <w:r>
        <w:rPr>
          <w:rFonts w:ascii="Times New Roman" w:hAnsi="Times New Roman" w:cs="Times New Roman" w:eastAsia="Times New Roman" w:hint="default"/>
        </w:rPr>
        <w:t>2011</w:t>
      </w:r>
      <w:r>
        <w:rPr/>
        <w:t>年末可供股东分配利润为</w:t>
      </w:r>
      <w:r>
        <w:rPr>
          <w:spacing w:val="-90"/>
        </w:rPr>
        <w:t> </w:t>
      </w:r>
      <w:r>
        <w:rPr>
          <w:spacing w:val="-90"/>
        </w:rPr>
      </w:r>
      <w:r>
        <w:rPr/>
        <w:t>人民币</w:t>
      </w:r>
      <w:r>
        <w:rPr>
          <w:rFonts w:ascii="Times New Roman" w:hAnsi="Times New Roman" w:cs="Times New Roman" w:eastAsia="Times New Roman" w:hint="default"/>
        </w:rPr>
        <w:t>125,302,709.63</w:t>
      </w:r>
      <w:r>
        <w:rPr/>
        <w:t>元。公司</w:t>
      </w:r>
      <w:r>
        <w:rPr>
          <w:rFonts w:ascii="Times New Roman" w:hAnsi="Times New Roman" w:cs="Times New Roman" w:eastAsia="Times New Roman" w:hint="default"/>
        </w:rPr>
        <w:t>2011</w:t>
      </w:r>
      <w:r>
        <w:rPr/>
        <w:t>年度盈余公积金余额为人民币</w:t>
      </w:r>
      <w:r>
        <w:rPr>
          <w:rFonts w:ascii="Times New Roman" w:hAnsi="Times New Roman" w:cs="Times New Roman" w:eastAsia="Times New Roman" w:hint="default"/>
        </w:rPr>
        <w:t>86,217,520.36</w:t>
      </w:r>
      <w:r>
        <w:rPr/>
        <w:t>元，公司</w:t>
      </w:r>
      <w:r>
        <w:rPr>
          <w:rFonts w:ascii="Times New Roman" w:hAnsi="Times New Roman" w:cs="Times New Roman" w:eastAsia="Times New Roman" w:hint="default"/>
        </w:rPr>
        <w:t>2011</w:t>
      </w:r>
      <w:r>
        <w:rPr/>
        <w:t>年</w:t>
      </w:r>
      <w:r>
        <w:rPr>
          <w:spacing w:val="-94"/>
        </w:rPr>
        <w:t> </w:t>
      </w:r>
      <w:r>
        <w:rPr>
          <w:w w:val="95"/>
        </w:rPr>
        <w:t>度资本公积金余额为人民币</w:t>
      </w:r>
      <w:r>
        <w:rPr>
          <w:rFonts w:ascii="Times New Roman" w:hAnsi="Times New Roman" w:cs="Times New Roman" w:eastAsia="Times New Roman" w:hint="default"/>
          <w:w w:val="95"/>
        </w:rPr>
        <w:t>314,704,209.29</w:t>
      </w:r>
      <w:r>
        <w:rPr>
          <w:w w:val="95"/>
        </w:rPr>
        <w:t>元。公司</w:t>
      </w:r>
      <w:r>
        <w:rPr>
          <w:rFonts w:ascii="Times New Roman" w:hAnsi="Times New Roman" w:cs="Times New Roman" w:eastAsia="Times New Roman" w:hint="default"/>
          <w:w w:val="95"/>
        </w:rPr>
        <w:t>2011</w:t>
      </w:r>
      <w:r>
        <w:rPr>
          <w:w w:val="95"/>
        </w:rPr>
        <w:t>年度按章程计提盈余公积金，无资本公</w:t>
      </w:r>
      <w:r>
        <w:rPr>
          <w:spacing w:val="95"/>
          <w:w w:val="95"/>
        </w:rPr>
        <w:t> </w:t>
      </w:r>
      <w:r>
        <w:rPr>
          <w:spacing w:val="95"/>
          <w:w w:val="95"/>
        </w:rPr>
      </w:r>
      <w:r>
        <w:rPr>
          <w:spacing w:val="2"/>
        </w:rPr>
        <w:t>积金转增股本方案。对本年利润分配采取派发现金红利方式，每股派发现金红利 </w:t>
      </w:r>
      <w:r>
        <w:rPr>
          <w:rFonts w:ascii="Times New Roman" w:hAnsi="Times New Roman" w:cs="Times New Roman" w:eastAsia="Times New Roman" w:hint="default"/>
        </w:rPr>
        <w:t>0.03</w:t>
      </w:r>
      <w:r>
        <w:rPr>
          <w:rFonts w:ascii="Times New Roman" w:hAnsi="Times New Roman" w:cs="Times New Roman" w:eastAsia="Times New Roman" w:hint="default"/>
          <w:spacing w:val="43"/>
        </w:rPr>
        <w:t> </w:t>
      </w:r>
      <w:r>
        <w:rPr/>
        <w:t>元（含</w:t>
      </w:r>
      <w:r>
        <w:rPr>
          <w:w w:val="99"/>
        </w:rPr>
        <w:t> </w:t>
      </w:r>
      <w:r>
        <w:rPr>
          <w:spacing w:val="-35"/>
          <w:w w:val="99"/>
        </w:rPr>
        <w:t>税）。</w:t>
      </w:r>
      <w:r>
        <w:rPr>
          <w:spacing w:val="-35"/>
        </w:rPr>
      </w:r>
    </w:p>
    <w:p>
      <w:pPr>
        <w:pStyle w:val="BodyText"/>
        <w:spacing w:line="240" w:lineRule="auto" w:before="43"/>
        <w:ind w:left="817" w:right="0"/>
        <w:jc w:val="left"/>
      </w:pPr>
      <w:r>
        <w:rPr/>
        <w:t>上述预案尚需提交公司</w:t>
      </w:r>
      <w:r>
        <w:rPr>
          <w:rFonts w:ascii="Times New Roman" w:hAnsi="Times New Roman" w:cs="Times New Roman" w:eastAsia="Times New Roman" w:hint="default"/>
        </w:rPr>
        <w:t>2011</w:t>
      </w:r>
      <w:r>
        <w:rPr/>
        <w:t>年年度股东大会审议。</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left="396" w:right="0"/>
        <w:jc w:val="both"/>
        <w:rPr>
          <w:rFonts w:ascii="宋体" w:hAnsi="宋体" w:cs="宋体" w:eastAsia="宋体" w:hint="default"/>
        </w:rPr>
      </w:pPr>
      <w:r>
        <w:rPr>
          <w:rFonts w:ascii="宋体" w:hAnsi="宋体" w:cs="宋体" w:eastAsia="宋体" w:hint="default"/>
        </w:rPr>
        <w:t>（三）公司过去三年现金分红情况</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25"/>
        <w:gridCol w:w="1246"/>
        <w:gridCol w:w="2259"/>
        <w:gridCol w:w="2526"/>
        <w:gridCol w:w="1222"/>
      </w:tblGrid>
      <w:tr>
        <w:trPr>
          <w:trHeight w:val="665" w:hRule="exact"/>
        </w:trPr>
        <w:tc>
          <w:tcPr>
            <w:tcW w:w="1925"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32" w:lineRule="exact" w:before="85"/>
              <w:ind w:left="772" w:right="770"/>
              <w:jc w:val="center"/>
              <w:rPr>
                <w:rFonts w:ascii="宋体" w:hAnsi="宋体" w:cs="宋体" w:eastAsia="宋体" w:hint="default"/>
                <w:sz w:val="18"/>
                <w:szCs w:val="18"/>
              </w:rPr>
            </w:pPr>
            <w:r>
              <w:rPr>
                <w:rFonts w:ascii="宋体" w:hAnsi="宋体" w:cs="宋体" w:eastAsia="宋体" w:hint="default"/>
                <w:sz w:val="18"/>
                <w:szCs w:val="18"/>
              </w:rPr>
              <w:t>分红</w:t>
            </w:r>
            <w:r>
              <w:rPr>
                <w:rFonts w:ascii="宋体" w:hAnsi="宋体" w:cs="宋体" w:eastAsia="宋体" w:hint="default"/>
                <w:w w:val="100"/>
                <w:sz w:val="18"/>
                <w:szCs w:val="18"/>
              </w:rPr>
              <w:t> </w:t>
            </w:r>
            <w:r>
              <w:rPr>
                <w:rFonts w:ascii="宋体" w:hAnsi="宋体" w:cs="宋体" w:eastAsia="宋体" w:hint="default"/>
                <w:sz w:val="18"/>
                <w:szCs w:val="18"/>
              </w:rPr>
              <w:t>年度</w:t>
            </w:r>
          </w:p>
        </w:tc>
        <w:tc>
          <w:tcPr>
            <w:tcW w:w="1246"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32" w:lineRule="exact" w:before="85"/>
              <w:ind w:left="163" w:right="159"/>
              <w:jc w:val="left"/>
              <w:rPr>
                <w:rFonts w:ascii="宋体" w:hAnsi="宋体" w:cs="宋体" w:eastAsia="宋体" w:hint="default"/>
                <w:sz w:val="18"/>
                <w:szCs w:val="18"/>
              </w:rPr>
            </w:pPr>
            <w:r>
              <w:rPr>
                <w:rFonts w:ascii="宋体" w:hAnsi="宋体" w:cs="宋体" w:eastAsia="宋体" w:hint="default"/>
                <w:sz w:val="18"/>
                <w:szCs w:val="18"/>
              </w:rPr>
              <w:t>现金分红金</w:t>
            </w:r>
            <w:r>
              <w:rPr>
                <w:rFonts w:ascii="宋体" w:hAnsi="宋体" w:cs="宋体" w:eastAsia="宋体" w:hint="default"/>
                <w:spacing w:val="-88"/>
                <w:sz w:val="18"/>
                <w:szCs w:val="18"/>
              </w:rPr>
              <w:t> </w:t>
            </w:r>
            <w:r>
              <w:rPr>
                <w:rFonts w:ascii="宋体" w:hAnsi="宋体" w:cs="宋体" w:eastAsia="宋体" w:hint="default"/>
                <w:sz w:val="18"/>
                <w:szCs w:val="18"/>
              </w:rPr>
              <w:t>额（含税）</w:t>
            </w:r>
          </w:p>
        </w:tc>
        <w:tc>
          <w:tcPr>
            <w:tcW w:w="2259"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32" w:lineRule="exact" w:before="85"/>
              <w:ind w:left="98" w:right="96"/>
              <w:jc w:val="left"/>
              <w:rPr>
                <w:rFonts w:ascii="宋体" w:hAnsi="宋体" w:cs="宋体" w:eastAsia="宋体" w:hint="default"/>
                <w:sz w:val="18"/>
                <w:szCs w:val="18"/>
              </w:rPr>
            </w:pPr>
            <w:r>
              <w:rPr>
                <w:rFonts w:ascii="宋体" w:hAnsi="宋体" w:cs="宋体" w:eastAsia="宋体" w:hint="default"/>
                <w:spacing w:val="3"/>
                <w:sz w:val="18"/>
                <w:szCs w:val="18"/>
              </w:rPr>
              <w:t>分红年度合并报表中归属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于母公司所有者净利润</w:t>
            </w:r>
          </w:p>
        </w:tc>
        <w:tc>
          <w:tcPr>
            <w:tcW w:w="2526" w:type="dxa"/>
            <w:tcBorders>
              <w:top w:val="single" w:sz="8" w:space="0" w:color="000000"/>
              <w:left w:val="single" w:sz="8" w:space="0" w:color="000000"/>
              <w:bottom w:val="single" w:sz="8" w:space="0" w:color="000000"/>
              <w:right w:val="single" w:sz="4" w:space="0" w:color="000000"/>
            </w:tcBorders>
            <w:shd w:val="clear" w:color="auto" w:fill="8B8B8B"/>
          </w:tcPr>
          <w:p>
            <w:pPr>
              <w:pStyle w:val="TableParagraph"/>
              <w:spacing w:line="232" w:lineRule="exact" w:before="85"/>
              <w:ind w:left="98" w:right="245"/>
              <w:jc w:val="left"/>
              <w:rPr>
                <w:rFonts w:ascii="宋体" w:hAnsi="宋体" w:cs="宋体" w:eastAsia="宋体" w:hint="default"/>
                <w:sz w:val="18"/>
                <w:szCs w:val="18"/>
              </w:rPr>
            </w:pPr>
            <w:r>
              <w:rPr>
                <w:rFonts w:ascii="宋体" w:hAnsi="宋体" w:cs="宋体" w:eastAsia="宋体" w:hint="default"/>
                <w:sz w:val="18"/>
                <w:szCs w:val="18"/>
              </w:rPr>
              <w:t>占合并报表中归属于母公司</w:t>
            </w:r>
            <w:r>
              <w:rPr>
                <w:rFonts w:ascii="宋体" w:hAnsi="宋体" w:cs="宋体" w:eastAsia="宋体" w:hint="default"/>
                <w:spacing w:val="-85"/>
                <w:sz w:val="18"/>
                <w:szCs w:val="18"/>
              </w:rPr>
              <w:t> </w:t>
            </w:r>
            <w:r>
              <w:rPr>
                <w:rFonts w:ascii="宋体" w:hAnsi="宋体" w:cs="宋体" w:eastAsia="宋体" w:hint="default"/>
                <w:sz w:val="18"/>
                <w:szCs w:val="18"/>
              </w:rPr>
              <w:t>所有者净利润的比例</w:t>
            </w:r>
          </w:p>
        </w:tc>
        <w:tc>
          <w:tcPr>
            <w:tcW w:w="1222" w:type="dxa"/>
            <w:tcBorders>
              <w:top w:val="single" w:sz="8" w:space="0" w:color="000000"/>
              <w:left w:val="single" w:sz="4" w:space="0" w:color="000000"/>
              <w:bottom w:val="single" w:sz="8" w:space="0" w:color="000000"/>
              <w:right w:val="single" w:sz="8" w:space="0" w:color="000000"/>
            </w:tcBorders>
            <w:shd w:val="clear" w:color="auto" w:fill="8B8B8B"/>
          </w:tcPr>
          <w:p>
            <w:pPr>
              <w:pStyle w:val="TableParagraph"/>
              <w:spacing w:line="232" w:lineRule="exact" w:before="85"/>
              <w:ind w:left="245" w:right="238"/>
              <w:jc w:val="left"/>
              <w:rPr>
                <w:rFonts w:ascii="宋体" w:hAnsi="宋体" w:cs="宋体" w:eastAsia="宋体" w:hint="default"/>
                <w:sz w:val="18"/>
                <w:szCs w:val="18"/>
              </w:rPr>
            </w:pPr>
            <w:r>
              <w:rPr>
                <w:rFonts w:ascii="宋体" w:hAnsi="宋体" w:cs="宋体" w:eastAsia="宋体" w:hint="default"/>
                <w:sz w:val="18"/>
                <w:szCs w:val="18"/>
              </w:rPr>
              <w:t>年度可供</w:t>
            </w:r>
            <w:r>
              <w:rPr>
                <w:rFonts w:ascii="宋体" w:hAnsi="宋体" w:cs="宋体" w:eastAsia="宋体" w:hint="default"/>
                <w:w w:val="100"/>
                <w:sz w:val="18"/>
                <w:szCs w:val="18"/>
              </w:rPr>
              <w:t> </w:t>
            </w:r>
            <w:r>
              <w:rPr>
                <w:rFonts w:ascii="宋体" w:hAnsi="宋体" w:cs="宋体" w:eastAsia="宋体" w:hint="default"/>
                <w:sz w:val="18"/>
                <w:szCs w:val="18"/>
              </w:rPr>
              <w:t>分配利润</w:t>
            </w:r>
          </w:p>
        </w:tc>
      </w:tr>
      <w:tr>
        <w:trPr>
          <w:trHeight w:val="302" w:hRule="exact"/>
        </w:trPr>
        <w:tc>
          <w:tcPr>
            <w:tcW w:w="1925"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w w:val="95"/>
                <w:sz w:val="21"/>
              </w:rPr>
              <w:t>96,586,077.75</w:t>
            </w:r>
            <w:r>
              <w:rPr>
                <w:rFonts w:ascii="Times New Roman"/>
                <w:sz w:val="21"/>
              </w:rPr>
            </w:r>
          </w:p>
        </w:tc>
        <w:tc>
          <w:tcPr>
            <w:tcW w:w="2526"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222"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2" w:hRule="exact"/>
        </w:trPr>
        <w:tc>
          <w:tcPr>
            <w:tcW w:w="1925"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w w:val="95"/>
                <w:sz w:val="21"/>
              </w:rPr>
              <w:t>64,907,773.22</w:t>
            </w:r>
            <w:r>
              <w:rPr>
                <w:rFonts w:ascii="Times New Roman"/>
                <w:sz w:val="21"/>
              </w:rPr>
            </w:r>
          </w:p>
        </w:tc>
        <w:tc>
          <w:tcPr>
            <w:tcW w:w="2526"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222"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925" w:type="dxa"/>
            <w:tcBorders>
              <w:top w:val="single" w:sz="8" w:space="0" w:color="000000"/>
              <w:left w:val="single" w:sz="8" w:space="0" w:color="000000"/>
              <w:bottom w:val="single" w:sz="4" w:space="0" w:color="000000"/>
              <w:right w:val="single" w:sz="8" w:space="0" w:color="000000"/>
            </w:tcBorders>
            <w:shd w:val="clear" w:color="auto" w:fill="8B8B8B"/>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246" w:type="dxa"/>
            <w:tcBorders>
              <w:top w:val="single" w:sz="8" w:space="0" w:color="000000"/>
              <w:left w:val="single" w:sz="8" w:space="0" w:color="000000"/>
              <w:bottom w:val="single" w:sz="4"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5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-114,882,564.68</w:t>
            </w:r>
          </w:p>
        </w:tc>
        <w:tc>
          <w:tcPr>
            <w:tcW w:w="2526" w:type="dxa"/>
            <w:tcBorders>
              <w:top w:val="single" w:sz="8" w:space="0" w:color="000000"/>
              <w:left w:val="single" w:sz="8"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222" w:type="dxa"/>
            <w:tcBorders>
              <w:top w:val="single" w:sz="8" w:space="0" w:color="000000"/>
              <w:left w:val="single" w:sz="4" w:space="0" w:color="000000"/>
              <w:bottom w:val="single" w:sz="4" w:space="0" w:color="000000"/>
              <w:right w:val="single" w:sz="8" w:space="0" w:color="000000"/>
            </w:tcBorders>
          </w:tcPr>
          <w:p>
            <w:pPr>
              <w:pStyle w:val="TableParagraph"/>
              <w:spacing w:line="243" w:lineRule="exact"/>
              <w:ind w:left="29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715" w:hRule="exact"/>
        </w:trPr>
        <w:tc>
          <w:tcPr>
            <w:tcW w:w="1925" w:type="dxa"/>
            <w:tcBorders>
              <w:top w:val="single" w:sz="4" w:space="0" w:color="000000"/>
              <w:left w:val="single" w:sz="8" w:space="0" w:color="000000"/>
              <w:bottom w:val="single" w:sz="8" w:space="0" w:color="000000"/>
              <w:right w:val="single" w:sz="8" w:space="0" w:color="000000"/>
            </w:tcBorders>
            <w:shd w:val="clear" w:color="auto" w:fill="8B8B8B"/>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最近三年累计现金分</w:t>
            </w:r>
          </w:p>
          <w:p>
            <w:pPr>
              <w:pStyle w:val="TableParagraph"/>
              <w:spacing w:line="240" w:lineRule="auto"/>
              <w:ind w:left="98" w:right="103"/>
              <w:jc w:val="left"/>
              <w:rPr>
                <w:rFonts w:ascii="宋体" w:hAnsi="宋体" w:cs="宋体" w:eastAsia="宋体" w:hint="default"/>
                <w:sz w:val="18"/>
                <w:szCs w:val="18"/>
              </w:rPr>
            </w:pPr>
            <w:r>
              <w:rPr>
                <w:rFonts w:ascii="宋体" w:hAnsi="宋体" w:cs="宋体" w:eastAsia="宋体" w:hint="default"/>
                <w:spacing w:val="7"/>
                <w:sz w:val="18"/>
                <w:szCs w:val="18"/>
              </w:rPr>
              <w:t>红金额占最近年均净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54" w:type="dxa"/>
            <w:gridSpan w:val="4"/>
            <w:tcBorders>
              <w:top w:val="single" w:sz="4"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0" w:footer="1007" w:top="1180" w:bottom="1200" w:left="1480" w:right="1000"/>
        </w:sectPr>
      </w:pPr>
    </w:p>
    <w:p>
      <w:pPr>
        <w:pStyle w:val="Heading4"/>
        <w:spacing w:line="240" w:lineRule="auto" w:before="5"/>
        <w:ind w:right="0"/>
        <w:jc w:val="left"/>
      </w:pPr>
      <w:bookmarkStart w:name="九、内幕信息知情人管理制度的执行情况" w:id="28"/>
      <w:bookmarkEnd w:id="28"/>
      <w:r>
        <w:rPr/>
      </w:r>
      <w:bookmarkStart w:name="十、其它事项" w:id="29"/>
      <w:bookmarkEnd w:id="29"/>
      <w:r>
        <w:rPr/>
      </w:r>
      <w:bookmarkStart w:name="第九节监事会报告" w:id="30"/>
      <w:bookmarkEnd w:id="30"/>
      <w:r>
        <w:rPr/>
      </w:r>
      <w:bookmarkStart w:name="一、监事会日常工作" w:id="31"/>
      <w:bookmarkEnd w:id="31"/>
      <w:r>
        <w:rPr/>
      </w:r>
      <w:bookmarkStart w:name="二、监事会对公司2011年度有关事项的意见" w:id="32"/>
      <w:bookmarkEnd w:id="32"/>
      <w:r>
        <w:rPr/>
      </w:r>
      <w:r>
        <w:rPr/>
        <w:t>九、内幕信息知情人管理制度的执行情况</w:t>
      </w:r>
    </w:p>
    <w:p>
      <w:pPr>
        <w:spacing w:line="240" w:lineRule="auto" w:before="5"/>
        <w:rPr>
          <w:rFonts w:ascii="宋体" w:hAnsi="宋体" w:cs="宋体" w:eastAsia="宋体" w:hint="default"/>
          <w:sz w:val="28"/>
          <w:szCs w:val="28"/>
        </w:rPr>
      </w:pPr>
    </w:p>
    <w:p>
      <w:pPr>
        <w:pStyle w:val="BodyText"/>
        <w:spacing w:line="350" w:lineRule="auto"/>
        <w:ind w:left="196" w:right="116" w:firstLine="421"/>
        <w:jc w:val="both"/>
      </w:pPr>
      <w:r>
        <w:rPr/>
        <w:t>公司已建立《公司内幕信息知情人登记制度》。报告期内，公司按制度规定，做好内幕信</w:t>
      </w:r>
      <w:r>
        <w:rPr>
          <w:w w:val="99"/>
        </w:rPr>
        <w:t> </w:t>
      </w:r>
      <w:r>
        <w:rPr/>
        <w:t>息知情人的登记、报备工作；组织董事、监事、高级管理人员以及可接触内幕信息的相关岗位</w:t>
      </w:r>
      <w:r>
        <w:rPr>
          <w:spacing w:val="-93"/>
        </w:rPr>
        <w:t> </w:t>
      </w:r>
      <w:r>
        <w:rPr>
          <w:spacing w:val="-93"/>
        </w:rPr>
      </w:r>
      <w:r>
        <w:rPr/>
        <w:t>员工对《依法打击防控资本市场内幕交易的意见》及公司《信息披露及管理制度》、《重大信</w:t>
      </w:r>
      <w:r>
        <w:rPr>
          <w:spacing w:val="-93"/>
        </w:rPr>
        <w:t> </w:t>
      </w:r>
      <w:r>
        <w:rPr>
          <w:spacing w:val="-93"/>
        </w:rPr>
      </w:r>
      <w:r>
        <w:rPr/>
        <w:t>息内部报告制度》及《内幕信息知情人登记制度》等文件及制度进行学习，增强相关人员的保</w:t>
      </w:r>
      <w:r>
        <w:rPr>
          <w:spacing w:val="-93"/>
        </w:rPr>
        <w:t> </w:t>
      </w:r>
      <w:r>
        <w:rPr>
          <w:spacing w:val="-93"/>
        </w:rPr>
      </w:r>
      <w:r>
        <w:rPr/>
        <w:t>密意识，严格备案登记，并将相关文件转发大股东、会计师事务所等外部机构，督促其配合上</w:t>
      </w:r>
      <w:r>
        <w:rPr>
          <w:spacing w:val="-93"/>
        </w:rPr>
        <w:t> </w:t>
      </w:r>
      <w:r>
        <w:rPr>
          <w:spacing w:val="-93"/>
        </w:rPr>
      </w:r>
      <w:r>
        <w:rPr/>
        <w:t>市公司进行内幕信息知情人登记。报告期内，公司不存在内幕信息知情人在影响公司股价的重</w:t>
      </w:r>
      <w:r>
        <w:rPr>
          <w:spacing w:val="-93"/>
        </w:rPr>
        <w:t> </w:t>
      </w:r>
      <w:r>
        <w:rPr>
          <w:spacing w:val="-93"/>
        </w:rPr>
      </w:r>
      <w:r>
        <w:rPr/>
        <w:t>大敏感信息披露前利用内幕信息买卖公司股份的情况。</w:t>
      </w:r>
    </w:p>
    <w:p>
      <w:pPr>
        <w:spacing w:line="240" w:lineRule="auto" w:before="13"/>
        <w:rPr>
          <w:rFonts w:ascii="宋体" w:hAnsi="宋体" w:cs="宋体" w:eastAsia="宋体" w:hint="default"/>
          <w:sz w:val="16"/>
          <w:szCs w:val="16"/>
        </w:rPr>
      </w:pPr>
    </w:p>
    <w:p>
      <w:pPr>
        <w:pStyle w:val="Heading4"/>
        <w:spacing w:line="240" w:lineRule="auto"/>
        <w:ind w:right="0"/>
        <w:jc w:val="left"/>
      </w:pPr>
      <w:r>
        <w:rPr/>
        <w:t>十、其它事项</w:t>
      </w:r>
    </w:p>
    <w:p>
      <w:pPr>
        <w:spacing w:line="240" w:lineRule="auto" w:before="5"/>
        <w:rPr>
          <w:rFonts w:ascii="宋体" w:hAnsi="宋体" w:cs="宋体" w:eastAsia="宋体" w:hint="default"/>
          <w:sz w:val="28"/>
          <w:szCs w:val="28"/>
        </w:rPr>
      </w:pPr>
    </w:p>
    <w:p>
      <w:pPr>
        <w:pStyle w:val="BodyText"/>
        <w:spacing w:line="240" w:lineRule="auto"/>
        <w:ind w:left="617" w:right="0"/>
        <w:jc w:val="left"/>
      </w:pPr>
      <w:r>
        <w:rPr>
          <w:spacing w:val="2"/>
          <w:w w:val="99"/>
        </w:rPr>
        <w:t>报</w:t>
      </w:r>
      <w:r>
        <w:rPr>
          <w:w w:val="99"/>
        </w:rPr>
        <w:t>告</w:t>
      </w:r>
      <w:r>
        <w:rPr>
          <w:spacing w:val="2"/>
          <w:w w:val="99"/>
        </w:rPr>
        <w:t>期</w:t>
      </w:r>
      <w:r>
        <w:rPr>
          <w:w w:val="99"/>
        </w:rPr>
        <w:t>内</w:t>
      </w:r>
      <w:r>
        <w:rPr>
          <w:spacing w:val="2"/>
          <w:w w:val="99"/>
        </w:rPr>
        <w:t>公</w:t>
      </w:r>
      <w:r>
        <w:rPr>
          <w:w w:val="99"/>
        </w:rPr>
        <w:t>司</w:t>
      </w:r>
      <w:r>
        <w:rPr>
          <w:spacing w:val="2"/>
          <w:w w:val="99"/>
        </w:rPr>
        <w:t>选</w:t>
      </w:r>
      <w:r>
        <w:rPr>
          <w:w w:val="99"/>
        </w:rPr>
        <w:t>定</w:t>
      </w:r>
      <w:r>
        <w:rPr>
          <w:spacing w:val="2"/>
          <w:w w:val="99"/>
        </w:rPr>
        <w:t>信</w:t>
      </w:r>
      <w:r>
        <w:rPr>
          <w:w w:val="99"/>
        </w:rPr>
        <w:t>息</w:t>
      </w:r>
      <w:r>
        <w:rPr>
          <w:spacing w:val="2"/>
          <w:w w:val="99"/>
        </w:rPr>
        <w:t>披</w:t>
      </w:r>
      <w:r>
        <w:rPr>
          <w:w w:val="99"/>
        </w:rPr>
        <w:t>露</w:t>
      </w:r>
      <w:r>
        <w:rPr>
          <w:spacing w:val="2"/>
          <w:w w:val="99"/>
        </w:rPr>
        <w:t>的</w:t>
      </w:r>
      <w:r>
        <w:rPr>
          <w:w w:val="99"/>
        </w:rPr>
        <w:t>报</w:t>
      </w:r>
      <w:r>
        <w:rPr>
          <w:spacing w:val="2"/>
          <w:w w:val="99"/>
        </w:rPr>
        <w:t>刊</w:t>
      </w:r>
      <w:r>
        <w:rPr>
          <w:w w:val="99"/>
        </w:rPr>
        <w:t>为</w:t>
      </w:r>
      <w:r>
        <w:rPr>
          <w:spacing w:val="2"/>
          <w:w w:val="99"/>
        </w:rPr>
        <w:t>《</w:t>
      </w:r>
      <w:r>
        <w:rPr>
          <w:w w:val="99"/>
        </w:rPr>
        <w:t>中</w:t>
      </w:r>
      <w:r>
        <w:rPr>
          <w:spacing w:val="2"/>
          <w:w w:val="99"/>
        </w:rPr>
        <w:t>国</w:t>
      </w:r>
      <w:r>
        <w:rPr>
          <w:w w:val="99"/>
        </w:rPr>
        <w:t>证</w:t>
      </w:r>
      <w:r>
        <w:rPr>
          <w:spacing w:val="2"/>
          <w:w w:val="99"/>
        </w:rPr>
        <w:t>券</w:t>
      </w:r>
      <w:r>
        <w:rPr>
          <w:w w:val="99"/>
        </w:rPr>
        <w:t>报</w:t>
      </w:r>
      <w:r>
        <w:rPr>
          <w:spacing w:val="2"/>
          <w:w w:val="99"/>
        </w:rPr>
        <w:t>》</w:t>
      </w:r>
      <w:r>
        <w:rPr>
          <w:w w:val="99"/>
        </w:rPr>
        <w:t>和</w:t>
      </w:r>
      <w:r>
        <w:rPr>
          <w:spacing w:val="2"/>
          <w:w w:val="99"/>
        </w:rPr>
        <w:t>《</w:t>
      </w:r>
      <w:r>
        <w:rPr>
          <w:w w:val="99"/>
        </w:rPr>
        <w:t>证</w:t>
      </w:r>
      <w:r>
        <w:rPr>
          <w:spacing w:val="2"/>
          <w:w w:val="99"/>
        </w:rPr>
        <w:t>券</w:t>
      </w:r>
      <w:r>
        <w:rPr>
          <w:w w:val="99"/>
        </w:rPr>
        <w:t>时报</w:t>
      </w:r>
      <w:r>
        <w:rPr>
          <w:spacing w:val="-104"/>
          <w:w w:val="99"/>
        </w:rPr>
        <w:t>》</w:t>
      </w:r>
      <w:r>
        <w:rPr>
          <w:w w:val="99"/>
        </w:rPr>
        <w:t>。</w:t>
      </w:r>
      <w:r>
        <w:rPr/>
      </w:r>
    </w:p>
    <w:p>
      <w:pPr>
        <w:spacing w:line="240" w:lineRule="auto" w:before="1"/>
        <w:rPr>
          <w:rFonts w:ascii="宋体" w:hAnsi="宋体" w:cs="宋体" w:eastAsia="宋体" w:hint="default"/>
          <w:sz w:val="27"/>
          <w:szCs w:val="27"/>
        </w:rPr>
      </w:pPr>
    </w:p>
    <w:p>
      <w:pPr>
        <w:pStyle w:val="Heading3"/>
        <w:tabs>
          <w:tab w:pos="1208" w:val="left" w:leader="none"/>
        </w:tabs>
        <w:spacing w:line="240" w:lineRule="auto"/>
        <w:ind w:left="87" w:right="0"/>
        <w:jc w:val="center"/>
      </w:pPr>
      <w:r>
        <w:rPr/>
        <w:t>第九节</w:t>
        <w:tab/>
        <w:t>监事会报告</w:t>
      </w:r>
    </w:p>
    <w:p>
      <w:pPr>
        <w:spacing w:line="240" w:lineRule="auto" w:before="6"/>
        <w:rPr>
          <w:rFonts w:ascii="宋体" w:hAnsi="宋体" w:cs="宋体" w:eastAsia="宋体" w:hint="default"/>
          <w:sz w:val="29"/>
          <w:szCs w:val="29"/>
        </w:rPr>
      </w:pPr>
    </w:p>
    <w:p>
      <w:pPr>
        <w:pStyle w:val="Heading4"/>
        <w:spacing w:line="240" w:lineRule="auto"/>
        <w:ind w:right="0"/>
        <w:jc w:val="left"/>
      </w:pPr>
      <w:r>
        <w:rPr/>
        <w:t>一、监事会日常工作</w:t>
      </w:r>
    </w:p>
    <w:p>
      <w:pPr>
        <w:spacing w:line="240" w:lineRule="auto" w:before="10"/>
        <w:rPr>
          <w:rFonts w:ascii="宋体" w:hAnsi="宋体" w:cs="宋体" w:eastAsia="宋体" w:hint="default"/>
          <w:sz w:val="28"/>
          <w:szCs w:val="28"/>
        </w:rPr>
      </w:pPr>
    </w:p>
    <w:p>
      <w:pPr>
        <w:pStyle w:val="BodyText"/>
        <w:spacing w:line="328" w:lineRule="auto"/>
        <w:ind w:left="196" w:right="92" w:firstLine="42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年度，监事会共召开了六次会议，全体监事均出席了每一次会议，会议召开情况及审</w:t>
      </w:r>
      <w:r>
        <w:rPr>
          <w:w w:val="99"/>
        </w:rPr>
        <w:t> </w:t>
      </w:r>
      <w:r>
        <w:rPr/>
        <w:t>议事项如下：</w:t>
      </w:r>
    </w:p>
    <w:p>
      <w:pPr>
        <w:pStyle w:val="BodyText"/>
        <w:spacing w:line="240" w:lineRule="auto" w:before="48"/>
        <w:ind w:left="61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 </w:t>
      </w:r>
      <w:r>
        <w:rPr/>
        <w:t>日召开监事会</w:t>
      </w:r>
      <w:r>
        <w:rPr>
          <w:spacing w:val="-49"/>
        </w:rPr>
        <w:t> </w:t>
      </w:r>
      <w:r>
        <w:rPr>
          <w:rFonts w:ascii="Times New Roman" w:hAnsi="Times New Roman" w:cs="Times New Roman" w:eastAsia="Times New Roman" w:hint="default"/>
        </w:rPr>
        <w:t>2011 </w:t>
      </w:r>
      <w:r>
        <w:rPr/>
        <w:t>年度第一次正式会议，审议并通过了经审计《公司</w:t>
      </w:r>
    </w:p>
    <w:p>
      <w:pPr>
        <w:pStyle w:val="BodyText"/>
        <w:spacing w:line="240" w:lineRule="auto" w:before="110"/>
        <w:ind w:left="196"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10"/>
        </w:rPr>
        <w:t>年年度财务报告》、《公司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3"/>
        </w:rPr>
        <w:t>年度内部控制自我评价报告》及《公司第六届监事会</w:t>
      </w:r>
      <w:r>
        <w:rPr>
          <w:spacing w:val="-51"/>
        </w:rPr>
        <w:t> </w:t>
      </w:r>
      <w:r>
        <w:rPr>
          <w:rFonts w:ascii="Times New Roman" w:hAnsi="Times New Roman" w:cs="Times New Roman" w:eastAsia="Times New Roman" w:hint="default"/>
        </w:rPr>
        <w:t>2010</w:t>
      </w:r>
    </w:p>
    <w:p>
      <w:pPr>
        <w:pStyle w:val="BodyText"/>
        <w:spacing w:line="240" w:lineRule="auto" w:before="107"/>
        <w:ind w:left="196" w:right="0"/>
        <w:jc w:val="left"/>
      </w:pPr>
      <w:r>
        <w:rPr/>
        <w:t>年度工作报告》。</w:t>
      </w:r>
    </w:p>
    <w:p>
      <w:pPr>
        <w:pStyle w:val="BodyText"/>
        <w:spacing w:line="240" w:lineRule="auto" w:before="126"/>
        <w:ind w:left="61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25 </w:t>
      </w:r>
      <w:r>
        <w:rPr/>
        <w:t>日召开监事会</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年度第二次正式会议，会议审议并通过了《公司关</w:t>
      </w:r>
    </w:p>
    <w:p>
      <w:pPr>
        <w:pStyle w:val="BodyText"/>
        <w:spacing w:line="240" w:lineRule="auto" w:before="110"/>
        <w:ind w:left="196" w:right="0"/>
        <w:jc w:val="left"/>
      </w:pPr>
      <w:r>
        <w:rPr/>
        <w:t>于固定资产会计变更事项》及未经审计的《公司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年第一季度财务报告》；</w:t>
      </w:r>
    </w:p>
    <w:p>
      <w:pPr>
        <w:pStyle w:val="BodyText"/>
        <w:spacing w:line="240" w:lineRule="auto" w:before="107"/>
        <w:ind w:left="617"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4"/>
        </w:rPr>
        <w:t>日召开监事会</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6"/>
        </w:rPr>
        <w:t>年度第一次临时会议，审议并通过了《公司</w:t>
      </w:r>
      <w:r>
        <w:rPr>
          <w:spacing w:val="-46"/>
        </w:rPr>
        <w:t> </w:t>
      </w:r>
      <w:r>
        <w:rPr>
          <w:rFonts w:ascii="Times New Roman" w:hAnsi="Times New Roman" w:cs="Times New Roman" w:eastAsia="Times New Roman" w:hint="default"/>
        </w:rPr>
        <w:t>2010</w:t>
      </w:r>
    </w:p>
    <w:p>
      <w:pPr>
        <w:pStyle w:val="BodyText"/>
        <w:spacing w:line="240" w:lineRule="auto" w:before="110"/>
        <w:ind w:left="196" w:right="0"/>
        <w:jc w:val="left"/>
        <w:rPr>
          <w:rFonts w:ascii="Times New Roman" w:hAnsi="Times New Roman" w:cs="Times New Roman" w:eastAsia="Times New Roman" w:hint="default"/>
        </w:rPr>
      </w:pPr>
      <w:r>
        <w:rPr>
          <w:spacing w:val="3"/>
        </w:rPr>
        <w:t>年度财务报告会计差错更正报告及追溯调整的专项报告》及《董事局关于会计师对公司</w:t>
      </w:r>
      <w:r>
        <w:rPr>
          <w:spacing w:val="-15"/>
        </w:rPr>
        <w:t> </w:t>
      </w:r>
      <w:r>
        <w:rPr>
          <w:rFonts w:ascii="Times New Roman" w:hAnsi="Times New Roman" w:cs="Times New Roman" w:eastAsia="Times New Roman" w:hint="default"/>
        </w:rPr>
        <w:t>2010</w:t>
      </w:r>
    </w:p>
    <w:p>
      <w:pPr>
        <w:pStyle w:val="BodyText"/>
        <w:spacing w:line="240" w:lineRule="auto" w:before="110"/>
        <w:ind w:left="196" w:right="0"/>
        <w:jc w:val="left"/>
      </w:pPr>
      <w:r>
        <w:rPr/>
        <w:t>年度财务报告重新审计后出具非标准审计意见所涉及事项的相关说明》；</w:t>
      </w:r>
    </w:p>
    <w:p>
      <w:pPr>
        <w:pStyle w:val="BodyText"/>
        <w:spacing w:line="240" w:lineRule="auto" w:before="123"/>
        <w:ind w:left="617" w:right="0"/>
        <w:jc w:val="left"/>
      </w:pPr>
      <w:r>
        <w:rPr>
          <w:spacing w:val="-3"/>
        </w:rPr>
        <w:t>（四）</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日召开监事会</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年度第二次临时会议，会议讨论了深圳市证劵交</w:t>
      </w:r>
    </w:p>
    <w:p>
      <w:pPr>
        <w:pStyle w:val="BodyText"/>
        <w:spacing w:line="240" w:lineRule="auto" w:before="110"/>
        <w:ind w:left="196" w:right="0"/>
        <w:jc w:val="left"/>
      </w:pPr>
      <w:r>
        <w:rPr>
          <w:spacing w:val="2"/>
          <w:w w:val="99"/>
        </w:rPr>
        <w:t>易</w:t>
      </w:r>
      <w:r>
        <w:rPr>
          <w:w w:val="99"/>
        </w:rPr>
        <w:t>所</w:t>
      </w:r>
      <w:r>
        <w:rPr>
          <w:spacing w:val="2"/>
          <w:w w:val="99"/>
        </w:rPr>
        <w:t>对</w:t>
      </w:r>
      <w:r>
        <w:rPr>
          <w:w w:val="99"/>
        </w:rPr>
        <w:t>公司</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信</w:t>
      </w:r>
      <w:r>
        <w:rPr>
          <w:w w:val="99"/>
        </w:rPr>
        <w:t>息</w:t>
      </w:r>
      <w:r>
        <w:rPr>
          <w:spacing w:val="2"/>
          <w:w w:val="99"/>
        </w:rPr>
        <w:t>披</w:t>
      </w:r>
      <w:r>
        <w:rPr>
          <w:w w:val="99"/>
        </w:rPr>
        <w:t>露</w:t>
      </w:r>
      <w:r>
        <w:rPr>
          <w:spacing w:val="2"/>
          <w:w w:val="99"/>
        </w:rPr>
        <w:t>考</w:t>
      </w:r>
      <w:r>
        <w:rPr>
          <w:w w:val="99"/>
        </w:rPr>
        <w:t>核</w:t>
      </w:r>
      <w:r>
        <w:rPr>
          <w:spacing w:val="2"/>
          <w:w w:val="99"/>
        </w:rPr>
        <w:t>结</w:t>
      </w:r>
      <w:r>
        <w:rPr>
          <w:w w:val="99"/>
        </w:rPr>
        <w:t>果</w:t>
      </w:r>
      <w:r>
        <w:rPr>
          <w:spacing w:val="2"/>
          <w:w w:val="99"/>
        </w:rPr>
        <w:t>为</w:t>
      </w:r>
      <w:r>
        <w:rPr>
          <w:w w:val="99"/>
        </w:rPr>
        <w:t>不</w:t>
      </w:r>
      <w:r>
        <w:rPr>
          <w:spacing w:val="2"/>
          <w:w w:val="99"/>
        </w:rPr>
        <w:t>合</w:t>
      </w:r>
      <w:r>
        <w:rPr>
          <w:w w:val="99"/>
        </w:rPr>
        <w:t>格</w:t>
      </w:r>
      <w:r>
        <w:rPr>
          <w:spacing w:val="2"/>
          <w:w w:val="99"/>
        </w:rPr>
        <w:t>的</w:t>
      </w:r>
      <w:r>
        <w:rPr>
          <w:w w:val="99"/>
        </w:rPr>
        <w:t>事</w:t>
      </w:r>
      <w:r>
        <w:rPr>
          <w:spacing w:val="2"/>
          <w:w w:val="99"/>
        </w:rPr>
        <w:t>项</w:t>
      </w:r>
      <w:r>
        <w:rPr>
          <w:spacing w:val="-104"/>
          <w:w w:val="99"/>
        </w:rPr>
        <w:t>，</w:t>
      </w:r>
      <w:r>
        <w:rPr>
          <w:spacing w:val="2"/>
          <w:w w:val="99"/>
        </w:rPr>
        <w:t>经</w:t>
      </w:r>
      <w:r>
        <w:rPr>
          <w:w w:val="99"/>
        </w:rPr>
        <w:t>讨</w:t>
      </w:r>
      <w:r>
        <w:rPr>
          <w:spacing w:val="2"/>
          <w:w w:val="99"/>
        </w:rPr>
        <w:t>论</w:t>
      </w:r>
      <w:r>
        <w:rPr>
          <w:spacing w:val="-104"/>
          <w:w w:val="99"/>
        </w:rPr>
        <w:t>，</w:t>
      </w:r>
      <w:r>
        <w:rPr>
          <w:spacing w:val="2"/>
          <w:w w:val="99"/>
        </w:rPr>
        <w:t>向</w:t>
      </w:r>
      <w:r>
        <w:rPr>
          <w:w w:val="99"/>
        </w:rPr>
        <w:t>深</w:t>
      </w:r>
      <w:r>
        <w:rPr>
          <w:spacing w:val="2"/>
          <w:w w:val="99"/>
        </w:rPr>
        <w:t>圳</w:t>
      </w:r>
      <w:r>
        <w:rPr>
          <w:w w:val="99"/>
        </w:rPr>
        <w:t>证</w:t>
      </w:r>
      <w:r>
        <w:rPr>
          <w:spacing w:val="2"/>
          <w:w w:val="99"/>
        </w:rPr>
        <w:t>券</w:t>
      </w:r>
      <w:r>
        <w:rPr>
          <w:w w:val="99"/>
        </w:rPr>
        <w:t>交</w:t>
      </w:r>
      <w:r>
        <w:rPr>
          <w:spacing w:val="2"/>
          <w:w w:val="99"/>
        </w:rPr>
        <w:t>易</w:t>
      </w:r>
      <w:r>
        <w:rPr>
          <w:w w:val="99"/>
        </w:rPr>
        <w:t>所</w:t>
      </w:r>
      <w:r>
        <w:rPr>
          <w:spacing w:val="2"/>
          <w:w w:val="99"/>
        </w:rPr>
        <w:t>提</w:t>
      </w:r>
      <w:r>
        <w:rPr>
          <w:w w:val="99"/>
        </w:rPr>
        <w:t>交</w:t>
      </w:r>
      <w:r>
        <w:rPr>
          <w:spacing w:val="-99"/>
          <w:w w:val="99"/>
        </w:rPr>
        <w:t>了</w:t>
      </w:r>
      <w:r>
        <w:rPr>
          <w:spacing w:val="2"/>
          <w:w w:val="99"/>
        </w:rPr>
        <w:t>《</w:t>
      </w:r>
      <w:r>
        <w:rPr>
          <w:w w:val="99"/>
        </w:rPr>
        <w:t>关</w:t>
      </w:r>
      <w:r>
        <w:rPr/>
      </w:r>
    </w:p>
    <w:p>
      <w:pPr>
        <w:pStyle w:val="BodyText"/>
        <w:spacing w:line="240" w:lineRule="auto" w:before="110"/>
        <w:ind w:left="196" w:right="0"/>
        <w:jc w:val="left"/>
      </w:pPr>
      <w:r>
        <w:rPr/>
        <w:t>于请求对公司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年度信息披露考核结果进行复核的意见》；</w:t>
      </w:r>
    </w:p>
    <w:p>
      <w:pPr>
        <w:pStyle w:val="BodyText"/>
        <w:spacing w:line="240" w:lineRule="auto" w:before="107"/>
        <w:ind w:left="617"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25 </w:t>
      </w:r>
      <w:r>
        <w:rPr/>
        <w:t>日召开监事会</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年度第三次正式会议，会议审议并通过了未经审计</w:t>
      </w:r>
    </w:p>
    <w:p>
      <w:pPr>
        <w:pStyle w:val="BodyText"/>
        <w:spacing w:line="240" w:lineRule="auto" w:before="110"/>
        <w:ind w:left="196" w:right="0"/>
        <w:jc w:val="left"/>
      </w:pPr>
      <w:r>
        <w:rPr/>
        <w:t>的《公司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年度中期财务报告》；</w:t>
      </w:r>
    </w:p>
    <w:p>
      <w:pPr>
        <w:pStyle w:val="BodyText"/>
        <w:spacing w:line="240" w:lineRule="auto" w:before="110"/>
        <w:ind w:left="617"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 </w:t>
      </w:r>
      <w:r>
        <w:rPr/>
        <w:t>日召开监事会</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3"/>
        </w:rPr>
        <w:t>年度第四次正式会议，会议审议并通过了未经审计</w:t>
      </w:r>
    </w:p>
    <w:p>
      <w:pPr>
        <w:pStyle w:val="BodyText"/>
        <w:spacing w:line="240" w:lineRule="auto" w:before="107"/>
        <w:ind w:left="196" w:right="0"/>
        <w:jc w:val="left"/>
      </w:pPr>
      <w:r>
        <w:rPr/>
        <w:t>的《公司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年第三季度财务报告》。</w:t>
      </w:r>
    </w:p>
    <w:p>
      <w:pPr>
        <w:spacing w:line="240" w:lineRule="auto" w:before="6"/>
        <w:rPr>
          <w:rFonts w:ascii="宋体" w:hAnsi="宋体" w:cs="宋体" w:eastAsia="宋体" w:hint="default"/>
          <w:sz w:val="24"/>
          <w:szCs w:val="24"/>
        </w:rPr>
      </w:pPr>
    </w:p>
    <w:p>
      <w:pPr>
        <w:pStyle w:val="Heading4"/>
        <w:spacing w:line="240" w:lineRule="auto"/>
        <w:ind w:right="0"/>
        <w:jc w:val="left"/>
      </w:pPr>
      <w:r>
        <w:rPr/>
        <w:t>二、监事会对公司</w:t>
      </w:r>
      <w:r>
        <w:rPr>
          <w:spacing w:val="-55"/>
        </w:rPr>
        <w:t> </w:t>
      </w:r>
      <w:r>
        <w:rPr/>
        <w:t>2011</w:t>
      </w:r>
      <w:r>
        <w:rPr>
          <w:spacing w:val="-55"/>
        </w:rPr>
        <w:t> </w:t>
      </w:r>
      <w:r>
        <w:rPr/>
        <w:t>年度有关事项的意见</w:t>
      </w:r>
    </w:p>
    <w:p>
      <w:pPr>
        <w:spacing w:line="240" w:lineRule="auto" w:before="10"/>
        <w:rPr>
          <w:rFonts w:ascii="宋体" w:hAnsi="宋体" w:cs="宋体" w:eastAsia="宋体" w:hint="default"/>
          <w:sz w:val="28"/>
          <w:szCs w:val="28"/>
        </w:rPr>
      </w:pPr>
    </w:p>
    <w:p>
      <w:pPr>
        <w:pStyle w:val="BodyText"/>
        <w:spacing w:line="240" w:lineRule="auto"/>
        <w:ind w:left="617" w:right="0"/>
        <w:jc w:val="left"/>
      </w:pPr>
      <w:r>
        <w:rPr>
          <w:spacing w:val="2"/>
          <w:w w:val="99"/>
        </w:rPr>
        <w:t>经</w:t>
      </w:r>
      <w:r>
        <w:rPr>
          <w:w w:val="99"/>
        </w:rPr>
        <w:t>过</w:t>
      </w:r>
      <w:r>
        <w:rPr>
          <w:spacing w:val="2"/>
          <w:w w:val="99"/>
        </w:rPr>
        <w:t>对</w:t>
      </w:r>
      <w:r>
        <w:rPr>
          <w:w w:val="99"/>
        </w:rPr>
        <w:t>公司</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年</w:t>
      </w:r>
      <w:r>
        <w:rPr>
          <w:w w:val="99"/>
        </w:rPr>
        <w:t>度</w:t>
      </w:r>
      <w:r>
        <w:rPr>
          <w:spacing w:val="2"/>
          <w:w w:val="99"/>
        </w:rPr>
        <w:t>各</w:t>
      </w:r>
      <w:r>
        <w:rPr>
          <w:w w:val="99"/>
        </w:rPr>
        <w:t>项</w:t>
      </w:r>
      <w:r>
        <w:rPr>
          <w:spacing w:val="2"/>
          <w:w w:val="99"/>
        </w:rPr>
        <w:t>经</w:t>
      </w:r>
      <w:r>
        <w:rPr>
          <w:w w:val="99"/>
        </w:rPr>
        <w:t>营</w:t>
      </w:r>
      <w:r>
        <w:rPr>
          <w:spacing w:val="2"/>
          <w:w w:val="99"/>
        </w:rPr>
        <w:t>活</w:t>
      </w:r>
      <w:r>
        <w:rPr>
          <w:w w:val="99"/>
        </w:rPr>
        <w:t>动</w:t>
      </w:r>
      <w:r>
        <w:rPr>
          <w:spacing w:val="-102"/>
          <w:w w:val="99"/>
        </w:rPr>
        <w:t>、</w:t>
      </w:r>
      <w:r>
        <w:rPr>
          <w:spacing w:val="2"/>
          <w:w w:val="99"/>
        </w:rPr>
        <w:t>投</w:t>
      </w:r>
      <w:r>
        <w:rPr>
          <w:w w:val="99"/>
        </w:rPr>
        <w:t>资</w:t>
      </w:r>
      <w:r>
        <w:rPr>
          <w:spacing w:val="2"/>
          <w:w w:val="99"/>
        </w:rPr>
        <w:t>决</w:t>
      </w:r>
      <w:r>
        <w:rPr>
          <w:w w:val="99"/>
        </w:rPr>
        <w:t>策</w:t>
      </w:r>
      <w:r>
        <w:rPr>
          <w:spacing w:val="-99"/>
          <w:w w:val="99"/>
        </w:rPr>
        <w:t>、</w:t>
      </w:r>
      <w:r>
        <w:rPr>
          <w:spacing w:val="2"/>
          <w:w w:val="99"/>
        </w:rPr>
        <w:t>财</w:t>
      </w:r>
      <w:r>
        <w:rPr>
          <w:w w:val="99"/>
        </w:rPr>
        <w:t>务</w:t>
      </w:r>
      <w:r>
        <w:rPr>
          <w:spacing w:val="2"/>
          <w:w w:val="99"/>
        </w:rPr>
        <w:t>运</w:t>
      </w:r>
      <w:r>
        <w:rPr>
          <w:w w:val="99"/>
        </w:rPr>
        <w:t>作</w:t>
      </w:r>
      <w:r>
        <w:rPr>
          <w:spacing w:val="2"/>
          <w:w w:val="99"/>
        </w:rPr>
        <w:t>等</w:t>
      </w:r>
      <w:r>
        <w:rPr>
          <w:w w:val="99"/>
        </w:rPr>
        <w:t>重</w:t>
      </w:r>
      <w:r>
        <w:rPr>
          <w:spacing w:val="2"/>
          <w:w w:val="99"/>
        </w:rPr>
        <w:t>大</w:t>
      </w:r>
      <w:r>
        <w:rPr>
          <w:w w:val="99"/>
        </w:rPr>
        <w:t>经</w:t>
      </w:r>
      <w:r>
        <w:rPr>
          <w:spacing w:val="2"/>
          <w:w w:val="99"/>
        </w:rPr>
        <w:t>济</w:t>
      </w:r>
      <w:r>
        <w:rPr>
          <w:w w:val="99"/>
        </w:rPr>
        <w:t>活</w:t>
      </w:r>
      <w:r>
        <w:rPr>
          <w:spacing w:val="2"/>
          <w:w w:val="99"/>
        </w:rPr>
        <w:t>动</w:t>
      </w:r>
      <w:r>
        <w:rPr>
          <w:w w:val="99"/>
        </w:rPr>
        <w:t>进</w:t>
      </w:r>
      <w:r>
        <w:rPr>
          <w:spacing w:val="2"/>
          <w:w w:val="99"/>
        </w:rPr>
        <w:t>行</w:t>
      </w:r>
      <w:r>
        <w:rPr>
          <w:w w:val="99"/>
        </w:rPr>
        <w:t>检</w:t>
      </w:r>
      <w:r>
        <w:rPr>
          <w:spacing w:val="2"/>
          <w:w w:val="99"/>
        </w:rPr>
        <w:t>查</w:t>
      </w:r>
      <w:r>
        <w:rPr>
          <w:w w:val="99"/>
        </w:rPr>
        <w:t>和</w:t>
      </w:r>
      <w:r>
        <w:rPr>
          <w:spacing w:val="2"/>
          <w:w w:val="99"/>
        </w:rPr>
        <w:t>监</w:t>
      </w:r>
      <w:r>
        <w:rPr>
          <w:w w:val="99"/>
        </w:rPr>
        <w:t>督</w:t>
      </w:r>
      <w:r>
        <w:rPr>
          <w:w w:val="49"/>
        </w:rPr>
        <w:t>，</w:t>
      </w:r>
      <w:r>
        <w:rPr/>
      </w:r>
    </w:p>
    <w:p>
      <w:pPr>
        <w:spacing w:after="0" w:line="240" w:lineRule="auto"/>
        <w:jc w:val="left"/>
        <w:sectPr>
          <w:pgSz w:w="11910" w:h="16840"/>
          <w:pgMar w:header="0" w:footer="1007" w:top="1120" w:bottom="1200" w:left="1680" w:right="1280"/>
        </w:sectPr>
      </w:pPr>
    </w:p>
    <w:p>
      <w:pPr>
        <w:pStyle w:val="BodyText"/>
        <w:spacing w:line="240" w:lineRule="auto" w:before="8"/>
        <w:ind w:left="196" w:right="0"/>
        <w:jc w:val="both"/>
      </w:pPr>
      <w:bookmarkStart w:name="第十节重要事项" w:id="33"/>
      <w:bookmarkEnd w:id="33"/>
      <w:r>
        <w:rPr/>
      </w:r>
      <w:bookmarkStart w:name="一、报告期内重大诉讼、仲裁事项" w:id="34"/>
      <w:bookmarkEnd w:id="34"/>
      <w:r>
        <w:rPr/>
      </w:r>
      <w:r>
        <w:rPr/>
        <w:t>监事会认为：</w:t>
      </w:r>
    </w:p>
    <w:p>
      <w:pPr>
        <w:pStyle w:val="BodyText"/>
        <w:spacing w:line="331" w:lineRule="auto" w:before="126"/>
        <w:ind w:left="196" w:right="93" w:firstLine="421"/>
        <w:jc w:val="left"/>
      </w:pPr>
      <w:r>
        <w:rPr>
          <w:spacing w:val="-3"/>
        </w:rPr>
        <w:t>（一）公司在</w:t>
      </w:r>
      <w:r>
        <w:rPr>
          <w:spacing w:val="-8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年度的经营决策，未违背法律法规，经营活动按照《公司章程》规定的</w:t>
      </w:r>
      <w:r>
        <w:rPr>
          <w:w w:val="99"/>
        </w:rPr>
        <w:t> </w:t>
      </w:r>
      <w:r>
        <w:rPr/>
        <w:t>权限和程序进行。</w:t>
      </w:r>
    </w:p>
    <w:p>
      <w:pPr>
        <w:pStyle w:val="BodyText"/>
        <w:spacing w:line="350" w:lineRule="auto" w:before="43"/>
        <w:ind w:left="196" w:right="0" w:firstLine="421"/>
        <w:jc w:val="left"/>
      </w:pPr>
      <w:r>
        <w:rPr/>
        <w:t>（二）公司董事及其它高管人员在履行职责时，无违反法律法规和公司章程，亦未发生损</w:t>
      </w:r>
      <w:r>
        <w:rPr>
          <w:w w:val="99"/>
        </w:rPr>
        <w:t> </w:t>
      </w:r>
      <w:r>
        <w:rPr/>
        <w:t>害公司利益行为。</w:t>
      </w:r>
    </w:p>
    <w:p>
      <w:pPr>
        <w:pStyle w:val="BodyText"/>
        <w:spacing w:line="240" w:lineRule="auto" w:before="29"/>
        <w:ind w:left="617" w:right="0"/>
        <w:jc w:val="left"/>
      </w:pPr>
      <w:r>
        <w:rPr>
          <w:spacing w:val="2"/>
          <w:w w:val="99"/>
        </w:rPr>
        <w:t>（</w:t>
      </w:r>
      <w:r>
        <w:rPr>
          <w:w w:val="99"/>
        </w:rPr>
        <w:t>三</w:t>
      </w:r>
      <w:r>
        <w:rPr>
          <w:spacing w:val="-104"/>
          <w:w w:val="99"/>
        </w:rPr>
        <w:t>）</w:t>
      </w:r>
      <w:r>
        <w:rPr>
          <w:spacing w:val="2"/>
          <w:w w:val="99"/>
        </w:rPr>
        <w:t>报</w:t>
      </w:r>
      <w:r>
        <w:rPr>
          <w:w w:val="99"/>
        </w:rPr>
        <w:t>告</w:t>
      </w:r>
      <w:r>
        <w:rPr>
          <w:spacing w:val="2"/>
          <w:w w:val="99"/>
        </w:rPr>
        <w:t>期</w:t>
      </w:r>
      <w:r>
        <w:rPr>
          <w:w w:val="99"/>
        </w:rPr>
        <w:t>内</w:t>
      </w:r>
      <w:r>
        <w:rPr>
          <w:spacing w:val="2"/>
          <w:w w:val="99"/>
        </w:rPr>
        <w:t>监</w:t>
      </w:r>
      <w:r>
        <w:rPr>
          <w:w w:val="99"/>
        </w:rPr>
        <w:t>事</w:t>
      </w:r>
      <w:r>
        <w:rPr>
          <w:spacing w:val="2"/>
          <w:w w:val="99"/>
        </w:rPr>
        <w:t>会</w:t>
      </w:r>
      <w:r>
        <w:rPr>
          <w:w w:val="99"/>
        </w:rPr>
        <w:t>对</w:t>
      </w:r>
      <w:r>
        <w:rPr>
          <w:spacing w:val="2"/>
          <w:w w:val="99"/>
        </w:rPr>
        <w:t>公</w:t>
      </w:r>
      <w:r>
        <w:rPr>
          <w:w w:val="99"/>
        </w:rPr>
        <w:t>司</w:t>
      </w:r>
      <w:r>
        <w:rPr>
          <w:spacing w:val="2"/>
          <w:w w:val="99"/>
        </w:rPr>
        <w:t>财</w:t>
      </w:r>
      <w:r>
        <w:rPr>
          <w:w w:val="99"/>
        </w:rPr>
        <w:t>务</w:t>
      </w:r>
      <w:r>
        <w:rPr>
          <w:spacing w:val="2"/>
          <w:w w:val="99"/>
        </w:rPr>
        <w:t>状</w:t>
      </w:r>
      <w:r>
        <w:rPr>
          <w:w w:val="99"/>
        </w:rPr>
        <w:t>况</w:t>
      </w:r>
      <w:r>
        <w:rPr>
          <w:spacing w:val="2"/>
          <w:w w:val="99"/>
        </w:rPr>
        <w:t>进</w:t>
      </w:r>
      <w:r>
        <w:rPr>
          <w:w w:val="99"/>
        </w:rPr>
        <w:t>行</w:t>
      </w:r>
      <w:r>
        <w:rPr>
          <w:spacing w:val="2"/>
          <w:w w:val="99"/>
        </w:rPr>
        <w:t>了</w:t>
      </w:r>
      <w:r>
        <w:rPr>
          <w:w w:val="99"/>
        </w:rPr>
        <w:t>认</w:t>
      </w:r>
      <w:r>
        <w:rPr>
          <w:spacing w:val="2"/>
          <w:w w:val="99"/>
        </w:rPr>
        <w:t>真</w:t>
      </w:r>
      <w:r>
        <w:rPr>
          <w:w w:val="99"/>
        </w:rPr>
        <w:t>检</w:t>
      </w:r>
      <w:r>
        <w:rPr>
          <w:spacing w:val="2"/>
          <w:w w:val="99"/>
        </w:rPr>
        <w:t>查</w:t>
      </w:r>
      <w:r>
        <w:rPr>
          <w:spacing w:val="-104"/>
          <w:w w:val="99"/>
        </w:rPr>
        <w:t>，</w:t>
      </w:r>
      <w:r>
        <w:rPr>
          <w:spacing w:val="2"/>
          <w:w w:val="99"/>
        </w:rPr>
        <w:t>审</w:t>
      </w:r>
      <w:r>
        <w:rPr>
          <w:w w:val="99"/>
        </w:rPr>
        <w:t>核</w:t>
      </w:r>
      <w:r>
        <w:rPr>
          <w:spacing w:val="-99"/>
          <w:w w:val="99"/>
        </w:rPr>
        <w:t>了</w:t>
      </w:r>
      <w:r>
        <w:rPr>
          <w:w w:val="99"/>
        </w:rPr>
        <w:t>《</w:t>
      </w:r>
      <w:r>
        <w:rPr>
          <w:spacing w:val="2"/>
          <w:w w:val="99"/>
        </w:rPr>
        <w:t>公</w:t>
      </w:r>
      <w:r>
        <w:rPr>
          <w:w w:val="99"/>
        </w:rPr>
        <w:t>司</w:t>
      </w:r>
      <w:r>
        <w:rPr>
          <w:spacing w:val="-55"/>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财</w:t>
      </w:r>
      <w:r>
        <w:rPr>
          <w:w w:val="99"/>
        </w:rPr>
        <w:t>务</w:t>
      </w:r>
      <w:r>
        <w:rPr>
          <w:spacing w:val="2"/>
          <w:w w:val="99"/>
        </w:rPr>
        <w:t>报告</w:t>
      </w:r>
      <w:r>
        <w:rPr>
          <w:spacing w:val="-106"/>
          <w:w w:val="99"/>
        </w:rPr>
        <w:t>》</w:t>
      </w:r>
      <w:r>
        <w:rPr>
          <w:w w:val="49"/>
        </w:rPr>
        <w:t>、</w:t>
      </w:r>
      <w:r>
        <w:rPr/>
      </w:r>
    </w:p>
    <w:p>
      <w:pPr>
        <w:pStyle w:val="BodyText"/>
        <w:spacing w:line="331" w:lineRule="auto" w:before="107"/>
        <w:ind w:left="196" w:right="169"/>
        <w:jc w:val="both"/>
      </w:pPr>
      <w:r>
        <w:rPr/>
        <w:t>《</w:t>
      </w:r>
      <w:r>
        <w:rPr>
          <w:rFonts w:ascii="Times New Roman" w:hAnsi="Times New Roman" w:cs="Times New Roman" w:eastAsia="Times New Roman" w:hint="default"/>
        </w:rPr>
        <w:t>2011 </w:t>
      </w:r>
      <w:r>
        <w:rPr/>
        <w:t>年第一季度财务报告》、《</w:t>
      </w:r>
      <w:r>
        <w:rPr>
          <w:rFonts w:ascii="Times New Roman" w:hAnsi="Times New Roman" w:cs="Times New Roman" w:eastAsia="Times New Roman" w:hint="default"/>
        </w:rPr>
        <w:t>2011 </w:t>
      </w:r>
      <w:r>
        <w:rPr/>
        <w:t>年中期财务报告》及《</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年第三季度财务报告》并</w:t>
      </w:r>
      <w:r>
        <w:rPr>
          <w:w w:val="99"/>
        </w:rPr>
        <w:t> </w:t>
      </w:r>
      <w:r>
        <w:rPr/>
        <w:t>出具确认意见，认为公司定期报告均客观、真实地反映公司经营状况和财务状况。</w:t>
      </w:r>
    </w:p>
    <w:p>
      <w:pPr>
        <w:pStyle w:val="BodyText"/>
        <w:spacing w:line="348" w:lineRule="auto" w:before="46"/>
        <w:ind w:left="196" w:right="0" w:firstLine="421"/>
        <w:jc w:val="left"/>
      </w:pPr>
      <w:r>
        <w:rPr/>
        <w:t>（四）报告期内，未发现公司存在内幕交易和损害公司股东权益或造成公司资产流失的情</w:t>
      </w:r>
      <w:r>
        <w:rPr>
          <w:w w:val="99"/>
        </w:rPr>
        <w:t> </w:t>
      </w:r>
      <w:r>
        <w:rPr/>
        <w:t>况。</w:t>
      </w:r>
    </w:p>
    <w:p>
      <w:pPr>
        <w:pStyle w:val="Heading2"/>
        <w:tabs>
          <w:tab w:pos="1210" w:val="left" w:leader="none"/>
        </w:tabs>
        <w:spacing w:line="240" w:lineRule="auto" w:before="170"/>
        <w:ind w:right="0"/>
        <w:jc w:val="center"/>
        <w:rPr>
          <w:b w:val="0"/>
          <w:bCs w:val="0"/>
        </w:rPr>
      </w:pPr>
      <w:r>
        <w:rPr/>
        <w:t>第十节</w:t>
        <w:tab/>
        <w:t>重要事项</w:t>
      </w:r>
      <w:r>
        <w:rPr>
          <w:b w:val="0"/>
          <w:bCs w:val="0"/>
        </w:rPr>
      </w:r>
    </w:p>
    <w:p>
      <w:pPr>
        <w:spacing w:line="240" w:lineRule="auto" w:before="7"/>
        <w:rPr>
          <w:rFonts w:ascii="Microsoft JhengHei" w:hAnsi="Microsoft JhengHei" w:cs="Microsoft JhengHei" w:eastAsia="Microsoft JhengHei" w:hint="default"/>
          <w:b/>
          <w:bCs/>
          <w:sz w:val="19"/>
          <w:szCs w:val="19"/>
        </w:rPr>
      </w:pPr>
    </w:p>
    <w:p>
      <w:pPr>
        <w:pStyle w:val="Heading4"/>
        <w:spacing w:line="240" w:lineRule="auto"/>
        <w:ind w:right="0"/>
        <w:jc w:val="both"/>
      </w:pPr>
      <w:r>
        <w:rPr/>
        <w:t>一、报告期内重大诉讼、仲裁事项</w:t>
      </w:r>
    </w:p>
    <w:p>
      <w:pPr>
        <w:spacing w:line="240" w:lineRule="auto" w:before="7"/>
        <w:rPr>
          <w:rFonts w:ascii="宋体" w:hAnsi="宋体" w:cs="宋体" w:eastAsia="宋体" w:hint="default"/>
          <w:sz w:val="28"/>
          <w:szCs w:val="28"/>
        </w:rPr>
      </w:pPr>
    </w:p>
    <w:p>
      <w:pPr>
        <w:pStyle w:val="BodyText"/>
        <w:spacing w:line="338" w:lineRule="auto"/>
        <w:ind w:left="617" w:right="107"/>
        <w:jc w:val="left"/>
      </w:pPr>
      <w:r>
        <w:rPr>
          <w:rFonts w:ascii="宋体" w:hAnsi="宋体" w:cs="宋体" w:eastAsia="宋体" w:hint="default"/>
        </w:rPr>
        <w:t>以前期间发生并延续至报告期内的重大诉讼事项及其对公司财务状况的影响</w:t>
      </w:r>
      <w:r>
        <w:rPr>
          <w:rFonts w:ascii="宋体" w:hAnsi="宋体" w:cs="宋体" w:eastAsia="宋体" w:hint="default"/>
          <w:spacing w:val="-96"/>
        </w:rPr>
        <w:t> </w:t>
      </w:r>
      <w:r>
        <w:rPr>
          <w:rFonts w:ascii="宋体" w:hAnsi="宋体" w:cs="宋体" w:eastAsia="宋体" w:hint="default"/>
          <w:spacing w:val="-96"/>
        </w:rPr>
      </w:r>
      <w:r>
        <w:rPr>
          <w:rFonts w:ascii="Times New Roman" w:hAnsi="Times New Roman" w:cs="Times New Roman" w:eastAsia="Times New Roman" w:hint="default"/>
          <w:spacing w:val="-2"/>
          <w:w w:val="99"/>
        </w:rPr>
        <w:t>1</w:t>
      </w:r>
      <w:r>
        <w:rPr>
          <w:spacing w:val="-2"/>
          <w:w w:val="99"/>
        </w:rPr>
        <w:t>、公司诉广州金宇房地产开发公司（以下简称“金宇房地产”）合作开发纠纷案</w:t>
      </w:r>
      <w:r>
        <w:rPr>
          <w:w w:val="99"/>
        </w:rPr>
        <w:t> </w:t>
      </w:r>
      <w:r>
        <w:rPr>
          <w:spacing w:val="-6"/>
          <w:w w:val="99"/>
        </w:rPr>
        <w:t>此案由广东省高级人民法院（以下简称“省高院”）于</w:t>
      </w:r>
      <w:r>
        <w:rPr>
          <w:rFonts w:ascii="Times New Roman" w:hAnsi="Times New Roman" w:cs="Times New Roman" w:eastAsia="Times New Roman" w:hint="default"/>
          <w:spacing w:val="-6"/>
          <w:w w:val="99"/>
        </w:rPr>
        <w:t>2004</w:t>
      </w:r>
      <w:r>
        <w:rPr>
          <w:spacing w:val="-6"/>
          <w:w w:val="99"/>
        </w:rPr>
        <w:t>年</w:t>
      </w:r>
      <w:r>
        <w:rPr>
          <w:rFonts w:ascii="Times New Roman" w:hAnsi="Times New Roman" w:cs="Times New Roman" w:eastAsia="Times New Roman" w:hint="default"/>
          <w:spacing w:val="-6"/>
          <w:w w:val="99"/>
        </w:rPr>
        <w:t>1</w:t>
      </w:r>
      <w:r>
        <w:rPr>
          <w:spacing w:val="-6"/>
          <w:w w:val="99"/>
        </w:rPr>
        <w:t>月</w:t>
      </w:r>
      <w:r>
        <w:rPr>
          <w:rFonts w:ascii="Times New Roman" w:hAnsi="Times New Roman" w:cs="Times New Roman" w:eastAsia="Times New Roman" w:hint="default"/>
          <w:spacing w:val="-6"/>
          <w:w w:val="99"/>
        </w:rPr>
        <w:t>12</w:t>
      </w:r>
      <w:r>
        <w:rPr>
          <w:spacing w:val="-6"/>
          <w:w w:val="99"/>
        </w:rPr>
        <w:t>日作出“（</w:t>
      </w:r>
      <w:r>
        <w:rPr>
          <w:rFonts w:ascii="Times New Roman" w:hAnsi="Times New Roman" w:cs="Times New Roman" w:eastAsia="Times New Roman" w:hint="default"/>
          <w:spacing w:val="-6"/>
          <w:w w:val="99"/>
        </w:rPr>
        <w:t>2003</w:t>
      </w:r>
      <w:r>
        <w:rPr>
          <w:spacing w:val="-6"/>
          <w:w w:val="99"/>
        </w:rPr>
        <w:t>）粤高法</w:t>
      </w:r>
      <w:r>
        <w:rPr>
          <w:spacing w:val="-6"/>
        </w:rPr>
      </w:r>
    </w:p>
    <w:p>
      <w:pPr>
        <w:pStyle w:val="BodyText"/>
        <w:spacing w:line="336" w:lineRule="auto" w:before="14"/>
        <w:ind w:left="196" w:right="107"/>
        <w:jc w:val="both"/>
      </w:pPr>
      <w:r>
        <w:rPr>
          <w:spacing w:val="-2"/>
        </w:rPr>
        <w:t>民一终字第</w:t>
      </w:r>
      <w:r>
        <w:rPr>
          <w:rFonts w:ascii="Times New Roman" w:hAnsi="Times New Roman" w:cs="Times New Roman" w:eastAsia="Times New Roman" w:hint="default"/>
          <w:spacing w:val="-2"/>
        </w:rPr>
        <w:t>332</w:t>
      </w:r>
      <w:r>
        <w:rPr>
          <w:spacing w:val="-2"/>
        </w:rPr>
        <w:t>号”终审民事判决，并于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日在广州市中级人民法院（以下简称“广州</w:t>
      </w:r>
      <w:r>
        <w:rPr>
          <w:w w:val="99"/>
        </w:rPr>
        <w:t> </w:t>
      </w:r>
      <w:r>
        <w:rPr>
          <w:spacing w:val="-4"/>
          <w:w w:val="99"/>
        </w:rPr>
        <w:t>中院”）立案执行。在执行过程中，金宇房地产被查封的物业——广州市芳村区东塱村东南侧的</w:t>
      </w:r>
      <w:r>
        <w:rPr>
          <w:w w:val="99"/>
        </w:rPr>
        <w:t> </w:t>
      </w:r>
      <w:r>
        <w:rPr/>
        <w:t>“金宇花园”</w:t>
      </w:r>
      <w:r>
        <w:rPr>
          <w:rFonts w:ascii="Times New Roman" w:hAnsi="Times New Roman" w:cs="Times New Roman" w:eastAsia="Times New Roman" w:hint="default"/>
        </w:rPr>
        <w:t>27-32</w:t>
      </w:r>
      <w:r>
        <w:rPr/>
        <w:t>栋首、二层商铺以</w:t>
      </w:r>
      <w:r>
        <w:rPr>
          <w:rFonts w:ascii="Times New Roman" w:hAnsi="Times New Roman" w:cs="Times New Roman" w:eastAsia="Times New Roman" w:hint="default"/>
        </w:rPr>
        <w:t>569</w:t>
      </w:r>
      <w:r>
        <w:rPr/>
        <w:t>万元抵偿给公司，并已完成过户手续。因金宇房地产</w:t>
      </w:r>
      <w:r>
        <w:rPr>
          <w:spacing w:val="-57"/>
        </w:rPr>
        <w:t> </w:t>
      </w:r>
      <w:r>
        <w:rPr>
          <w:spacing w:val="-57"/>
        </w:rPr>
      </w:r>
      <w:r>
        <w:rPr>
          <w:spacing w:val="-2"/>
          <w:w w:val="99"/>
        </w:rPr>
        <w:t>公司无其他有效可执行财产，</w:t>
      </w:r>
      <w:r>
        <w:rPr>
          <w:rFonts w:ascii="Times New Roman" w:hAnsi="Times New Roman" w:cs="Times New Roman" w:eastAsia="Times New Roman" w:hint="default"/>
          <w:spacing w:val="-2"/>
          <w:w w:val="99"/>
        </w:rPr>
        <w:t>2005</w:t>
      </w:r>
      <w:r>
        <w:rPr>
          <w:spacing w:val="-2"/>
          <w:w w:val="99"/>
        </w:rPr>
        <w:t>年</w:t>
      </w:r>
      <w:r>
        <w:rPr>
          <w:rFonts w:ascii="Times New Roman" w:hAnsi="Times New Roman" w:cs="Times New Roman" w:eastAsia="Times New Roman" w:hint="default"/>
          <w:spacing w:val="-2"/>
          <w:w w:val="99"/>
        </w:rPr>
        <w:t>6</w:t>
      </w:r>
      <w:r>
        <w:rPr>
          <w:spacing w:val="-2"/>
          <w:w w:val="99"/>
        </w:rPr>
        <w:t>月</w:t>
      </w:r>
      <w:r>
        <w:rPr>
          <w:rFonts w:ascii="Times New Roman" w:hAnsi="Times New Roman" w:cs="Times New Roman" w:eastAsia="Times New Roman" w:hint="default"/>
          <w:spacing w:val="-2"/>
          <w:w w:val="99"/>
        </w:rPr>
        <w:t>27</w:t>
      </w:r>
      <w:r>
        <w:rPr>
          <w:spacing w:val="-2"/>
          <w:w w:val="99"/>
        </w:rPr>
        <w:t>日，广州中院以“（</w:t>
      </w:r>
      <w:r>
        <w:rPr>
          <w:rFonts w:ascii="Times New Roman" w:hAnsi="Times New Roman" w:cs="Times New Roman" w:eastAsia="Times New Roman" w:hint="default"/>
          <w:spacing w:val="-2"/>
          <w:w w:val="99"/>
        </w:rPr>
        <w:t>2004</w:t>
      </w:r>
      <w:r>
        <w:rPr>
          <w:spacing w:val="-2"/>
          <w:w w:val="99"/>
        </w:rPr>
        <w:t>）穗中法执字第</w:t>
      </w:r>
      <w:r>
        <w:rPr>
          <w:rFonts w:ascii="Times New Roman" w:hAnsi="Times New Roman" w:cs="Times New Roman" w:eastAsia="Times New Roman" w:hint="default"/>
          <w:spacing w:val="-2"/>
          <w:w w:val="99"/>
        </w:rPr>
        <w:t>1257</w:t>
      </w:r>
      <w:r>
        <w:rPr>
          <w:spacing w:val="-2"/>
          <w:w w:val="99"/>
        </w:rPr>
        <w:t>号”民</w:t>
      </w:r>
      <w:r>
        <w:rPr>
          <w:spacing w:val="-71"/>
          <w:w w:val="99"/>
        </w:rPr>
        <w:t> </w:t>
      </w:r>
      <w:r>
        <w:rPr>
          <w:spacing w:val="-71"/>
          <w:w w:val="99"/>
        </w:rPr>
      </w:r>
      <w:r>
        <w:rPr>
          <w:spacing w:val="-2"/>
          <w:w w:val="99"/>
        </w:rPr>
        <w:t>事裁定书裁定中止执行“（</w:t>
      </w:r>
      <w:r>
        <w:rPr>
          <w:rFonts w:ascii="Times New Roman" w:hAnsi="Times New Roman" w:cs="Times New Roman" w:eastAsia="Times New Roman" w:hint="default"/>
          <w:spacing w:val="-2"/>
          <w:w w:val="99"/>
        </w:rPr>
        <w:t>2003</w:t>
      </w:r>
      <w:r>
        <w:rPr>
          <w:spacing w:val="-2"/>
          <w:w w:val="99"/>
        </w:rPr>
        <w:t>）粤高法民一终字第</w:t>
      </w:r>
      <w:r>
        <w:rPr>
          <w:rFonts w:ascii="Times New Roman" w:hAnsi="Times New Roman" w:cs="Times New Roman" w:eastAsia="Times New Roman" w:hint="default"/>
          <w:spacing w:val="-2"/>
          <w:w w:val="99"/>
        </w:rPr>
        <w:t>332</w:t>
      </w:r>
      <w:r>
        <w:rPr>
          <w:spacing w:val="-2"/>
          <w:w w:val="99"/>
        </w:rPr>
        <w:t>号”终审民事判决，待公司发现金宇房</w:t>
      </w:r>
      <w:r>
        <w:rPr>
          <w:spacing w:val="-80"/>
          <w:w w:val="99"/>
        </w:rPr>
        <w:t> </w:t>
      </w:r>
      <w:r>
        <w:rPr>
          <w:spacing w:val="-80"/>
          <w:w w:val="99"/>
        </w:rPr>
      </w:r>
      <w:r>
        <w:rPr/>
        <w:t>地产有可供执行的财产时再向广州中院申请追偿。此事项，公司已于以前年度全额计提坏帐准</w:t>
      </w:r>
      <w:r>
        <w:rPr>
          <w:spacing w:val="-93"/>
        </w:rPr>
        <w:t> </w:t>
      </w:r>
      <w:r>
        <w:rPr>
          <w:spacing w:val="-93"/>
        </w:rPr>
      </w:r>
      <w:r>
        <w:rPr/>
        <w:t>备</w:t>
      </w:r>
      <w:r>
        <w:rPr>
          <w:rFonts w:ascii="Times New Roman" w:hAnsi="Times New Roman" w:cs="Times New Roman" w:eastAsia="Times New Roman" w:hint="default"/>
        </w:rPr>
        <w:t>2559.77</w:t>
      </w:r>
      <w:r>
        <w:rPr/>
        <w:t>万元，目前该案处于中止执行阶段。报告期内通过法院执行收回</w:t>
      </w:r>
      <w:r>
        <w:rPr>
          <w:rFonts w:ascii="Times New Roman" w:hAnsi="Times New Roman" w:cs="Times New Roman" w:eastAsia="Times New Roman" w:hint="default"/>
        </w:rPr>
        <w:t>71.63</w:t>
      </w:r>
      <w:r>
        <w:rPr/>
        <w:t>万元。</w:t>
      </w:r>
    </w:p>
    <w:p>
      <w:pPr>
        <w:pStyle w:val="BodyText"/>
        <w:spacing w:line="240" w:lineRule="auto" w:before="14"/>
        <w:ind w:left="617" w:right="0"/>
        <w:jc w:val="left"/>
      </w:pPr>
      <w:r>
        <w:rPr/>
        <w:t>（此案诉讼事由及相关情况自</w:t>
      </w:r>
      <w:r>
        <w:rPr>
          <w:spacing w:val="-49"/>
        </w:rPr>
        <w:t> </w:t>
      </w:r>
      <w:r>
        <w:rPr/>
        <w:t>2003</w:t>
      </w:r>
      <w:r>
        <w:rPr>
          <w:spacing w:val="-47"/>
        </w:rPr>
        <w:t> </w:t>
      </w:r>
      <w:r>
        <w:rPr/>
        <w:t>年起在公司历年中期及年度报告中持续披露）</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328" w:lineRule="auto"/>
        <w:ind w:left="196" w:right="0" w:firstLine="421"/>
        <w:jc w:val="left"/>
      </w:pPr>
      <w:r>
        <w:rPr>
          <w:rFonts w:ascii="Times New Roman" w:hAnsi="Times New Roman" w:cs="Times New Roman" w:eastAsia="Times New Roman" w:hint="default"/>
          <w:spacing w:val="-7"/>
          <w:w w:val="99"/>
        </w:rPr>
        <w:t>2</w:t>
      </w:r>
      <w:r>
        <w:rPr>
          <w:spacing w:val="-7"/>
          <w:w w:val="99"/>
        </w:rPr>
        <w:t>、公司诉深圳市海龙王房地产开发有限公司（以下简称“海龙王房地产”、“被执行人”）</w:t>
      </w:r>
      <w:r>
        <w:rPr>
          <w:w w:val="99"/>
        </w:rPr>
        <w:t> </w:t>
      </w:r>
      <w:r>
        <w:rPr/>
        <w:t>欠款纠纷案</w:t>
      </w:r>
    </w:p>
    <w:p>
      <w:pPr>
        <w:pStyle w:val="BodyText"/>
        <w:spacing w:line="240" w:lineRule="auto" w:before="48"/>
        <w:ind w:left="617" w:right="0"/>
        <w:jc w:val="left"/>
      </w:pPr>
      <w:r>
        <w:rPr>
          <w:spacing w:val="2"/>
          <w:w w:val="99"/>
        </w:rPr>
        <w:t>此</w:t>
      </w:r>
      <w:r>
        <w:rPr>
          <w:w w:val="99"/>
        </w:rPr>
        <w:t>案</w:t>
      </w:r>
      <w:r>
        <w:rPr>
          <w:spacing w:val="2"/>
          <w:w w:val="99"/>
        </w:rPr>
        <w:t>，</w:t>
      </w:r>
      <w:r>
        <w:rPr>
          <w:w w:val="99"/>
        </w:rPr>
        <w:t>已</w:t>
      </w:r>
      <w:r>
        <w:rPr>
          <w:spacing w:val="2"/>
          <w:w w:val="99"/>
        </w:rPr>
        <w:t>由</w:t>
      </w:r>
      <w:r>
        <w:rPr>
          <w:w w:val="99"/>
        </w:rPr>
        <w:t>广</w:t>
      </w:r>
      <w:r>
        <w:rPr>
          <w:spacing w:val="2"/>
          <w:w w:val="99"/>
        </w:rPr>
        <w:t>东</w:t>
      </w:r>
      <w:r>
        <w:rPr>
          <w:w w:val="99"/>
        </w:rPr>
        <w:t>省</w:t>
      </w:r>
      <w:r>
        <w:rPr>
          <w:spacing w:val="2"/>
          <w:w w:val="99"/>
        </w:rPr>
        <w:t>高</w:t>
      </w:r>
      <w:r>
        <w:rPr>
          <w:w w:val="99"/>
        </w:rPr>
        <w:t>院于</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日</w:t>
      </w:r>
      <w:r>
        <w:rPr>
          <w:w w:val="99"/>
        </w:rPr>
        <w:t>作出</w:t>
      </w:r>
      <w:r>
        <w:rPr>
          <w:spacing w:val="-104"/>
          <w:w w:val="99"/>
        </w:rPr>
        <w:t>“</w:t>
      </w:r>
      <w:r>
        <w:rPr>
          <w:spacing w:val="2"/>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4</w:t>
      </w:r>
      <w:r>
        <w:rPr>
          <w:spacing w:val="2"/>
          <w:w w:val="99"/>
        </w:rPr>
        <w:t>）</w:t>
      </w:r>
      <w:r>
        <w:rPr>
          <w:w w:val="99"/>
        </w:rPr>
        <w:t>粤</w:t>
      </w:r>
      <w:r>
        <w:rPr>
          <w:spacing w:val="2"/>
          <w:w w:val="99"/>
        </w:rPr>
        <w:t>高</w:t>
      </w:r>
      <w:r>
        <w:rPr>
          <w:w w:val="99"/>
        </w:rPr>
        <w:t>法</w:t>
      </w:r>
      <w:r>
        <w:rPr>
          <w:spacing w:val="2"/>
          <w:w w:val="99"/>
        </w:rPr>
        <w:t>民</w:t>
      </w:r>
      <w:r>
        <w:rPr>
          <w:w w:val="99"/>
        </w:rPr>
        <w:t>一</w:t>
      </w:r>
      <w:r>
        <w:rPr>
          <w:spacing w:val="2"/>
          <w:w w:val="99"/>
        </w:rPr>
        <w:t>终</w:t>
      </w:r>
      <w:r>
        <w:rPr>
          <w:w w:val="99"/>
        </w:rPr>
        <w:t>字第</w:t>
      </w:r>
      <w:r>
        <w:rPr>
          <w:spacing w:val="-53"/>
        </w:rPr>
        <w:t> </w:t>
      </w:r>
      <w:r>
        <w:rPr>
          <w:rFonts w:ascii="Times New Roman" w:hAnsi="Times New Roman" w:cs="Times New Roman" w:eastAsia="Times New Roman" w:hint="default"/>
          <w:spacing w:val="1"/>
          <w:w w:val="99"/>
        </w:rPr>
        <w:t>19</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号</w:t>
      </w:r>
      <w:r>
        <w:rPr>
          <w:w w:val="99"/>
        </w:rPr>
        <w:t>”</w:t>
      </w:r>
      <w:r>
        <w:rPr>
          <w:spacing w:val="2"/>
          <w:w w:val="99"/>
        </w:rPr>
        <w:t>终</w:t>
      </w:r>
      <w:r>
        <w:rPr>
          <w:w w:val="99"/>
        </w:rPr>
        <w:t>审</w:t>
      </w:r>
      <w:r>
        <w:rPr/>
      </w:r>
    </w:p>
    <w:p>
      <w:pPr>
        <w:pStyle w:val="BodyText"/>
        <w:spacing w:line="240" w:lineRule="auto" w:before="110"/>
        <w:ind w:left="196" w:right="0"/>
        <w:jc w:val="both"/>
      </w:pPr>
      <w:r>
        <w:rPr>
          <w:spacing w:val="-3"/>
        </w:rPr>
        <w:t>判决，判决海龙王房地产返还公司</w:t>
      </w:r>
      <w:r>
        <w:rPr>
          <w:spacing w:val="-56"/>
        </w:rPr>
        <w:t> </w:t>
      </w:r>
      <w:r>
        <w:rPr>
          <w:rFonts w:ascii="Times New Roman" w:hAnsi="Times New Roman" w:cs="Times New Roman" w:eastAsia="Times New Roman" w:hint="default"/>
        </w:rPr>
        <w:t>4975.5 </w:t>
      </w:r>
      <w:r>
        <w:rPr>
          <w:spacing w:val="-6"/>
        </w:rPr>
        <w:t>万元等。</w:t>
      </w:r>
      <w:r>
        <w:rPr>
          <w:rFonts w:ascii="Times New Roman" w:hAnsi="Times New Roman" w:cs="Times New Roman" w:eastAsia="Times New Roman" w:hint="default"/>
          <w:spacing w:val="-6"/>
        </w:rPr>
        <w:t>2005</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日和</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日公司分别收到</w:t>
      </w:r>
    </w:p>
    <w:p>
      <w:pPr>
        <w:pStyle w:val="BodyText"/>
        <w:spacing w:line="240" w:lineRule="auto" w:before="107"/>
        <w:ind w:left="196" w:right="0"/>
        <w:jc w:val="both"/>
      </w:pPr>
      <w:r>
        <w:rPr>
          <w:spacing w:val="2"/>
          <w:w w:val="99"/>
        </w:rPr>
        <w:t>深</w:t>
      </w:r>
      <w:r>
        <w:rPr>
          <w:w w:val="99"/>
        </w:rPr>
        <w:t>圳</w:t>
      </w:r>
      <w:r>
        <w:rPr>
          <w:spacing w:val="2"/>
          <w:w w:val="99"/>
        </w:rPr>
        <w:t>中</w:t>
      </w:r>
      <w:r>
        <w:rPr>
          <w:spacing w:val="-17"/>
          <w:w w:val="99"/>
        </w:rPr>
        <w:t>院</w:t>
      </w:r>
      <w:r>
        <w:rPr>
          <w:spacing w:val="-104"/>
          <w:w w:val="99"/>
        </w:rPr>
        <w:t>“</w:t>
      </w:r>
      <w:r>
        <w:rPr>
          <w:w w:val="99"/>
        </w:rPr>
        <w:t>（</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4</w:t>
      </w:r>
      <w:r>
        <w:rPr>
          <w:spacing w:val="-15"/>
          <w:w w:val="99"/>
        </w:rPr>
        <w:t>）</w:t>
      </w:r>
      <w:r>
        <w:rPr>
          <w:spacing w:val="2"/>
          <w:w w:val="99"/>
        </w:rPr>
        <w:t>深</w:t>
      </w:r>
      <w:r>
        <w:rPr>
          <w:w w:val="99"/>
        </w:rPr>
        <w:t>中</w:t>
      </w:r>
      <w:r>
        <w:rPr>
          <w:spacing w:val="2"/>
          <w:w w:val="99"/>
        </w:rPr>
        <w:t>法</w:t>
      </w:r>
      <w:r>
        <w:rPr>
          <w:w w:val="99"/>
        </w:rPr>
        <w:t>执</w:t>
      </w:r>
      <w:r>
        <w:rPr>
          <w:spacing w:val="2"/>
          <w:w w:val="99"/>
        </w:rPr>
        <w:t>行</w:t>
      </w:r>
      <w:r>
        <w:rPr>
          <w:w w:val="99"/>
        </w:rPr>
        <w:t>字第</w:t>
      </w:r>
      <w:r>
        <w:rPr>
          <w:spacing w:val="-50"/>
        </w:rPr>
        <w:t> </w:t>
      </w:r>
      <w:r>
        <w:rPr>
          <w:rFonts w:ascii="Times New Roman" w:hAnsi="Times New Roman" w:cs="Times New Roman" w:eastAsia="Times New Roman" w:hint="default"/>
          <w:spacing w:val="1"/>
          <w:w w:val="99"/>
        </w:rPr>
        <w:t>40</w:t>
      </w:r>
      <w:r>
        <w:rPr>
          <w:rFonts w:ascii="Times New Roman" w:hAnsi="Times New Roman" w:cs="Times New Roman" w:eastAsia="Times New Roman" w:hint="default"/>
          <w:spacing w:val="-3"/>
          <w:w w:val="99"/>
        </w:rPr>
        <w:t>-</w:t>
      </w:r>
      <w:r>
        <w:rPr>
          <w:rFonts w:ascii="Times New Roman" w:hAnsi="Times New Roman" w:cs="Times New Roman" w:eastAsia="Times New Roman" w:hint="default"/>
          <w:spacing w:val="1"/>
          <w:w w:val="99"/>
        </w:rPr>
        <w:t>161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号</w:t>
      </w:r>
      <w:r>
        <w:rPr>
          <w:spacing w:val="-15"/>
          <w:w w:val="99"/>
        </w:rPr>
        <w:t>”</w:t>
      </w:r>
      <w:r>
        <w:rPr>
          <w:spacing w:val="2"/>
          <w:w w:val="99"/>
        </w:rPr>
        <w:t>通</w:t>
      </w:r>
      <w:r>
        <w:rPr>
          <w:w w:val="99"/>
        </w:rPr>
        <w:t>知</w:t>
      </w:r>
      <w:r>
        <w:rPr>
          <w:spacing w:val="-13"/>
          <w:w w:val="99"/>
        </w:rPr>
        <w:t>书</w:t>
      </w:r>
      <w:r>
        <w:rPr>
          <w:w w:val="99"/>
        </w:rPr>
        <w:t>（</w:t>
      </w:r>
      <w:r>
        <w:rPr>
          <w:spacing w:val="2"/>
          <w:w w:val="99"/>
        </w:rPr>
        <w:t>执</w:t>
      </w:r>
      <w:r>
        <w:rPr>
          <w:w w:val="99"/>
        </w:rPr>
        <w:t>行</w:t>
      </w:r>
      <w:r>
        <w:rPr>
          <w:spacing w:val="2"/>
          <w:w w:val="99"/>
        </w:rPr>
        <w:t>标</w:t>
      </w:r>
      <w:r>
        <w:rPr>
          <w:w w:val="99"/>
        </w:rPr>
        <w:t>的</w:t>
      </w:r>
      <w:r>
        <w:rPr>
          <w:spacing w:val="2"/>
          <w:w w:val="99"/>
        </w:rPr>
        <w:t>以</w:t>
      </w:r>
      <w:r>
        <w:rPr>
          <w:w w:val="99"/>
        </w:rPr>
        <w:t>人</w:t>
      </w:r>
      <w:r>
        <w:rPr>
          <w:spacing w:val="2"/>
          <w:w w:val="99"/>
        </w:rPr>
        <w:t>民</w:t>
      </w:r>
      <w:r>
        <w:rPr>
          <w:w w:val="99"/>
        </w:rPr>
        <w:t>币</w:t>
      </w:r>
      <w:r>
        <w:rPr>
          <w:spacing w:val="-53"/>
        </w:rPr>
        <w:t> </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7</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及</w:t>
      </w:r>
      <w:r>
        <w:rPr>
          <w:w w:val="99"/>
        </w:rPr>
        <w:t>相</w:t>
      </w:r>
      <w:r>
        <w:rPr>
          <w:spacing w:val="2"/>
          <w:w w:val="99"/>
        </w:rPr>
        <w:t>应</w:t>
      </w:r>
      <w:r>
        <w:rPr>
          <w:w w:val="99"/>
        </w:rPr>
        <w:t>利</w:t>
      </w:r>
      <w:r>
        <w:rPr/>
      </w:r>
    </w:p>
    <w:p>
      <w:pPr>
        <w:pStyle w:val="BodyText"/>
        <w:spacing w:line="240" w:lineRule="auto" w:before="110"/>
        <w:ind w:left="196" w:right="0"/>
        <w:jc w:val="both"/>
        <w:rPr>
          <w:rFonts w:ascii="Times New Roman" w:hAnsi="Times New Roman" w:cs="Times New Roman" w:eastAsia="Times New Roman" w:hint="default"/>
        </w:rPr>
      </w:pPr>
      <w:r>
        <w:rPr>
          <w:spacing w:val="2"/>
          <w:w w:val="99"/>
        </w:rPr>
        <w:t>息</w:t>
      </w:r>
      <w:r>
        <w:rPr>
          <w:w w:val="99"/>
        </w:rPr>
        <w:t>为限</w:t>
      </w:r>
      <w:r>
        <w:rPr>
          <w:spacing w:val="-22"/>
          <w:w w:val="99"/>
        </w:rPr>
        <w:t>）</w:t>
      </w:r>
      <w:r>
        <w:rPr>
          <w:spacing w:val="2"/>
          <w:w w:val="99"/>
        </w:rPr>
        <w:t>和</w:t>
      </w:r>
      <w:r>
        <w:rPr>
          <w:w w:val="99"/>
        </w:rPr>
        <w:t>广</w:t>
      </w:r>
      <w:r>
        <w:rPr>
          <w:spacing w:val="2"/>
          <w:w w:val="99"/>
        </w:rPr>
        <w:t>东</w:t>
      </w:r>
      <w:r>
        <w:rPr>
          <w:w w:val="99"/>
        </w:rPr>
        <w:t>省</w:t>
      </w:r>
      <w:r>
        <w:rPr>
          <w:spacing w:val="2"/>
          <w:w w:val="99"/>
        </w:rPr>
        <w:t>汕</w:t>
      </w:r>
      <w:r>
        <w:rPr>
          <w:w w:val="99"/>
        </w:rPr>
        <w:t>尾</w:t>
      </w:r>
      <w:r>
        <w:rPr>
          <w:spacing w:val="2"/>
          <w:w w:val="99"/>
        </w:rPr>
        <w:t>市</w:t>
      </w:r>
      <w:r>
        <w:rPr>
          <w:w w:val="99"/>
        </w:rPr>
        <w:t>中</w:t>
      </w:r>
      <w:r>
        <w:rPr>
          <w:spacing w:val="2"/>
          <w:w w:val="99"/>
        </w:rPr>
        <w:t>级</w:t>
      </w:r>
      <w:r>
        <w:rPr>
          <w:w w:val="99"/>
        </w:rPr>
        <w:t>人</w:t>
      </w:r>
      <w:r>
        <w:rPr>
          <w:spacing w:val="2"/>
          <w:w w:val="99"/>
        </w:rPr>
        <w:t>民</w:t>
      </w:r>
      <w:r>
        <w:rPr>
          <w:w w:val="99"/>
        </w:rPr>
        <w:t>法</w:t>
      </w:r>
      <w:r>
        <w:rPr>
          <w:spacing w:val="-22"/>
          <w:w w:val="99"/>
        </w:rPr>
        <w:t>院</w:t>
      </w:r>
      <w:r>
        <w:rPr>
          <w:w w:val="99"/>
        </w:rPr>
        <w:t>（</w:t>
      </w:r>
      <w:r>
        <w:rPr>
          <w:spacing w:val="2"/>
          <w:w w:val="99"/>
        </w:rPr>
        <w:t>以</w:t>
      </w:r>
      <w:r>
        <w:rPr>
          <w:w w:val="99"/>
        </w:rPr>
        <w:t>下</w:t>
      </w:r>
      <w:r>
        <w:rPr>
          <w:spacing w:val="2"/>
          <w:w w:val="99"/>
        </w:rPr>
        <w:t>简</w:t>
      </w:r>
      <w:r>
        <w:rPr>
          <w:spacing w:val="-22"/>
          <w:w w:val="99"/>
        </w:rPr>
        <w:t>称</w:t>
      </w:r>
      <w:r>
        <w:rPr>
          <w:w w:val="99"/>
        </w:rPr>
        <w:t>“</w:t>
      </w:r>
      <w:r>
        <w:rPr>
          <w:spacing w:val="2"/>
          <w:w w:val="99"/>
        </w:rPr>
        <w:t>汕</w:t>
      </w:r>
      <w:r>
        <w:rPr>
          <w:w w:val="99"/>
        </w:rPr>
        <w:t>尾</w:t>
      </w:r>
      <w:r>
        <w:rPr>
          <w:spacing w:val="2"/>
          <w:w w:val="99"/>
        </w:rPr>
        <w:t>中</w:t>
      </w:r>
      <w:r>
        <w:rPr>
          <w:w w:val="99"/>
        </w:rPr>
        <w:t>院</w:t>
      </w:r>
      <w:r>
        <w:rPr>
          <w:spacing w:val="-104"/>
          <w:w w:val="99"/>
        </w:rPr>
        <w:t>”</w:t>
      </w:r>
      <w:r>
        <w:rPr>
          <w:spacing w:val="-128"/>
          <w:w w:val="99"/>
        </w:rPr>
        <w:t>）</w:t>
      </w:r>
      <w:r>
        <w:rPr>
          <w:spacing w:val="-104"/>
          <w:w w:val="99"/>
        </w:rPr>
        <w:t>“</w:t>
      </w:r>
      <w:r>
        <w:rPr>
          <w:w w:val="99"/>
        </w:rPr>
        <w:t>（</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5</w:t>
      </w:r>
      <w:r>
        <w:rPr>
          <w:spacing w:val="-22"/>
          <w:w w:val="99"/>
        </w:rPr>
        <w:t>）</w:t>
      </w:r>
      <w:r>
        <w:rPr>
          <w:spacing w:val="2"/>
          <w:w w:val="99"/>
        </w:rPr>
        <w:t>汕</w:t>
      </w:r>
      <w:r>
        <w:rPr>
          <w:w w:val="99"/>
        </w:rPr>
        <w:t>中</w:t>
      </w:r>
      <w:r>
        <w:rPr>
          <w:spacing w:val="2"/>
          <w:w w:val="99"/>
        </w:rPr>
        <w:t>法</w:t>
      </w:r>
      <w:r>
        <w:rPr>
          <w:w w:val="99"/>
        </w:rPr>
        <w:t>执</w:t>
      </w:r>
      <w:r>
        <w:rPr>
          <w:spacing w:val="2"/>
          <w:w w:val="99"/>
        </w:rPr>
        <w:t>二</w:t>
      </w:r>
      <w:r>
        <w:rPr>
          <w:w w:val="99"/>
        </w:rPr>
        <w:t>字第</w:t>
      </w:r>
      <w:r>
        <w:rPr>
          <w:spacing w:val="-50"/>
        </w:rPr>
        <w:t> </w:t>
      </w:r>
      <w:r>
        <w:rPr>
          <w:rFonts w:ascii="Times New Roman" w:hAnsi="Times New Roman" w:cs="Times New Roman" w:eastAsia="Times New Roman" w:hint="default"/>
          <w:spacing w:val="1"/>
          <w:w w:val="99"/>
        </w:rPr>
        <w:t>72</w:t>
      </w:r>
      <w:r>
        <w:rPr>
          <w:rFonts w:ascii="Times New Roman" w:hAnsi="Times New Roman" w:cs="Times New Roman" w:eastAsia="Times New Roman" w:hint="default"/>
          <w:spacing w:val="-3"/>
          <w:w w:val="99"/>
        </w:rPr>
        <w:t>-</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pStyle w:val="BodyText"/>
        <w:spacing w:line="331" w:lineRule="auto" w:before="110"/>
        <w:ind w:left="196" w:right="112"/>
        <w:jc w:val="both"/>
      </w:pPr>
      <w:r>
        <w:rPr>
          <w:w w:val="99"/>
        </w:rPr>
        <w:t>号”通知书，获悉此案已转由汕尾中院负责执行，</w:t>
      </w:r>
      <w:r>
        <w:rPr>
          <w:rFonts w:ascii="Times New Roman" w:hAnsi="Times New Roman" w:cs="Times New Roman" w:eastAsia="Times New Roman" w:hint="default"/>
          <w:w w:val="99"/>
        </w:rPr>
        <w:t>2006</w:t>
      </w:r>
      <w:r>
        <w:rPr>
          <w:rFonts w:ascii="Times New Roman" w:hAnsi="Times New Roman" w:cs="Times New Roman" w:eastAsia="Times New Roman" w:hint="default"/>
          <w:spacing w:val="-2"/>
          <w:w w:val="99"/>
        </w:rPr>
        <w:t> </w:t>
      </w:r>
      <w:r>
        <w:rPr>
          <w:w w:val="99"/>
        </w:rPr>
        <w:t>年</w:t>
      </w:r>
      <w:r>
        <w:rPr>
          <w:spacing w:val="-54"/>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5"/>
          <w:w w:val="99"/>
        </w:rPr>
        <w:t> </w:t>
      </w:r>
      <w:r>
        <w:rPr>
          <w:w w:val="99"/>
        </w:rPr>
        <w:t>月</w:t>
      </w:r>
      <w:r>
        <w:rPr>
          <w:spacing w:val="-51"/>
          <w:w w:val="99"/>
        </w:rPr>
        <w:t> </w:t>
      </w:r>
      <w:r>
        <w:rPr>
          <w:rFonts w:ascii="Times New Roman" w:hAnsi="Times New Roman" w:cs="Times New Roman" w:eastAsia="Times New Roman" w:hint="default"/>
          <w:w w:val="99"/>
        </w:rPr>
        <w:t>17</w:t>
      </w:r>
      <w:r>
        <w:rPr>
          <w:rFonts w:ascii="Times New Roman" w:hAnsi="Times New Roman" w:cs="Times New Roman" w:eastAsia="Times New Roman" w:hint="default"/>
          <w:spacing w:val="-2"/>
          <w:w w:val="99"/>
        </w:rPr>
        <w:t> </w:t>
      </w:r>
      <w:r>
        <w:rPr>
          <w:spacing w:val="-8"/>
          <w:w w:val="96"/>
        </w:rPr>
        <w:t>日，汕尾中院下达“（</w:t>
      </w:r>
      <w:r>
        <w:rPr>
          <w:rFonts w:ascii="Times New Roman" w:hAnsi="Times New Roman" w:cs="Times New Roman" w:eastAsia="Times New Roman" w:hint="default"/>
          <w:spacing w:val="-8"/>
          <w:w w:val="96"/>
        </w:rPr>
        <w:t>2005</w:t>
      </w:r>
      <w:r>
        <w:rPr>
          <w:spacing w:val="-8"/>
          <w:w w:val="96"/>
        </w:rPr>
        <w:t>）</w:t>
      </w:r>
      <w:r>
        <w:rPr>
          <w:w w:val="49"/>
        </w:rPr>
        <w:t> </w:t>
      </w:r>
      <w:r>
        <w:rPr/>
        <w:t>汕中法执字第 </w:t>
      </w:r>
      <w:r>
        <w:rPr>
          <w:rFonts w:ascii="Times New Roman" w:hAnsi="Times New Roman" w:cs="Times New Roman" w:eastAsia="Times New Roman" w:hint="default"/>
        </w:rPr>
        <w:t>72 </w:t>
      </w:r>
      <w:r>
        <w:rPr/>
        <w:t>号”</w:t>
      </w:r>
      <w:r>
        <w:rPr>
          <w:spacing w:val="-43"/>
        </w:rPr>
        <w:t> </w:t>
      </w:r>
      <w:r>
        <w:rPr/>
        <w:t>通知书，要求公司提供海龙王房地产可供执行的财产线索，目前此案已</w:t>
      </w:r>
      <w:r>
        <w:rPr>
          <w:w w:val="99"/>
        </w:rPr>
        <w:t> </w:t>
      </w:r>
      <w:r>
        <w:rPr/>
        <w:t>中止执行。此事项，公司已于以前年度全额计提坏帐准备</w:t>
      </w:r>
      <w:r>
        <w:rPr>
          <w:spacing w:val="-52"/>
        </w:rPr>
        <w:t> </w:t>
      </w:r>
      <w:r>
        <w:rPr>
          <w:rFonts w:ascii="Times New Roman" w:hAnsi="Times New Roman" w:cs="Times New Roman" w:eastAsia="Times New Roman" w:hint="default"/>
        </w:rPr>
        <w:t>5,011.97 </w:t>
      </w:r>
      <w:r>
        <w:rPr/>
        <w:t>万元，不影响本期损益。目</w:t>
      </w:r>
      <w:r>
        <w:rPr>
          <w:w w:val="99"/>
        </w:rPr>
        <w:t> </w:t>
      </w:r>
      <w:r>
        <w:rPr/>
        <w:t>前该案处于中止执行阶段。报告期内无新进展。</w:t>
      </w:r>
    </w:p>
    <w:p>
      <w:pPr>
        <w:spacing w:after="0" w:line="331" w:lineRule="auto"/>
        <w:jc w:val="both"/>
        <w:sectPr>
          <w:pgSz w:w="11910" w:h="16840"/>
          <w:pgMar w:header="0" w:footer="1007" w:top="1180" w:bottom="1200" w:left="1680" w:right="1280"/>
        </w:sectPr>
      </w:pPr>
    </w:p>
    <w:p>
      <w:pPr>
        <w:pStyle w:val="BodyText"/>
        <w:spacing w:line="240" w:lineRule="auto" w:before="8"/>
        <w:ind w:left="1457" w:right="0"/>
        <w:jc w:val="left"/>
      </w:pPr>
      <w:bookmarkStart w:name="二、报告期内持有、出售其他上市公司股权、参股金融企业股权情况：" w:id="35"/>
      <w:bookmarkEnd w:id="35"/>
      <w:r>
        <w:rPr/>
      </w:r>
      <w:bookmarkStart w:name="三、公司相关资产出售情况" w:id="36"/>
      <w:bookmarkEnd w:id="36"/>
      <w:r>
        <w:rPr/>
      </w:r>
      <w:r>
        <w:rPr/>
        <w:t>（此案诉讼事由及相关情况自2003年起在公司历年中期及年度报告中持续披露）</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1457" w:right="0"/>
        <w:jc w:val="left"/>
        <w:rPr>
          <w:rFonts w:ascii="宋体" w:hAnsi="宋体" w:cs="宋体" w:eastAsia="宋体" w:hint="default"/>
        </w:rPr>
      </w:pPr>
      <w:r>
        <w:rPr>
          <w:rFonts w:ascii="宋体" w:hAnsi="宋体" w:cs="宋体" w:eastAsia="宋体" w:hint="default"/>
        </w:rPr>
        <w:t>报告期内诉讼事项</w:t>
      </w:r>
    </w:p>
    <w:p>
      <w:pPr>
        <w:pStyle w:val="BodyText"/>
        <w:spacing w:line="240" w:lineRule="auto" w:before="123"/>
        <w:ind w:left="1457" w:right="0"/>
        <w:jc w:val="left"/>
      </w:pPr>
      <w:r>
        <w:rPr>
          <w:rFonts w:ascii="Times New Roman" w:hAnsi="Times New Roman" w:cs="Times New Roman" w:eastAsia="Times New Roman" w:hint="default"/>
        </w:rPr>
        <w:t>3</w:t>
      </w:r>
      <w:r>
        <w:rPr/>
        <w:t>、深圳市凯方实业发展有限公司诉深圳市赛德隆投资发展有限公司往来款纠纷案</w:t>
      </w:r>
    </w:p>
    <w:p>
      <w:pPr>
        <w:pStyle w:val="BodyText"/>
        <w:spacing w:line="336" w:lineRule="auto" w:before="110"/>
        <w:ind w:left="1036" w:right="1020" w:firstLine="524"/>
        <w:jc w:val="both"/>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8</w:t>
      </w:r>
      <w:r>
        <w:rPr>
          <w:spacing w:val="-4"/>
        </w:rPr>
        <w:t>月，公司持股</w:t>
      </w:r>
      <w:r>
        <w:rPr>
          <w:rFonts w:ascii="Times New Roman" w:hAnsi="Times New Roman" w:cs="Times New Roman" w:eastAsia="Times New Roman" w:hint="default"/>
          <w:spacing w:val="-4"/>
        </w:rPr>
        <w:t>70%</w:t>
      </w:r>
      <w:r>
        <w:rPr>
          <w:spacing w:val="-4"/>
        </w:rPr>
        <w:t>的控股子公司</w:t>
      </w:r>
      <w:r>
        <w:rPr>
          <w:rFonts w:ascii="Times New Roman" w:hAnsi="Times New Roman" w:cs="Times New Roman" w:eastAsia="Times New Roman" w:hint="default"/>
          <w:spacing w:val="-4"/>
        </w:rPr>
        <w:t>——</w:t>
      </w:r>
      <w:r>
        <w:rPr>
          <w:spacing w:val="-4"/>
        </w:rPr>
        <w:t>深圳市凯方实业发展有限公司（以下简称“凯</w:t>
      </w:r>
      <w:r>
        <w:rPr>
          <w:w w:val="99"/>
        </w:rPr>
        <w:t> </w:t>
      </w:r>
      <w:r>
        <w:rPr>
          <w:spacing w:val="-3"/>
          <w:w w:val="99"/>
        </w:rPr>
        <w:t>方实业”）向深圳市福田区人民法院提起诉讼，要求持有凯方实业</w:t>
      </w:r>
      <w:r>
        <w:rPr>
          <w:rFonts w:ascii="Times New Roman" w:hAnsi="Times New Roman" w:cs="Times New Roman" w:eastAsia="Times New Roman" w:hint="default"/>
          <w:spacing w:val="-3"/>
          <w:w w:val="99"/>
        </w:rPr>
        <w:t>30%</w:t>
      </w:r>
      <w:r>
        <w:rPr>
          <w:spacing w:val="-3"/>
          <w:w w:val="99"/>
        </w:rPr>
        <w:t>股权的另一股东</w:t>
      </w:r>
      <w:r>
        <w:rPr>
          <w:rFonts w:ascii="Times New Roman" w:hAnsi="Times New Roman" w:cs="Times New Roman" w:eastAsia="Times New Roman" w:hint="default"/>
          <w:spacing w:val="-3"/>
          <w:w w:val="99"/>
        </w:rPr>
        <w:t>——</w:t>
      </w:r>
      <w:r>
        <w:rPr>
          <w:spacing w:val="-3"/>
          <w:w w:val="99"/>
        </w:rPr>
        <w:t>深圳</w:t>
      </w:r>
      <w:r>
        <w:rPr>
          <w:w w:val="99"/>
        </w:rPr>
        <w:t> </w:t>
      </w:r>
      <w:r>
        <w:rPr>
          <w:spacing w:val="-1"/>
          <w:w w:val="99"/>
        </w:rPr>
        <w:t>市赛德隆投资发展有限公司（以下简称“赛德隆公司”）偿还拖欠的往来款</w:t>
      </w:r>
      <w:r>
        <w:rPr>
          <w:rFonts w:ascii="Times New Roman" w:hAnsi="Times New Roman" w:cs="Times New Roman" w:eastAsia="Times New Roman" w:hint="default"/>
          <w:spacing w:val="-1"/>
          <w:w w:val="99"/>
        </w:rPr>
        <w:t>31388461.73</w:t>
      </w:r>
      <w:r>
        <w:rPr>
          <w:spacing w:val="-1"/>
          <w:w w:val="99"/>
        </w:rPr>
        <w:t>元，并</w:t>
      </w:r>
      <w:r>
        <w:rPr>
          <w:spacing w:val="-76"/>
          <w:w w:val="99"/>
        </w:rPr>
        <w:t> </w:t>
      </w:r>
      <w:r>
        <w:rPr>
          <w:spacing w:val="-76"/>
          <w:w w:val="99"/>
        </w:rPr>
      </w:r>
      <w:r>
        <w:rPr/>
        <w:t>按同期银行贷款利息支付上述款项从起诉之日到实际给付之日的利息。深圳市福田区人民法院</w:t>
      </w:r>
      <w:r>
        <w:rPr>
          <w:spacing w:val="-93"/>
        </w:rPr>
        <w:t> </w:t>
      </w:r>
      <w:r>
        <w:rPr>
          <w:spacing w:val="-93"/>
        </w:rPr>
      </w:r>
      <w:r>
        <w:rPr/>
        <w:t>于</w:t>
      </w:r>
      <w:r>
        <w:rPr>
          <w:spacing w:val="-88"/>
        </w:rPr>
        <w:t> </w:t>
      </w:r>
      <w:r>
        <w:rPr>
          <w:rFonts w:ascii="Times New Roman" w:hAnsi="Times New Roman" w:cs="Times New Roman" w:eastAsia="Times New Roman" w:hint="default"/>
        </w:rPr>
        <w:t>9</w:t>
      </w:r>
      <w:r>
        <w:rPr>
          <w:rFonts w:ascii="Times New Roman" w:hAnsi="Times New Roman" w:cs="Times New Roman" w:eastAsia="Times New Roman" w:hint="default"/>
          <w:spacing w:val="-35"/>
        </w:rPr>
        <w:t> </w:t>
      </w:r>
      <w:r>
        <w:rPr/>
        <w:t>月</w:t>
      </w:r>
      <w:r>
        <w:rPr>
          <w:spacing w:val="-86"/>
        </w:rPr>
        <w:t> </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spacing w:val="18"/>
        </w:rPr>
        <w:t>日受理了此案，</w:t>
      </w:r>
      <w:r>
        <w:rPr>
          <w:spacing w:val="-86"/>
        </w:rPr>
        <w:t> </w:t>
      </w:r>
      <w:r>
        <w:rPr>
          <w:spacing w:val="19"/>
        </w:rPr>
        <w:t>并根据凯方实业提出的请求查封、</w:t>
      </w:r>
      <w:r>
        <w:rPr>
          <w:spacing w:val="-86"/>
        </w:rPr>
        <w:t> </w:t>
      </w:r>
      <w:r>
        <w:rPr>
          <w:spacing w:val="14"/>
        </w:rPr>
        <w:t>扣押、</w:t>
      </w:r>
      <w:r>
        <w:rPr>
          <w:spacing w:val="-86"/>
        </w:rPr>
        <w:t> </w:t>
      </w:r>
      <w:r>
        <w:rPr>
          <w:spacing w:val="18"/>
        </w:rPr>
        <w:t>冻结赛德隆公司价值</w:t>
      </w:r>
      <w:r>
        <w:rPr>
          <w:w w:val="99"/>
        </w:rPr>
        <w:t> </w:t>
      </w:r>
      <w:r>
        <w:rPr>
          <w:rFonts w:ascii="Times New Roman" w:hAnsi="Times New Roman" w:cs="Times New Roman" w:eastAsia="Times New Roman" w:hint="default"/>
          <w:spacing w:val="-3"/>
          <w:w w:val="99"/>
        </w:rPr>
        <w:t>31388461.73</w:t>
      </w:r>
      <w:r>
        <w:rPr>
          <w:spacing w:val="-3"/>
          <w:w w:val="99"/>
        </w:rPr>
        <w:t>元财产的财产保全申请，于</w:t>
      </w:r>
      <w:r>
        <w:rPr>
          <w:rFonts w:ascii="Times New Roman" w:hAnsi="Times New Roman" w:cs="Times New Roman" w:eastAsia="Times New Roman" w:hint="default"/>
          <w:spacing w:val="-3"/>
          <w:w w:val="99"/>
        </w:rPr>
        <w:t>10</w:t>
      </w:r>
      <w:r>
        <w:rPr>
          <w:spacing w:val="-3"/>
          <w:w w:val="99"/>
        </w:rPr>
        <w:t>月</w:t>
      </w:r>
      <w:r>
        <w:rPr>
          <w:rFonts w:ascii="Times New Roman" w:hAnsi="Times New Roman" w:cs="Times New Roman" w:eastAsia="Times New Roman" w:hint="default"/>
          <w:spacing w:val="-3"/>
          <w:w w:val="99"/>
        </w:rPr>
        <w:t>9</w:t>
      </w:r>
      <w:r>
        <w:rPr>
          <w:spacing w:val="-3"/>
          <w:w w:val="99"/>
        </w:rPr>
        <w:t>日，下达《查封、冻结、扣押财产通知书》，裁定</w:t>
      </w:r>
      <w:r>
        <w:rPr>
          <w:spacing w:val="-73"/>
          <w:w w:val="99"/>
        </w:rPr>
        <w:t> </w:t>
      </w:r>
      <w:r>
        <w:rPr>
          <w:spacing w:val="-73"/>
          <w:w w:val="99"/>
        </w:rPr>
      </w:r>
      <w:r>
        <w:rPr>
          <w:spacing w:val="2"/>
        </w:rPr>
        <w:t>查封了赛德隆公司持有的西安新鸿业投资发展有限公司</w:t>
      </w:r>
      <w:r>
        <w:rPr>
          <w:rFonts w:ascii="Times New Roman" w:hAnsi="Times New Roman" w:cs="Times New Roman" w:eastAsia="Times New Roman" w:hint="default"/>
          <w:spacing w:val="2"/>
        </w:rPr>
        <w:t>15.7%</w:t>
      </w:r>
      <w:r>
        <w:rPr>
          <w:spacing w:val="2"/>
        </w:rPr>
        <w:t>的股权。后赛德隆公司在提交答</w:t>
      </w:r>
      <w:r>
        <w:rPr>
          <w:spacing w:val="-101"/>
        </w:rPr>
        <w:t> </w:t>
      </w:r>
      <w:r>
        <w:rPr>
          <w:spacing w:val="-101"/>
        </w:rPr>
      </w:r>
      <w:r>
        <w:rPr/>
        <w:t>辩状期间对本案管辖权提出异议，请求福田法院将该案移送深圳中院审理，经福田法院、深圳</w:t>
      </w:r>
      <w:r>
        <w:rPr>
          <w:spacing w:val="-93"/>
        </w:rPr>
        <w:t> </w:t>
      </w:r>
      <w:r>
        <w:rPr>
          <w:spacing w:val="-93"/>
        </w:rPr>
      </w:r>
      <w:r>
        <w:rPr/>
        <w:t>中院裁定：驳回赛德隆公司对本案管辖权提出的异议。目前该案尚在一审审理中。</w:t>
      </w:r>
    </w:p>
    <w:p>
      <w:pPr>
        <w:pStyle w:val="BodyText"/>
        <w:spacing w:line="350" w:lineRule="auto" w:before="42"/>
        <w:ind w:left="1036" w:right="0" w:firstLine="421"/>
        <w:jc w:val="left"/>
      </w:pPr>
      <w:r>
        <w:rPr/>
        <w:t>（此案诉讼事由及相关情况详见2011年10月19日《中国证券报》、《证券时报》及巨潮资</w:t>
      </w:r>
      <w:r>
        <w:rPr>
          <w:w w:val="99"/>
        </w:rPr>
        <w:t> </w:t>
      </w:r>
      <w:r>
        <w:rPr/>
        <w:t>讯网</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8"/>
        </w:rPr>
        <w:t> </w:t>
      </w:r>
      <w:r>
        <w:rPr/>
        <w:t>相关公告）</w:t>
      </w:r>
    </w:p>
    <w:p>
      <w:pPr>
        <w:pStyle w:val="Heading4"/>
        <w:spacing w:line="240" w:lineRule="auto" w:before="196"/>
        <w:ind w:left="1036" w:right="0"/>
        <w:jc w:val="left"/>
      </w:pPr>
      <w:r>
        <w:rPr/>
        <w:t>二、报告期内持有、出售其他上市公司股权、参股金融企业股权情况：</w:t>
      </w:r>
    </w:p>
    <w:p>
      <w:pPr>
        <w:spacing w:line="240" w:lineRule="auto" w:before="13"/>
        <w:rPr>
          <w:rFonts w:ascii="宋体" w:hAnsi="宋体" w:cs="宋体" w:eastAsia="宋体" w:hint="default"/>
          <w:sz w:val="25"/>
          <w:szCs w:val="25"/>
        </w:rPr>
      </w:pPr>
    </w:p>
    <w:p>
      <w:pPr>
        <w:pStyle w:val="BodyText"/>
        <w:spacing w:line="240" w:lineRule="auto"/>
        <w:ind w:left="1036" w:right="0"/>
        <w:jc w:val="left"/>
        <w:rPr>
          <w:rFonts w:ascii="宋体" w:hAnsi="宋体" w:cs="宋体" w:eastAsia="宋体" w:hint="default"/>
        </w:rPr>
      </w:pPr>
      <w:r>
        <w:rPr>
          <w:rFonts w:ascii="宋体" w:hAnsi="宋体" w:cs="宋体" w:eastAsia="宋体" w:hint="default"/>
        </w:rPr>
        <w:t>（一）持有其他上市公司股权情况</w:t>
      </w:r>
    </w:p>
    <w:p>
      <w:pPr>
        <w:spacing w:line="240" w:lineRule="auto" w:before="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801"/>
        <w:gridCol w:w="1083"/>
        <w:gridCol w:w="1540"/>
        <w:gridCol w:w="926"/>
        <w:gridCol w:w="1341"/>
        <w:gridCol w:w="716"/>
        <w:gridCol w:w="1444"/>
        <w:gridCol w:w="1444"/>
        <w:gridCol w:w="1169"/>
      </w:tblGrid>
      <w:tr>
        <w:trPr>
          <w:trHeight w:val="554" w:hRule="exact"/>
        </w:trPr>
        <w:tc>
          <w:tcPr>
            <w:tcW w:w="8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3" w:lineRule="exact"/>
              <w:ind w:left="185"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0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初始投资金额</w:t>
            </w:r>
          </w:p>
        </w:tc>
        <w:tc>
          <w:tcPr>
            <w:tcW w:w="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占该公司</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股权比例</w:t>
            </w:r>
          </w:p>
        </w:tc>
        <w:tc>
          <w:tcPr>
            <w:tcW w:w="134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pacing w:val="9"/>
                <w:sz w:val="21"/>
                <w:szCs w:val="21"/>
              </w:rPr>
              <w:t>报告期</w:t>
            </w:r>
          </w:p>
          <w:p>
            <w:pPr>
              <w:pStyle w:val="TableParagraph"/>
              <w:spacing w:line="273" w:lineRule="exact"/>
              <w:ind w:right="25"/>
              <w:jc w:val="center"/>
              <w:rPr>
                <w:rFonts w:ascii="宋体" w:hAnsi="宋体" w:cs="宋体" w:eastAsia="宋体" w:hint="default"/>
                <w:sz w:val="21"/>
                <w:szCs w:val="21"/>
              </w:rPr>
            </w:pPr>
            <w:r>
              <w:rPr>
                <w:rFonts w:ascii="宋体" w:hAnsi="宋体" w:cs="宋体" w:eastAsia="宋体" w:hint="default"/>
                <w:sz w:val="21"/>
                <w:szCs w:val="21"/>
              </w:rPr>
              <w:t>损益</w:t>
            </w:r>
          </w:p>
        </w:tc>
        <w:tc>
          <w:tcPr>
            <w:tcW w:w="14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120"/>
              <w:jc w:val="center"/>
              <w:rPr>
                <w:rFonts w:ascii="宋体" w:hAnsi="宋体" w:cs="宋体" w:eastAsia="宋体" w:hint="default"/>
                <w:sz w:val="21"/>
                <w:szCs w:val="21"/>
              </w:rPr>
            </w:pPr>
            <w:r>
              <w:rPr>
                <w:rFonts w:ascii="宋体" w:hAnsi="宋体" w:cs="宋体" w:eastAsia="宋体" w:hint="default"/>
                <w:sz w:val="21"/>
                <w:szCs w:val="21"/>
              </w:rPr>
              <w:t>报告期所有者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权益变动</w:t>
            </w:r>
          </w:p>
        </w:tc>
        <w:tc>
          <w:tcPr>
            <w:tcW w:w="14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会计核算科目</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股份来源</w:t>
            </w:r>
          </w:p>
        </w:tc>
      </w:tr>
      <w:tr>
        <w:trPr>
          <w:trHeight w:val="55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000509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SST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华塑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1,500,000.00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0.33%</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10,122,750.00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1,204,500.00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95"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3" w:lineRule="exact"/>
              <w:ind w:left="295"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000506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中润投资</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3,172,173.65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0.27%</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Times New Roman" w:hAnsi="Times New Roman" w:cs="Times New Roman" w:eastAsia="Times New Roman" w:hint="default"/>
                <w:sz w:val="21"/>
                <w:szCs w:val="21"/>
              </w:rPr>
            </w:pPr>
            <w:r>
              <w:rPr>
                <w:rFonts w:ascii="Times New Roman"/>
                <w:sz w:val="21"/>
              </w:rPr>
              <w:t>5,738,204.16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Times New Roman" w:hAnsi="Times New Roman" w:cs="Times New Roman" w:eastAsia="Times New Roman" w:hint="default"/>
                <w:sz w:val="21"/>
                <w:szCs w:val="21"/>
              </w:rPr>
            </w:pPr>
            <w:r>
              <w:rPr>
                <w:rFonts w:ascii="Times New Roman"/>
                <w:sz w:val="21"/>
              </w:rPr>
              <w:t>-1,740,057.28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95"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3" w:lineRule="exact"/>
              <w:ind w:left="295"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600999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招商证券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1,938,251.50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0.08%</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17,576,808.36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Times New Roman" w:hAnsi="Times New Roman" w:cs="Times New Roman" w:eastAsia="Times New Roman" w:hint="default"/>
                <w:sz w:val="21"/>
                <w:szCs w:val="21"/>
              </w:rPr>
            </w:pPr>
            <w:r>
              <w:rPr>
                <w:rFonts w:ascii="Times New Roman"/>
                <w:sz w:val="21"/>
              </w:rPr>
              <w:t>-7,605,010.44</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0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21"/>
                <w:szCs w:val="21"/>
              </w:rPr>
            </w:pPr>
            <w:r>
              <w:rPr>
                <w:rFonts w:ascii="Times New Roman"/>
                <w:sz w:val="21"/>
              </w:rPr>
              <w:t>400033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斯达高科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8,724,000.00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1.50%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Times New Roman" w:hAnsi="Times New Roman" w:cs="Times New Roman" w:eastAsia="Times New Roman" w:hint="default"/>
                <w:sz w:val="21"/>
                <w:szCs w:val="21"/>
              </w:rPr>
            </w:pPr>
            <w:r>
              <w:rPr>
                <w:rFonts w:ascii="Times New Roman"/>
                <w:sz w:val="21"/>
              </w:rPr>
              <w:t>8,724,000.00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sz w:val="21"/>
              </w:rPr>
              <w:t>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社会法人股</w:t>
            </w:r>
          </w:p>
        </w:tc>
      </w:tr>
    </w:tbl>
    <w:p>
      <w:pPr>
        <w:pStyle w:val="BodyText"/>
        <w:spacing w:line="240" w:lineRule="auto" w:before="45"/>
        <w:ind w:left="1036" w:right="0"/>
        <w:jc w:val="left"/>
        <w:rPr>
          <w:rFonts w:ascii="宋体" w:hAnsi="宋体" w:cs="宋体" w:eastAsia="宋体" w:hint="default"/>
        </w:rPr>
      </w:pPr>
      <w:r>
        <w:rPr>
          <w:rFonts w:ascii="宋体" w:hAnsi="宋体" w:cs="宋体" w:eastAsia="宋体" w:hint="default"/>
        </w:rPr>
        <w:t>（二）公司无出售其他上市公司股权情况</w:t>
      </w:r>
    </w:p>
    <w:p>
      <w:pPr>
        <w:pStyle w:val="BodyText"/>
        <w:spacing w:line="240" w:lineRule="auto" w:before="85"/>
        <w:ind w:left="1036" w:right="0"/>
        <w:jc w:val="left"/>
        <w:rPr>
          <w:rFonts w:ascii="宋体" w:hAnsi="宋体" w:cs="宋体" w:eastAsia="宋体" w:hint="default"/>
        </w:rPr>
      </w:pPr>
      <w:r>
        <w:rPr>
          <w:rFonts w:ascii="宋体" w:hAnsi="宋体" w:cs="宋体" w:eastAsia="宋体" w:hint="default"/>
        </w:rPr>
        <w:t>（三）公司无持有非上市金融企业、拟上市公司股权情况</w:t>
      </w:r>
    </w:p>
    <w:p>
      <w:pPr>
        <w:pStyle w:val="BodyText"/>
        <w:spacing w:line="240" w:lineRule="auto" w:before="85"/>
        <w:ind w:left="1036" w:right="0"/>
        <w:jc w:val="left"/>
        <w:rPr>
          <w:rFonts w:ascii="宋体" w:hAnsi="宋体" w:cs="宋体" w:eastAsia="宋体" w:hint="default"/>
        </w:rPr>
      </w:pPr>
      <w:r>
        <w:rPr>
          <w:rFonts w:ascii="宋体" w:hAnsi="宋体" w:cs="宋体" w:eastAsia="宋体" w:hint="default"/>
        </w:rPr>
        <w:t>（四）公司无衍生品投资情况</w:t>
      </w:r>
    </w:p>
    <w:p>
      <w:pPr>
        <w:spacing w:line="240" w:lineRule="auto" w:before="8"/>
        <w:rPr>
          <w:rFonts w:ascii="宋体" w:hAnsi="宋体" w:cs="宋体" w:eastAsia="宋体" w:hint="default"/>
          <w:sz w:val="23"/>
          <w:szCs w:val="23"/>
        </w:rPr>
      </w:pPr>
    </w:p>
    <w:p>
      <w:pPr>
        <w:pStyle w:val="Heading4"/>
        <w:spacing w:line="240" w:lineRule="auto"/>
        <w:ind w:left="1036" w:right="0"/>
        <w:jc w:val="left"/>
      </w:pPr>
      <w:r>
        <w:rPr/>
        <w:t>三、公司相关资产出售情况</w:t>
      </w:r>
    </w:p>
    <w:p>
      <w:pPr>
        <w:spacing w:line="240" w:lineRule="auto" w:before="6"/>
        <w:rPr>
          <w:rFonts w:ascii="宋体" w:hAnsi="宋体" w:cs="宋体" w:eastAsia="宋体" w:hint="default"/>
          <w:sz w:val="23"/>
          <w:szCs w:val="23"/>
        </w:rPr>
      </w:pPr>
    </w:p>
    <w:p>
      <w:pPr>
        <w:pStyle w:val="Heading5"/>
        <w:spacing w:line="240" w:lineRule="auto"/>
        <w:ind w:left="1358" w:right="0"/>
        <w:jc w:val="left"/>
        <w:rPr>
          <w:b w:val="0"/>
          <w:bCs w:val="0"/>
        </w:rPr>
      </w:pPr>
      <w:r>
        <w:rPr>
          <w:rFonts w:ascii="Times New Roman" w:hAnsi="Times New Roman" w:cs="Times New Roman" w:eastAsia="Times New Roman" w:hint="default"/>
        </w:rPr>
        <w:t>1</w:t>
      </w:r>
      <w:r>
        <w:rPr/>
        <w:t>、关于公司转让深圳市迅达汽车运输企业公司</w:t>
      </w:r>
      <w:r>
        <w:rPr>
          <w:spacing w:val="-37"/>
        </w:rPr>
        <w:t> </w:t>
      </w:r>
      <w:r>
        <w:rPr>
          <w:rFonts w:ascii="Times New Roman" w:hAnsi="Times New Roman" w:cs="Times New Roman" w:eastAsia="Times New Roman" w:hint="default"/>
        </w:rPr>
        <w:t>100%</w:t>
      </w:r>
      <w:r>
        <w:rPr/>
        <w:t>股权事项</w:t>
      </w:r>
      <w:r>
        <w:rPr>
          <w:b w:val="0"/>
          <w:bCs w:val="0"/>
        </w:rPr>
      </w:r>
    </w:p>
    <w:p>
      <w:pPr>
        <w:pStyle w:val="BodyText"/>
        <w:spacing w:line="331" w:lineRule="auto" w:before="99"/>
        <w:ind w:left="1036" w:right="1026" w:firstLine="315"/>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日，公司与颜淑水、欧新民、陈茂成等三人签署《深圳市迅达汽车运输企业公</w:t>
      </w:r>
      <w:r>
        <w:rPr>
          <w:w w:val="99"/>
        </w:rPr>
        <w:t> </w:t>
      </w:r>
      <w:r>
        <w:rPr>
          <w:w w:val="95"/>
        </w:rPr>
        <w:t>司股权转让意向书》，将持有的深圳市迅达汽车运输企业公司（以下简称</w:t>
      </w:r>
      <w:r>
        <w:rPr>
          <w:rFonts w:ascii="Times New Roman" w:hAnsi="Times New Roman" w:cs="Times New Roman" w:eastAsia="Times New Roman" w:hint="default"/>
          <w:w w:val="95"/>
        </w:rPr>
        <w:t>“</w:t>
      </w:r>
      <w:r>
        <w:rPr>
          <w:w w:val="95"/>
        </w:rPr>
        <w:t>迅达公司</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100%</w:t>
      </w:r>
      <w:r>
        <w:rPr>
          <w:w w:val="95"/>
        </w:rPr>
        <w:t>的</w:t>
      </w:r>
      <w:r>
        <w:rPr>
          <w:spacing w:val="2"/>
          <w:w w:val="95"/>
        </w:rPr>
        <w:t> </w:t>
      </w:r>
      <w:r>
        <w:rPr/>
        <w:t>股权转让予颜淑水、欧新民、陈茂成等三人及其所代表的迅达公司其他</w:t>
      </w:r>
      <w:r>
        <w:rPr>
          <w:rFonts w:ascii="Times New Roman" w:hAnsi="Times New Roman" w:cs="Times New Roman" w:eastAsia="Times New Roman" w:hint="default"/>
        </w:rPr>
        <w:t>99</w:t>
      </w:r>
      <w:r>
        <w:rPr/>
        <w:t>名员工，其中转让迅</w:t>
      </w:r>
      <w:r>
        <w:rPr>
          <w:spacing w:val="-89"/>
        </w:rPr>
        <w:t> </w:t>
      </w:r>
      <w:r>
        <w:rPr>
          <w:spacing w:val="-89"/>
        </w:rPr>
      </w:r>
      <w:r>
        <w:rPr>
          <w:spacing w:val="-4"/>
          <w:w w:val="98"/>
        </w:rPr>
        <w:t>达公司</w:t>
      </w:r>
      <w:r>
        <w:rPr>
          <w:rFonts w:ascii="Times New Roman" w:hAnsi="Times New Roman" w:cs="Times New Roman" w:eastAsia="Times New Roman" w:hint="default"/>
          <w:spacing w:val="-4"/>
          <w:w w:val="98"/>
        </w:rPr>
        <w:t>40%</w:t>
      </w:r>
      <w:r>
        <w:rPr>
          <w:spacing w:val="-4"/>
          <w:w w:val="98"/>
        </w:rPr>
        <w:t>股权予颜淑水、</w:t>
      </w:r>
      <w:r>
        <w:rPr>
          <w:rFonts w:ascii="Times New Roman" w:hAnsi="Times New Roman" w:cs="Times New Roman" w:eastAsia="Times New Roman" w:hint="default"/>
          <w:spacing w:val="-4"/>
          <w:w w:val="98"/>
        </w:rPr>
        <w:t>30%</w:t>
      </w:r>
      <w:r>
        <w:rPr>
          <w:spacing w:val="-4"/>
          <w:w w:val="98"/>
        </w:rPr>
        <w:t>股权转让予欧新民、</w:t>
      </w:r>
      <w:r>
        <w:rPr>
          <w:rFonts w:ascii="Times New Roman" w:hAnsi="Times New Roman" w:cs="Times New Roman" w:eastAsia="Times New Roman" w:hint="default"/>
          <w:spacing w:val="-4"/>
          <w:w w:val="98"/>
        </w:rPr>
        <w:t>30%</w:t>
      </w:r>
      <w:r>
        <w:rPr>
          <w:spacing w:val="-4"/>
          <w:w w:val="98"/>
        </w:rPr>
        <w:t>股权予陈茂成。股权转让价格以经审计、</w:t>
      </w:r>
      <w:r>
        <w:rPr>
          <w:spacing w:val="-90"/>
          <w:w w:val="98"/>
        </w:rPr>
        <w:t> </w:t>
      </w:r>
      <w:r>
        <w:rPr>
          <w:spacing w:val="-90"/>
          <w:w w:val="98"/>
        </w:rPr>
      </w:r>
      <w:r>
        <w:rPr>
          <w:spacing w:val="2"/>
          <w:w w:val="95"/>
        </w:rPr>
        <w:t>评估后的迅达公司股东全部权益价值资产评估值为依据，双方协商确定转受让价格为</w:t>
      </w:r>
      <w:r>
        <w:rPr>
          <w:rFonts w:ascii="Times New Roman" w:hAnsi="Times New Roman" w:cs="Times New Roman" w:eastAsia="Times New Roman" w:hint="default"/>
          <w:spacing w:val="2"/>
          <w:w w:val="95"/>
        </w:rPr>
        <w:t>21,600</w:t>
      </w:r>
      <w:r>
        <w:rPr>
          <w:spacing w:val="2"/>
          <w:w w:val="95"/>
        </w:rPr>
        <w:t>万</w:t>
      </w:r>
      <w:r>
        <w:rPr>
          <w:spacing w:val="2"/>
        </w:rPr>
      </w:r>
    </w:p>
    <w:p>
      <w:pPr>
        <w:spacing w:after="0" w:line="331" w:lineRule="auto"/>
        <w:jc w:val="both"/>
        <w:sectPr>
          <w:footerReference w:type="default" r:id="rId19"/>
          <w:pgSz w:w="11910" w:h="16840"/>
          <w:pgMar w:footer="1007" w:header="0" w:top="1180" w:bottom="1200" w:left="840" w:right="360"/>
          <w:pgNumType w:start="36"/>
        </w:sectPr>
      </w:pPr>
    </w:p>
    <w:p>
      <w:pPr>
        <w:pStyle w:val="BodyText"/>
        <w:spacing w:line="350" w:lineRule="auto" w:before="8"/>
        <w:ind w:left="196" w:right="114"/>
        <w:jc w:val="left"/>
      </w:pPr>
      <w:r>
        <w:rPr/>
        <w:t>元。股权转让后，公司不再持有迅达公司股权。本次股权转让事项经公司第六届董事局第十二</w:t>
      </w:r>
      <w:r>
        <w:rPr>
          <w:spacing w:val="-93"/>
        </w:rPr>
        <w:t> </w:t>
      </w:r>
      <w:r>
        <w:rPr>
          <w:spacing w:val="-93"/>
        </w:rPr>
      </w:r>
      <w:r>
        <w:rPr/>
        <w:t>次临时会议、公司</w:t>
      </w:r>
      <w:r>
        <w:rPr>
          <w:rFonts w:ascii="Times New Roman" w:hAnsi="Times New Roman" w:cs="Times New Roman" w:eastAsia="Times New Roman" w:hint="default"/>
        </w:rPr>
        <w:t>2010</w:t>
      </w:r>
      <w:r>
        <w:rPr/>
        <w:t>年年度第二次临时股东大会审议通过。</w:t>
      </w:r>
    </w:p>
    <w:p>
      <w:pPr>
        <w:pStyle w:val="BodyText"/>
        <w:spacing w:line="348" w:lineRule="auto" w:before="3"/>
        <w:ind w:left="196" w:right="136" w:firstLine="421"/>
        <w:jc w:val="both"/>
      </w:pPr>
      <w:r>
        <w:rPr/>
        <w:t>报告期内，该股权转让款已结清，相关股权变更工商登记手续办理完毕，公司不再持有迅</w:t>
      </w:r>
      <w:r>
        <w:rPr>
          <w:w w:val="99"/>
        </w:rPr>
        <w:t> </w:t>
      </w:r>
      <w:r>
        <w:rPr/>
        <w:t>达公司股权。</w:t>
      </w:r>
    </w:p>
    <w:p>
      <w:pPr>
        <w:pStyle w:val="BodyText"/>
        <w:spacing w:line="331" w:lineRule="auto" w:before="31"/>
        <w:ind w:left="196" w:right="114" w:firstLine="315"/>
        <w:jc w:val="left"/>
      </w:pPr>
      <w:r>
        <w:rPr>
          <w:w w:val="99"/>
        </w:rPr>
        <w:t>（具体内容详见</w:t>
      </w:r>
      <w:r>
        <w:rPr>
          <w:spacing w:val="15"/>
          <w:w w:val="99"/>
        </w:rPr>
        <w:t> </w:t>
      </w:r>
      <w:r>
        <w:rPr>
          <w:rFonts w:ascii="Times New Roman" w:hAnsi="Times New Roman" w:cs="Times New Roman" w:eastAsia="Times New Roman" w:hint="default"/>
          <w:spacing w:val="-5"/>
          <w:w w:val="98"/>
        </w:rPr>
        <w:t>2010</w:t>
      </w:r>
      <w:r>
        <w:rPr>
          <w:spacing w:val="-5"/>
          <w:w w:val="98"/>
        </w:rPr>
        <w:t>年</w:t>
      </w:r>
      <w:r>
        <w:rPr>
          <w:rFonts w:ascii="Times New Roman" w:hAnsi="Times New Roman" w:cs="Times New Roman" w:eastAsia="Times New Roman" w:hint="default"/>
          <w:spacing w:val="-5"/>
          <w:w w:val="98"/>
        </w:rPr>
        <w:t>12</w:t>
      </w:r>
      <w:r>
        <w:rPr>
          <w:spacing w:val="-5"/>
          <w:w w:val="98"/>
        </w:rPr>
        <w:t>月</w:t>
      </w:r>
      <w:r>
        <w:rPr>
          <w:rFonts w:ascii="Times New Roman" w:hAnsi="Times New Roman" w:cs="Times New Roman" w:eastAsia="Times New Roman" w:hint="default"/>
          <w:spacing w:val="-5"/>
          <w:w w:val="98"/>
        </w:rPr>
        <w:t>14</w:t>
      </w:r>
      <w:r>
        <w:rPr>
          <w:spacing w:val="-5"/>
          <w:w w:val="98"/>
        </w:rPr>
        <w:t>日、</w:t>
      </w:r>
      <w:r>
        <w:rPr>
          <w:rFonts w:ascii="Times New Roman" w:hAnsi="Times New Roman" w:cs="Times New Roman" w:eastAsia="Times New Roman" w:hint="default"/>
          <w:spacing w:val="-5"/>
          <w:w w:val="98"/>
        </w:rPr>
        <w:t>12</w:t>
      </w:r>
      <w:r>
        <w:rPr>
          <w:spacing w:val="-5"/>
          <w:w w:val="98"/>
        </w:rPr>
        <w:t>月</w:t>
      </w:r>
      <w:r>
        <w:rPr>
          <w:rFonts w:ascii="Times New Roman" w:hAnsi="Times New Roman" w:cs="Times New Roman" w:eastAsia="Times New Roman" w:hint="default"/>
          <w:spacing w:val="-5"/>
          <w:w w:val="98"/>
        </w:rPr>
        <w:t>31</w:t>
      </w:r>
      <w:r>
        <w:rPr>
          <w:spacing w:val="-5"/>
          <w:w w:val="98"/>
        </w:rPr>
        <w:t>日，</w:t>
      </w:r>
      <w:r>
        <w:rPr>
          <w:rFonts w:ascii="Times New Roman" w:hAnsi="Times New Roman" w:cs="Times New Roman" w:eastAsia="Times New Roman" w:hint="default"/>
          <w:spacing w:val="-5"/>
          <w:w w:val="98"/>
        </w:rPr>
        <w:t>2011</w:t>
      </w:r>
      <w:r>
        <w:rPr>
          <w:spacing w:val="-5"/>
          <w:w w:val="98"/>
        </w:rPr>
        <w:t>年</w:t>
      </w:r>
      <w:r>
        <w:rPr>
          <w:rFonts w:ascii="Times New Roman" w:hAnsi="Times New Roman" w:cs="Times New Roman" w:eastAsia="Times New Roman" w:hint="default"/>
          <w:spacing w:val="-5"/>
          <w:w w:val="98"/>
        </w:rPr>
        <w:t>2</w:t>
      </w:r>
      <w:r>
        <w:rPr>
          <w:spacing w:val="-5"/>
          <w:w w:val="98"/>
        </w:rPr>
        <w:t>月</w:t>
      </w:r>
      <w:r>
        <w:rPr>
          <w:rFonts w:ascii="Times New Roman" w:hAnsi="Times New Roman" w:cs="Times New Roman" w:eastAsia="Times New Roman" w:hint="default"/>
          <w:spacing w:val="-5"/>
          <w:w w:val="98"/>
        </w:rPr>
        <w:t>19</w:t>
      </w:r>
      <w:r>
        <w:rPr>
          <w:spacing w:val="-5"/>
          <w:w w:val="98"/>
        </w:rPr>
        <w:t>日《中国证券报》、《证券时报》</w:t>
      </w:r>
      <w:r>
        <w:rPr>
          <w:w w:val="49"/>
        </w:rPr>
        <w:t> </w:t>
      </w:r>
      <w:r>
        <w:rPr/>
        <w:t>及巨潮资讯网</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9"/>
        </w:rPr>
        <w:t> </w:t>
      </w:r>
      <w:r>
        <w:rPr/>
        <w:t>相关公告）</w:t>
      </w:r>
    </w:p>
    <w:p>
      <w:pPr>
        <w:spacing w:line="240" w:lineRule="auto" w:before="13"/>
        <w:rPr>
          <w:rFonts w:ascii="宋体" w:hAnsi="宋体" w:cs="宋体" w:eastAsia="宋体" w:hint="default"/>
          <w:sz w:val="26"/>
          <w:szCs w:val="26"/>
        </w:rPr>
      </w:pPr>
    </w:p>
    <w:p>
      <w:pPr>
        <w:pStyle w:val="Heading5"/>
        <w:spacing w:line="240" w:lineRule="auto"/>
        <w:ind w:left="624" w:right="114"/>
        <w:jc w:val="left"/>
        <w:rPr>
          <w:b w:val="0"/>
          <w:bCs w:val="0"/>
        </w:rPr>
      </w:pPr>
      <w:r>
        <w:rPr>
          <w:rFonts w:ascii="Times New Roman" w:hAnsi="Times New Roman" w:cs="Times New Roman" w:eastAsia="Times New Roman" w:hint="default"/>
        </w:rPr>
        <w:t>2</w:t>
      </w:r>
      <w:r>
        <w:rPr/>
        <w:t>、关于公司转让深圳市深运工贸企业有限公司</w:t>
      </w:r>
      <w:r>
        <w:rPr>
          <w:spacing w:val="-34"/>
        </w:rPr>
        <w:t> </w:t>
      </w:r>
      <w:r>
        <w:rPr>
          <w:rFonts w:ascii="Times New Roman" w:hAnsi="Times New Roman" w:cs="Times New Roman" w:eastAsia="Times New Roman" w:hint="default"/>
        </w:rPr>
        <w:t>95%</w:t>
      </w:r>
      <w:r>
        <w:rPr/>
        <w:t>股权及深圳市鸿基酒店管理有限公司</w:t>
      </w:r>
      <w:r>
        <w:rPr>
          <w:b w:val="0"/>
          <w:bCs w:val="0"/>
        </w:rPr>
      </w:r>
    </w:p>
    <w:p>
      <w:pPr>
        <w:spacing w:before="35"/>
        <w:ind w:left="202" w:right="11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股权事项</w:t>
      </w:r>
      <w:r>
        <w:rPr>
          <w:rFonts w:ascii="Microsoft JhengHei" w:hAnsi="Microsoft JhengHei" w:cs="Microsoft JhengHei" w:eastAsia="Microsoft JhengHei" w:hint="default"/>
          <w:sz w:val="21"/>
          <w:szCs w:val="21"/>
        </w:rPr>
      </w:r>
    </w:p>
    <w:p>
      <w:pPr>
        <w:pStyle w:val="BodyText"/>
        <w:spacing w:line="333" w:lineRule="auto" w:before="99"/>
        <w:ind w:left="196" w:right="124" w:firstLine="421"/>
        <w:jc w:val="both"/>
      </w:pPr>
      <w:r>
        <w:rPr>
          <w:rFonts w:ascii="Times New Roman" w:hAnsi="Times New Roman" w:cs="Times New Roman" w:eastAsia="Times New Roman" w:hint="default"/>
          <w:spacing w:val="-2"/>
          <w:w w:val="98"/>
        </w:rPr>
        <w:t>2010</w:t>
      </w:r>
      <w:r>
        <w:rPr>
          <w:spacing w:val="-2"/>
          <w:w w:val="98"/>
        </w:rPr>
        <w:t>年</w:t>
      </w:r>
      <w:r>
        <w:rPr>
          <w:rFonts w:ascii="Times New Roman" w:hAnsi="Times New Roman" w:cs="Times New Roman" w:eastAsia="Times New Roman" w:hint="default"/>
          <w:spacing w:val="-2"/>
          <w:w w:val="98"/>
        </w:rPr>
        <w:t>12</w:t>
      </w:r>
      <w:r>
        <w:rPr>
          <w:spacing w:val="-2"/>
          <w:w w:val="98"/>
        </w:rPr>
        <w:t>月</w:t>
      </w:r>
      <w:r>
        <w:rPr>
          <w:rFonts w:ascii="Times New Roman" w:hAnsi="Times New Roman" w:cs="Times New Roman" w:eastAsia="Times New Roman" w:hint="default"/>
          <w:spacing w:val="-2"/>
          <w:w w:val="98"/>
        </w:rPr>
        <w:t>10</w:t>
      </w:r>
      <w:r>
        <w:rPr>
          <w:spacing w:val="-2"/>
          <w:w w:val="98"/>
        </w:rPr>
        <w:t>日，公司与吴春月、谢瑞宁、刘毅三人签署《深圳市深运工贸企业有限公司、</w:t>
      </w:r>
      <w:r>
        <w:rPr>
          <w:w w:val="49"/>
        </w:rPr>
        <w:t> </w:t>
      </w:r>
      <w:r>
        <w:rPr/>
        <w:t>深圳市鸿基酒店管理有限公司股权转让意向书》，将持有的深圳市深运工贸企业有限公司（以</w:t>
      </w:r>
      <w:r>
        <w:rPr>
          <w:spacing w:val="-93"/>
        </w:rPr>
        <w:t> </w:t>
      </w:r>
      <w:r>
        <w:rPr>
          <w:spacing w:val="-93"/>
        </w:rPr>
      </w:r>
      <w:r>
        <w:rPr>
          <w:w w:val="95"/>
        </w:rPr>
        <w:t>下简称</w:t>
      </w:r>
      <w:r>
        <w:rPr>
          <w:rFonts w:ascii="Times New Roman" w:hAnsi="Times New Roman" w:cs="Times New Roman" w:eastAsia="Times New Roman" w:hint="default"/>
          <w:w w:val="95"/>
        </w:rPr>
        <w:t>“</w:t>
      </w:r>
      <w:r>
        <w:rPr>
          <w:w w:val="95"/>
        </w:rPr>
        <w:t>工贸公司</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95%</w:t>
      </w:r>
      <w:r>
        <w:rPr>
          <w:w w:val="95"/>
        </w:rPr>
        <w:t>股权中的</w:t>
      </w:r>
      <w:r>
        <w:rPr>
          <w:rFonts w:ascii="Times New Roman" w:hAnsi="Times New Roman" w:cs="Times New Roman" w:eastAsia="Times New Roman" w:hint="default"/>
          <w:w w:val="95"/>
        </w:rPr>
        <w:t>35%</w:t>
      </w:r>
      <w:r>
        <w:rPr>
          <w:w w:val="95"/>
        </w:rPr>
        <w:t>股权转让给谢瑞宁、</w:t>
      </w:r>
      <w:r>
        <w:rPr>
          <w:rFonts w:ascii="Times New Roman" w:hAnsi="Times New Roman" w:cs="Times New Roman" w:eastAsia="Times New Roman" w:hint="default"/>
          <w:w w:val="95"/>
        </w:rPr>
        <w:t>30%</w:t>
      </w:r>
      <w:r>
        <w:rPr>
          <w:w w:val="95"/>
        </w:rPr>
        <w:t>股权转让给吴春月、</w:t>
      </w:r>
      <w:r>
        <w:rPr>
          <w:rFonts w:ascii="Times New Roman" w:hAnsi="Times New Roman" w:cs="Times New Roman" w:eastAsia="Times New Roman" w:hint="default"/>
          <w:w w:val="95"/>
        </w:rPr>
        <w:t>30%</w:t>
      </w:r>
      <w:r>
        <w:rPr>
          <w:w w:val="95"/>
        </w:rPr>
        <w:t>股权转</w:t>
      </w:r>
      <w:r>
        <w:rPr>
          <w:spacing w:val="6"/>
          <w:w w:val="95"/>
        </w:rPr>
        <w:t> </w:t>
      </w:r>
      <w:r>
        <w:rPr>
          <w:spacing w:val="6"/>
          <w:w w:val="95"/>
        </w:rPr>
      </w:r>
      <w:r>
        <w:rPr>
          <w:spacing w:val="-2"/>
        </w:rPr>
        <w:t>让给刘毅三人及其所代表的工贸公司、深圳市鸿基酒店管理有限公司（以下简称</w:t>
      </w:r>
      <w:r>
        <w:rPr>
          <w:rFonts w:ascii="Times New Roman" w:hAnsi="Times New Roman" w:cs="Times New Roman" w:eastAsia="Times New Roman" w:hint="default"/>
          <w:spacing w:val="-2"/>
        </w:rPr>
        <w:t>“</w:t>
      </w:r>
      <w:r>
        <w:rPr>
          <w:spacing w:val="-2"/>
        </w:rPr>
        <w:t>鸿基酒店管理</w:t>
      </w:r>
      <w:r>
        <w:rPr>
          <w:spacing w:val="-97"/>
        </w:rPr>
        <w:t> </w:t>
      </w:r>
      <w:r>
        <w:rPr>
          <w:spacing w:val="-97"/>
        </w:rPr>
      </w:r>
      <w:r>
        <w:rPr>
          <w:spacing w:val="-2"/>
        </w:rPr>
        <w:t>公司</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191</w:t>
      </w:r>
      <w:r>
        <w:rPr>
          <w:spacing w:val="-2"/>
        </w:rPr>
        <w:t>名员工；将持有鸿基酒店管理公司</w:t>
      </w:r>
      <w:r>
        <w:rPr>
          <w:rFonts w:ascii="Times New Roman" w:hAnsi="Times New Roman" w:cs="Times New Roman" w:eastAsia="Times New Roman" w:hint="default"/>
          <w:spacing w:val="-2"/>
        </w:rPr>
        <w:t>10%</w:t>
      </w:r>
      <w:r>
        <w:rPr>
          <w:spacing w:val="-2"/>
        </w:rPr>
        <w:t>股权中的</w:t>
      </w:r>
      <w:r>
        <w:rPr>
          <w:rFonts w:ascii="Times New Roman" w:hAnsi="Times New Roman" w:cs="Times New Roman" w:eastAsia="Times New Roman" w:hint="default"/>
          <w:spacing w:val="-2"/>
        </w:rPr>
        <w:t>4%</w:t>
      </w:r>
      <w:r>
        <w:rPr>
          <w:spacing w:val="-2"/>
        </w:rPr>
        <w:t>股权转让给谢瑞宁、</w:t>
      </w:r>
      <w:r>
        <w:rPr>
          <w:rFonts w:ascii="Times New Roman" w:hAnsi="Times New Roman" w:cs="Times New Roman" w:eastAsia="Times New Roman" w:hint="default"/>
          <w:spacing w:val="-2"/>
        </w:rPr>
        <w:t>3%</w:t>
      </w:r>
      <w:r>
        <w:rPr>
          <w:spacing w:val="-2"/>
        </w:rPr>
        <w:t>股权</w:t>
      </w:r>
      <w:r>
        <w:rPr>
          <w:spacing w:val="-90"/>
        </w:rPr>
        <w:t> </w:t>
      </w:r>
      <w:r>
        <w:rPr>
          <w:spacing w:val="-90"/>
        </w:rPr>
      </w:r>
      <w:r>
        <w:rPr/>
        <w:t>转让给吴春月、</w:t>
      </w:r>
      <w:r>
        <w:rPr>
          <w:rFonts w:ascii="Times New Roman" w:hAnsi="Times New Roman" w:cs="Times New Roman" w:eastAsia="Times New Roman" w:hint="default"/>
        </w:rPr>
        <w:t>3%</w:t>
      </w:r>
      <w:r>
        <w:rPr/>
        <w:t>股权转让给刘毅三人及其所代表的工贸公司、鸿基酒店管理公司其他</w:t>
      </w:r>
      <w:r>
        <w:rPr>
          <w:rFonts w:ascii="Times New Roman" w:hAnsi="Times New Roman" w:cs="Times New Roman" w:eastAsia="Times New Roman" w:hint="default"/>
        </w:rPr>
        <w:t>191</w:t>
      </w:r>
      <w:r>
        <w:rPr/>
        <w:t>名</w:t>
      </w:r>
      <w:r>
        <w:rPr>
          <w:spacing w:val="-59"/>
        </w:rPr>
        <w:t> </w:t>
      </w:r>
      <w:r>
        <w:rPr/>
        <w:t>员工，股权转让价格以经审计、评估后的工贸公司、鸿基酒店管理公司股东权益价值资产评估</w:t>
      </w:r>
      <w:r>
        <w:rPr>
          <w:spacing w:val="-93"/>
        </w:rPr>
        <w:t> </w:t>
      </w:r>
      <w:r>
        <w:rPr>
          <w:spacing w:val="-93"/>
        </w:rPr>
      </w:r>
      <w:r>
        <w:rPr/>
        <w:t>值为依据，双方协商确定转受让价格合计为</w:t>
      </w:r>
      <w:r>
        <w:rPr>
          <w:rFonts w:ascii="Times New Roman" w:hAnsi="Times New Roman" w:cs="Times New Roman" w:eastAsia="Times New Roman" w:hint="default"/>
        </w:rPr>
        <w:t>7220</w:t>
      </w:r>
      <w:r>
        <w:rPr/>
        <w:t>万元（其中工贸公司</w:t>
      </w:r>
      <w:r>
        <w:rPr>
          <w:rFonts w:ascii="Times New Roman" w:hAnsi="Times New Roman" w:cs="Times New Roman" w:eastAsia="Times New Roman" w:hint="default"/>
        </w:rPr>
        <w:t>95%</w:t>
      </w:r>
      <w:r>
        <w:rPr/>
        <w:t>股权转让价格为</w:t>
      </w:r>
      <w:r>
        <w:rPr>
          <w:rFonts w:ascii="Times New Roman" w:hAnsi="Times New Roman" w:cs="Times New Roman" w:eastAsia="Times New Roman" w:hint="default"/>
        </w:rPr>
        <w:t>6890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rPr>
        <w:t>万元，鸿基酒店管理公司</w:t>
      </w:r>
      <w:r>
        <w:rPr>
          <w:rFonts w:ascii="Times New Roman" w:hAnsi="Times New Roman" w:cs="Times New Roman" w:eastAsia="Times New Roman" w:hint="default"/>
          <w:spacing w:val="-1"/>
        </w:rPr>
        <w:t>10%</w:t>
      </w:r>
      <w:r>
        <w:rPr>
          <w:spacing w:val="-1"/>
        </w:rPr>
        <w:t>股权转让价格为</w:t>
      </w:r>
      <w:r>
        <w:rPr>
          <w:rFonts w:ascii="Times New Roman" w:hAnsi="Times New Roman" w:cs="Times New Roman" w:eastAsia="Times New Roman" w:hint="default"/>
          <w:spacing w:val="-1"/>
        </w:rPr>
        <w:t>330</w:t>
      </w:r>
      <w:r>
        <w:rPr>
          <w:spacing w:val="-1"/>
        </w:rPr>
        <w:t>万元）。股权转让后，公司不再直接或间接持</w:t>
      </w:r>
      <w:r>
        <w:rPr>
          <w:w w:val="99"/>
        </w:rPr>
        <w:t> </w:t>
      </w:r>
      <w:r>
        <w:rPr/>
        <w:t>有上述两家公司股权。本次股权转让事项经公司第六届董事局第十二次临时会议、公司</w:t>
      </w:r>
      <w:r>
        <w:rPr>
          <w:rFonts w:ascii="Times New Roman" w:hAnsi="Times New Roman" w:cs="Times New Roman" w:eastAsia="Times New Roman" w:hint="default"/>
        </w:rPr>
        <w:t>2010</w:t>
      </w:r>
      <w:r>
        <w:rPr/>
        <w:t>年</w:t>
      </w:r>
      <w:r>
        <w:rPr>
          <w:spacing w:val="-87"/>
        </w:rPr>
        <w:t> </w:t>
      </w:r>
      <w:r>
        <w:rPr/>
        <w:t>年度第二次临时股东大会审议通过。</w:t>
      </w:r>
    </w:p>
    <w:p>
      <w:pPr>
        <w:pStyle w:val="BodyText"/>
        <w:spacing w:line="348" w:lineRule="auto" w:before="44"/>
        <w:ind w:left="196" w:right="136" w:firstLine="421"/>
        <w:jc w:val="both"/>
      </w:pPr>
      <w:r>
        <w:rPr/>
        <w:t>报告期内，公司已全额收到转让价款，相关股权变更工商登记手续办理完毕，公司不再持</w:t>
      </w:r>
      <w:r>
        <w:rPr>
          <w:w w:val="99"/>
        </w:rPr>
        <w:t> </w:t>
      </w:r>
      <w:r>
        <w:rPr/>
        <w:t>有上述两家公司股权。</w:t>
      </w:r>
    </w:p>
    <w:p>
      <w:pPr>
        <w:pStyle w:val="BodyText"/>
        <w:spacing w:line="331" w:lineRule="auto" w:before="31"/>
        <w:ind w:left="196" w:right="114" w:firstLine="315"/>
        <w:jc w:val="left"/>
      </w:pPr>
      <w:r>
        <w:rPr>
          <w:w w:val="99"/>
        </w:rPr>
        <w:t>（具体内容详见</w:t>
      </w:r>
      <w:r>
        <w:rPr>
          <w:spacing w:val="15"/>
          <w:w w:val="99"/>
        </w:rPr>
        <w:t> </w:t>
      </w:r>
      <w:r>
        <w:rPr>
          <w:rFonts w:ascii="Times New Roman" w:hAnsi="Times New Roman" w:cs="Times New Roman" w:eastAsia="Times New Roman" w:hint="default"/>
          <w:spacing w:val="-5"/>
          <w:w w:val="98"/>
        </w:rPr>
        <w:t>2010</w:t>
      </w:r>
      <w:r>
        <w:rPr>
          <w:spacing w:val="-5"/>
          <w:w w:val="98"/>
        </w:rPr>
        <w:t>年</w:t>
      </w:r>
      <w:r>
        <w:rPr>
          <w:rFonts w:ascii="Times New Roman" w:hAnsi="Times New Roman" w:cs="Times New Roman" w:eastAsia="Times New Roman" w:hint="default"/>
          <w:spacing w:val="-5"/>
          <w:w w:val="98"/>
        </w:rPr>
        <w:t>12</w:t>
      </w:r>
      <w:r>
        <w:rPr>
          <w:spacing w:val="-5"/>
          <w:w w:val="98"/>
        </w:rPr>
        <w:t>月</w:t>
      </w:r>
      <w:r>
        <w:rPr>
          <w:rFonts w:ascii="Times New Roman" w:hAnsi="Times New Roman" w:cs="Times New Roman" w:eastAsia="Times New Roman" w:hint="default"/>
          <w:spacing w:val="-5"/>
          <w:w w:val="98"/>
        </w:rPr>
        <w:t>14</w:t>
      </w:r>
      <w:r>
        <w:rPr>
          <w:spacing w:val="-5"/>
          <w:w w:val="98"/>
        </w:rPr>
        <w:t>日、</w:t>
      </w:r>
      <w:r>
        <w:rPr>
          <w:rFonts w:ascii="Times New Roman" w:hAnsi="Times New Roman" w:cs="Times New Roman" w:eastAsia="Times New Roman" w:hint="default"/>
          <w:spacing w:val="-5"/>
          <w:w w:val="98"/>
        </w:rPr>
        <w:t>12</w:t>
      </w:r>
      <w:r>
        <w:rPr>
          <w:spacing w:val="-5"/>
          <w:w w:val="98"/>
        </w:rPr>
        <w:t>月</w:t>
      </w:r>
      <w:r>
        <w:rPr>
          <w:rFonts w:ascii="Times New Roman" w:hAnsi="Times New Roman" w:cs="Times New Roman" w:eastAsia="Times New Roman" w:hint="default"/>
          <w:spacing w:val="-5"/>
          <w:w w:val="98"/>
        </w:rPr>
        <w:t>31</w:t>
      </w:r>
      <w:r>
        <w:rPr>
          <w:spacing w:val="-5"/>
          <w:w w:val="98"/>
        </w:rPr>
        <w:t>日，</w:t>
      </w:r>
      <w:r>
        <w:rPr>
          <w:rFonts w:ascii="Times New Roman" w:hAnsi="Times New Roman" w:cs="Times New Roman" w:eastAsia="Times New Roman" w:hint="default"/>
          <w:spacing w:val="-5"/>
          <w:w w:val="98"/>
        </w:rPr>
        <w:t>2011</w:t>
      </w:r>
      <w:r>
        <w:rPr>
          <w:spacing w:val="-5"/>
          <w:w w:val="98"/>
        </w:rPr>
        <w:t>年</w:t>
      </w:r>
      <w:r>
        <w:rPr>
          <w:rFonts w:ascii="Times New Roman" w:hAnsi="Times New Roman" w:cs="Times New Roman" w:eastAsia="Times New Roman" w:hint="default"/>
          <w:spacing w:val="-5"/>
          <w:w w:val="98"/>
        </w:rPr>
        <w:t>2</w:t>
      </w:r>
      <w:r>
        <w:rPr>
          <w:spacing w:val="-5"/>
          <w:w w:val="98"/>
        </w:rPr>
        <w:t>月</w:t>
      </w:r>
      <w:r>
        <w:rPr>
          <w:rFonts w:ascii="Times New Roman" w:hAnsi="Times New Roman" w:cs="Times New Roman" w:eastAsia="Times New Roman" w:hint="default"/>
          <w:spacing w:val="-5"/>
          <w:w w:val="98"/>
        </w:rPr>
        <w:t>19</w:t>
      </w:r>
      <w:r>
        <w:rPr>
          <w:spacing w:val="-5"/>
          <w:w w:val="98"/>
        </w:rPr>
        <w:t>日《中国证券报》、《证券时报》</w:t>
      </w:r>
      <w:r>
        <w:rPr>
          <w:w w:val="49"/>
        </w:rPr>
        <w:t> </w:t>
      </w:r>
      <w:r>
        <w:rPr/>
        <w:t>及巨潮资讯网</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9"/>
        </w:rPr>
        <w:t> </w:t>
      </w:r>
      <w:r>
        <w:rPr/>
        <w:t>相关公告）</w:t>
      </w:r>
    </w:p>
    <w:p>
      <w:pPr>
        <w:spacing w:line="240" w:lineRule="auto" w:before="13"/>
        <w:rPr>
          <w:rFonts w:ascii="宋体" w:hAnsi="宋体" w:cs="宋体" w:eastAsia="宋体" w:hint="default"/>
          <w:sz w:val="26"/>
          <w:szCs w:val="26"/>
        </w:rPr>
      </w:pPr>
    </w:p>
    <w:p>
      <w:pPr>
        <w:pStyle w:val="Heading5"/>
        <w:spacing w:line="264" w:lineRule="auto"/>
        <w:ind w:left="196" w:right="108" w:firstLine="427"/>
        <w:jc w:val="both"/>
        <w:rPr>
          <w:b w:val="0"/>
          <w:bCs w:val="0"/>
        </w:rPr>
      </w:pPr>
      <w:r>
        <w:rPr>
          <w:rFonts w:ascii="Times New Roman" w:hAnsi="Times New Roman" w:cs="Times New Roman" w:eastAsia="Times New Roman" w:hint="default"/>
          <w:spacing w:val="3"/>
        </w:rPr>
        <w:t>3</w:t>
      </w:r>
      <w:r>
        <w:rPr>
          <w:spacing w:val="3"/>
        </w:rPr>
        <w:t>、公司关于受让深圳市新鸿泰投资发展有限公司持有的深圳市龙岗鸿基房地产开发有限</w:t>
      </w:r>
      <w:r>
        <w:rPr>
          <w:w w:val="99"/>
        </w:rPr>
        <w:t> </w:t>
      </w:r>
      <w:r>
        <w:rPr/>
        <w:t>公司等七家公司控股子公司股权的关联交易事项</w:t>
      </w:r>
      <w:r>
        <w:rPr>
          <w:b w:val="0"/>
          <w:bCs w:val="0"/>
        </w:rPr>
      </w:r>
    </w:p>
    <w:p>
      <w:pPr>
        <w:pStyle w:val="BodyText"/>
        <w:spacing w:line="336" w:lineRule="auto" w:before="71"/>
        <w:ind w:left="196" w:right="136" w:firstLine="421"/>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日，公司与公司第二大股东</w:t>
      </w:r>
      <w:r>
        <w:rPr>
          <w:rFonts w:ascii="Times New Roman" w:hAnsi="Times New Roman" w:cs="Times New Roman" w:eastAsia="Times New Roman" w:hint="default"/>
        </w:rPr>
        <w:t>——</w:t>
      </w:r>
      <w:r>
        <w:rPr/>
        <w:t>深圳市东鸿信投资发展有限公司的控股股东</w:t>
      </w:r>
      <w:r>
        <w:rPr>
          <w:w w:val="99"/>
        </w:rPr>
        <w:t> </w:t>
      </w:r>
      <w:r>
        <w:rPr/>
        <w:t>深圳市新鸿泰投资发展有限公司（以下简称</w:t>
      </w:r>
      <w:r>
        <w:rPr>
          <w:rFonts w:ascii="Times New Roman" w:hAnsi="Times New Roman" w:cs="Times New Roman" w:eastAsia="Times New Roman" w:hint="default"/>
        </w:rPr>
        <w:t>“</w:t>
      </w:r>
      <w:r>
        <w:rPr/>
        <w:t>新鸿泰公司</w:t>
      </w:r>
      <w:r>
        <w:rPr>
          <w:rFonts w:ascii="Times New Roman" w:hAnsi="Times New Roman" w:cs="Times New Roman" w:eastAsia="Times New Roman" w:hint="default"/>
        </w:rPr>
        <w:t>”</w:t>
      </w:r>
      <w:r>
        <w:rPr/>
        <w:t>）签署《受让深圳市新鸿泰投资发展</w:t>
      </w:r>
      <w:r>
        <w:rPr>
          <w:spacing w:val="-95"/>
        </w:rPr>
        <w:t> </w:t>
      </w:r>
      <w:r>
        <w:rPr>
          <w:spacing w:val="-95"/>
        </w:rPr>
      </w:r>
      <w:r>
        <w:rPr/>
        <w:t>有限公司持有深圳市龙岗鸿基房地产开发有限公司等七家公司股权意向书》，公司受让新鸿泰</w:t>
      </w:r>
      <w:r>
        <w:rPr>
          <w:spacing w:val="-93"/>
        </w:rPr>
        <w:t> </w:t>
      </w:r>
      <w:r>
        <w:rPr>
          <w:spacing w:val="-93"/>
        </w:rPr>
      </w:r>
      <w:r>
        <w:rPr/>
        <w:t>公司持有以下七家公司控股子公司的少数股权：</w:t>
      </w:r>
    </w:p>
    <w:p>
      <w:pPr>
        <w:pStyle w:val="BodyText"/>
        <w:spacing w:line="240" w:lineRule="auto" w:before="42"/>
        <w:ind w:left="511" w:right="114"/>
        <w:jc w:val="left"/>
      </w:pPr>
      <w:r>
        <w:rPr/>
        <w:t>（</w:t>
      </w:r>
      <w:r>
        <w:rPr>
          <w:rFonts w:ascii="Times New Roman" w:hAnsi="Times New Roman" w:cs="Times New Roman" w:eastAsia="Times New Roman" w:hint="default"/>
        </w:rPr>
        <w:t>1</w:t>
      </w:r>
      <w:r>
        <w:rPr/>
        <w:t>）深圳市龙岗鸿基房地产开发有限公司</w:t>
      </w:r>
      <w:r>
        <w:rPr>
          <w:rFonts w:ascii="Times New Roman" w:hAnsi="Times New Roman" w:cs="Times New Roman" w:eastAsia="Times New Roman" w:hint="default"/>
        </w:rPr>
        <w:t>5%</w:t>
      </w:r>
      <w:r>
        <w:rPr/>
        <w:t>的股权</w:t>
      </w:r>
    </w:p>
    <w:p>
      <w:pPr>
        <w:pStyle w:val="BodyText"/>
        <w:spacing w:line="240" w:lineRule="auto" w:before="110"/>
        <w:ind w:left="511" w:right="114"/>
        <w:jc w:val="left"/>
      </w:pPr>
      <w:r>
        <w:rPr/>
        <w:t>（</w:t>
      </w:r>
      <w:r>
        <w:rPr>
          <w:rFonts w:ascii="Times New Roman" w:hAnsi="Times New Roman" w:cs="Times New Roman" w:eastAsia="Times New Roman" w:hint="default"/>
        </w:rPr>
        <w:t>2</w:t>
      </w:r>
      <w:r>
        <w:rPr/>
        <w:t>）深圳市鸿基房地产有限公司</w:t>
      </w:r>
      <w:r>
        <w:rPr>
          <w:rFonts w:ascii="Times New Roman" w:hAnsi="Times New Roman" w:cs="Times New Roman" w:eastAsia="Times New Roman" w:hint="default"/>
        </w:rPr>
        <w:t>10%</w:t>
      </w:r>
      <w:r>
        <w:rPr/>
        <w:t>的股权</w:t>
      </w:r>
    </w:p>
    <w:p>
      <w:pPr>
        <w:pStyle w:val="BodyText"/>
        <w:spacing w:line="240" w:lineRule="auto" w:before="107"/>
        <w:ind w:left="511" w:right="114"/>
        <w:jc w:val="left"/>
      </w:pPr>
      <w:r>
        <w:rPr/>
        <w:t>（</w:t>
      </w:r>
      <w:r>
        <w:rPr>
          <w:rFonts w:ascii="Times New Roman" w:hAnsi="Times New Roman" w:cs="Times New Roman" w:eastAsia="Times New Roman" w:hint="default"/>
        </w:rPr>
        <w:t>3</w:t>
      </w:r>
      <w:r>
        <w:rPr/>
        <w:t>）深圳市鸿基物业管理有限公司</w:t>
      </w:r>
      <w:r>
        <w:rPr>
          <w:rFonts w:ascii="Times New Roman" w:hAnsi="Times New Roman" w:cs="Times New Roman" w:eastAsia="Times New Roman" w:hint="default"/>
        </w:rPr>
        <w:t>20%</w:t>
      </w:r>
      <w:r>
        <w:rPr/>
        <w:t>的股权</w:t>
      </w:r>
    </w:p>
    <w:p>
      <w:pPr>
        <w:pStyle w:val="BodyText"/>
        <w:spacing w:line="240" w:lineRule="auto" w:before="110"/>
        <w:ind w:left="511" w:right="114"/>
        <w:jc w:val="left"/>
      </w:pPr>
      <w:r>
        <w:rPr/>
        <w:t>（</w:t>
      </w:r>
      <w:r>
        <w:rPr>
          <w:rFonts w:ascii="Times New Roman" w:hAnsi="Times New Roman" w:cs="Times New Roman" w:eastAsia="Times New Roman" w:hint="default"/>
        </w:rPr>
        <w:t>4</w:t>
      </w:r>
      <w:r>
        <w:rPr/>
        <w:t>）深圳市龙岗鸿基发展有限公司</w:t>
      </w:r>
      <w:r>
        <w:rPr>
          <w:rFonts w:ascii="Times New Roman" w:hAnsi="Times New Roman" w:cs="Times New Roman" w:eastAsia="Times New Roman" w:hint="default"/>
        </w:rPr>
        <w:t>5%</w:t>
      </w:r>
      <w:r>
        <w:rPr/>
        <w:t>的股权</w:t>
      </w:r>
    </w:p>
    <w:p>
      <w:pPr>
        <w:pStyle w:val="BodyText"/>
        <w:spacing w:line="240" w:lineRule="auto" w:before="110"/>
        <w:ind w:left="511" w:right="114"/>
        <w:jc w:val="left"/>
      </w:pPr>
      <w:r>
        <w:rPr/>
        <w:t>（</w:t>
      </w:r>
      <w:r>
        <w:rPr>
          <w:rFonts w:ascii="Times New Roman" w:hAnsi="Times New Roman" w:cs="Times New Roman" w:eastAsia="Times New Roman" w:hint="default"/>
        </w:rPr>
        <w:t>5</w:t>
      </w:r>
      <w:r>
        <w:rPr/>
        <w:t>）深圳市鸿基装饰设计工程有限公司</w:t>
      </w:r>
      <w:r>
        <w:rPr>
          <w:rFonts w:ascii="Times New Roman" w:hAnsi="Times New Roman" w:cs="Times New Roman" w:eastAsia="Times New Roman" w:hint="default"/>
        </w:rPr>
        <w:t>30%</w:t>
      </w:r>
      <w:r>
        <w:rPr/>
        <w:t>的股权</w:t>
      </w:r>
    </w:p>
    <w:p>
      <w:pPr>
        <w:spacing w:after="0" w:line="240" w:lineRule="auto"/>
        <w:jc w:val="left"/>
        <w:sectPr>
          <w:pgSz w:w="11910" w:h="16840"/>
          <w:pgMar w:header="0" w:footer="1007" w:top="1180" w:bottom="1200" w:left="1680" w:right="1260"/>
        </w:sectPr>
      </w:pPr>
    </w:p>
    <w:p>
      <w:pPr>
        <w:pStyle w:val="BodyText"/>
        <w:spacing w:line="240" w:lineRule="auto" w:before="8"/>
        <w:ind w:left="511" w:right="194"/>
        <w:jc w:val="left"/>
      </w:pPr>
      <w:bookmarkStart w:name="四、报告期内，公司无重大资产收购、及资产重组事项" w:id="37"/>
      <w:bookmarkEnd w:id="37"/>
      <w:r>
        <w:rPr/>
      </w:r>
      <w:bookmarkStart w:name="五、报告期内，公司与关联方资金往来情况" w:id="38"/>
      <w:bookmarkEnd w:id="38"/>
      <w:r>
        <w:rPr/>
      </w:r>
      <w:bookmarkStart w:name="六、报告期内公司重大合同及其履行情况" w:id="39"/>
      <w:bookmarkEnd w:id="39"/>
      <w:r>
        <w:rPr/>
      </w:r>
      <w:r>
        <w:rPr/>
        <w:t>（</w:t>
      </w:r>
      <w:r>
        <w:rPr>
          <w:rFonts w:ascii="Times New Roman" w:hAnsi="Times New Roman" w:cs="Times New Roman" w:eastAsia="Times New Roman" w:hint="default"/>
        </w:rPr>
        <w:t>6</w:t>
      </w:r>
      <w:r>
        <w:rPr/>
        <w:t>）深圳市鸿基华辉运输有限公司</w:t>
      </w:r>
      <w:r>
        <w:rPr>
          <w:rFonts w:ascii="Times New Roman" w:hAnsi="Times New Roman" w:cs="Times New Roman" w:eastAsia="Times New Roman" w:hint="default"/>
        </w:rPr>
        <w:t>20%</w:t>
      </w:r>
      <w:r>
        <w:rPr/>
        <w:t>的股权</w:t>
      </w:r>
    </w:p>
    <w:p>
      <w:pPr>
        <w:pStyle w:val="BodyText"/>
        <w:spacing w:line="331" w:lineRule="auto" w:before="110"/>
        <w:ind w:left="617" w:right="194" w:hanging="106"/>
        <w:jc w:val="left"/>
      </w:pPr>
      <w:r>
        <w:rPr/>
        <w:t>（</w:t>
      </w:r>
      <w:r>
        <w:rPr>
          <w:rFonts w:ascii="Times New Roman" w:hAnsi="Times New Roman" w:cs="Times New Roman" w:eastAsia="Times New Roman" w:hint="default"/>
        </w:rPr>
        <w:t>7</w:t>
      </w:r>
      <w:r>
        <w:rPr/>
        <w:t>）深圳市鸿永通国际货运代理有限公司</w:t>
      </w:r>
      <w:r>
        <w:rPr>
          <w:rFonts w:ascii="Times New Roman" w:hAnsi="Times New Roman" w:cs="Times New Roman" w:eastAsia="Times New Roman" w:hint="default"/>
        </w:rPr>
        <w:t>10%</w:t>
      </w:r>
      <w:r>
        <w:rPr/>
        <w:t>的股权</w:t>
      </w:r>
      <w:r>
        <w:rPr>
          <w:spacing w:val="-100"/>
        </w:rPr>
        <w:t> </w:t>
      </w:r>
      <w:r>
        <w:rPr>
          <w:spacing w:val="-100"/>
        </w:rPr>
      </w:r>
      <w:r>
        <w:rPr/>
        <w:t>股权转受让价格以上述七家目标公司经审计、评估后的股东全部权益价值评估值为依据，</w:t>
      </w:r>
    </w:p>
    <w:p>
      <w:pPr>
        <w:pStyle w:val="BodyText"/>
        <w:spacing w:line="331" w:lineRule="auto" w:before="43"/>
        <w:ind w:left="196" w:right="194"/>
        <w:jc w:val="left"/>
      </w:pPr>
      <w:r>
        <w:rPr/>
        <w:t>双方协商确定转受让价格为</w:t>
      </w:r>
      <w:r>
        <w:rPr>
          <w:rFonts w:ascii="Times New Roman" w:hAnsi="Times New Roman" w:cs="Times New Roman" w:eastAsia="Times New Roman" w:hint="default"/>
        </w:rPr>
        <w:t>2,200</w:t>
      </w:r>
      <w:r>
        <w:rPr/>
        <w:t>万元。股权转让后，公司将持有上述七家公司</w:t>
      </w:r>
      <w:r>
        <w:rPr>
          <w:rFonts w:ascii="Times New Roman" w:hAnsi="Times New Roman" w:cs="Times New Roman" w:eastAsia="Times New Roman" w:hint="default"/>
        </w:rPr>
        <w:t>100%</w:t>
      </w:r>
      <w:r>
        <w:rPr/>
        <w:t>的股权。</w:t>
      </w:r>
      <w:r>
        <w:rPr>
          <w:spacing w:val="-98"/>
        </w:rPr>
        <w:t> </w:t>
      </w:r>
      <w:r>
        <w:rPr>
          <w:spacing w:val="-98"/>
        </w:rPr>
      </w:r>
      <w:r>
        <w:rPr/>
        <w:t>本次股权转让事项经公司第六届董事局第十三次临时会议审议通过。</w:t>
      </w:r>
    </w:p>
    <w:p>
      <w:pPr>
        <w:pStyle w:val="BodyText"/>
        <w:spacing w:line="240" w:lineRule="auto" w:before="46"/>
        <w:ind w:left="617" w:right="194"/>
        <w:jc w:val="left"/>
      </w:pPr>
      <w:r>
        <w:rPr/>
        <w:t>报告期内，公司已全额支付受让价款。相关股权变更工商登记手续办理完毕。</w:t>
      </w:r>
    </w:p>
    <w:p>
      <w:pPr>
        <w:pStyle w:val="BodyText"/>
        <w:spacing w:line="240" w:lineRule="auto" w:before="123"/>
        <w:ind w:left="511" w:right="194"/>
        <w:jc w:val="left"/>
      </w:pPr>
      <w:r>
        <w:rPr/>
        <w:t>（相关内容详见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日《中国证券报》、《证券时报》及巨潮资讯网</w:t>
      </w:r>
    </w:p>
    <w:p>
      <w:pPr>
        <w:pStyle w:val="BodyText"/>
        <w:spacing w:line="240" w:lineRule="auto" w:before="110"/>
        <w:ind w:left="196" w:right="194"/>
        <w:jc w:val="left"/>
      </w:pPr>
      <w:hyperlink r:id="rId10">
        <w:r>
          <w:rPr>
            <w:rFonts w:ascii="Times New Roman" w:hAnsi="Times New Roman" w:cs="Times New Roman" w:eastAsia="Times New Roman" w:hint="default"/>
          </w:rPr>
          <w:t>www.cninfo.com.cn</w:t>
        </w:r>
      </w:hyperlink>
      <w:r>
        <w:rPr/>
        <w:t>披露的相关公告。）</w:t>
      </w:r>
    </w:p>
    <w:p>
      <w:pPr>
        <w:spacing w:line="240" w:lineRule="auto" w:before="0"/>
        <w:rPr>
          <w:rFonts w:ascii="宋体" w:hAnsi="宋体" w:cs="宋体" w:eastAsia="宋体" w:hint="default"/>
          <w:sz w:val="22"/>
          <w:szCs w:val="22"/>
        </w:rPr>
      </w:pPr>
    </w:p>
    <w:p>
      <w:pPr>
        <w:pStyle w:val="Heading5"/>
        <w:spacing w:line="240" w:lineRule="auto" w:before="153"/>
        <w:ind w:left="624" w:right="194"/>
        <w:jc w:val="left"/>
        <w:rPr>
          <w:b w:val="0"/>
          <w:bCs w:val="0"/>
        </w:rPr>
      </w:pPr>
      <w:r>
        <w:rPr>
          <w:rFonts w:ascii="Times New Roman" w:hAnsi="Times New Roman" w:cs="Times New Roman" w:eastAsia="Times New Roman" w:hint="default"/>
        </w:rPr>
        <w:t>4</w:t>
      </w:r>
      <w:r>
        <w:rPr/>
        <w:t>、受让广州中联创投资公司持有的宜久公司</w:t>
      </w:r>
      <w:r>
        <w:rPr>
          <w:spacing w:val="15"/>
        </w:rPr>
        <w:t> </w:t>
      </w:r>
      <w:r>
        <w:rPr>
          <w:rFonts w:ascii="Times New Roman" w:hAnsi="Times New Roman" w:cs="Times New Roman" w:eastAsia="Times New Roman" w:hint="default"/>
        </w:rPr>
        <w:t>100%</w:t>
      </w:r>
      <w:r>
        <w:rPr/>
        <w:t>股权事项</w:t>
      </w:r>
      <w:r>
        <w:rPr>
          <w:b w:val="0"/>
          <w:bCs w:val="0"/>
        </w:rPr>
      </w:r>
    </w:p>
    <w:p>
      <w:pPr>
        <w:pStyle w:val="BodyText"/>
        <w:spacing w:line="336" w:lineRule="auto" w:before="102"/>
        <w:ind w:left="196" w:right="207" w:firstLine="42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月，公司与广州中联创投资公司（以下简称</w:t>
      </w:r>
      <w:r>
        <w:rPr>
          <w:rFonts w:ascii="Times New Roman" w:hAnsi="Times New Roman" w:cs="Times New Roman" w:eastAsia="Times New Roman" w:hint="default"/>
        </w:rPr>
        <w:t>“</w:t>
      </w:r>
      <w:r>
        <w:rPr/>
        <w:t>中联创公司</w:t>
      </w:r>
      <w:r>
        <w:rPr>
          <w:rFonts w:ascii="Times New Roman" w:hAnsi="Times New Roman" w:cs="Times New Roman" w:eastAsia="Times New Roman" w:hint="default"/>
        </w:rPr>
        <w:t>”</w:t>
      </w:r>
      <w:r>
        <w:rPr/>
        <w:t>）签署《东莞市宜久房</w:t>
      </w:r>
      <w:r>
        <w:rPr>
          <w:w w:val="99"/>
        </w:rPr>
        <w:t> </w:t>
      </w:r>
      <w:r>
        <w:rPr>
          <w:spacing w:val="-4"/>
          <w:w w:val="99"/>
        </w:rPr>
        <w:t>地产开发有限公司股权转让协议书》，中联创公司将持有的东莞市房地产开发有限公司（以下简</w:t>
      </w:r>
      <w:r>
        <w:rPr>
          <w:spacing w:val="-101"/>
          <w:w w:val="99"/>
        </w:rPr>
        <w:t> </w:t>
      </w:r>
      <w:r>
        <w:rPr>
          <w:spacing w:val="-101"/>
          <w:w w:val="99"/>
        </w:rPr>
      </w:r>
      <w:r>
        <w:rPr/>
        <w:t>称</w:t>
      </w:r>
      <w:r>
        <w:rPr>
          <w:rFonts w:ascii="Times New Roman" w:hAnsi="Times New Roman" w:cs="Times New Roman" w:eastAsia="Times New Roman" w:hint="default"/>
        </w:rPr>
        <w:t>“</w:t>
      </w:r>
      <w:r>
        <w:rPr/>
        <w:t>宜久公司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的股权转让予公司，股权转让价格为</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万元。本次股权转让公司通过债</w:t>
      </w:r>
      <w:r>
        <w:rPr>
          <w:w w:val="99"/>
        </w:rPr>
        <w:t> </w:t>
      </w:r>
      <w:r>
        <w:rPr/>
        <w:t>务承担的方式获得了东莞桥头镇的国有土地使用权项目。</w:t>
      </w:r>
    </w:p>
    <w:p>
      <w:pPr>
        <w:pStyle w:val="BodyText"/>
        <w:spacing w:line="240" w:lineRule="auto" w:before="42"/>
        <w:ind w:left="617" w:right="194"/>
        <w:jc w:val="left"/>
      </w:pPr>
      <w:r>
        <w:rPr/>
        <w:t>报告期内，宜久公司股权变更工商登记手续已完成，公司持有中联创公司</w:t>
      </w:r>
      <w:r>
        <w:rPr>
          <w:spacing w:val="-46"/>
        </w:rPr>
        <w:t> </w:t>
      </w:r>
      <w:r>
        <w:rPr>
          <w:rFonts w:ascii="Times New Roman" w:hAnsi="Times New Roman" w:cs="Times New Roman" w:eastAsia="Times New Roman" w:hint="default"/>
        </w:rPr>
        <w:t>100%</w:t>
      </w:r>
      <w:r>
        <w:rPr/>
        <w:t>股权。</w:t>
      </w:r>
    </w:p>
    <w:p>
      <w:pPr>
        <w:pStyle w:val="BodyText"/>
        <w:spacing w:line="240" w:lineRule="auto" w:before="107"/>
        <w:ind w:left="511" w:right="194"/>
        <w:jc w:val="left"/>
      </w:pPr>
      <w:r>
        <w:rPr>
          <w:spacing w:val="2"/>
          <w:w w:val="99"/>
        </w:rPr>
        <w:t>（</w:t>
      </w:r>
      <w:r>
        <w:rPr>
          <w:w w:val="99"/>
        </w:rPr>
        <w:t>具</w:t>
      </w:r>
      <w:r>
        <w:rPr>
          <w:spacing w:val="2"/>
          <w:w w:val="99"/>
        </w:rPr>
        <w:t>体</w:t>
      </w:r>
      <w:r>
        <w:rPr>
          <w:w w:val="99"/>
        </w:rPr>
        <w:t>内</w:t>
      </w:r>
      <w:r>
        <w:rPr>
          <w:spacing w:val="2"/>
          <w:w w:val="99"/>
        </w:rPr>
        <w:t>容</w:t>
      </w:r>
      <w:r>
        <w:rPr>
          <w:w w:val="99"/>
        </w:rPr>
        <w:t>详见</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11</w:t>
      </w:r>
      <w:r>
        <w:rPr>
          <w:w w:val="99"/>
        </w:rPr>
        <w:t>年</w:t>
      </w:r>
      <w:r>
        <w:rPr>
          <w:rFonts w:ascii="Times New Roman" w:hAnsi="Times New Roman" w:cs="Times New Roman" w:eastAsia="Times New Roman" w:hint="default"/>
          <w:spacing w:val="1"/>
          <w:w w:val="99"/>
        </w:rPr>
        <w:t>3</w:t>
      </w:r>
      <w:r>
        <w:rPr>
          <w:spacing w:val="2"/>
          <w:w w:val="99"/>
        </w:rPr>
        <w:t>月</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8</w:t>
      </w:r>
      <w:r>
        <w:rPr>
          <w:spacing w:val="2"/>
          <w:w w:val="99"/>
        </w:rPr>
        <w:t>日</w:t>
      </w:r>
      <w:r>
        <w:rPr>
          <w:w w:val="99"/>
        </w:rPr>
        <w:t>《</w:t>
      </w:r>
      <w:r>
        <w:rPr>
          <w:spacing w:val="2"/>
          <w:w w:val="99"/>
        </w:rPr>
        <w:t>中</w:t>
      </w:r>
      <w:r>
        <w:rPr>
          <w:w w:val="99"/>
        </w:rPr>
        <w:t>国</w:t>
      </w:r>
      <w:r>
        <w:rPr>
          <w:spacing w:val="2"/>
          <w:w w:val="99"/>
        </w:rPr>
        <w:t>证</w:t>
      </w:r>
      <w:r>
        <w:rPr>
          <w:w w:val="99"/>
        </w:rPr>
        <w:t>券</w:t>
      </w:r>
      <w:r>
        <w:rPr>
          <w:spacing w:val="2"/>
          <w:w w:val="99"/>
        </w:rPr>
        <w:t>报</w:t>
      </w:r>
      <w:r>
        <w:rPr>
          <w:spacing w:val="-104"/>
          <w:w w:val="99"/>
        </w:rPr>
        <w:t>》</w:t>
      </w:r>
      <w:r>
        <w:rPr>
          <w:spacing w:val="-106"/>
          <w:w w:val="99"/>
        </w:rPr>
        <w:t>、</w:t>
      </w:r>
      <w:r>
        <w:rPr>
          <w:spacing w:val="2"/>
          <w:w w:val="99"/>
        </w:rPr>
        <w:t>《</w:t>
      </w:r>
      <w:r>
        <w:rPr>
          <w:w w:val="99"/>
        </w:rPr>
        <w:t>证</w:t>
      </w:r>
      <w:r>
        <w:rPr>
          <w:spacing w:val="2"/>
          <w:w w:val="99"/>
        </w:rPr>
        <w:t>券</w:t>
      </w:r>
      <w:r>
        <w:rPr>
          <w:w w:val="99"/>
        </w:rPr>
        <w:t>时</w:t>
      </w:r>
      <w:r>
        <w:rPr>
          <w:spacing w:val="2"/>
          <w:w w:val="99"/>
        </w:rPr>
        <w:t>报</w:t>
      </w:r>
      <w:r>
        <w:rPr>
          <w:w w:val="99"/>
        </w:rPr>
        <w:t>》</w:t>
      </w:r>
      <w:r>
        <w:rPr>
          <w:spacing w:val="2"/>
          <w:w w:val="99"/>
        </w:rPr>
        <w:t>及</w:t>
      </w:r>
      <w:r>
        <w:rPr>
          <w:w w:val="99"/>
        </w:rPr>
        <w:t>巨</w:t>
      </w:r>
      <w:r>
        <w:rPr>
          <w:spacing w:val="2"/>
          <w:w w:val="99"/>
        </w:rPr>
        <w:t>潮资</w:t>
      </w:r>
      <w:r>
        <w:rPr>
          <w:w w:val="99"/>
        </w:rPr>
        <w:t>讯网</w:t>
      </w:r>
      <w:r>
        <w:rPr/>
      </w:r>
    </w:p>
    <w:p>
      <w:pPr>
        <w:spacing w:line="482" w:lineRule="auto" w:before="110"/>
        <w:ind w:left="196" w:right="3070" w:firstLine="0"/>
        <w:jc w:val="left"/>
        <w:rPr>
          <w:rFonts w:ascii="宋体" w:hAnsi="宋体" w:cs="宋体" w:eastAsia="宋体" w:hint="default"/>
          <w:sz w:val="24"/>
          <w:szCs w:val="24"/>
        </w:rPr>
      </w:pPr>
      <w:hyperlink r:id="rId10">
        <w:r>
          <w:rPr>
            <w:rFonts w:ascii="Times New Roman" w:hAnsi="Times New Roman" w:cs="Times New Roman" w:eastAsia="Times New Roman" w:hint="default"/>
            <w:sz w:val="21"/>
            <w:szCs w:val="21"/>
          </w:rPr>
          <w:t>www.cninfo.com.cn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披露的相关公告）</w:t>
      </w:r>
      <w:r>
        <w:rPr>
          <w:rFonts w:ascii="宋体" w:hAnsi="宋体" w:cs="宋体" w:eastAsia="宋体" w:hint="default"/>
          <w:w w:val="99"/>
          <w:sz w:val="21"/>
          <w:szCs w:val="21"/>
        </w:rPr>
        <w:t> </w:t>
      </w:r>
      <w:r>
        <w:rPr>
          <w:rFonts w:ascii="宋体" w:hAnsi="宋体" w:cs="宋体" w:eastAsia="宋体" w:hint="default"/>
          <w:sz w:val="24"/>
          <w:szCs w:val="24"/>
        </w:rPr>
        <w:t>四、报告期内，公司无重大资产收购、及资产重组事项</w:t>
      </w:r>
      <w:r>
        <w:rPr>
          <w:rFonts w:ascii="宋体" w:hAnsi="宋体" w:cs="宋体" w:eastAsia="宋体" w:hint="default"/>
          <w:spacing w:val="-106"/>
          <w:sz w:val="24"/>
          <w:szCs w:val="24"/>
        </w:rPr>
        <w:t> </w:t>
      </w:r>
      <w:r>
        <w:rPr>
          <w:rFonts w:ascii="宋体" w:hAnsi="宋体" w:cs="宋体" w:eastAsia="宋体" w:hint="default"/>
          <w:sz w:val="24"/>
          <w:szCs w:val="24"/>
        </w:rPr>
        <w:t>五、报告期内，公司与关联方资金往来情况</w:t>
      </w:r>
    </w:p>
    <w:p>
      <w:pPr>
        <w:pStyle w:val="BodyText"/>
        <w:spacing w:line="240" w:lineRule="auto" w:before="21"/>
        <w:ind w:left="196" w:right="194"/>
        <w:jc w:val="left"/>
        <w:rPr>
          <w:rFonts w:ascii="宋体" w:hAnsi="宋体" w:cs="宋体" w:eastAsia="宋体" w:hint="default"/>
        </w:rPr>
      </w:pPr>
      <w:r>
        <w:rPr>
          <w:rFonts w:ascii="宋体" w:hAnsi="宋体" w:cs="宋体" w:eastAsia="宋体" w:hint="default"/>
        </w:rPr>
        <w:t>（一）公司第一大股东及其他关联方占用公司资金的情况：</w:t>
      </w:r>
    </w:p>
    <w:p>
      <w:pPr>
        <w:pStyle w:val="BodyText"/>
        <w:spacing w:line="331" w:lineRule="auto" w:before="106"/>
        <w:ind w:left="196" w:right="212" w:firstLine="421"/>
        <w:jc w:val="both"/>
      </w:pPr>
      <w:r>
        <w:rPr>
          <w:rFonts w:ascii="Times New Roman" w:hAnsi="Times New Roman" w:cs="Times New Roman" w:eastAsia="Times New Roman" w:hint="default"/>
        </w:rPr>
        <w:t>1</w:t>
      </w:r>
      <w:r>
        <w:rPr/>
        <w:t>、截止报告期期末，公司第一大股东</w:t>
      </w:r>
      <w:r>
        <w:rPr>
          <w:rFonts w:ascii="Times New Roman" w:hAnsi="Times New Roman" w:cs="Times New Roman" w:eastAsia="Times New Roman" w:hint="default"/>
        </w:rPr>
        <w:t>——</w:t>
      </w:r>
      <w:r>
        <w:rPr/>
        <w:t>中国宝安集团控股有限公司（以下简称</w:t>
      </w:r>
      <w:r>
        <w:rPr>
          <w:rFonts w:ascii="Times New Roman" w:hAnsi="Times New Roman" w:cs="Times New Roman" w:eastAsia="Times New Roman" w:hint="default"/>
        </w:rPr>
        <w:t>“</w:t>
      </w:r>
      <w:r>
        <w:rPr/>
        <w:t>中宝控</w:t>
      </w:r>
      <w:r>
        <w:rPr>
          <w:w w:val="99"/>
        </w:rPr>
        <w:t> </w:t>
      </w:r>
      <w:r>
        <w:rPr/>
        <w:t>股</w:t>
      </w:r>
      <w:r>
        <w:rPr>
          <w:rFonts w:ascii="Times New Roman" w:hAnsi="Times New Roman" w:cs="Times New Roman" w:eastAsia="Times New Roman" w:hint="default"/>
        </w:rPr>
        <w:t>”</w:t>
      </w:r>
      <w:r>
        <w:rPr/>
        <w:t>）及其子公司无占用公司资金的情况。</w:t>
      </w:r>
    </w:p>
    <w:p>
      <w:pPr>
        <w:pStyle w:val="BodyText"/>
        <w:spacing w:line="350" w:lineRule="auto" w:before="19"/>
        <w:ind w:left="196" w:right="214" w:firstLine="421"/>
        <w:jc w:val="both"/>
      </w:pPr>
      <w:r>
        <w:rPr/>
        <w:t>深圳市鹏城会计师事务所有限公司出具了《关于宝安鸿基地产集团股份有限公司控股股东</w:t>
      </w:r>
      <w:r>
        <w:rPr>
          <w:w w:val="99"/>
        </w:rPr>
        <w:t> </w:t>
      </w:r>
      <w:r>
        <w:rPr>
          <w:spacing w:val="-4"/>
          <w:w w:val="99"/>
        </w:rPr>
        <w:t>及其他关联方资金占用情况的专项说明》，详见巨潮资讯网</w:t>
      </w:r>
      <w:r>
        <w:rPr>
          <w:spacing w:val="35"/>
          <w:w w:val="99"/>
        </w:rPr>
        <w:t> </w:t>
      </w:r>
      <w:hyperlink r:id="rId10">
        <w:r>
          <w:rPr>
            <w:rFonts w:ascii="Times New Roman" w:hAnsi="Times New Roman" w:cs="Times New Roman" w:eastAsia="Times New Roman" w:hint="default"/>
            <w:spacing w:val="-1"/>
            <w:w w:val="99"/>
          </w:rPr>
          <w:t>http://www.cninfo.com.cn/</w:t>
        </w:r>
      </w:hyperlink>
      <w:r>
        <w:rPr>
          <w:spacing w:val="-1"/>
          <w:w w:val="99"/>
        </w:rPr>
        <w:t>。</w:t>
      </w:r>
      <w:r>
        <w:rPr>
          <w:spacing w:val="-1"/>
        </w:rPr>
      </w:r>
    </w:p>
    <w:p>
      <w:pPr>
        <w:pStyle w:val="BodyText"/>
        <w:spacing w:line="240" w:lineRule="auto" w:before="135"/>
        <w:ind w:left="196" w:right="194"/>
        <w:jc w:val="left"/>
        <w:rPr>
          <w:rFonts w:ascii="宋体" w:hAnsi="宋体" w:cs="宋体" w:eastAsia="宋体" w:hint="default"/>
        </w:rPr>
      </w:pPr>
      <w:r>
        <w:rPr>
          <w:rFonts w:ascii="宋体" w:hAnsi="宋体" w:cs="宋体" w:eastAsia="宋体" w:hint="default"/>
        </w:rPr>
        <w:t>（二）其他关联方与公司无债权债务往来情况</w:t>
      </w:r>
    </w:p>
    <w:p>
      <w:pPr>
        <w:spacing w:line="240" w:lineRule="auto" w:before="12"/>
        <w:rPr>
          <w:rFonts w:ascii="宋体" w:hAnsi="宋体" w:cs="宋体" w:eastAsia="宋体" w:hint="default"/>
          <w:sz w:val="22"/>
          <w:szCs w:val="22"/>
        </w:rPr>
      </w:pPr>
    </w:p>
    <w:p>
      <w:pPr>
        <w:pStyle w:val="Heading4"/>
        <w:spacing w:line="240" w:lineRule="auto"/>
        <w:ind w:right="194"/>
        <w:jc w:val="left"/>
      </w:pPr>
      <w:r>
        <w:rPr/>
        <w:t>六、报告期内公司重大合同及其履行情况</w:t>
      </w:r>
    </w:p>
    <w:p>
      <w:pPr>
        <w:spacing w:line="240" w:lineRule="auto" w:before="7"/>
        <w:rPr>
          <w:rFonts w:ascii="宋体" w:hAnsi="宋体" w:cs="宋体" w:eastAsia="宋体" w:hint="default"/>
          <w:sz w:val="28"/>
          <w:szCs w:val="28"/>
        </w:rPr>
      </w:pPr>
    </w:p>
    <w:p>
      <w:pPr>
        <w:pStyle w:val="BodyText"/>
        <w:spacing w:line="240" w:lineRule="auto"/>
        <w:ind w:left="196" w:right="194"/>
        <w:jc w:val="left"/>
        <w:rPr>
          <w:rFonts w:ascii="宋体" w:hAnsi="宋体" w:cs="宋体" w:eastAsia="宋体" w:hint="default"/>
        </w:rPr>
      </w:pPr>
      <w:r>
        <w:rPr>
          <w:rFonts w:ascii="宋体" w:hAnsi="宋体" w:cs="宋体" w:eastAsia="宋体" w:hint="default"/>
          <w:w w:val="95"/>
        </w:rPr>
        <w:t>（一）公司无重大托管、承包、租赁其他公司资产或其他公司托管、承包、租赁公司资产事项。</w:t>
      </w:r>
      <w:r>
        <w:rPr>
          <w:rFonts w:ascii="宋体" w:hAnsi="宋体" w:cs="宋体" w:eastAsia="宋体" w:hint="default"/>
        </w:rPr>
      </w:r>
    </w:p>
    <w:p>
      <w:pPr>
        <w:pStyle w:val="BodyText"/>
        <w:spacing w:line="240" w:lineRule="auto" w:before="123"/>
        <w:ind w:left="196" w:right="194"/>
        <w:jc w:val="left"/>
        <w:rPr>
          <w:rFonts w:ascii="宋体" w:hAnsi="宋体" w:cs="宋体" w:eastAsia="宋体" w:hint="default"/>
        </w:rPr>
      </w:pPr>
      <w:r>
        <w:rPr>
          <w:rFonts w:ascii="宋体" w:hAnsi="宋体" w:cs="宋体" w:eastAsia="宋体" w:hint="default"/>
        </w:rPr>
        <w:t>（二）重大担保事项</w:t>
      </w:r>
    </w:p>
    <w:p>
      <w:pPr>
        <w:pStyle w:val="BodyText"/>
        <w:spacing w:line="331" w:lineRule="auto" w:before="126"/>
        <w:ind w:left="617" w:right="19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、公司对外担保情况</w:t>
      </w:r>
      <w:r>
        <w:rPr>
          <w:w w:val="99"/>
        </w:rPr>
        <w:t> </w:t>
      </w:r>
      <w:r>
        <w:rPr>
          <w:spacing w:val="1"/>
          <w:w w:val="99"/>
        </w:rPr>
        <w:t>根据证监会、银监会发布的《关于规范上市公司对外担保行为的通知</w:t>
      </w:r>
      <w:r>
        <w:rPr>
          <w:spacing w:val="-34"/>
          <w:w w:val="99"/>
        </w:rPr>
        <w:t> </w:t>
      </w:r>
      <w:r>
        <w:rPr>
          <w:spacing w:val="-7"/>
          <w:w w:val="99"/>
        </w:rPr>
        <w:t>》（证监发</w:t>
      </w:r>
      <w:r>
        <w:rPr>
          <w:rFonts w:ascii="Times New Roman" w:hAnsi="Times New Roman" w:cs="Times New Roman" w:eastAsia="Times New Roman" w:hint="default"/>
          <w:spacing w:val="-7"/>
          <w:w w:val="99"/>
        </w:rPr>
        <w:t>[2005]120</w:t>
      </w:r>
      <w:r>
        <w:rPr>
          <w:rFonts w:ascii="Times New Roman" w:hAnsi="Times New Roman" w:cs="Times New Roman" w:eastAsia="Times New Roman" w:hint="default"/>
          <w:spacing w:val="-7"/>
        </w:rPr>
      </w:r>
    </w:p>
    <w:p>
      <w:pPr>
        <w:pStyle w:val="BodyText"/>
        <w:spacing w:line="331" w:lineRule="auto" w:before="19"/>
        <w:ind w:left="196" w:right="207"/>
        <w:jc w:val="both"/>
      </w:pPr>
      <w:r>
        <w:rPr>
          <w:spacing w:val="-10"/>
          <w:w w:val="99"/>
        </w:rPr>
        <w:t>号）（以下简称</w:t>
      </w:r>
      <w:r>
        <w:rPr>
          <w:rFonts w:ascii="Times New Roman" w:hAnsi="Times New Roman" w:cs="Times New Roman" w:eastAsia="Times New Roman" w:hint="default"/>
          <w:spacing w:val="-10"/>
          <w:w w:val="99"/>
        </w:rPr>
        <w:t>“120</w:t>
      </w:r>
      <w:r>
        <w:rPr>
          <w:rFonts w:ascii="Times New Roman" w:hAnsi="Times New Roman" w:cs="Times New Roman" w:eastAsia="Times New Roman" w:hint="default"/>
          <w:spacing w:val="14"/>
          <w:w w:val="99"/>
        </w:rPr>
        <w:t> </w:t>
      </w:r>
      <w:r>
        <w:rPr>
          <w:w w:val="99"/>
        </w:rPr>
        <w:t>号文</w:t>
      </w:r>
      <w:r>
        <w:rPr>
          <w:rFonts w:ascii="Times New Roman" w:hAnsi="Times New Roman" w:cs="Times New Roman" w:eastAsia="Times New Roman" w:hint="default"/>
          <w:w w:val="99"/>
        </w:rPr>
        <w:t>”</w:t>
      </w:r>
      <w:r>
        <w:rPr>
          <w:w w:val="99"/>
        </w:rPr>
        <w:t>）及证监会《关于规范上市公司与关联方资金往来及上市公司对外担</w:t>
      </w:r>
      <w:r>
        <w:rPr>
          <w:spacing w:val="-99"/>
          <w:w w:val="99"/>
        </w:rPr>
        <w:t> </w:t>
      </w:r>
      <w:r>
        <w:rPr>
          <w:spacing w:val="-99"/>
          <w:w w:val="99"/>
        </w:rPr>
      </w:r>
      <w:r>
        <w:rPr>
          <w:spacing w:val="-6"/>
          <w:w w:val="99"/>
        </w:rPr>
        <w:t>保若干问题的通知》（证监发【</w:t>
      </w:r>
      <w:r>
        <w:rPr>
          <w:rFonts w:ascii="Times New Roman" w:hAnsi="Times New Roman" w:cs="Times New Roman" w:eastAsia="Times New Roman" w:hint="default"/>
          <w:spacing w:val="-6"/>
          <w:w w:val="99"/>
        </w:rPr>
        <w:t>2003</w:t>
      </w:r>
      <w:r>
        <w:rPr>
          <w:spacing w:val="-6"/>
          <w:w w:val="99"/>
        </w:rPr>
        <w:t>】</w:t>
      </w:r>
      <w:r>
        <w:rPr>
          <w:rFonts w:ascii="Times New Roman" w:hAnsi="Times New Roman" w:cs="Times New Roman" w:eastAsia="Times New Roman" w:hint="default"/>
          <w:spacing w:val="-6"/>
          <w:w w:val="99"/>
        </w:rPr>
        <w:t>56</w:t>
      </w:r>
      <w:r>
        <w:rPr>
          <w:rFonts w:ascii="Times New Roman" w:hAnsi="Times New Roman" w:cs="Times New Roman" w:eastAsia="Times New Roman" w:hint="default"/>
          <w:spacing w:val="9"/>
          <w:w w:val="99"/>
        </w:rPr>
        <w:t> </w:t>
      </w:r>
      <w:r>
        <w:rPr>
          <w:spacing w:val="-11"/>
          <w:w w:val="99"/>
        </w:rPr>
        <w:t>号）（以下简称</w:t>
      </w:r>
      <w:r>
        <w:rPr>
          <w:rFonts w:ascii="Times New Roman" w:hAnsi="Times New Roman" w:cs="Times New Roman" w:eastAsia="Times New Roman" w:hint="default"/>
          <w:spacing w:val="-11"/>
          <w:w w:val="99"/>
        </w:rPr>
        <w:t>“56</w:t>
      </w:r>
      <w:r>
        <w:rPr>
          <w:rFonts w:ascii="Times New Roman" w:hAnsi="Times New Roman" w:cs="Times New Roman" w:eastAsia="Times New Roman" w:hint="default"/>
          <w:spacing w:val="9"/>
          <w:w w:val="99"/>
        </w:rPr>
        <w:t> </w:t>
      </w:r>
      <w:r>
        <w:rPr>
          <w:spacing w:val="-2"/>
          <w:w w:val="99"/>
        </w:rPr>
        <w:t>号文</w:t>
      </w:r>
      <w:r>
        <w:rPr>
          <w:rFonts w:ascii="Times New Roman" w:hAnsi="Times New Roman" w:cs="Times New Roman" w:eastAsia="Times New Roman" w:hint="default"/>
          <w:spacing w:val="-2"/>
          <w:w w:val="99"/>
        </w:rPr>
        <w:t>”</w:t>
      </w:r>
      <w:r>
        <w:rPr>
          <w:spacing w:val="-2"/>
          <w:w w:val="99"/>
        </w:rPr>
        <w:t>）要求，经公司自查，截至报</w:t>
      </w:r>
      <w:r>
        <w:rPr>
          <w:spacing w:val="-102"/>
          <w:w w:val="99"/>
        </w:rPr>
        <w:t> </w:t>
      </w:r>
      <w:r>
        <w:rPr>
          <w:spacing w:val="-102"/>
          <w:w w:val="99"/>
        </w:rPr>
      </w:r>
      <w:r>
        <w:rPr/>
        <w:t>告期末，对外担保情况如下：</w:t>
      </w:r>
    </w:p>
    <w:p>
      <w:pPr>
        <w:spacing w:after="0" w:line="331" w:lineRule="auto"/>
        <w:jc w:val="both"/>
        <w:sectPr>
          <w:pgSz w:w="11910" w:h="16840"/>
          <w:pgMar w:header="0" w:footer="1007" w:top="1180" w:bottom="1200" w:left="1680" w:right="118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304"/>
        <w:gridCol w:w="1145"/>
        <w:gridCol w:w="938"/>
        <w:gridCol w:w="1227"/>
        <w:gridCol w:w="989"/>
        <w:gridCol w:w="1042"/>
        <w:gridCol w:w="1037"/>
        <w:gridCol w:w="884"/>
        <w:gridCol w:w="528"/>
        <w:gridCol w:w="1138"/>
      </w:tblGrid>
      <w:tr>
        <w:trPr>
          <w:trHeight w:val="283" w:hRule="exact"/>
        </w:trPr>
        <w:tc>
          <w:tcPr>
            <w:tcW w:w="10233"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00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10" w:hRule="exact"/>
        </w:trPr>
        <w:tc>
          <w:tcPr>
            <w:tcW w:w="1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437" w:right="224" w:hanging="212"/>
              <w:jc w:val="left"/>
              <w:rPr>
                <w:rFonts w:ascii="宋体" w:hAnsi="宋体" w:cs="宋体" w:eastAsia="宋体" w:hint="default"/>
                <w:sz w:val="21"/>
                <w:szCs w:val="21"/>
              </w:rPr>
            </w:pPr>
            <w:r>
              <w:rPr>
                <w:rFonts w:ascii="宋体" w:hAnsi="宋体" w:cs="宋体" w:eastAsia="宋体" w:hint="default"/>
                <w:sz w:val="21"/>
                <w:szCs w:val="21"/>
              </w:rPr>
              <w:t>担保对象</w:t>
            </w:r>
            <w:r>
              <w:rPr>
                <w:rFonts w:ascii="宋体" w:hAnsi="宋体" w:cs="宋体" w:eastAsia="宋体" w:hint="default"/>
                <w:w w:val="99"/>
                <w:sz w:val="21"/>
                <w:szCs w:val="21"/>
              </w:rPr>
              <w:t> </w:t>
            </w:r>
            <w:r>
              <w:rPr>
                <w:rFonts w:ascii="宋体" w:hAnsi="宋体" w:cs="宋体" w:eastAsia="宋体" w:hint="default"/>
                <w:sz w:val="21"/>
                <w:szCs w:val="21"/>
              </w:rPr>
              <w:t>名称</w:t>
            </w:r>
          </w:p>
        </w:tc>
        <w:tc>
          <w:tcPr>
            <w:tcW w:w="11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43" w:right="38"/>
              <w:jc w:val="both"/>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99"/>
                <w:sz w:val="21"/>
                <w:szCs w:val="21"/>
              </w:rPr>
              <w:t> </w:t>
            </w:r>
            <w:r>
              <w:rPr>
                <w:rFonts w:ascii="宋体" w:hAnsi="宋体" w:cs="宋体" w:eastAsia="宋体" w:hint="default"/>
                <w:sz w:val="21"/>
                <w:szCs w:val="21"/>
              </w:rPr>
              <w:t>关公告披露</w:t>
            </w:r>
            <w:r>
              <w:rPr>
                <w:rFonts w:ascii="宋体" w:hAnsi="宋体" w:cs="宋体" w:eastAsia="宋体" w:hint="default"/>
                <w:w w:val="99"/>
                <w:sz w:val="21"/>
                <w:szCs w:val="21"/>
              </w:rPr>
              <w:t> </w:t>
            </w:r>
            <w:r>
              <w:rPr>
                <w:rFonts w:ascii="宋体" w:hAnsi="宋体" w:cs="宋体" w:eastAsia="宋体" w:hint="default"/>
                <w:sz w:val="21"/>
                <w:szCs w:val="21"/>
              </w:rPr>
              <w:t>日和编号</w:t>
            </w:r>
          </w:p>
        </w:tc>
        <w:tc>
          <w:tcPr>
            <w:tcW w:w="9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firstLine="60"/>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72" w:lineRule="exact" w:before="26"/>
              <w:ind w:left="399" w:right="19" w:hanging="376"/>
              <w:jc w:val="left"/>
              <w:rPr>
                <w:rFonts w:ascii="宋体" w:hAnsi="宋体" w:cs="宋体" w:eastAsia="宋体" w:hint="default"/>
                <w:sz w:val="21"/>
                <w:szCs w:val="21"/>
              </w:rPr>
            </w:pPr>
            <w:r>
              <w:rPr>
                <w:rFonts w:ascii="宋体" w:hAnsi="宋体" w:cs="宋体" w:eastAsia="宋体" w:hint="default"/>
                <w:spacing w:val="-15"/>
                <w:w w:val="99"/>
                <w:sz w:val="21"/>
                <w:szCs w:val="21"/>
              </w:rPr>
              <w:t>期（协议签署</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281" w:right="65"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243" w:right="-2" w:hanging="210"/>
              <w:jc w:val="left"/>
              <w:rPr>
                <w:rFonts w:ascii="宋体" w:hAnsi="宋体" w:cs="宋体" w:eastAsia="宋体" w:hint="default"/>
                <w:sz w:val="21"/>
                <w:szCs w:val="21"/>
              </w:rPr>
            </w:pPr>
            <w:r>
              <w:rPr>
                <w:rFonts w:ascii="宋体" w:hAnsi="宋体" w:cs="宋体" w:eastAsia="宋体" w:hint="default"/>
                <w:sz w:val="21"/>
                <w:szCs w:val="21"/>
              </w:rPr>
              <w:t>是否履行</w:t>
            </w:r>
            <w:r>
              <w:rPr>
                <w:rFonts w:ascii="宋体" w:hAnsi="宋体" w:cs="宋体" w:eastAsia="宋体" w:hint="default"/>
                <w:w w:val="99"/>
                <w:sz w:val="21"/>
                <w:szCs w:val="21"/>
              </w:rPr>
              <w:t> </w:t>
            </w:r>
            <w:r>
              <w:rPr>
                <w:rFonts w:ascii="宋体" w:hAnsi="宋体" w:cs="宋体" w:eastAsia="宋体" w:hint="default"/>
                <w:sz w:val="21"/>
                <w:szCs w:val="21"/>
              </w:rPr>
              <w:t>完毕</w:t>
            </w:r>
          </w:p>
        </w:tc>
        <w:tc>
          <w:tcPr>
            <w:tcW w:w="5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9"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38" w:right="36"/>
              <w:jc w:val="center"/>
              <w:rPr>
                <w:rFonts w:ascii="宋体" w:hAnsi="宋体" w:cs="宋体" w:eastAsia="宋体" w:hint="default"/>
                <w:sz w:val="21"/>
                <w:szCs w:val="21"/>
              </w:rPr>
            </w:pPr>
            <w:r>
              <w:rPr>
                <w:rFonts w:ascii="宋体" w:hAnsi="宋体" w:cs="宋体" w:eastAsia="宋体" w:hint="default"/>
                <w:sz w:val="21"/>
                <w:szCs w:val="21"/>
              </w:rPr>
              <w:t>是否为关联</w:t>
            </w:r>
            <w:r>
              <w:rPr>
                <w:rFonts w:ascii="宋体" w:hAnsi="宋体" w:cs="宋体" w:eastAsia="宋体" w:hint="default"/>
                <w:w w:val="99"/>
                <w:sz w:val="21"/>
                <w:szCs w:val="21"/>
              </w:rPr>
              <w:t> </w:t>
            </w:r>
            <w:r>
              <w:rPr>
                <w:rFonts w:ascii="宋体" w:hAnsi="宋体" w:cs="宋体" w:eastAsia="宋体" w:hint="default"/>
                <w:sz w:val="21"/>
                <w:szCs w:val="21"/>
              </w:rPr>
              <w:t>方担保（是</w:t>
            </w:r>
            <w:r>
              <w:rPr>
                <w:rFonts w:ascii="宋体" w:hAnsi="宋体" w:cs="宋体" w:eastAsia="宋体" w:hint="default"/>
                <w:w w:val="99"/>
                <w:sz w:val="21"/>
                <w:szCs w:val="21"/>
              </w:rPr>
              <w:t> </w:t>
            </w:r>
            <w:r>
              <w:rPr>
                <w:rFonts w:ascii="宋体" w:hAnsi="宋体" w:cs="宋体" w:eastAsia="宋体" w:hint="default"/>
                <w:sz w:val="21"/>
                <w:szCs w:val="21"/>
              </w:rPr>
              <w:t>或否）</w:t>
            </w:r>
          </w:p>
        </w:tc>
      </w:tr>
      <w:tr>
        <w:trPr>
          <w:trHeight w:val="37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报告期内对外担保实际发生额合</w:t>
            </w:r>
          </w:p>
          <w:p>
            <w:pPr>
              <w:pStyle w:val="TableParagraph"/>
              <w:spacing w:line="289" w:lineRule="exact"/>
              <w:ind w:right="5"/>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报告期末实际对外担保余额合计</w:t>
            </w:r>
          </w:p>
          <w:p>
            <w:pPr>
              <w:pStyle w:val="TableParagraph"/>
              <w:spacing w:line="289" w:lineRule="exact"/>
              <w:ind w:right="7"/>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0.00</w:t>
            </w:r>
          </w:p>
        </w:tc>
      </w:tr>
      <w:tr>
        <w:trPr>
          <w:trHeight w:val="282" w:hRule="exact"/>
        </w:trPr>
        <w:tc>
          <w:tcPr>
            <w:tcW w:w="10233"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8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541" w:right="120" w:hanging="422"/>
              <w:jc w:val="left"/>
              <w:rPr>
                <w:rFonts w:ascii="宋体" w:hAnsi="宋体" w:cs="宋体" w:eastAsia="宋体" w:hint="default"/>
                <w:sz w:val="21"/>
                <w:szCs w:val="21"/>
              </w:rPr>
            </w:pPr>
            <w:r>
              <w:rPr>
                <w:rFonts w:ascii="宋体" w:hAnsi="宋体" w:cs="宋体" w:eastAsia="宋体" w:hint="default"/>
                <w:sz w:val="21"/>
                <w:szCs w:val="21"/>
              </w:rPr>
              <w:t>担保对象名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1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担保额度相</w:t>
            </w:r>
          </w:p>
          <w:p>
            <w:pPr>
              <w:pStyle w:val="TableParagraph"/>
              <w:spacing w:line="272" w:lineRule="exact" w:before="26"/>
              <w:ind w:left="146" w:right="38" w:hanging="104"/>
              <w:jc w:val="left"/>
              <w:rPr>
                <w:rFonts w:ascii="宋体" w:hAnsi="宋体" w:cs="宋体" w:eastAsia="宋体" w:hint="default"/>
                <w:sz w:val="21"/>
                <w:szCs w:val="21"/>
              </w:rPr>
            </w:pPr>
            <w:r>
              <w:rPr>
                <w:rFonts w:ascii="宋体" w:hAnsi="宋体" w:cs="宋体" w:eastAsia="宋体" w:hint="default"/>
                <w:sz w:val="21"/>
                <w:szCs w:val="21"/>
              </w:rPr>
              <w:t>关公告披露</w:t>
            </w:r>
            <w:r>
              <w:rPr>
                <w:rFonts w:ascii="宋体" w:hAnsi="宋体" w:cs="宋体" w:eastAsia="宋体" w:hint="default"/>
                <w:w w:val="99"/>
                <w:sz w:val="21"/>
                <w:szCs w:val="21"/>
              </w:rPr>
              <w:t> </w:t>
            </w:r>
            <w:r>
              <w:rPr>
                <w:rFonts w:ascii="宋体" w:hAnsi="宋体" w:cs="宋体" w:eastAsia="宋体" w:hint="default"/>
                <w:sz w:val="21"/>
                <w:szCs w:val="21"/>
              </w:rPr>
              <w:t>日和编号</w:t>
            </w:r>
          </w:p>
        </w:tc>
        <w:tc>
          <w:tcPr>
            <w:tcW w:w="9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firstLine="60"/>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72" w:lineRule="exact" w:before="26"/>
              <w:ind w:left="399" w:right="19" w:hanging="376"/>
              <w:jc w:val="left"/>
              <w:rPr>
                <w:rFonts w:ascii="宋体" w:hAnsi="宋体" w:cs="宋体" w:eastAsia="宋体" w:hint="default"/>
                <w:sz w:val="21"/>
                <w:szCs w:val="21"/>
              </w:rPr>
            </w:pPr>
            <w:r>
              <w:rPr>
                <w:rFonts w:ascii="宋体" w:hAnsi="宋体" w:cs="宋体" w:eastAsia="宋体" w:hint="default"/>
                <w:spacing w:val="-15"/>
                <w:w w:val="99"/>
                <w:sz w:val="21"/>
                <w:szCs w:val="21"/>
              </w:rPr>
              <w:t>期（协议签署</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81" w:right="65"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105" w:right="136"/>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w w:val="99"/>
                <w:sz w:val="21"/>
                <w:szCs w:val="21"/>
              </w:rPr>
              <w:t> </w:t>
            </w:r>
            <w:r>
              <w:rPr>
                <w:rFonts w:ascii="宋体" w:hAnsi="宋体" w:cs="宋体" w:eastAsia="宋体" w:hint="default"/>
                <w:sz w:val="21"/>
                <w:szCs w:val="21"/>
              </w:rPr>
              <w:t>行完毕</w:t>
            </w:r>
          </w:p>
        </w:tc>
        <w:tc>
          <w:tcPr>
            <w:tcW w:w="5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余额</w:t>
            </w:r>
          </w:p>
        </w:tc>
        <w:tc>
          <w:tcPr>
            <w:tcW w:w="11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是否为关联</w:t>
            </w:r>
          </w:p>
          <w:p>
            <w:pPr>
              <w:pStyle w:val="TableParagraph"/>
              <w:spacing w:line="272" w:lineRule="exact" w:before="26"/>
              <w:ind w:left="247" w:right="36" w:hanging="210"/>
              <w:jc w:val="left"/>
              <w:rPr>
                <w:rFonts w:ascii="宋体" w:hAnsi="宋体" w:cs="宋体" w:eastAsia="宋体" w:hint="default"/>
                <w:sz w:val="21"/>
                <w:szCs w:val="21"/>
              </w:rPr>
            </w:pPr>
            <w:r>
              <w:rPr>
                <w:rFonts w:ascii="宋体" w:hAnsi="宋体" w:cs="宋体" w:eastAsia="宋体" w:hint="default"/>
                <w:sz w:val="21"/>
                <w:szCs w:val="21"/>
              </w:rPr>
              <w:t>方担保（是</w:t>
            </w:r>
            <w:r>
              <w:rPr>
                <w:rFonts w:ascii="宋体" w:hAnsi="宋体" w:cs="宋体" w:eastAsia="宋体" w:hint="default"/>
                <w:w w:val="99"/>
                <w:sz w:val="21"/>
                <w:szCs w:val="21"/>
              </w:rPr>
              <w:t> </w:t>
            </w:r>
            <w:r>
              <w:rPr>
                <w:rFonts w:ascii="宋体" w:hAnsi="宋体" w:cs="宋体" w:eastAsia="宋体" w:hint="default"/>
                <w:sz w:val="21"/>
                <w:szCs w:val="21"/>
              </w:rPr>
              <w:t>或否）</w:t>
            </w:r>
          </w:p>
        </w:tc>
      </w:tr>
      <w:tr>
        <w:trPr>
          <w:trHeight w:val="82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72" w:lineRule="exact" w:before="27"/>
              <w:ind w:left="24" w:right="216"/>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2009-3-5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临</w:t>
            </w:r>
          </w:p>
          <w:p>
            <w:pPr>
              <w:pStyle w:val="TableParagraph"/>
              <w:spacing w:line="27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0" w:right="0"/>
              <w:jc w:val="center"/>
              <w:rPr>
                <w:rFonts w:ascii="Times New Roman" w:hAnsi="Times New Roman" w:cs="Times New Roman" w:eastAsia="Times New Roman" w:hint="default"/>
                <w:sz w:val="21"/>
                <w:szCs w:val="21"/>
              </w:rPr>
            </w:pPr>
            <w:r>
              <w:rPr>
                <w:rFonts w:ascii="Times New Roman"/>
                <w:sz w:val="21"/>
              </w:rPr>
              <w:t>9,000.00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72" w:lineRule="exact" w:before="19"/>
              <w:ind w:left="24" w:right="164"/>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w w:val="99"/>
                <w:sz w:val="21"/>
                <w:szCs w:val="21"/>
              </w:rPr>
              <w:t> </w:t>
            </w:r>
            <w:r>
              <w:rPr>
                <w:rFonts w:ascii="宋体" w:hAnsi="宋体" w:cs="宋体" w:eastAsia="宋体" w:hint="default"/>
                <w:sz w:val="21"/>
                <w:szCs w:val="21"/>
              </w:rPr>
              <w:t>抵押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32"/>
              <w:ind w:left="24" w:right="0"/>
              <w:jc w:val="left"/>
              <w:rPr>
                <w:rFonts w:ascii="Times New Roman" w:hAnsi="Times New Roman" w:cs="Times New Roman" w:eastAsia="Times New Roman" w:hint="default"/>
                <w:sz w:val="21"/>
                <w:szCs w:val="21"/>
              </w:rPr>
            </w:pPr>
            <w:r>
              <w:rPr>
                <w:rFonts w:ascii="Times New Roman"/>
                <w:sz w:val="21"/>
              </w:rPr>
              <w:t>2009-2-24</w:t>
            </w:r>
          </w:p>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31"/>
              <w:ind w:left="24" w:right="0"/>
              <w:jc w:val="left"/>
              <w:rPr>
                <w:rFonts w:ascii="Times New Roman" w:hAnsi="Times New Roman" w:cs="Times New Roman" w:eastAsia="Times New Roman" w:hint="default"/>
                <w:sz w:val="21"/>
                <w:szCs w:val="21"/>
              </w:rPr>
            </w:pPr>
            <w:r>
              <w:rPr>
                <w:rFonts w:ascii="Times New Roman"/>
                <w:sz w:val="21"/>
              </w:rPr>
              <w:t>2012-2-23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7"/>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40" w:lineRule="auto"/>
              <w:ind w:left="24" w:right="216"/>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15"/>
              <w:ind w:left="24" w:right="0"/>
              <w:jc w:val="left"/>
              <w:rPr>
                <w:rFonts w:ascii="Times New Roman" w:hAnsi="Times New Roman" w:cs="Times New Roman" w:eastAsia="Times New Roman" w:hint="default"/>
                <w:sz w:val="21"/>
                <w:szCs w:val="21"/>
              </w:rPr>
            </w:pPr>
            <w:r>
              <w:rPr>
                <w:rFonts w:ascii="Times New Roman"/>
                <w:sz w:val="21"/>
              </w:rPr>
              <w:t>2009-4-30</w:t>
            </w:r>
          </w:p>
          <w:p>
            <w:pPr>
              <w:pStyle w:val="TableParagraph"/>
              <w:spacing w:line="26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0" w:right="0"/>
              <w:jc w:val="center"/>
              <w:rPr>
                <w:rFonts w:ascii="Times New Roman" w:hAnsi="Times New Roman" w:cs="Times New Roman" w:eastAsia="Times New Roman" w:hint="default"/>
                <w:sz w:val="21"/>
                <w:szCs w:val="21"/>
              </w:rPr>
            </w:pPr>
            <w:r>
              <w:rPr>
                <w:rFonts w:ascii="Times New Roman"/>
                <w:sz w:val="21"/>
              </w:rPr>
              <w:t>3,000.00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74" w:lineRule="exact" w:before="16"/>
              <w:ind w:left="24" w:right="164"/>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w w:val="99"/>
                <w:sz w:val="21"/>
                <w:szCs w:val="21"/>
              </w:rPr>
              <w:t> </w:t>
            </w:r>
            <w:r>
              <w:rPr>
                <w:rFonts w:ascii="宋体" w:hAnsi="宋体" w:cs="宋体" w:eastAsia="宋体" w:hint="default"/>
                <w:sz w:val="21"/>
                <w:szCs w:val="21"/>
              </w:rPr>
              <w:t>抵押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29"/>
              <w:ind w:left="24" w:right="0"/>
              <w:jc w:val="left"/>
              <w:rPr>
                <w:rFonts w:ascii="Times New Roman" w:hAnsi="Times New Roman" w:cs="Times New Roman" w:eastAsia="Times New Roman" w:hint="default"/>
                <w:sz w:val="21"/>
                <w:szCs w:val="21"/>
              </w:rPr>
            </w:pPr>
            <w:r>
              <w:rPr>
                <w:rFonts w:ascii="Times New Roman"/>
                <w:sz w:val="21"/>
              </w:rPr>
              <w:t>2009-8-28</w:t>
            </w:r>
          </w:p>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31"/>
              <w:ind w:left="24" w:right="0"/>
              <w:jc w:val="left"/>
              <w:rPr>
                <w:rFonts w:ascii="Times New Roman" w:hAnsi="Times New Roman" w:cs="Times New Roman" w:eastAsia="Times New Roman" w:hint="default"/>
                <w:sz w:val="21"/>
                <w:szCs w:val="21"/>
              </w:rPr>
            </w:pPr>
            <w:r>
              <w:rPr>
                <w:rFonts w:ascii="Times New Roman"/>
                <w:sz w:val="21"/>
              </w:rPr>
              <w:t>2012-8-27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8"/>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57"/>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72" w:lineRule="exact" w:before="27"/>
              <w:ind w:left="24" w:right="216"/>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15"/>
              <w:ind w:left="24" w:right="0"/>
              <w:jc w:val="left"/>
              <w:rPr>
                <w:rFonts w:ascii="Times New Roman" w:hAnsi="Times New Roman" w:cs="Times New Roman" w:eastAsia="Times New Roman" w:hint="default"/>
                <w:sz w:val="21"/>
                <w:szCs w:val="21"/>
              </w:rPr>
            </w:pPr>
            <w:r>
              <w:rPr>
                <w:rFonts w:ascii="Times New Roman"/>
                <w:sz w:val="21"/>
              </w:rPr>
              <w:t>2009-11-17</w:t>
            </w:r>
          </w:p>
          <w:p>
            <w:pPr>
              <w:pStyle w:val="TableParagraph"/>
              <w:spacing w:line="264"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2009-43</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号公告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sz w:val="21"/>
              </w:rPr>
              <w:t>12,000.00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7,500.00</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72" w:lineRule="exact" w:before="19"/>
              <w:ind w:left="24" w:right="164"/>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w w:val="99"/>
                <w:sz w:val="21"/>
                <w:szCs w:val="21"/>
              </w:rPr>
              <w:t> </w:t>
            </w:r>
            <w:r>
              <w:rPr>
                <w:rFonts w:ascii="宋体" w:hAnsi="宋体" w:cs="宋体" w:eastAsia="宋体" w:hint="default"/>
                <w:sz w:val="21"/>
                <w:szCs w:val="21"/>
              </w:rPr>
              <w:t>抵押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32"/>
              <w:ind w:left="24" w:right="0"/>
              <w:jc w:val="left"/>
              <w:rPr>
                <w:rFonts w:ascii="Times New Roman" w:hAnsi="Times New Roman" w:cs="Times New Roman" w:eastAsia="Times New Roman" w:hint="default"/>
                <w:sz w:val="21"/>
                <w:szCs w:val="21"/>
              </w:rPr>
            </w:pPr>
            <w:r>
              <w:rPr>
                <w:rFonts w:ascii="Times New Roman"/>
                <w:sz w:val="21"/>
              </w:rPr>
              <w:t>2010-3-10</w:t>
            </w:r>
          </w:p>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31"/>
              <w:ind w:left="24" w:right="0"/>
              <w:jc w:val="left"/>
              <w:rPr>
                <w:rFonts w:ascii="Times New Roman" w:hAnsi="Times New Roman" w:cs="Times New Roman" w:eastAsia="Times New Roman" w:hint="default"/>
                <w:sz w:val="21"/>
                <w:szCs w:val="21"/>
              </w:rPr>
            </w:pPr>
            <w:r>
              <w:rPr>
                <w:rFonts w:ascii="Times New Roman"/>
                <w:sz w:val="21"/>
              </w:rPr>
              <w:t>2013-3-9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7"/>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报告期内对子公司担保实际发生</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676" w:right="0"/>
              <w:jc w:val="left"/>
              <w:rPr>
                <w:rFonts w:ascii="Times New Roman" w:hAnsi="Times New Roman" w:cs="Times New Roman" w:eastAsia="Times New Roman" w:hint="default"/>
                <w:sz w:val="21"/>
                <w:szCs w:val="21"/>
              </w:rPr>
            </w:pPr>
            <w:r>
              <w:rPr>
                <w:rFonts w:ascii="Times New Roman"/>
                <w:sz w:val="21"/>
              </w:rPr>
              <w:t>12,500.00</w:t>
            </w: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51" w:right="0" w:hanging="9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89" w:lineRule="exact"/>
              <w:ind w:left="151"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报告期末对子公司实际担保余额</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10233"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报告期内担保实际发生额合计</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676" w:right="0"/>
              <w:jc w:val="left"/>
              <w:rPr>
                <w:rFonts w:ascii="Times New Roman" w:hAnsi="Times New Roman" w:cs="Times New Roman" w:eastAsia="Times New Roman" w:hint="default"/>
                <w:sz w:val="21"/>
                <w:szCs w:val="21"/>
              </w:rPr>
            </w:pPr>
            <w:r>
              <w:rPr>
                <w:rFonts w:ascii="Times New Roman"/>
                <w:sz w:val="21"/>
              </w:rPr>
              <w:t>12,500.00</w:t>
            </w:r>
          </w:p>
        </w:tc>
      </w:tr>
      <w:tr>
        <w:trPr>
          <w:trHeight w:val="554" w:hRule="exact"/>
        </w:trPr>
        <w:tc>
          <w:tcPr>
            <w:tcW w:w="244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0.00</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报告期末实际担保余额合计</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z w:val="21"/>
              </w:rPr>
              <w:t>0.00</w:t>
            </w:r>
          </w:p>
        </w:tc>
      </w:tr>
      <w:tr>
        <w:trPr>
          <w:trHeight w:val="282" w:hRule="exact"/>
        </w:trPr>
        <w:tc>
          <w:tcPr>
            <w:tcW w:w="10233"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3"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z w:val="21"/>
              </w:rPr>
              <w:t>0.00</w:t>
            </w:r>
          </w:p>
        </w:tc>
      </w:tr>
      <w:tr>
        <w:trPr>
          <w:trHeight w:val="556"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0.00</w:t>
            </w:r>
          </w:p>
        </w:tc>
      </w:tr>
      <w:tr>
        <w:trPr>
          <w:trHeight w:val="282"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4615"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6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26" w:lineRule="exact" w:before="0"/>
        <w:ind w:left="91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注：截止2011年6月30日，公司对西安深鸿基公司担保余额为4800万元。</w:t>
      </w:r>
      <w:r>
        <w:rPr>
          <w:rFonts w:ascii="Times New Roman" w:hAnsi="Times New Roman" w:cs="Times New Roman" w:eastAsia="Times New Roman" w:hint="default"/>
          <w:b/>
          <w:bCs/>
          <w:sz w:val="18"/>
          <w:szCs w:val="18"/>
        </w:rPr>
        <w:t>2011</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7</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22</w:t>
      </w:r>
      <w:r>
        <w:rPr>
          <w:rFonts w:ascii="Microsoft JhengHei" w:hAnsi="Microsoft JhengHei" w:cs="Microsoft JhengHei" w:eastAsia="Microsoft JhengHei" w:hint="default"/>
          <w:b/>
          <w:bCs/>
          <w:sz w:val="18"/>
          <w:szCs w:val="18"/>
        </w:rPr>
        <w:t>日，西安深鸿基公司偿还</w:t>
      </w:r>
      <w:r>
        <w:rPr>
          <w:rFonts w:ascii="Microsoft JhengHei" w:hAnsi="Microsoft JhengHei" w:cs="Microsoft JhengHei" w:eastAsia="Microsoft JhengHei" w:hint="default"/>
          <w:sz w:val="18"/>
          <w:szCs w:val="18"/>
        </w:rPr>
      </w:r>
    </w:p>
    <w:p>
      <w:pPr>
        <w:spacing w:before="37"/>
        <w:ind w:left="91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了银行贷款4800万元，公司解除了担保责任。</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22"/>
          <w:szCs w:val="22"/>
        </w:rPr>
      </w:pPr>
    </w:p>
    <w:p>
      <w:pPr>
        <w:pStyle w:val="BodyText"/>
        <w:spacing w:line="355" w:lineRule="auto"/>
        <w:ind w:left="1337" w:right="0" w:hanging="106"/>
        <w:jc w:val="left"/>
      </w:pPr>
      <w:r>
        <w:rPr/>
        <w:t>2、独立董事关于公司第一大股东及其他关联方资金占用和对外担保的独立意见</w:t>
      </w:r>
      <w:r>
        <w:rPr>
          <w:spacing w:val="-94"/>
        </w:rPr>
        <w:t> </w:t>
      </w:r>
      <w:r>
        <w:rPr>
          <w:spacing w:val="-94"/>
        </w:rPr>
      </w:r>
      <w:r>
        <w:rPr/>
        <w:t>根据《公司法》、《关于规范上市公司与关联方资金往来及上市公司对外担保若干问题的</w:t>
      </w:r>
    </w:p>
    <w:p>
      <w:pPr>
        <w:pStyle w:val="BodyText"/>
        <w:spacing w:line="355" w:lineRule="auto" w:before="32"/>
        <w:ind w:left="916" w:right="906"/>
        <w:jc w:val="left"/>
      </w:pPr>
      <w:r>
        <w:rPr>
          <w:spacing w:val="-5"/>
          <w:w w:val="99"/>
        </w:rPr>
        <w:t>通知》（证监发〔2003〕56</w:t>
      </w:r>
      <w:r>
        <w:rPr>
          <w:spacing w:val="-4"/>
          <w:w w:val="99"/>
        </w:rPr>
        <w:t> </w:t>
      </w:r>
      <w:r>
        <w:rPr>
          <w:spacing w:val="-3"/>
          <w:w w:val="98"/>
        </w:rPr>
        <w:t>号）、《关于规范上市公司对外担保行为的通知》（证监发〔2005〕</w:t>
      </w:r>
      <w:r>
        <w:rPr>
          <w:w w:val="49"/>
        </w:rPr>
        <w:t> </w:t>
      </w:r>
      <w:r>
        <w:rPr>
          <w:spacing w:val="-2"/>
        </w:rPr>
        <w:t>120号）、《上市公司章程指引》（证监公司字〔2006〕38号）及本所《股票上市规则》等相关</w:t>
      </w:r>
    </w:p>
    <w:p>
      <w:pPr>
        <w:spacing w:after="0" w:line="355" w:lineRule="auto"/>
        <w:jc w:val="left"/>
        <w:sectPr>
          <w:footerReference w:type="default" r:id="rId20"/>
          <w:pgSz w:w="11910" w:h="16840"/>
          <w:pgMar w:footer="1007" w:header="0" w:top="1040" w:bottom="1200" w:left="960" w:right="480"/>
          <w:pgNumType w:start="39"/>
        </w:sectPr>
      </w:pPr>
    </w:p>
    <w:p>
      <w:pPr>
        <w:pStyle w:val="BodyText"/>
        <w:spacing w:line="355" w:lineRule="auto" w:before="20"/>
        <w:ind w:left="196" w:right="118"/>
        <w:jc w:val="both"/>
      </w:pPr>
      <w:bookmarkStart w:name="七、报告期内的其他事项" w:id="40"/>
      <w:bookmarkEnd w:id="40"/>
      <w:r>
        <w:rPr/>
      </w:r>
      <w:r>
        <w:rPr/>
        <w:t>规定，作为公司独立董事，本着对全体股东负责的态度，经对截止2010年12月31日公司第一大</w:t>
      </w:r>
      <w:r>
        <w:rPr>
          <w:spacing w:val="-96"/>
        </w:rPr>
        <w:t> </w:t>
      </w:r>
      <w:r>
        <w:rPr>
          <w:spacing w:val="-96"/>
        </w:rPr>
      </w:r>
      <w:r>
        <w:rPr/>
        <w:t>股东及其他关联方占用公司资金情况和对外担保情况的认真核查，发表如下独立意见：</w:t>
      </w:r>
    </w:p>
    <w:p>
      <w:pPr>
        <w:pStyle w:val="BodyText"/>
        <w:spacing w:line="355" w:lineRule="auto" w:before="32"/>
        <w:ind w:left="617" w:right="0"/>
        <w:jc w:val="left"/>
      </w:pPr>
      <w:r>
        <w:rPr/>
        <w:t>（1）对公司第一大股东及其他关联方资金占用的独立意见</w:t>
      </w:r>
      <w:r>
        <w:rPr>
          <w:spacing w:val="-100"/>
        </w:rPr>
        <w:t> </w:t>
      </w:r>
      <w:r>
        <w:rPr>
          <w:spacing w:val="-100"/>
        </w:rPr>
      </w:r>
      <w:r>
        <w:rPr/>
        <w:t>报告期内公司不存在第一大股东及其关联方占用公司资金的情况。公司已在《公司章程》</w:t>
      </w:r>
    </w:p>
    <w:p>
      <w:pPr>
        <w:pStyle w:val="BodyText"/>
        <w:spacing w:line="355" w:lineRule="auto" w:before="34"/>
        <w:ind w:left="196" w:right="118"/>
        <w:jc w:val="both"/>
      </w:pPr>
      <w:r>
        <w:rPr/>
        <w:t>中规定了大股东所持股份“占用即冻结”的条款，严防出现第一大股东及其关联方占用公司资</w:t>
      </w:r>
      <w:r>
        <w:rPr>
          <w:spacing w:val="-93"/>
        </w:rPr>
        <w:t> </w:t>
      </w:r>
      <w:r>
        <w:rPr>
          <w:spacing w:val="-93"/>
        </w:rPr>
      </w:r>
      <w:r>
        <w:rPr/>
        <w:t>金的情况。</w:t>
      </w:r>
    </w:p>
    <w:p>
      <w:pPr>
        <w:pStyle w:val="BodyText"/>
        <w:spacing w:line="355" w:lineRule="auto" w:before="32"/>
        <w:ind w:left="617" w:right="4844"/>
        <w:jc w:val="left"/>
      </w:pPr>
      <w:r>
        <w:rPr/>
        <w:t>（2）关于对外担保情况的独立意见：</w:t>
      </w:r>
      <w:r>
        <w:rPr>
          <w:spacing w:val="-102"/>
        </w:rPr>
        <w:t> </w:t>
      </w:r>
      <w:r>
        <w:rPr>
          <w:spacing w:val="-102"/>
        </w:rPr>
      </w:r>
      <w:r>
        <w:rPr/>
        <w:t>我们关注到：</w:t>
      </w:r>
    </w:p>
    <w:p>
      <w:pPr>
        <w:pStyle w:val="BodyText"/>
        <w:spacing w:line="240" w:lineRule="auto" w:before="34"/>
        <w:ind w:left="617" w:right="0"/>
        <w:jc w:val="left"/>
      </w:pPr>
      <w:r>
        <w:rPr/>
        <w:t>①公司对外担保中没有为公司股东、实际控制人及其关联方提供担保。</w:t>
      </w:r>
    </w:p>
    <w:p>
      <w:pPr>
        <w:pStyle w:val="BodyText"/>
        <w:spacing w:line="336" w:lineRule="auto" w:before="133"/>
        <w:ind w:left="196" w:right="109" w:firstLine="421"/>
        <w:jc w:val="both"/>
      </w:pPr>
      <w:r>
        <w:rPr>
          <w:spacing w:val="-2"/>
          <w:w w:val="99"/>
        </w:rPr>
        <w:t>②西安深鸿基房地产开发有限公司已于</w:t>
      </w:r>
      <w:r>
        <w:rPr>
          <w:rFonts w:ascii="Times New Roman" w:hAnsi="Times New Roman" w:cs="Times New Roman" w:eastAsia="Times New Roman" w:hint="default"/>
          <w:spacing w:val="-2"/>
          <w:w w:val="99"/>
        </w:rPr>
        <w:t>2011</w:t>
      </w:r>
      <w:r>
        <w:rPr>
          <w:spacing w:val="-2"/>
          <w:w w:val="99"/>
        </w:rPr>
        <w:t>年</w:t>
      </w:r>
      <w:r>
        <w:rPr>
          <w:rFonts w:ascii="Times New Roman" w:hAnsi="Times New Roman" w:cs="Times New Roman" w:eastAsia="Times New Roman" w:hint="default"/>
          <w:spacing w:val="-2"/>
          <w:w w:val="99"/>
        </w:rPr>
        <w:t>7</w:t>
      </w:r>
      <w:r>
        <w:rPr>
          <w:spacing w:val="-2"/>
          <w:w w:val="99"/>
        </w:rPr>
        <w:t>月</w:t>
      </w:r>
      <w:r>
        <w:rPr>
          <w:rFonts w:ascii="Times New Roman" w:hAnsi="Times New Roman" w:cs="Times New Roman" w:eastAsia="Times New Roman" w:hint="default"/>
          <w:spacing w:val="-2"/>
          <w:w w:val="99"/>
        </w:rPr>
        <w:t>22</w:t>
      </w:r>
      <w:r>
        <w:rPr>
          <w:spacing w:val="-2"/>
          <w:w w:val="99"/>
        </w:rPr>
        <w:t>日偿还了银行贷款余额</w:t>
      </w:r>
      <w:r>
        <w:rPr>
          <w:rFonts w:ascii="Times New Roman" w:hAnsi="Times New Roman" w:cs="Times New Roman" w:eastAsia="Times New Roman" w:hint="default"/>
          <w:spacing w:val="-2"/>
          <w:w w:val="99"/>
        </w:rPr>
        <w:t>4800</w:t>
      </w:r>
      <w:r>
        <w:rPr>
          <w:spacing w:val="-2"/>
          <w:w w:val="99"/>
        </w:rPr>
        <w:t>万元，相应</w:t>
      </w:r>
      <w:r>
        <w:rPr>
          <w:w w:val="99"/>
        </w:rPr>
        <w:t> </w:t>
      </w:r>
      <w:r>
        <w:rPr/>
        <w:t>解除了公司担保责任。截至报告期末，公司对外担保余额为0。</w:t>
      </w:r>
    </w:p>
    <w:p>
      <w:pPr>
        <w:pStyle w:val="BodyText"/>
        <w:spacing w:line="357" w:lineRule="auto" w:before="49"/>
        <w:ind w:left="196" w:right="109" w:firstLine="421"/>
        <w:jc w:val="both"/>
      </w:pPr>
      <w:r>
        <w:rPr/>
        <w:t>我们认为：公司能够严格执行中国证监会《关于规范上市公司与关联方资金往来及上市公</w:t>
      </w:r>
      <w:r>
        <w:rPr>
          <w:w w:val="99"/>
        </w:rPr>
        <w:t> </w:t>
      </w:r>
      <w:r>
        <w:rPr>
          <w:spacing w:val="-2"/>
        </w:rPr>
        <w:t>司对外担保若干问题通知》和《关于规范上市公司对外担保行为的通知》的有关规定,以全面推</w:t>
      </w:r>
      <w:r>
        <w:rPr>
          <w:w w:val="99"/>
        </w:rPr>
        <w:t> </w:t>
      </w:r>
      <w:r>
        <w:rPr/>
        <w:t>进内控规范实施工作为契机，强化了对外担保内部控制管理流程，能够防范和控制对外担保风</w:t>
      </w:r>
      <w:r>
        <w:rPr>
          <w:spacing w:val="-91"/>
        </w:rPr>
        <w:t> </w:t>
      </w:r>
      <w:r>
        <w:rPr>
          <w:spacing w:val="-91"/>
        </w:rPr>
      </w:r>
      <w:r>
        <w:rPr/>
        <w:t>险和关联方资金占用风险。</w:t>
      </w:r>
    </w:p>
    <w:p>
      <w:pPr>
        <w:spacing w:line="240" w:lineRule="auto" w:before="7"/>
        <w:rPr>
          <w:rFonts w:ascii="宋体" w:hAnsi="宋体" w:cs="宋体" w:eastAsia="宋体" w:hint="default"/>
          <w:sz w:val="25"/>
          <w:szCs w:val="25"/>
        </w:rPr>
      </w:pPr>
    </w:p>
    <w:p>
      <w:pPr>
        <w:pStyle w:val="Heading4"/>
        <w:spacing w:line="240" w:lineRule="auto"/>
        <w:ind w:right="0"/>
        <w:jc w:val="both"/>
      </w:pPr>
      <w:r>
        <w:rPr/>
        <w:t>七、报告期内的其他事项</w:t>
      </w:r>
    </w:p>
    <w:p>
      <w:pPr>
        <w:spacing w:line="240" w:lineRule="auto" w:before="5"/>
        <w:rPr>
          <w:rFonts w:ascii="宋体" w:hAnsi="宋体" w:cs="宋体" w:eastAsia="宋体" w:hint="default"/>
          <w:sz w:val="28"/>
          <w:szCs w:val="28"/>
        </w:rPr>
      </w:pPr>
    </w:p>
    <w:p>
      <w:pPr>
        <w:pStyle w:val="BodyText"/>
        <w:spacing w:line="240" w:lineRule="auto"/>
        <w:ind w:left="617" w:right="0"/>
        <w:jc w:val="left"/>
      </w:pPr>
      <w:r>
        <w:rPr/>
        <w:t>（一）公司法人股事项相关情况说明</w:t>
      </w:r>
    </w:p>
    <w:p>
      <w:pPr>
        <w:pStyle w:val="BodyText"/>
        <w:spacing w:line="350" w:lineRule="auto" w:before="126"/>
        <w:ind w:left="196" w:right="108" w:firstLine="524"/>
        <w:jc w:val="both"/>
      </w:pPr>
      <w:r>
        <w:rPr>
          <w:spacing w:val="-1"/>
          <w:w w:val="99"/>
        </w:rPr>
        <w:t>公司原持有“昆百大（250</w:t>
      </w:r>
      <w:r>
        <w:rPr>
          <w:spacing w:val="-54"/>
          <w:w w:val="99"/>
        </w:rPr>
        <w:t> </w:t>
      </w:r>
      <w:r>
        <w:rPr>
          <w:spacing w:val="-2"/>
          <w:w w:val="99"/>
        </w:rPr>
        <w:t>万股）、鄂武商</w:t>
      </w:r>
      <w:r>
        <w:rPr>
          <w:spacing w:val="-50"/>
          <w:w w:val="99"/>
        </w:rPr>
        <w:t> </w:t>
      </w:r>
      <w:r>
        <w:rPr>
          <w:spacing w:val="-1"/>
          <w:w w:val="99"/>
        </w:rPr>
        <w:t>A（196.3184</w:t>
      </w:r>
      <w:r>
        <w:rPr>
          <w:spacing w:val="-51"/>
          <w:w w:val="99"/>
        </w:rPr>
        <w:t> </w:t>
      </w:r>
      <w:r>
        <w:rPr>
          <w:spacing w:val="-2"/>
          <w:w w:val="99"/>
        </w:rPr>
        <w:t>万股）、皖能电力（500</w:t>
      </w:r>
      <w:r>
        <w:rPr>
          <w:spacing w:val="-51"/>
          <w:w w:val="99"/>
        </w:rPr>
        <w:t> </w:t>
      </w:r>
      <w:r>
        <w:rPr>
          <w:spacing w:val="-2"/>
          <w:w w:val="87"/>
        </w:rPr>
        <w:t>万股）、</w:t>
      </w:r>
      <w:r>
        <w:rPr>
          <w:w w:val="49"/>
        </w:rPr>
        <w:t> </w:t>
      </w:r>
      <w:r>
        <w:rPr/>
        <w:t>中粮地（247.5</w:t>
      </w:r>
      <w:r>
        <w:rPr>
          <w:spacing w:val="-46"/>
        </w:rPr>
        <w:t> </w:t>
      </w:r>
      <w:r>
        <w:rPr>
          <w:spacing w:val="3"/>
        </w:rPr>
        <w:t>万股）、深能源</w:t>
      </w:r>
      <w:r>
        <w:rPr>
          <w:spacing w:val="-47"/>
        </w:rPr>
        <w:t> </w:t>
      </w:r>
      <w:r>
        <w:rPr/>
        <w:t>A（213.444</w:t>
      </w:r>
      <w:r>
        <w:rPr>
          <w:spacing w:val="-46"/>
        </w:rPr>
        <w:t> </w:t>
      </w:r>
      <w:r>
        <w:rPr>
          <w:spacing w:val="3"/>
        </w:rPr>
        <w:t>万股）”等上市公司法人股，该等法人股于</w:t>
      </w:r>
      <w:r>
        <w:rPr>
          <w:spacing w:val="-50"/>
        </w:rPr>
        <w:t> </w:t>
      </w:r>
      <w:r>
        <w:rPr/>
        <w:t>1993</w:t>
      </w:r>
      <w:r>
        <w:rPr>
          <w:spacing w:val="-103"/>
        </w:rPr>
        <w:t> </w:t>
      </w:r>
      <w:r>
        <w:rPr>
          <w:spacing w:val="-103"/>
        </w:rPr>
      </w:r>
      <w:r>
        <w:rPr>
          <w:w w:val="95"/>
        </w:rPr>
        <w:t>至 1994 年度间与相关公司签订了代持协议，根据该等协议，公司为名义持有该等法人股，不享</w:t>
      </w:r>
      <w:r>
        <w:rPr>
          <w:spacing w:val="-52"/>
          <w:w w:val="95"/>
        </w:rPr>
        <w:t> </w:t>
      </w:r>
      <w:r>
        <w:rPr>
          <w:spacing w:val="-52"/>
          <w:w w:val="95"/>
        </w:rPr>
      </w:r>
      <w:r>
        <w:rPr/>
        <w:t>有该等法人股的实际受益权。公司以前年度未将该等股票纳入财务报表反映。</w:t>
      </w:r>
    </w:p>
    <w:p>
      <w:pPr>
        <w:pStyle w:val="BodyText"/>
        <w:spacing w:line="350" w:lineRule="auto" w:before="27"/>
        <w:ind w:left="196" w:right="108" w:firstLine="570"/>
        <w:jc w:val="both"/>
      </w:pPr>
      <w:r>
        <w:rPr/>
        <w:t>鉴于</w:t>
      </w:r>
      <w:r>
        <w:rPr>
          <w:spacing w:val="-77"/>
        </w:rPr>
        <w:t> </w:t>
      </w:r>
      <w:r>
        <w:rPr/>
        <w:t>2007</w:t>
      </w:r>
      <w:r>
        <w:rPr>
          <w:spacing w:val="-76"/>
        </w:rPr>
        <w:t> </w:t>
      </w:r>
      <w:r>
        <w:rPr/>
        <w:t>年、2008</w:t>
      </w:r>
      <w:r>
        <w:rPr>
          <w:spacing w:val="-78"/>
        </w:rPr>
        <w:t> </w:t>
      </w:r>
      <w:r>
        <w:rPr/>
        <w:t>年公司出售所持其他上市公司法人股数量较大，涉及委托单位较多，</w:t>
      </w:r>
      <w:r>
        <w:rPr>
          <w:w w:val="56"/>
        </w:rPr>
        <w:t> </w:t>
      </w:r>
      <w:r>
        <w:rPr/>
        <w:t>公司于</w:t>
      </w:r>
      <w:r>
        <w:rPr>
          <w:spacing w:val="-21"/>
        </w:rPr>
        <w:t> </w:t>
      </w:r>
      <w:r>
        <w:rPr/>
        <w:t>2010</w:t>
      </w:r>
      <w:r>
        <w:rPr>
          <w:spacing w:val="-22"/>
        </w:rPr>
        <w:t> </w:t>
      </w:r>
      <w:r>
        <w:rPr/>
        <w:t>年</w:t>
      </w:r>
      <w:r>
        <w:rPr>
          <w:spacing w:val="-21"/>
        </w:rPr>
        <w:t> </w:t>
      </w:r>
      <w:r>
        <w:rPr/>
        <w:t>7</w:t>
      </w:r>
      <w:r>
        <w:rPr>
          <w:spacing w:val="-22"/>
        </w:rPr>
        <w:t> </w:t>
      </w:r>
      <w:r>
        <w:rPr/>
        <w:t>月成立清理历年取得和出售所持其他上市公司限售股专责工作小组。之后，</w:t>
      </w:r>
      <w:r>
        <w:rPr>
          <w:w w:val="53"/>
        </w:rPr>
        <w:t> </w:t>
      </w:r>
      <w:r>
        <w:rPr/>
        <w:t>第六届董事局成立了法人股专项调查组，调查组由公司独立董事、职工董事及公司党委书记组</w:t>
      </w:r>
      <w:r>
        <w:rPr>
          <w:spacing w:val="-93"/>
        </w:rPr>
        <w:t> </w:t>
      </w:r>
      <w:r>
        <w:rPr>
          <w:spacing w:val="-93"/>
        </w:rPr>
      </w:r>
      <w:r>
        <w:rPr/>
        <w:t>成，通过核查、多次约谈相关人员，清理、核查了部份法人股的相关情况。经董事局委托董事</w:t>
      </w:r>
      <w:r>
        <w:rPr>
          <w:spacing w:val="-93"/>
        </w:rPr>
        <w:t> </w:t>
      </w:r>
      <w:r>
        <w:rPr>
          <w:spacing w:val="-93"/>
        </w:rPr>
      </w:r>
      <w:r>
        <w:rPr>
          <w:spacing w:val="1"/>
          <w:w w:val="99"/>
        </w:rPr>
        <w:t>局审计委员会聘请深圳联创立信会计师事务所</w:t>
      </w:r>
      <w:r>
        <w:rPr>
          <w:spacing w:val="3"/>
          <w:w w:val="99"/>
        </w:rPr>
        <w:t> </w:t>
      </w:r>
      <w:r>
        <w:rPr>
          <w:spacing w:val="-4"/>
          <w:w w:val="99"/>
        </w:rPr>
        <w:t>（以下简称“联创立信”）进行核查，公司董事</w:t>
      </w:r>
      <w:r>
        <w:rPr>
          <w:w w:val="99"/>
        </w:rPr>
        <w:t> </w:t>
      </w:r>
      <w:r>
        <w:rPr/>
        <w:t>局于</w:t>
      </w:r>
      <w:r>
        <w:rPr>
          <w:spacing w:val="-66"/>
        </w:rPr>
        <w:t> </w:t>
      </w:r>
      <w:r>
        <w:rPr/>
        <w:t>2010</w:t>
      </w:r>
      <w:r>
        <w:rPr>
          <w:spacing w:val="-67"/>
        </w:rPr>
        <w:t> </w:t>
      </w:r>
      <w:r>
        <w:rPr/>
        <w:t>年</w:t>
      </w:r>
      <w:r>
        <w:rPr>
          <w:spacing w:val="-68"/>
        </w:rPr>
        <w:t> </w:t>
      </w:r>
      <w:r>
        <w:rPr/>
        <w:t>12</w:t>
      </w:r>
      <w:r>
        <w:rPr>
          <w:spacing w:val="-67"/>
        </w:rPr>
        <w:t> </w:t>
      </w:r>
      <w:r>
        <w:rPr/>
        <w:t>月</w:t>
      </w:r>
      <w:r>
        <w:rPr>
          <w:spacing w:val="-68"/>
        </w:rPr>
        <w:t> </w:t>
      </w:r>
      <w:r>
        <w:rPr/>
        <w:t>10</w:t>
      </w:r>
      <w:r>
        <w:rPr>
          <w:spacing w:val="-67"/>
        </w:rPr>
        <w:t> </w:t>
      </w:r>
      <w:r>
        <w:rPr/>
        <w:t>日听取了联创立信就初步核查的法人股相关事项出具的阶段性专项审计报</w:t>
      </w:r>
    </w:p>
    <w:p>
      <w:pPr>
        <w:pStyle w:val="BodyText"/>
        <w:spacing w:line="331" w:lineRule="auto" w:before="27"/>
        <w:ind w:left="196" w:right="104"/>
        <w:jc w:val="both"/>
      </w:pPr>
      <w:r>
        <w:rPr>
          <w:spacing w:val="-3"/>
          <w:w w:val="99"/>
        </w:rPr>
        <w:t>告，认为：“</w:t>
      </w:r>
      <w:r>
        <w:rPr>
          <w:rFonts w:ascii="Times New Roman" w:hAnsi="Times New Roman" w:cs="Times New Roman" w:eastAsia="Times New Roman" w:hint="default"/>
          <w:spacing w:val="-3"/>
          <w:w w:val="99"/>
        </w:rPr>
        <w:t>1</w:t>
      </w:r>
      <w:r>
        <w:rPr>
          <w:spacing w:val="-3"/>
          <w:w w:val="99"/>
        </w:rPr>
        <w:t>、公司代深圳市龙岗新鸿进实业有限公司</w:t>
      </w:r>
      <w:r>
        <w:rPr>
          <w:rFonts w:ascii="Times New Roman" w:hAnsi="Times New Roman" w:cs="Times New Roman" w:eastAsia="Times New Roman" w:hint="default"/>
          <w:spacing w:val="-3"/>
          <w:w w:val="99"/>
        </w:rPr>
        <w:t>(</w:t>
      </w:r>
      <w:r>
        <w:rPr>
          <w:spacing w:val="-3"/>
          <w:w w:val="99"/>
        </w:rPr>
        <w:t>以下简称新鸿进公司</w:t>
      </w:r>
      <w:r>
        <w:rPr>
          <w:rFonts w:ascii="Times New Roman" w:hAnsi="Times New Roman" w:cs="Times New Roman" w:eastAsia="Times New Roman" w:hint="default"/>
          <w:spacing w:val="-3"/>
          <w:w w:val="99"/>
        </w:rPr>
        <w:t>)</w:t>
      </w:r>
      <w:r>
        <w:rPr>
          <w:spacing w:val="-3"/>
          <w:w w:val="99"/>
        </w:rPr>
        <w:t>持有</w:t>
      </w:r>
      <w:r>
        <w:rPr>
          <w:spacing w:val="-39"/>
          <w:w w:val="99"/>
        </w:rPr>
        <w:t> </w:t>
      </w:r>
      <w:r>
        <w:rPr>
          <w:rFonts w:ascii="Times New Roman" w:hAnsi="Times New Roman" w:cs="Times New Roman" w:eastAsia="Times New Roman" w:hint="default"/>
          <w:w w:val="99"/>
        </w:rPr>
        <w:t>60</w:t>
      </w:r>
      <w:r>
        <w:rPr>
          <w:rFonts w:ascii="Times New Roman" w:hAnsi="Times New Roman" w:cs="Times New Roman" w:eastAsia="Times New Roman" w:hint="default"/>
          <w:spacing w:val="9"/>
          <w:w w:val="99"/>
        </w:rPr>
        <w:t> </w:t>
      </w:r>
      <w:r>
        <w:rPr>
          <w:spacing w:val="-2"/>
          <w:w w:val="99"/>
        </w:rPr>
        <w:t>万股‘皖</w:t>
      </w:r>
      <w:r>
        <w:rPr>
          <w:spacing w:val="-101"/>
          <w:w w:val="99"/>
        </w:rPr>
        <w:t> </w:t>
      </w:r>
      <w:r>
        <w:rPr>
          <w:spacing w:val="-101"/>
          <w:w w:val="99"/>
        </w:rPr>
      </w:r>
      <w:r>
        <w:rPr>
          <w:spacing w:val="-10"/>
          <w:w w:val="99"/>
        </w:rPr>
        <w:t>能电力’、</w:t>
      </w:r>
      <w:r>
        <w:rPr>
          <w:rFonts w:ascii="Times New Roman" w:hAnsi="Times New Roman" w:cs="Times New Roman" w:eastAsia="Times New Roman" w:hint="default"/>
          <w:spacing w:val="-10"/>
          <w:w w:val="99"/>
        </w:rPr>
        <w:t>196.3184</w:t>
      </w:r>
      <w:r>
        <w:rPr>
          <w:rFonts w:ascii="Times New Roman" w:hAnsi="Times New Roman" w:cs="Times New Roman" w:eastAsia="Times New Roman" w:hint="default"/>
          <w:spacing w:val="13"/>
          <w:w w:val="99"/>
        </w:rPr>
        <w:t> </w:t>
      </w:r>
      <w:r>
        <w:rPr>
          <w:spacing w:val="-13"/>
          <w:w w:val="99"/>
        </w:rPr>
        <w:t>万股‘鄂武商’、</w:t>
      </w:r>
      <w:r>
        <w:rPr>
          <w:rFonts w:ascii="Times New Roman" w:hAnsi="Times New Roman" w:cs="Times New Roman" w:eastAsia="Times New Roman" w:hint="default"/>
          <w:spacing w:val="-13"/>
          <w:w w:val="99"/>
        </w:rPr>
        <w:t>150</w:t>
      </w:r>
      <w:r>
        <w:rPr>
          <w:rFonts w:ascii="Times New Roman" w:hAnsi="Times New Roman" w:cs="Times New Roman" w:eastAsia="Times New Roman" w:hint="default"/>
          <w:spacing w:val="13"/>
          <w:w w:val="99"/>
        </w:rPr>
        <w:t> </w:t>
      </w:r>
      <w:r>
        <w:rPr>
          <w:spacing w:val="-6"/>
          <w:w w:val="99"/>
        </w:rPr>
        <w:t>万股‘昆百大’，公司代深圳业丰工贸发展有限公司</w:t>
      </w:r>
      <w:r>
        <w:rPr>
          <w:rFonts w:ascii="Times New Roman" w:hAnsi="Times New Roman" w:cs="Times New Roman" w:eastAsia="Times New Roman" w:hint="default"/>
          <w:spacing w:val="-6"/>
          <w:w w:val="99"/>
        </w:rPr>
        <w:t>(</w:t>
      </w:r>
      <w:r>
        <w:rPr>
          <w:spacing w:val="-6"/>
          <w:w w:val="99"/>
        </w:rPr>
        <w:t>以</w:t>
      </w:r>
      <w:r>
        <w:rPr>
          <w:spacing w:val="-99"/>
          <w:w w:val="99"/>
        </w:rPr>
        <w:t> </w:t>
      </w:r>
      <w:r>
        <w:rPr>
          <w:spacing w:val="1"/>
          <w:w w:val="99"/>
        </w:rPr>
        <w:t>下简称业丰工贸</w:t>
      </w:r>
      <w:r>
        <w:rPr>
          <w:rFonts w:ascii="Times New Roman" w:hAnsi="Times New Roman" w:cs="Times New Roman" w:eastAsia="Times New Roman" w:hint="default"/>
          <w:spacing w:val="1"/>
          <w:w w:val="99"/>
        </w:rPr>
        <w:t>)</w:t>
      </w:r>
      <w:r>
        <w:rPr>
          <w:spacing w:val="1"/>
          <w:w w:val="99"/>
        </w:rPr>
        <w:t>持有</w:t>
      </w:r>
      <w:r>
        <w:rPr>
          <w:spacing w:val="-45"/>
          <w:w w:val="99"/>
        </w:rPr>
        <w:t> </w:t>
      </w:r>
      <w:r>
        <w:rPr>
          <w:rFonts w:ascii="Times New Roman" w:hAnsi="Times New Roman" w:cs="Times New Roman" w:eastAsia="Times New Roman" w:hint="default"/>
          <w:w w:val="99"/>
        </w:rPr>
        <w:t>440</w:t>
      </w:r>
      <w:r>
        <w:rPr>
          <w:rFonts w:ascii="Times New Roman" w:hAnsi="Times New Roman" w:cs="Times New Roman" w:eastAsia="Times New Roman" w:hint="default"/>
          <w:spacing w:val="9"/>
          <w:w w:val="99"/>
        </w:rPr>
        <w:t> </w:t>
      </w:r>
      <w:r>
        <w:rPr>
          <w:spacing w:val="-2"/>
          <w:w w:val="99"/>
        </w:rPr>
        <w:t>万股‘皖能电力’，新鸿进、业丰工贸并未支付相应购买法人股的资</w:t>
      </w:r>
      <w:r>
        <w:rPr>
          <w:spacing w:val="-101"/>
          <w:w w:val="99"/>
        </w:rPr>
        <w:t> </w:t>
      </w:r>
      <w:r>
        <w:rPr>
          <w:spacing w:val="-101"/>
          <w:w w:val="99"/>
        </w:rPr>
      </w:r>
      <w:r>
        <w:rPr>
          <w:spacing w:val="-2"/>
        </w:rPr>
        <w:t>金，其所有权益均为公司所有。</w:t>
      </w:r>
      <w:r>
        <w:rPr>
          <w:rFonts w:ascii="Times New Roman" w:hAnsi="Times New Roman" w:cs="Times New Roman" w:eastAsia="Times New Roman" w:hint="default"/>
          <w:spacing w:val="-2"/>
        </w:rPr>
        <w:t>2</w:t>
      </w:r>
      <w:r>
        <w:rPr>
          <w:spacing w:val="-2"/>
        </w:rPr>
        <w:t>、公司接受新鸿进、业丰工贸的委托，将出售该部份法人股收</w:t>
      </w:r>
      <w:r>
        <w:rPr>
          <w:w w:val="99"/>
        </w:rPr>
        <w:t> 入</w:t>
      </w:r>
      <w:r>
        <w:rPr>
          <w:spacing w:val="-39"/>
          <w:w w:val="99"/>
        </w:rPr>
        <w:t> </w:t>
      </w:r>
      <w:r>
        <w:rPr>
          <w:rFonts w:ascii="Times New Roman" w:hAnsi="Times New Roman" w:cs="Times New Roman" w:eastAsia="Times New Roman" w:hint="default"/>
          <w:w w:val="99"/>
        </w:rPr>
        <w:t>86,706,094.36</w:t>
      </w:r>
      <w:r>
        <w:rPr>
          <w:rFonts w:ascii="Times New Roman" w:hAnsi="Times New Roman" w:cs="Times New Roman" w:eastAsia="Times New Roman" w:hint="default"/>
          <w:spacing w:val="12"/>
          <w:w w:val="99"/>
        </w:rPr>
        <w:t> </w:t>
      </w:r>
      <w:r>
        <w:rPr>
          <w:spacing w:val="1"/>
          <w:w w:val="99"/>
        </w:rPr>
        <w:t>元分别支付给深圳市龙岗爱侨实业有限公司（以下简称爱侨公司</w:t>
      </w:r>
      <w:r>
        <w:rPr>
          <w:spacing w:val="-82"/>
          <w:w w:val="99"/>
        </w:rPr>
        <w:t> </w:t>
      </w:r>
      <w:r>
        <w:rPr>
          <w:spacing w:val="-17"/>
          <w:w w:val="99"/>
        </w:rPr>
        <w:t>）、深圳市鸿</w:t>
      </w:r>
      <w:r>
        <w:rPr>
          <w:spacing w:val="-98"/>
          <w:w w:val="99"/>
        </w:rPr>
        <w:t> </w:t>
      </w:r>
      <w:r>
        <w:rPr>
          <w:spacing w:val="-98"/>
          <w:w w:val="99"/>
        </w:rPr>
      </w:r>
      <w:r>
        <w:rPr>
          <w:spacing w:val="-9"/>
          <w:w w:val="99"/>
        </w:rPr>
        <w:t>其基实业发展有限公司（以下简称鸿其基公司）。”</w:t>
      </w:r>
      <w:r>
        <w:rPr>
          <w:spacing w:val="-9"/>
        </w:rPr>
      </w:r>
    </w:p>
    <w:p>
      <w:pPr>
        <w:pStyle w:val="BodyText"/>
        <w:spacing w:line="240" w:lineRule="auto" w:before="43"/>
        <w:ind w:left="766" w:right="0"/>
        <w:jc w:val="left"/>
      </w:pPr>
      <w:r>
        <w:rPr/>
        <w:t>自</w:t>
      </w:r>
      <w:r>
        <w:rPr>
          <w:spacing w:val="-48"/>
        </w:rPr>
        <w:t> </w:t>
      </w:r>
      <w:r>
        <w:rPr/>
        <w:t>2010</w:t>
      </w:r>
      <w:r>
        <w:rPr>
          <w:spacing w:val="-49"/>
        </w:rPr>
        <w:t> </w:t>
      </w:r>
      <w:r>
        <w:rPr/>
        <w:t>年</w:t>
      </w:r>
      <w:r>
        <w:rPr>
          <w:spacing w:val="-48"/>
        </w:rPr>
        <w:t> </w:t>
      </w:r>
      <w:r>
        <w:rPr/>
        <w:t>11</w:t>
      </w:r>
      <w:r>
        <w:rPr>
          <w:spacing w:val="-49"/>
        </w:rPr>
        <w:t> </w:t>
      </w:r>
      <w:r>
        <w:rPr/>
        <w:t>月</w:t>
      </w:r>
      <w:r>
        <w:rPr>
          <w:spacing w:val="-45"/>
        </w:rPr>
        <w:t> </w:t>
      </w:r>
      <w:r>
        <w:rPr/>
        <w:t>2</w:t>
      </w:r>
      <w:r>
        <w:rPr>
          <w:spacing w:val="-49"/>
        </w:rPr>
        <w:t> </w:t>
      </w:r>
      <w:r>
        <w:rPr/>
        <w:t>日始至</w:t>
      </w:r>
      <w:r>
        <w:rPr>
          <w:spacing w:val="-45"/>
        </w:rPr>
        <w:t> </w:t>
      </w:r>
      <w:r>
        <w:rPr/>
        <w:t>12</w:t>
      </w:r>
      <w:r>
        <w:rPr>
          <w:spacing w:val="-46"/>
        </w:rPr>
        <w:t> </w:t>
      </w:r>
      <w:r>
        <w:rPr/>
        <w:t>月</w:t>
      </w:r>
      <w:r>
        <w:rPr>
          <w:spacing w:val="-48"/>
        </w:rPr>
        <w:t> </w:t>
      </w:r>
      <w:r>
        <w:rPr/>
        <w:t>14</w:t>
      </w:r>
      <w:r>
        <w:rPr>
          <w:spacing w:val="-49"/>
        </w:rPr>
        <w:t> </w:t>
      </w:r>
      <w:r>
        <w:rPr/>
        <w:t>日，公司陆续收到由深圳市龙岗爱侨实业有限公司转</w:t>
      </w:r>
    </w:p>
    <w:p>
      <w:pPr>
        <w:spacing w:after="0" w:line="240" w:lineRule="auto"/>
        <w:jc w:val="left"/>
        <w:sectPr>
          <w:footerReference w:type="default" r:id="rId21"/>
          <w:pgSz w:w="11910" w:h="16840"/>
          <w:pgMar w:footer="1007" w:header="0" w:top="1060" w:bottom="1200" w:left="1680" w:right="1280"/>
          <w:pgNumType w:start="40"/>
        </w:sectPr>
      </w:pPr>
    </w:p>
    <w:p>
      <w:pPr>
        <w:pStyle w:val="BodyText"/>
        <w:spacing w:line="240" w:lineRule="auto" w:before="8"/>
        <w:ind w:left="196" w:right="0"/>
        <w:jc w:val="both"/>
      </w:pPr>
      <w:r>
        <w:rPr/>
        <w:t>入的</w:t>
      </w:r>
      <w:r>
        <w:rPr>
          <w:spacing w:val="-76"/>
        </w:rPr>
        <w:t> </w:t>
      </w:r>
      <w:r>
        <w:rPr/>
        <w:t>4349</w:t>
      </w:r>
      <w:r>
        <w:rPr>
          <w:spacing w:val="-75"/>
        </w:rPr>
        <w:t> </w:t>
      </w:r>
      <w:r>
        <w:rPr/>
        <w:t>余万元。之后，通过公司努力又收到深圳市龙岗爱侨实业有限公司转入的</w:t>
      </w:r>
      <w:r>
        <w:rPr>
          <w:spacing w:val="-73"/>
        </w:rPr>
        <w:t> </w:t>
      </w:r>
      <w:r>
        <w:rPr/>
        <w:t>342</w:t>
      </w:r>
      <w:r>
        <w:rPr>
          <w:spacing w:val="-75"/>
        </w:rPr>
        <w:t> </w:t>
      </w:r>
      <w:r>
        <w:rPr/>
        <w:t>万元，</w:t>
      </w:r>
    </w:p>
    <w:p>
      <w:pPr>
        <w:pStyle w:val="BodyText"/>
        <w:spacing w:line="240" w:lineRule="auto" w:before="126"/>
        <w:ind w:left="196" w:right="0"/>
        <w:jc w:val="both"/>
      </w:pPr>
      <w:r>
        <w:rPr/>
        <w:t>截止</w:t>
      </w:r>
      <w:r>
        <w:rPr>
          <w:spacing w:val="-54"/>
        </w:rPr>
        <w:t> </w:t>
      </w:r>
      <w:r>
        <w:rPr/>
        <w:t>2010</w:t>
      </w:r>
      <w:r>
        <w:rPr>
          <w:spacing w:val="-53"/>
        </w:rPr>
        <w:t> </w:t>
      </w:r>
      <w:r>
        <w:rPr/>
        <w:t>年</w:t>
      </w:r>
      <w:r>
        <w:rPr>
          <w:spacing w:val="-49"/>
        </w:rPr>
        <w:t> </w:t>
      </w:r>
      <w:r>
        <w:rPr/>
        <w:t>12</w:t>
      </w:r>
      <w:r>
        <w:rPr>
          <w:spacing w:val="-53"/>
        </w:rPr>
        <w:t> </w:t>
      </w:r>
      <w:r>
        <w:rPr/>
        <w:t>月</w:t>
      </w:r>
      <w:r>
        <w:rPr>
          <w:spacing w:val="-52"/>
        </w:rPr>
        <w:t> </w:t>
      </w:r>
      <w:r>
        <w:rPr/>
        <w:t>31</w:t>
      </w:r>
      <w:r>
        <w:rPr>
          <w:spacing w:val="-50"/>
        </w:rPr>
        <w:t> </w:t>
      </w:r>
      <w:r>
        <w:rPr/>
        <w:t>日，共计收到深圳市龙岗爱侨实业有限公司转入的</w:t>
      </w:r>
      <w:r>
        <w:rPr>
          <w:spacing w:val="-54"/>
        </w:rPr>
        <w:t> </w:t>
      </w:r>
      <w:r>
        <w:rPr/>
        <w:t>4690</w:t>
      </w:r>
      <w:r>
        <w:rPr>
          <w:spacing w:val="-50"/>
        </w:rPr>
        <w:t> </w:t>
      </w:r>
      <w:r>
        <w:rPr/>
        <w:t>余万元。</w:t>
      </w:r>
    </w:p>
    <w:p>
      <w:pPr>
        <w:pStyle w:val="BodyText"/>
        <w:spacing w:line="240" w:lineRule="auto" w:before="126"/>
        <w:ind w:left="655" w:right="0"/>
        <w:jc w:val="center"/>
      </w:pPr>
      <w:r>
        <w:rPr>
          <w:spacing w:val="-4"/>
        </w:rPr>
        <w:t>董事局认为，截止</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年度审计时公司法人股事项尚未完整查明全部相关事实及取得充</w:t>
      </w:r>
    </w:p>
    <w:p>
      <w:pPr>
        <w:pStyle w:val="BodyText"/>
        <w:spacing w:line="340" w:lineRule="auto" w:before="107"/>
        <w:ind w:left="196" w:right="108"/>
        <w:jc w:val="both"/>
      </w:pPr>
      <w:r>
        <w:rPr>
          <w:spacing w:val="-2"/>
        </w:rPr>
        <w:t>分的法律性依据，无法对该事项作出具体会计处理；与此同时，对由爱侨公司转入的款项</w:t>
      </w:r>
      <w:r>
        <w:rPr>
          <w:spacing w:val="-60"/>
        </w:rPr>
        <w:t> </w:t>
      </w:r>
      <w:r>
        <w:rPr>
          <w:rFonts w:ascii="Times New Roman" w:hAnsi="Times New Roman" w:cs="Times New Roman" w:eastAsia="Times New Roman" w:hint="default"/>
        </w:rPr>
        <w:t>4,690</w:t>
      </w:r>
      <w:r>
        <w:rPr>
          <w:rFonts w:ascii="Times New Roman" w:hAnsi="Times New Roman" w:cs="Times New Roman" w:eastAsia="Times New Roman" w:hint="default"/>
          <w:w w:val="99"/>
        </w:rPr>
        <w:t> </w:t>
      </w:r>
      <w:r>
        <w:rPr/>
        <w:t>余万元，爱侨公司并未表示款项来源，公司无法将该款项与涉及的法人股一一对应，公司暂将</w:t>
      </w:r>
      <w:r>
        <w:rPr>
          <w:spacing w:val="-93"/>
        </w:rPr>
        <w:t> </w:t>
      </w:r>
      <w:r>
        <w:rPr>
          <w:spacing w:val="-93"/>
        </w:rPr>
      </w:r>
      <w:r>
        <w:rPr/>
        <w:t>该款项</w:t>
      </w:r>
      <w:r>
        <w:rPr>
          <w:spacing w:val="-49"/>
        </w:rPr>
        <w:t> </w:t>
      </w:r>
      <w:r>
        <w:rPr>
          <w:rFonts w:ascii="Times New Roman" w:hAnsi="Times New Roman" w:cs="Times New Roman" w:eastAsia="Times New Roman" w:hint="default"/>
        </w:rPr>
        <w:t>4,690</w:t>
      </w:r>
      <w:r>
        <w:rPr>
          <w:rFonts w:ascii="Times New Roman" w:hAnsi="Times New Roman" w:cs="Times New Roman" w:eastAsia="Times New Roman" w:hint="default"/>
          <w:spacing w:val="3"/>
        </w:rPr>
        <w:t> </w:t>
      </w:r>
      <w:r>
        <w:rPr/>
        <w:t>余万元暂挂往来科目核算。</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年度审计时，深圳市鹏城会计师事务所有限公司</w:t>
      </w:r>
      <w:r>
        <w:rPr>
          <w:spacing w:val="-103"/>
        </w:rPr>
        <w:t> </w:t>
      </w:r>
      <w:r>
        <w:rPr>
          <w:spacing w:val="-103"/>
        </w:rPr>
      </w:r>
      <w:r>
        <w:rPr/>
        <w:t>注册会计师认为：前述事项相关财务报表的确认充分适当依据涉及公司外部的机构或个人，会</w:t>
      </w:r>
      <w:r>
        <w:rPr>
          <w:spacing w:val="-89"/>
        </w:rPr>
        <w:t> </w:t>
      </w:r>
      <w:r>
        <w:rPr>
          <w:spacing w:val="-89"/>
        </w:rPr>
      </w:r>
      <w:r>
        <w:rPr>
          <w:spacing w:val="-3"/>
        </w:rPr>
        <w:t>计师无法实施有效的审计程序，以获取充分适当的审计证据，故对公司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年度财务报告出具</w:t>
      </w:r>
    </w:p>
    <w:p>
      <w:pPr>
        <w:pStyle w:val="BodyText"/>
        <w:spacing w:line="240" w:lineRule="auto" w:before="12"/>
        <w:ind w:left="196" w:right="0"/>
        <w:jc w:val="both"/>
      </w:pPr>
      <w:r>
        <w:rPr>
          <w:spacing w:val="2"/>
          <w:w w:val="99"/>
        </w:rPr>
        <w:t>了</w:t>
      </w:r>
      <w:r>
        <w:rPr>
          <w:w w:val="99"/>
        </w:rPr>
        <w:t>有</w:t>
      </w:r>
      <w:r>
        <w:rPr>
          <w:spacing w:val="2"/>
          <w:w w:val="99"/>
        </w:rPr>
        <w:t>保</w:t>
      </w:r>
      <w:r>
        <w:rPr>
          <w:w w:val="99"/>
        </w:rPr>
        <w:t>留</w:t>
      </w:r>
      <w:r>
        <w:rPr>
          <w:spacing w:val="2"/>
          <w:w w:val="99"/>
        </w:rPr>
        <w:t>意</w:t>
      </w:r>
      <w:r>
        <w:rPr>
          <w:w w:val="99"/>
        </w:rPr>
        <w:t>见</w:t>
      </w:r>
      <w:r>
        <w:rPr>
          <w:spacing w:val="2"/>
          <w:w w:val="99"/>
        </w:rPr>
        <w:t>的</w:t>
      </w:r>
      <w:r>
        <w:rPr>
          <w:w w:val="99"/>
        </w:rPr>
        <w:t>审</w:t>
      </w:r>
      <w:r>
        <w:rPr>
          <w:spacing w:val="2"/>
          <w:w w:val="99"/>
        </w:rPr>
        <w:t>计</w:t>
      </w:r>
      <w:r>
        <w:rPr>
          <w:w w:val="99"/>
        </w:rPr>
        <w:t>报告</w:t>
      </w:r>
      <w:r>
        <w:rPr>
          <w:spacing w:val="-97"/>
          <w:w w:val="99"/>
        </w:rPr>
        <w:t>。</w:t>
      </w:r>
      <w:r>
        <w:rPr>
          <w:spacing w:val="2"/>
          <w:w w:val="99"/>
        </w:rPr>
        <w:t>因</w:t>
      </w:r>
      <w:r>
        <w:rPr>
          <w:w w:val="99"/>
        </w:rPr>
        <w:t>深</w:t>
      </w:r>
      <w:r>
        <w:rPr>
          <w:spacing w:val="2"/>
          <w:w w:val="99"/>
        </w:rPr>
        <w:t>圳</w:t>
      </w:r>
      <w:r>
        <w:rPr>
          <w:w w:val="99"/>
        </w:rPr>
        <w:t>市</w:t>
      </w:r>
      <w:r>
        <w:rPr>
          <w:spacing w:val="2"/>
          <w:w w:val="99"/>
        </w:rPr>
        <w:t>鹏</w:t>
      </w:r>
      <w:r>
        <w:rPr>
          <w:w w:val="99"/>
        </w:rPr>
        <w:t>城</w:t>
      </w:r>
      <w:r>
        <w:rPr>
          <w:spacing w:val="2"/>
          <w:w w:val="99"/>
        </w:rPr>
        <w:t>会</w:t>
      </w:r>
      <w:r>
        <w:rPr>
          <w:w w:val="99"/>
        </w:rPr>
        <w:t>计</w:t>
      </w:r>
      <w:r>
        <w:rPr>
          <w:spacing w:val="2"/>
          <w:w w:val="99"/>
        </w:rPr>
        <w:t>师</w:t>
      </w:r>
      <w:r>
        <w:rPr>
          <w:w w:val="99"/>
        </w:rPr>
        <w:t>事</w:t>
      </w:r>
      <w:r>
        <w:rPr>
          <w:spacing w:val="2"/>
          <w:w w:val="99"/>
        </w:rPr>
        <w:t>务</w:t>
      </w:r>
      <w:r>
        <w:rPr>
          <w:w w:val="99"/>
        </w:rPr>
        <w:t>所</w:t>
      </w:r>
      <w:r>
        <w:rPr>
          <w:spacing w:val="2"/>
          <w:w w:val="99"/>
        </w:rPr>
        <w:t>有</w:t>
      </w:r>
      <w:r>
        <w:rPr>
          <w:w w:val="99"/>
        </w:rPr>
        <w:t>限</w:t>
      </w:r>
      <w:r>
        <w:rPr>
          <w:spacing w:val="2"/>
          <w:w w:val="99"/>
        </w:rPr>
        <w:t>公</w:t>
      </w:r>
      <w:r>
        <w:rPr>
          <w:w w:val="99"/>
        </w:rPr>
        <w:t>司</w:t>
      </w:r>
      <w:r>
        <w:rPr>
          <w:spacing w:val="2"/>
          <w:w w:val="99"/>
        </w:rPr>
        <w:t>对</w:t>
      </w:r>
      <w:r>
        <w:rPr>
          <w:w w:val="99"/>
        </w:rPr>
        <w:t>公司</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财</w:t>
      </w:r>
      <w:r>
        <w:rPr>
          <w:w w:val="99"/>
        </w:rPr>
        <w:t>务</w:t>
      </w:r>
      <w:r>
        <w:rPr>
          <w:spacing w:val="2"/>
          <w:w w:val="99"/>
        </w:rPr>
        <w:t>报</w:t>
      </w:r>
      <w:r>
        <w:rPr>
          <w:w w:val="99"/>
        </w:rPr>
        <w:t>告</w:t>
      </w:r>
      <w:r>
        <w:rPr>
          <w:spacing w:val="2"/>
          <w:w w:val="99"/>
        </w:rPr>
        <w:t>出</w:t>
      </w:r>
      <w:r>
        <w:rPr>
          <w:w w:val="99"/>
        </w:rPr>
        <w:t>具</w:t>
      </w:r>
      <w:r>
        <w:rPr/>
      </w:r>
    </w:p>
    <w:p>
      <w:pPr>
        <w:pStyle w:val="BodyText"/>
        <w:spacing w:line="331" w:lineRule="auto" w:before="107"/>
        <w:ind w:left="196" w:right="118"/>
        <w:jc w:val="both"/>
      </w:pPr>
      <w:r>
        <w:rPr/>
        <w:t>保留意见的审计报告，公司股票交易于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日起停牌，公司对非标意见所涉事项进</w:t>
      </w:r>
      <w:r>
        <w:rPr>
          <w:w w:val="99"/>
        </w:rPr>
        <w:t> </w:t>
      </w:r>
      <w:r>
        <w:rPr/>
        <w:t>行核查。</w:t>
      </w:r>
    </w:p>
    <w:p>
      <w:pPr>
        <w:pStyle w:val="BodyText"/>
        <w:spacing w:line="350" w:lineRule="auto" w:before="46"/>
        <w:ind w:left="196" w:right="104" w:firstLine="421"/>
        <w:jc w:val="both"/>
      </w:pPr>
      <w:r>
        <w:rPr>
          <w:w w:val="99"/>
        </w:rPr>
        <w:t>2011</w:t>
      </w:r>
      <w:r>
        <w:rPr>
          <w:spacing w:val="-50"/>
          <w:w w:val="99"/>
        </w:rPr>
        <w:t> </w:t>
      </w:r>
      <w:r>
        <w:rPr>
          <w:w w:val="99"/>
        </w:rPr>
        <w:t>年</w:t>
      </w:r>
      <w:r>
        <w:rPr>
          <w:spacing w:val="-46"/>
          <w:w w:val="99"/>
        </w:rPr>
        <w:t> </w:t>
      </w:r>
      <w:r>
        <w:rPr>
          <w:w w:val="99"/>
        </w:rPr>
        <w:t>6</w:t>
      </w:r>
      <w:r>
        <w:rPr>
          <w:spacing w:val="-50"/>
          <w:w w:val="99"/>
        </w:rPr>
        <w:t> </w:t>
      </w:r>
      <w:r>
        <w:rPr>
          <w:w w:val="99"/>
        </w:rPr>
        <w:t>月</w:t>
      </w:r>
      <w:r>
        <w:rPr>
          <w:spacing w:val="-46"/>
          <w:w w:val="99"/>
        </w:rPr>
        <w:t> </w:t>
      </w:r>
      <w:r>
        <w:rPr>
          <w:w w:val="99"/>
        </w:rPr>
        <w:t>9</w:t>
      </w:r>
      <w:r>
        <w:rPr>
          <w:spacing w:val="-47"/>
          <w:w w:val="99"/>
        </w:rPr>
        <w:t> </w:t>
      </w:r>
      <w:r>
        <w:rPr>
          <w:spacing w:val="-7"/>
          <w:w w:val="99"/>
        </w:rPr>
        <w:t>日联创立信根据进一步核查的情况，出具了专项审计报告（“深联创立信(专)</w:t>
      </w:r>
      <w:r>
        <w:rPr>
          <w:w w:val="99"/>
        </w:rPr>
        <w:t> 审字(2011)第</w:t>
      </w:r>
      <w:r>
        <w:rPr>
          <w:spacing w:val="-46"/>
          <w:w w:val="99"/>
        </w:rPr>
        <w:t> </w:t>
      </w:r>
      <w:r>
        <w:rPr>
          <w:w w:val="99"/>
        </w:rPr>
        <w:t>061</w:t>
      </w:r>
      <w:r>
        <w:rPr>
          <w:spacing w:val="-50"/>
          <w:w w:val="99"/>
        </w:rPr>
        <w:t> </w:t>
      </w:r>
      <w:r>
        <w:rPr>
          <w:spacing w:val="-27"/>
          <w:w w:val="99"/>
        </w:rPr>
        <w:t>号”）。</w:t>
      </w:r>
      <w:r>
        <w:rPr>
          <w:spacing w:val="-49"/>
          <w:w w:val="99"/>
        </w:rPr>
        <w:t> </w:t>
      </w:r>
      <w:r>
        <w:rPr>
          <w:spacing w:val="-4"/>
          <w:w w:val="99"/>
        </w:rPr>
        <w:t>联创立信认为，“根据已查明的公司代深圳市发中实业有限公司（前</w:t>
      </w:r>
      <w:r>
        <w:rPr>
          <w:w w:val="99"/>
        </w:rPr>
        <w:t> </w:t>
      </w:r>
      <w:r>
        <w:rPr/>
        <w:t>身龙岗鸿进、深圳市龙岗新鸿进实业有限公司）持有的皖能电力（60</w:t>
      </w:r>
      <w:r>
        <w:rPr>
          <w:spacing w:val="-77"/>
        </w:rPr>
        <w:t> </w:t>
      </w:r>
      <w:r>
        <w:rPr/>
        <w:t>万股，股改时无须支付对</w:t>
      </w:r>
      <w:r>
        <w:rPr>
          <w:w w:val="99"/>
        </w:rPr>
        <w:t> </w:t>
      </w:r>
      <w:r>
        <w:rPr>
          <w:spacing w:val="-4"/>
        </w:rPr>
        <w:t>价）、鄂武商（原始持股</w:t>
      </w:r>
      <w:r>
        <w:rPr>
          <w:spacing w:val="-61"/>
        </w:rPr>
        <w:t> </w:t>
      </w:r>
      <w:r>
        <w:rPr/>
        <w:t>108</w:t>
      </w:r>
      <w:r>
        <w:rPr>
          <w:spacing w:val="-62"/>
        </w:rPr>
        <w:t> </w:t>
      </w:r>
      <w:r>
        <w:rPr/>
        <w:t>万股，经历年转、送股份后，持股数量增至</w:t>
      </w:r>
      <w:r>
        <w:rPr>
          <w:spacing w:val="-61"/>
        </w:rPr>
        <w:t> </w:t>
      </w:r>
      <w:r>
        <w:rPr/>
        <w:t>196.3184</w:t>
      </w:r>
      <w:r>
        <w:rPr>
          <w:spacing w:val="-62"/>
        </w:rPr>
        <w:t> </w:t>
      </w:r>
      <w:r>
        <w:rPr>
          <w:spacing w:val="-3"/>
        </w:rPr>
        <w:t>万股，股改</w:t>
      </w:r>
    </w:p>
    <w:p>
      <w:pPr>
        <w:pStyle w:val="BodyText"/>
        <w:spacing w:line="350" w:lineRule="auto" w:before="27"/>
        <w:ind w:left="196" w:right="107"/>
        <w:jc w:val="both"/>
      </w:pPr>
      <w:r>
        <w:rPr>
          <w:spacing w:val="-3"/>
        </w:rPr>
        <w:t>时无须支付对价）和昆百大（原始持股</w:t>
      </w:r>
      <w:r>
        <w:rPr>
          <w:spacing w:val="-57"/>
        </w:rPr>
        <w:t> </w:t>
      </w:r>
      <w:r>
        <w:rPr/>
        <w:t>150</w:t>
      </w:r>
      <w:r>
        <w:rPr>
          <w:spacing w:val="-55"/>
        </w:rPr>
        <w:t> </w:t>
      </w:r>
      <w:r>
        <w:rPr/>
        <w:t>万股，股改支付对价后余</w:t>
      </w:r>
      <w:r>
        <w:rPr>
          <w:spacing w:val="-57"/>
        </w:rPr>
        <w:t> </w:t>
      </w:r>
      <w:r>
        <w:rPr/>
        <w:t>110.8100</w:t>
      </w:r>
      <w:r>
        <w:rPr>
          <w:spacing w:val="-58"/>
        </w:rPr>
        <w:t> </w:t>
      </w:r>
      <w:r>
        <w:rPr>
          <w:spacing w:val="-3"/>
        </w:rPr>
        <w:t>万股）股票及代</w:t>
      </w:r>
      <w:r>
        <w:rPr>
          <w:w w:val="99"/>
        </w:rPr>
        <w:t> </w:t>
      </w:r>
      <w:r>
        <w:rPr>
          <w:spacing w:val="2"/>
        </w:rPr>
        <w:t>深圳业丰工贸发展有限公司持有的皖能电力（440</w:t>
      </w:r>
      <w:r>
        <w:rPr>
          <w:spacing w:val="-46"/>
        </w:rPr>
        <w:t> </w:t>
      </w:r>
      <w:r>
        <w:rPr/>
        <w:t>万股，股改时无须支付对价）股票的相关情</w:t>
      </w:r>
      <w:r>
        <w:rPr>
          <w:spacing w:val="-102"/>
        </w:rPr>
        <w:t> </w:t>
      </w:r>
      <w:r>
        <w:rPr>
          <w:spacing w:val="-102"/>
        </w:rPr>
      </w:r>
      <w:r>
        <w:rPr/>
        <w:t>况，上述股票的购入资金全部直接或间接来自于公司，其权益属于公司。上述股票持有期间的</w:t>
      </w:r>
      <w:r>
        <w:rPr>
          <w:spacing w:val="-93"/>
        </w:rPr>
        <w:t> </w:t>
      </w:r>
      <w:r>
        <w:rPr>
          <w:spacing w:val="-93"/>
        </w:rPr>
      </w:r>
      <w:r>
        <w:rPr/>
        <w:t>股票出售款</w:t>
      </w:r>
      <w:r>
        <w:rPr>
          <w:spacing w:val="-54"/>
        </w:rPr>
        <w:t> </w:t>
      </w:r>
      <w:r>
        <w:rPr/>
        <w:t>86,106,094.36</w:t>
      </w:r>
      <w:r>
        <w:rPr>
          <w:spacing w:val="-52"/>
        </w:rPr>
        <w:t> </w:t>
      </w:r>
      <w:r>
        <w:rPr/>
        <w:t>元及分红派息款</w:t>
      </w:r>
      <w:r>
        <w:rPr>
          <w:spacing w:val="-54"/>
        </w:rPr>
        <w:t> </w:t>
      </w:r>
      <w:r>
        <w:rPr/>
        <w:t>8,039,633.96</w:t>
      </w:r>
      <w:r>
        <w:rPr>
          <w:spacing w:val="-52"/>
        </w:rPr>
        <w:t> </w:t>
      </w:r>
      <w:r>
        <w:rPr/>
        <w:t>元应属于公司”。</w:t>
      </w:r>
    </w:p>
    <w:p>
      <w:pPr>
        <w:pStyle w:val="BodyText"/>
        <w:spacing w:line="350" w:lineRule="auto" w:before="29"/>
        <w:ind w:left="196" w:right="107" w:firstLine="421"/>
        <w:jc w:val="both"/>
      </w:pPr>
      <w:r>
        <w:rPr>
          <w:spacing w:val="-2"/>
          <w:w w:val="99"/>
        </w:rPr>
        <w:t>根据法人股事项进一步核查的情况，董事局审计委员会同时聘请了北京地石律师事务所(以</w:t>
      </w:r>
      <w:r>
        <w:rPr>
          <w:w w:val="99"/>
        </w:rPr>
        <w:t> </w:t>
      </w:r>
      <w:r>
        <w:rPr>
          <w:spacing w:val="-7"/>
          <w:w w:val="99"/>
        </w:rPr>
        <w:t>下简称地石律师事务所)谢望原律师出具《法律意见书》，谢望原律师认为，“从联创立信的专项</w:t>
      </w:r>
      <w:r>
        <w:rPr>
          <w:spacing w:val="-72"/>
          <w:w w:val="99"/>
        </w:rPr>
        <w:t> </w:t>
      </w:r>
      <w:r>
        <w:rPr>
          <w:spacing w:val="-72"/>
          <w:w w:val="99"/>
        </w:rPr>
      </w:r>
      <w:r>
        <w:rPr>
          <w:spacing w:val="-1"/>
          <w:w w:val="99"/>
        </w:rPr>
        <w:t>审计报告的材料和证据分析，其中涉及的皖能电力（500</w:t>
      </w:r>
      <w:r>
        <w:rPr>
          <w:spacing w:val="-41"/>
          <w:w w:val="99"/>
        </w:rPr>
        <w:t> </w:t>
      </w:r>
      <w:r>
        <w:rPr>
          <w:spacing w:val="-9"/>
          <w:w w:val="99"/>
        </w:rPr>
        <w:t>万股）、鄂武商（196.3184</w:t>
      </w:r>
      <w:r>
        <w:rPr>
          <w:spacing w:val="-41"/>
          <w:w w:val="99"/>
        </w:rPr>
        <w:t> </w:t>
      </w:r>
      <w:r>
        <w:rPr>
          <w:spacing w:val="-4"/>
          <w:w w:val="99"/>
        </w:rPr>
        <w:t>万股）和昆</w:t>
      </w:r>
      <w:r>
        <w:rPr>
          <w:spacing w:val="-102"/>
          <w:w w:val="99"/>
        </w:rPr>
        <w:t> </w:t>
      </w:r>
      <w:r>
        <w:rPr>
          <w:spacing w:val="-102"/>
          <w:w w:val="99"/>
        </w:rPr>
      </w:r>
      <w:r>
        <w:rPr/>
        <w:t>百大（110.8100</w:t>
      </w:r>
      <w:r>
        <w:rPr>
          <w:spacing w:val="-79"/>
        </w:rPr>
        <w:t> </w:t>
      </w:r>
      <w:r>
        <w:rPr/>
        <w:t>万股）三只股票所谓的“代持法人股”的代持协议无效，其股票权属应当认定</w:t>
      </w:r>
      <w:r>
        <w:rPr>
          <w:w w:val="99"/>
        </w:rPr>
        <w:t> </w:t>
      </w:r>
      <w:r>
        <w:rPr>
          <w:spacing w:val="-15"/>
          <w:w w:val="99"/>
        </w:rPr>
        <w:t>为公司所有”。</w:t>
      </w:r>
      <w:r>
        <w:rPr>
          <w:spacing w:val="-15"/>
        </w:rPr>
      </w:r>
    </w:p>
    <w:p>
      <w:pPr>
        <w:pStyle w:val="BodyText"/>
        <w:spacing w:line="240" w:lineRule="auto" w:before="27"/>
        <w:ind w:left="505" w:right="0"/>
        <w:jc w:val="center"/>
      </w:pPr>
      <w:r>
        <w:rPr>
          <w:spacing w:val="2"/>
          <w:w w:val="99"/>
        </w:rPr>
        <w:t>根</w:t>
      </w:r>
      <w:r>
        <w:rPr>
          <w:w w:val="99"/>
        </w:rPr>
        <w:t>据</w:t>
      </w:r>
      <w:r>
        <w:rPr>
          <w:spacing w:val="2"/>
          <w:w w:val="99"/>
        </w:rPr>
        <w:t>对</w:t>
      </w:r>
      <w:r>
        <w:rPr>
          <w:w w:val="99"/>
        </w:rPr>
        <w:t>上</w:t>
      </w:r>
      <w:r>
        <w:rPr>
          <w:spacing w:val="2"/>
          <w:w w:val="99"/>
        </w:rPr>
        <w:t>述</w:t>
      </w:r>
      <w:r>
        <w:rPr>
          <w:w w:val="99"/>
        </w:rPr>
        <w:t>法</w:t>
      </w:r>
      <w:r>
        <w:rPr>
          <w:spacing w:val="2"/>
          <w:w w:val="99"/>
        </w:rPr>
        <w:t>人</w:t>
      </w:r>
      <w:r>
        <w:rPr>
          <w:w w:val="99"/>
        </w:rPr>
        <w:t>股</w:t>
      </w:r>
      <w:r>
        <w:rPr>
          <w:spacing w:val="2"/>
          <w:w w:val="99"/>
        </w:rPr>
        <w:t>事</w:t>
      </w:r>
      <w:r>
        <w:rPr>
          <w:w w:val="99"/>
        </w:rPr>
        <w:t>项</w:t>
      </w:r>
      <w:r>
        <w:rPr>
          <w:spacing w:val="2"/>
          <w:w w:val="99"/>
        </w:rPr>
        <w:t>已</w:t>
      </w:r>
      <w:r>
        <w:rPr>
          <w:w w:val="99"/>
        </w:rPr>
        <w:t>查</w:t>
      </w:r>
      <w:r>
        <w:rPr>
          <w:spacing w:val="2"/>
          <w:w w:val="99"/>
        </w:rPr>
        <w:t>明</w:t>
      </w:r>
      <w:r>
        <w:rPr>
          <w:w w:val="99"/>
        </w:rPr>
        <w:t>的</w:t>
      </w:r>
      <w:r>
        <w:rPr>
          <w:spacing w:val="2"/>
          <w:w w:val="99"/>
        </w:rPr>
        <w:t>情</w:t>
      </w:r>
      <w:r>
        <w:rPr>
          <w:w w:val="99"/>
        </w:rPr>
        <w:t>况</w:t>
      </w:r>
      <w:r>
        <w:rPr>
          <w:spacing w:val="-99"/>
          <w:w w:val="99"/>
        </w:rPr>
        <w:t>，</w:t>
      </w:r>
      <w:r>
        <w:rPr>
          <w:spacing w:val="2"/>
          <w:w w:val="99"/>
        </w:rPr>
        <w:t>公</w:t>
      </w:r>
      <w:r>
        <w:rPr>
          <w:w w:val="99"/>
        </w:rPr>
        <w:t>司</w:t>
      </w:r>
      <w:r>
        <w:rPr>
          <w:spacing w:val="2"/>
          <w:w w:val="99"/>
        </w:rPr>
        <w:t>对</w:t>
      </w:r>
      <w:r>
        <w:rPr>
          <w:w w:val="99"/>
        </w:rPr>
        <w:t>原</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财</w:t>
      </w:r>
      <w:r>
        <w:rPr>
          <w:w w:val="99"/>
        </w:rPr>
        <w:t>务</w:t>
      </w:r>
      <w:r>
        <w:rPr>
          <w:spacing w:val="2"/>
          <w:w w:val="99"/>
        </w:rPr>
        <w:t>报</w:t>
      </w:r>
      <w:r>
        <w:rPr>
          <w:w w:val="99"/>
        </w:rPr>
        <w:t>表</w:t>
      </w:r>
      <w:r>
        <w:rPr>
          <w:spacing w:val="2"/>
          <w:w w:val="99"/>
        </w:rPr>
        <w:t>及</w:t>
      </w:r>
      <w:r>
        <w:rPr>
          <w:w w:val="99"/>
        </w:rPr>
        <w:t>附</w:t>
      </w:r>
      <w:r>
        <w:rPr>
          <w:spacing w:val="2"/>
          <w:w w:val="99"/>
        </w:rPr>
        <w:t>注</w:t>
      </w:r>
      <w:r>
        <w:rPr>
          <w:w w:val="99"/>
        </w:rPr>
        <w:t>进</w:t>
      </w:r>
      <w:r>
        <w:rPr>
          <w:spacing w:val="2"/>
          <w:w w:val="99"/>
        </w:rPr>
        <w:t>行</w:t>
      </w:r>
      <w:r>
        <w:rPr>
          <w:w w:val="99"/>
        </w:rPr>
        <w:t>了</w:t>
      </w:r>
      <w:r>
        <w:rPr>
          <w:spacing w:val="2"/>
          <w:w w:val="99"/>
        </w:rPr>
        <w:t>会</w:t>
      </w:r>
      <w:r>
        <w:rPr>
          <w:w w:val="99"/>
        </w:rPr>
        <w:t>计</w:t>
      </w:r>
      <w:r>
        <w:rPr>
          <w:spacing w:val="2"/>
          <w:w w:val="99"/>
        </w:rPr>
        <w:t>差</w:t>
      </w:r>
      <w:r>
        <w:rPr>
          <w:w w:val="99"/>
        </w:rPr>
        <w:t>错</w:t>
      </w:r>
      <w:r>
        <w:rPr/>
      </w:r>
    </w:p>
    <w:p>
      <w:pPr>
        <w:pStyle w:val="BodyText"/>
        <w:spacing w:line="240" w:lineRule="auto" w:before="126"/>
        <w:ind w:left="196" w:right="0"/>
        <w:jc w:val="both"/>
      </w:pPr>
      <w:r>
        <w:rPr>
          <w:spacing w:val="-3"/>
        </w:rPr>
        <w:t>更正及相应的追溯调整，修订了原于</w:t>
      </w:r>
      <w:r>
        <w:rPr>
          <w:spacing w:val="-53"/>
        </w:rPr>
        <w:t> </w:t>
      </w:r>
      <w:r>
        <w:rPr/>
        <w:t>2011</w:t>
      </w:r>
      <w:r>
        <w:rPr>
          <w:spacing w:val="-54"/>
        </w:rPr>
        <w:t> </w:t>
      </w:r>
      <w:r>
        <w:rPr/>
        <w:t>年</w:t>
      </w:r>
      <w:r>
        <w:rPr>
          <w:spacing w:val="-53"/>
        </w:rPr>
        <w:t> </w:t>
      </w:r>
      <w:r>
        <w:rPr/>
        <w:t>3</w:t>
      </w:r>
      <w:r>
        <w:rPr>
          <w:spacing w:val="-51"/>
        </w:rPr>
        <w:t> </w:t>
      </w:r>
      <w:r>
        <w:rPr/>
        <w:t>月</w:t>
      </w:r>
      <w:r>
        <w:rPr>
          <w:spacing w:val="-53"/>
        </w:rPr>
        <w:t> </w:t>
      </w:r>
      <w:r>
        <w:rPr/>
        <w:t>17</w:t>
      </w:r>
      <w:r>
        <w:rPr>
          <w:spacing w:val="-51"/>
        </w:rPr>
        <w:t> </w:t>
      </w:r>
      <w:r>
        <w:rPr/>
        <w:t>日审议通过的</w:t>
      </w:r>
      <w:r>
        <w:rPr>
          <w:spacing w:val="-55"/>
        </w:rPr>
        <w:t> </w:t>
      </w:r>
      <w:r>
        <w:rPr/>
        <w:t>2010</w:t>
      </w:r>
      <w:r>
        <w:rPr>
          <w:spacing w:val="-54"/>
        </w:rPr>
        <w:t> </w:t>
      </w:r>
      <w:r>
        <w:rPr>
          <w:spacing w:val="-4"/>
        </w:rPr>
        <w:t>年度财务报告，深圳市</w:t>
      </w:r>
    </w:p>
    <w:p>
      <w:pPr>
        <w:pStyle w:val="BodyText"/>
        <w:spacing w:line="348" w:lineRule="auto" w:before="126"/>
        <w:ind w:left="196" w:right="219"/>
        <w:jc w:val="left"/>
      </w:pPr>
      <w:r>
        <w:rPr/>
        <w:t>鹏城会计师事务所有限公司注册会计师对修订后的公司</w:t>
      </w:r>
      <w:r>
        <w:rPr>
          <w:spacing w:val="-50"/>
        </w:rPr>
        <w:t> </w:t>
      </w:r>
      <w:r>
        <w:rPr/>
        <w:t>2010</w:t>
      </w:r>
      <w:r>
        <w:rPr>
          <w:spacing w:val="-49"/>
        </w:rPr>
        <w:t> </w:t>
      </w:r>
      <w:r>
        <w:rPr/>
        <w:t>年度财务报告补充进行了相关审</w:t>
      </w:r>
      <w:r>
        <w:rPr>
          <w:spacing w:val="-103"/>
        </w:rPr>
        <w:t> </w:t>
      </w:r>
      <w:r>
        <w:rPr>
          <w:spacing w:val="-103"/>
        </w:rPr>
      </w:r>
      <w:r>
        <w:rPr/>
        <w:t>计程序，并出具了带强调事项段的无保留意见审计报告。</w:t>
      </w:r>
    </w:p>
    <w:p>
      <w:pPr>
        <w:pStyle w:val="BodyText"/>
        <w:spacing w:line="350" w:lineRule="auto" w:before="31"/>
        <w:ind w:left="196" w:right="112" w:firstLine="421"/>
        <w:jc w:val="both"/>
      </w:pPr>
      <w:r>
        <w:rPr>
          <w:spacing w:val="1"/>
          <w:w w:val="99"/>
        </w:rPr>
        <w:t>本年度公司对于法人股</w:t>
      </w:r>
      <w:r>
        <w:rPr>
          <w:spacing w:val="-53"/>
          <w:w w:val="99"/>
        </w:rPr>
        <w:t> </w:t>
      </w:r>
      <w:r>
        <w:rPr>
          <w:w w:val="99"/>
        </w:rPr>
        <w:t>4723.66</w:t>
      </w:r>
      <w:r>
        <w:rPr>
          <w:spacing w:val="-48"/>
          <w:w w:val="99"/>
        </w:rPr>
        <w:t> </w:t>
      </w:r>
      <w:r>
        <w:rPr>
          <w:spacing w:val="-3"/>
          <w:w w:val="97"/>
        </w:rPr>
        <w:t>万元未收款项做了大量的清理工作，对相关名义持有单位、</w:t>
      </w:r>
      <w:r>
        <w:rPr>
          <w:w w:val="49"/>
        </w:rPr>
        <w:t> </w:t>
      </w:r>
      <w:r>
        <w:rPr/>
        <w:t>收款单位进行发函询证，实地访问等工作，但因法人股形成变化时间跨度长、相关人员变动较</w:t>
      </w:r>
      <w:r>
        <w:rPr>
          <w:spacing w:val="-93"/>
        </w:rPr>
        <w:t> </w:t>
      </w:r>
      <w:r>
        <w:rPr>
          <w:spacing w:val="-93"/>
        </w:rPr>
      </w:r>
      <w:r>
        <w:rPr/>
        <w:t>大，很多公司早已注销或无法联系，公司将继续加大对应收款项及代缴税款的清收力度。同时</w:t>
      </w:r>
      <w:r>
        <w:rPr>
          <w:spacing w:val="-93"/>
        </w:rPr>
        <w:t> </w:t>
      </w:r>
      <w:r>
        <w:rPr>
          <w:spacing w:val="-93"/>
        </w:rPr>
      </w:r>
      <w:r>
        <w:rPr/>
        <w:t>公司通过不断强化内部控制，进一步规范运作，杜绝此类事项再度发生，维护上市公司和全体</w:t>
      </w:r>
      <w:r>
        <w:rPr>
          <w:spacing w:val="-93"/>
        </w:rPr>
        <w:t> </w:t>
      </w:r>
      <w:r>
        <w:rPr>
          <w:spacing w:val="-93"/>
        </w:rPr>
      </w:r>
      <w:r>
        <w:rPr/>
        <w:t>股东的合法权益。</w:t>
      </w:r>
    </w:p>
    <w:p>
      <w:pPr>
        <w:pStyle w:val="BodyText"/>
        <w:spacing w:line="340" w:lineRule="auto" w:before="27"/>
        <w:ind w:left="196" w:right="109" w:firstLine="421"/>
        <w:jc w:val="both"/>
      </w:pPr>
      <w:r>
        <w:rPr/>
        <w:t>（相关内容参见2010年12月14日、2011年3月19日、2011年6月15日《中国证券报》、《证</w:t>
      </w:r>
      <w:r>
        <w:rPr>
          <w:w w:val="99"/>
        </w:rPr>
        <w:t> </w:t>
      </w:r>
      <w:r>
        <w:rPr>
          <w:w w:val="95"/>
        </w:rPr>
        <w:t>券时报》及</w:t>
      </w:r>
      <w:hyperlink r:id="rId22">
        <w:r>
          <w:rPr>
            <w:rFonts w:ascii="Times New Roman" w:hAnsi="Times New Roman" w:cs="Times New Roman" w:eastAsia="Times New Roman" w:hint="default"/>
            <w:w w:val="95"/>
          </w:rPr>
          <w:t>www.cninfo.com.cn</w:t>
        </w:r>
        <w:r>
          <w:rPr>
            <w:w w:val="95"/>
          </w:rPr>
          <w:t>巨潮资讯网披露的相关公告及公司</w:t>
        </w:r>
        <w:r>
          <w:rPr>
            <w:rFonts w:ascii="Times New Roman" w:hAnsi="Times New Roman" w:cs="Times New Roman" w:eastAsia="Times New Roman" w:hint="default"/>
            <w:w w:val="95"/>
          </w:rPr>
          <w:t>2010</w:t>
        </w:r>
        <w:r>
          <w:rPr>
            <w:w w:val="95"/>
          </w:rPr>
          <w:t>年年度报告</w:t>
        </w:r>
      </w:hyperlink>
      <w:r>
        <w:rPr>
          <w:w w:val="95"/>
        </w:rPr>
        <w:t>、</w:t>
      </w:r>
      <w:r>
        <w:rPr>
          <w:rFonts w:ascii="Times New Roman" w:hAnsi="Times New Roman" w:cs="Times New Roman" w:eastAsia="Times New Roman" w:hint="default"/>
          <w:w w:val="95"/>
        </w:rPr>
        <w:t>2011</w:t>
      </w:r>
      <w:r>
        <w:rPr>
          <w:w w:val="95"/>
        </w:rPr>
        <w:t>年半年</w:t>
      </w:r>
      <w:r>
        <w:rPr>
          <w:spacing w:val="13"/>
          <w:w w:val="95"/>
        </w:rPr>
        <w:t> </w:t>
      </w:r>
      <w:r>
        <w:rPr>
          <w:spacing w:val="13"/>
          <w:w w:val="95"/>
        </w:rPr>
      </w:r>
      <w:r>
        <w:rPr/>
        <w:t>度报告中相关内容）。</w:t>
      </w:r>
    </w:p>
    <w:p>
      <w:pPr>
        <w:spacing w:after="0" w:line="340" w:lineRule="auto"/>
        <w:jc w:val="both"/>
        <w:sectPr>
          <w:pgSz w:w="11910" w:h="16840"/>
          <w:pgMar w:header="0" w:footer="1007" w:top="1180" w:bottom="1200" w:left="1680" w:right="1280"/>
        </w:sectPr>
      </w:pPr>
    </w:p>
    <w:p>
      <w:pPr>
        <w:pStyle w:val="BodyText"/>
        <w:spacing w:line="350" w:lineRule="auto" w:before="9"/>
        <w:ind w:left="617" w:right="0"/>
        <w:jc w:val="left"/>
      </w:pPr>
      <w:r>
        <w:rPr/>
        <w:t>（二）关于变更公司名称以及证券简称的事项</w:t>
      </w:r>
      <w:r>
        <w:rPr>
          <w:spacing w:val="-101"/>
        </w:rPr>
        <w:t> </w:t>
      </w:r>
      <w:r>
        <w:rPr>
          <w:spacing w:val="-101"/>
        </w:rPr>
      </w:r>
      <w:r>
        <w:rPr/>
        <w:t>因公司产业结构调整的需要，为更充分体现公司房地产业务发展的战略目标，经公司2010</w:t>
      </w:r>
    </w:p>
    <w:p>
      <w:pPr>
        <w:pStyle w:val="BodyText"/>
        <w:spacing w:line="350" w:lineRule="auto" w:before="27"/>
        <w:ind w:left="196" w:right="113"/>
        <w:jc w:val="left"/>
      </w:pPr>
      <w:r>
        <w:rPr/>
        <w:t>年年度股东大会审议通过，公司中文法定注册名称由“深圳市鸿基（集团）股份有限公司”变</w:t>
      </w:r>
      <w:r>
        <w:rPr>
          <w:spacing w:val="-93"/>
        </w:rPr>
        <w:t> </w:t>
      </w:r>
      <w:r>
        <w:rPr>
          <w:spacing w:val="-93"/>
        </w:rPr>
      </w:r>
      <w:r>
        <w:rPr/>
        <w:t>更为“宝安鸿基地产集团股份有限公司”，英文法定名称由“SHENZHEN HONGKAI(GROUP)</w:t>
      </w:r>
      <w:r>
        <w:rPr>
          <w:spacing w:val="7"/>
        </w:rPr>
        <w:t> </w:t>
      </w:r>
      <w:r>
        <w:rPr/>
        <w:t>CO.,</w:t>
      </w:r>
    </w:p>
    <w:p>
      <w:pPr>
        <w:pStyle w:val="BodyText"/>
        <w:spacing w:line="240" w:lineRule="auto" w:before="29"/>
        <w:ind w:left="196" w:right="0"/>
        <w:jc w:val="left"/>
      </w:pPr>
      <w:r>
        <w:rPr/>
        <w:t>LTD.”变更为“BAOAN HONGJI REAL ESTATE GROUP CO.,</w:t>
      </w:r>
      <w:r>
        <w:rPr>
          <w:spacing w:val="-1"/>
        </w:rPr>
        <w:t> </w:t>
      </w:r>
      <w:r>
        <w:rPr/>
        <w:t>LTD.”。</w:t>
      </w:r>
    </w:p>
    <w:p>
      <w:pPr>
        <w:pStyle w:val="BodyText"/>
        <w:spacing w:line="350" w:lineRule="auto" w:before="123"/>
        <w:ind w:left="196" w:right="109" w:firstLine="421"/>
        <w:jc w:val="both"/>
      </w:pPr>
      <w:r>
        <w:rPr>
          <w:spacing w:val="-2"/>
        </w:rPr>
        <w:t>经公司申请并经深圳证券交易所批准，公司证券简称自2011年6月20日起，由“深鸿基”变</w:t>
      </w:r>
      <w:r>
        <w:rPr>
          <w:w w:val="99"/>
        </w:rPr>
        <w:t> </w:t>
      </w:r>
      <w:r>
        <w:rPr/>
        <w:t>更为“宝安地产”，证券代码保持不变，仍为“000040”。</w:t>
      </w:r>
    </w:p>
    <w:p>
      <w:pPr>
        <w:pStyle w:val="BodyText"/>
        <w:spacing w:line="348" w:lineRule="auto" w:before="29"/>
        <w:ind w:left="196" w:right="0" w:firstLine="421"/>
        <w:jc w:val="left"/>
      </w:pPr>
      <w:r>
        <w:rPr>
          <w:spacing w:val="-5"/>
          <w:w w:val="99"/>
        </w:rPr>
        <w:t>（具体内容详见2011年5月21日、6月20日《中国证券报》、《证券时报》及巨潮资讯网</w:t>
      </w:r>
      <w:hyperlink r:id="rId10">
        <w:r>
          <w:rPr>
            <w:w w:val="99"/>
          </w:rPr>
          <w:t> </w:t>
        </w:r>
        <w:r>
          <w:rPr/>
          <w:t>www.cninfo.com.cn</w:t>
        </w:r>
      </w:hyperlink>
      <w:r>
        <w:rPr>
          <w:spacing w:val="-3"/>
        </w:rPr>
        <w:t> </w:t>
      </w:r>
      <w:r>
        <w:rPr/>
        <w:t>相关公告）</w:t>
      </w:r>
    </w:p>
    <w:p>
      <w:pPr>
        <w:spacing w:line="240" w:lineRule="auto" w:before="0"/>
        <w:rPr>
          <w:rFonts w:ascii="宋体" w:hAnsi="宋体" w:cs="宋体" w:eastAsia="宋体" w:hint="default"/>
          <w:sz w:val="20"/>
          <w:szCs w:val="20"/>
        </w:rPr>
      </w:pPr>
    </w:p>
    <w:p>
      <w:pPr>
        <w:pStyle w:val="BodyText"/>
        <w:spacing w:line="348" w:lineRule="auto" w:before="170"/>
        <w:ind w:left="196" w:right="108" w:firstLine="421"/>
        <w:jc w:val="both"/>
      </w:pPr>
      <w:r>
        <w:rPr>
          <w:spacing w:val="-11"/>
          <w:w w:val="99"/>
        </w:rPr>
        <w:t>（三）公司与深圳市永浩房地产开发有限公司（以下简称“永浩公司”）合作开发梅林B403-19</w:t>
      </w:r>
      <w:r>
        <w:rPr>
          <w:w w:val="99"/>
        </w:rPr>
        <w:t> </w:t>
      </w:r>
      <w:r>
        <w:rPr/>
        <w:t>地块事项</w:t>
      </w:r>
    </w:p>
    <w:p>
      <w:pPr>
        <w:pStyle w:val="BodyText"/>
        <w:spacing w:line="350" w:lineRule="auto" w:before="31"/>
        <w:ind w:left="196" w:right="109" w:firstLine="421"/>
        <w:jc w:val="both"/>
      </w:pPr>
      <w:r>
        <w:rPr/>
        <w:t>公司梅林B403-19地块（用地面积2万平方米）位于福田区下梅林二街西侧，为政府征用公</w:t>
      </w:r>
      <w:r>
        <w:rPr>
          <w:w w:val="99"/>
        </w:rPr>
        <w:t> </w:t>
      </w:r>
      <w:r>
        <w:rPr/>
        <w:t>司原东门用地置换而得的综合用地，其后该地块部分面积被政府改变用地功能，调整为公交场</w:t>
      </w:r>
      <w:r>
        <w:rPr>
          <w:spacing w:val="-93"/>
        </w:rPr>
        <w:t> </w:t>
      </w:r>
      <w:r>
        <w:rPr>
          <w:spacing w:val="-93"/>
        </w:rPr>
      </w:r>
      <w:r>
        <w:rPr/>
        <w:t>站。无奈之下，2007年公司采取合作的方式，要求合作方永浩公司争取将该地块调整为居住用</w:t>
      </w:r>
      <w:r>
        <w:rPr>
          <w:spacing w:val="-94"/>
        </w:rPr>
        <w:t> </w:t>
      </w:r>
      <w:r>
        <w:rPr>
          <w:spacing w:val="-94"/>
        </w:rPr>
      </w:r>
      <w:r>
        <w:rPr/>
        <w:t>地，直至2009年5月该地块（建设用地面积1.5万平方米）被纳入深圳市2009年保障性住房建设</w:t>
      </w:r>
      <w:r>
        <w:rPr>
          <w:spacing w:val="-95"/>
        </w:rPr>
        <w:t> </w:t>
      </w:r>
      <w:r>
        <w:rPr>
          <w:spacing w:val="-95"/>
        </w:rPr>
      </w:r>
      <w:r>
        <w:rPr>
          <w:spacing w:val="-2"/>
        </w:rPr>
        <w:t>计划，2009年6月29日公司与永浩公司签订拟成立项目公司的意向。为顺利完成该地块保障性住</w:t>
      </w:r>
      <w:r>
        <w:rPr>
          <w:w w:val="99"/>
        </w:rPr>
        <w:t> </w:t>
      </w:r>
      <w:r>
        <w:rPr/>
        <w:t>房项目建设任务，永浩公司协助公司向相关部门申请成立项目公司全面负责该项目建设过程中</w:t>
      </w:r>
      <w:r>
        <w:rPr>
          <w:spacing w:val="-93"/>
        </w:rPr>
        <w:t> </w:t>
      </w:r>
      <w:r>
        <w:rPr>
          <w:spacing w:val="-93"/>
        </w:rPr>
      </w:r>
      <w:r>
        <w:rPr>
          <w:spacing w:val="-2"/>
        </w:rPr>
        <w:t>的各项工作。2010年5月深圳市住房和建设局批复，同意成立项目公司对该地块进行保障性住房</w:t>
      </w:r>
      <w:r>
        <w:rPr>
          <w:w w:val="99"/>
        </w:rPr>
        <w:t> </w:t>
      </w:r>
      <w:r>
        <w:rPr>
          <w:spacing w:val="-2"/>
        </w:rPr>
        <w:t>项目的开发建设，2010年6月经公司总裁办公会议审议，同意公司与永浩公司共同投资成立深圳</w:t>
      </w:r>
      <w:r>
        <w:rPr>
          <w:w w:val="99"/>
        </w:rPr>
        <w:t> </w:t>
      </w:r>
      <w:r>
        <w:rPr>
          <w:spacing w:val="-2"/>
          <w:w w:val="99"/>
        </w:rPr>
        <w:t>市颂德房地产开发有限公司具体负责前述地块的开发管理工作，其中公司以梅林B403-19地块土</w:t>
      </w:r>
      <w:r>
        <w:rPr>
          <w:spacing w:val="-74"/>
          <w:w w:val="99"/>
        </w:rPr>
        <w:t> </w:t>
      </w:r>
      <w:r>
        <w:rPr>
          <w:spacing w:val="-74"/>
          <w:w w:val="99"/>
        </w:rPr>
      </w:r>
      <w:r>
        <w:rPr>
          <w:spacing w:val="-2"/>
        </w:rPr>
        <w:t>地使用权评估值1822万元作价出资，占项目公司注册资本的49%，永浩公司以现金出资，占注册</w:t>
      </w:r>
      <w:r>
        <w:rPr>
          <w:w w:val="99"/>
        </w:rPr>
        <w:t> </w:t>
      </w:r>
      <w:r>
        <w:rPr/>
        <w:t>资本的51%。目前公司及永浩公司正在办理该地块相关手续。</w:t>
      </w:r>
    </w:p>
    <w:p>
      <w:pPr>
        <w:pStyle w:val="BodyText"/>
        <w:spacing w:line="240" w:lineRule="auto" w:before="27"/>
        <w:ind w:left="511" w:right="0"/>
        <w:jc w:val="left"/>
      </w:pPr>
      <w:r>
        <w:rPr/>
        <w:t>（本事项已在公司</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2010</w:t>
      </w:r>
      <w:r>
        <w:rPr/>
        <w:t>年年度报告及</w:t>
      </w:r>
      <w:r>
        <w:rPr>
          <w:rFonts w:ascii="Times New Roman" w:hAnsi="Times New Roman" w:cs="Times New Roman" w:eastAsia="Times New Roman" w:hint="default"/>
        </w:rPr>
        <w:t>2011</w:t>
      </w:r>
      <w:r>
        <w:rPr/>
        <w:t>年半年度报告中持续披露）</w:t>
      </w:r>
    </w:p>
    <w:p>
      <w:pPr>
        <w:spacing w:after="0" w:line="240" w:lineRule="auto"/>
        <w:jc w:val="left"/>
        <w:sectPr>
          <w:pgSz w:w="11910" w:h="16840"/>
          <w:pgMar w:header="0" w:footer="1007" w:top="1580" w:bottom="1200" w:left="1680" w:right="1280"/>
        </w:sectPr>
      </w:pPr>
    </w:p>
    <w:p>
      <w:pPr>
        <w:pStyle w:val="Heading4"/>
        <w:spacing w:line="240" w:lineRule="auto" w:before="5"/>
        <w:ind w:left="1056" w:right="0"/>
        <w:jc w:val="left"/>
      </w:pPr>
      <w:bookmarkStart w:name="八、承诺事项履行情况：" w:id="41"/>
      <w:bookmarkEnd w:id="41"/>
      <w:r>
        <w:rPr/>
      </w:r>
      <w:bookmarkStart w:name="九、公司接待投资者调研及采访情况" w:id="42"/>
      <w:bookmarkEnd w:id="42"/>
      <w:r>
        <w:rPr/>
      </w:r>
      <w:r>
        <w:rPr/>
        <w:t>八、承诺事项履行情况：</w:t>
      </w:r>
    </w:p>
    <w:p>
      <w:pPr>
        <w:spacing w:line="240" w:lineRule="auto" w:before="10"/>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1323"/>
        <w:gridCol w:w="3008"/>
        <w:gridCol w:w="4405"/>
        <w:gridCol w:w="1766"/>
      </w:tblGrid>
      <w:tr>
        <w:trPr>
          <w:trHeight w:val="480" w:hRule="exact"/>
        </w:trPr>
        <w:tc>
          <w:tcPr>
            <w:tcW w:w="13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6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tc>
        <w:tc>
          <w:tcPr>
            <w:tcW w:w="30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6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承诺人</w:t>
            </w:r>
            <w:r>
              <w:rPr>
                <w:rFonts w:ascii="Microsoft JhengHei" w:hAnsi="Microsoft JhengHei" w:cs="Microsoft JhengHei" w:eastAsia="Microsoft JhengHei" w:hint="default"/>
                <w:sz w:val="21"/>
                <w:szCs w:val="21"/>
              </w:rPr>
            </w:r>
          </w:p>
        </w:tc>
        <w:tc>
          <w:tcPr>
            <w:tcW w:w="4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6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承诺内容</w:t>
            </w:r>
            <w:r>
              <w:rPr>
                <w:rFonts w:ascii="Microsoft JhengHei" w:hAnsi="Microsoft JhengHei" w:cs="Microsoft JhengHei" w:eastAsia="Microsoft JhengHei" w:hint="default"/>
                <w:sz w:val="21"/>
                <w:szCs w:val="21"/>
              </w:rPr>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63" w:lineRule="exact"/>
              <w:ind w:left="4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履行情况</w:t>
            </w:r>
            <w:r>
              <w:rPr>
                <w:rFonts w:ascii="Microsoft JhengHei" w:hAnsi="Microsoft JhengHei" w:cs="Microsoft JhengHei" w:eastAsia="Microsoft JhengHei" w:hint="default"/>
                <w:sz w:val="21"/>
                <w:szCs w:val="21"/>
              </w:rPr>
            </w:r>
          </w:p>
        </w:tc>
      </w:tr>
      <w:tr>
        <w:trPr>
          <w:trHeight w:val="336" w:hRule="exact"/>
        </w:trPr>
        <w:tc>
          <w:tcPr>
            <w:tcW w:w="1323" w:type="dxa"/>
            <w:tcBorders>
              <w:top w:val="single" w:sz="4" w:space="0" w:color="000000"/>
              <w:left w:val="single" w:sz="4" w:space="0" w:color="000000"/>
              <w:bottom w:val="nil" w:sz="6" w:space="0" w:color="auto"/>
              <w:right w:val="single" w:sz="4" w:space="0" w:color="000000"/>
            </w:tcBorders>
          </w:tcPr>
          <w:p>
            <w:pPr/>
          </w:p>
        </w:tc>
        <w:tc>
          <w:tcPr>
            <w:tcW w:w="3008" w:type="dxa"/>
            <w:tcBorders>
              <w:top w:val="single" w:sz="4" w:space="0" w:color="000000"/>
              <w:left w:val="single" w:sz="4" w:space="0" w:color="000000"/>
              <w:bottom w:val="nil" w:sz="6" w:space="0" w:color="auto"/>
              <w:right w:val="single" w:sz="4" w:space="0" w:color="000000"/>
            </w:tcBorders>
          </w:tcPr>
          <w:p>
            <w:pPr/>
          </w:p>
        </w:tc>
        <w:tc>
          <w:tcPr>
            <w:tcW w:w="44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、自改革方案实施日起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个月内不上市交易或转</w:t>
            </w:r>
          </w:p>
        </w:tc>
        <w:tc>
          <w:tcPr>
            <w:tcW w:w="1766" w:type="dxa"/>
            <w:tcBorders>
              <w:top w:val="single" w:sz="4" w:space="0" w:color="000000"/>
              <w:left w:val="single" w:sz="4" w:space="0" w:color="000000"/>
              <w:bottom w:val="nil" w:sz="6" w:space="0" w:color="auto"/>
              <w:right w:val="single" w:sz="4" w:space="0" w:color="000000"/>
            </w:tcBorders>
          </w:tcPr>
          <w:p>
            <w:pPr/>
          </w:p>
        </w:tc>
      </w:tr>
      <w:tr>
        <w:trPr>
          <w:trHeight w:val="296"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让；在禁售期满后上市交易出售原非流通股股份数量占</w:t>
            </w:r>
          </w:p>
        </w:tc>
        <w:tc>
          <w:tcPr>
            <w:tcW w:w="1766"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股份总数的比例在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个月内不超过百分之五、</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66"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内不超过百分之十。</w:t>
            </w:r>
          </w:p>
        </w:tc>
        <w:tc>
          <w:tcPr>
            <w:tcW w:w="1766" w:type="dxa"/>
            <w:tcBorders>
              <w:top w:val="nil" w:sz="6" w:space="0" w:color="auto"/>
              <w:left w:val="single" w:sz="4" w:space="0" w:color="000000"/>
              <w:bottom w:val="nil" w:sz="6" w:space="0" w:color="auto"/>
              <w:right w:val="single" w:sz="4" w:space="0" w:color="000000"/>
            </w:tcBorders>
          </w:tcPr>
          <w:p>
            <w:pPr/>
          </w:p>
        </w:tc>
      </w:tr>
      <w:tr>
        <w:trPr>
          <w:trHeight w:val="955" w:hRule="exact"/>
        </w:trPr>
        <w:tc>
          <w:tcPr>
            <w:tcW w:w="13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30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 w:right="0"/>
              <w:jc w:val="center"/>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97" w:lineRule="auto" w:before="4"/>
              <w:ind w:left="24" w:right="19"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、为未明确表示同意进行股权分置改革的非流通股</w:t>
            </w:r>
            <w:r>
              <w:rPr>
                <w:rFonts w:ascii="宋体" w:hAnsi="宋体" w:cs="宋体" w:eastAsia="宋体" w:hint="default"/>
                <w:w w:val="100"/>
                <w:sz w:val="18"/>
                <w:szCs w:val="18"/>
              </w:rPr>
              <w:t> </w:t>
            </w:r>
            <w:r>
              <w:rPr>
                <w:rFonts w:ascii="宋体" w:hAnsi="宋体" w:cs="宋体" w:eastAsia="宋体" w:hint="default"/>
                <w:sz w:val="18"/>
                <w:szCs w:val="18"/>
              </w:rPr>
              <w:t>股东垫付其持有的非流通股份获得上市流通权所需执行</w:t>
            </w:r>
            <w:r>
              <w:rPr>
                <w:rFonts w:ascii="宋体" w:hAnsi="宋体" w:cs="宋体" w:eastAsia="宋体" w:hint="default"/>
                <w:spacing w:val="-80"/>
                <w:sz w:val="18"/>
                <w:szCs w:val="18"/>
              </w:rPr>
              <w:t> </w:t>
            </w:r>
            <w:r>
              <w:rPr>
                <w:rFonts w:ascii="宋体" w:hAnsi="宋体" w:cs="宋体" w:eastAsia="宋体" w:hint="default"/>
                <w:sz w:val="18"/>
                <w:szCs w:val="18"/>
              </w:rPr>
              <w:t>的对价安排。东鸿信公司代为垫付后，未明确表示同意</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25" w:lineRule="auto" w:before="145"/>
              <w:ind w:left="24" w:right="22"/>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Times New Roman" w:hAnsi="Times New Roman" w:cs="Times New Roman" w:eastAsia="Times New Roman" w:hint="default"/>
                <w:spacing w:val="-28"/>
                <w:sz w:val="21"/>
                <w:szCs w:val="21"/>
              </w:rPr>
              <w:t>1</w:t>
            </w:r>
            <w:r>
              <w:rPr>
                <w:rFonts w:ascii="宋体" w:hAnsi="宋体" w:cs="宋体" w:eastAsia="宋体" w:hint="default"/>
                <w:spacing w:val="-28"/>
                <w:sz w:val="21"/>
                <w:szCs w:val="21"/>
              </w:rPr>
              <w:t>、</w:t>
            </w:r>
            <w:r>
              <w:rPr>
                <w:rFonts w:ascii="Times New Roman" w:hAnsi="Times New Roman" w:cs="Times New Roman" w:eastAsia="Times New Roman" w:hint="default"/>
                <w:spacing w:val="-28"/>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条已履行完</w:t>
            </w:r>
            <w:r>
              <w:rPr>
                <w:rFonts w:ascii="宋体" w:hAnsi="宋体" w:cs="宋体" w:eastAsia="宋体" w:hint="default"/>
                <w:w w:val="99"/>
                <w:sz w:val="21"/>
                <w:szCs w:val="21"/>
              </w:rPr>
              <w:t> </w:t>
            </w:r>
            <w:r>
              <w:rPr>
                <w:rFonts w:ascii="宋体" w:hAnsi="宋体" w:cs="宋体" w:eastAsia="宋体" w:hint="default"/>
                <w:spacing w:val="2"/>
                <w:sz w:val="21"/>
                <w:szCs w:val="21"/>
              </w:rPr>
              <w:t>毕；第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条未达履</w:t>
            </w:r>
            <w:r>
              <w:rPr>
                <w:rFonts w:ascii="宋体" w:hAnsi="宋体" w:cs="宋体" w:eastAsia="宋体" w:hint="default"/>
                <w:w w:val="99"/>
                <w:sz w:val="21"/>
                <w:szCs w:val="21"/>
              </w:rPr>
              <w:t> </w:t>
            </w:r>
            <w:r>
              <w:rPr>
                <w:rFonts w:ascii="宋体" w:hAnsi="宋体" w:cs="宋体" w:eastAsia="宋体" w:hint="default"/>
                <w:sz w:val="21"/>
                <w:szCs w:val="21"/>
              </w:rPr>
              <w:t>行条件。</w:t>
            </w:r>
          </w:p>
        </w:tc>
      </w:tr>
      <w:tr>
        <w:trPr>
          <w:trHeight w:val="245"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24" w:right="0"/>
              <w:jc w:val="left"/>
              <w:rPr>
                <w:rFonts w:ascii="宋体" w:hAnsi="宋体" w:cs="宋体" w:eastAsia="宋体" w:hint="default"/>
                <w:sz w:val="18"/>
                <w:szCs w:val="18"/>
              </w:rPr>
            </w:pPr>
            <w:r>
              <w:rPr>
                <w:rFonts w:ascii="宋体" w:hAnsi="宋体" w:cs="宋体" w:eastAsia="宋体" w:hint="default"/>
                <w:sz w:val="18"/>
                <w:szCs w:val="18"/>
              </w:rPr>
              <w:t>进行股权分置改革的非流通股股东所持股份如上市流</w:t>
            </w:r>
          </w:p>
        </w:tc>
        <w:tc>
          <w:tcPr>
            <w:tcW w:w="17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通，应当向代为垫付的东鸿信公司偿还代为垫付的款项，</w:t>
            </w:r>
            <w:r>
              <w:rPr>
                <w:rFonts w:ascii="宋体" w:hAnsi="宋体" w:cs="宋体" w:eastAsia="宋体" w:hint="default"/>
                <w:spacing w:val="-3"/>
                <w:sz w:val="18"/>
                <w:szCs w:val="18"/>
              </w:rPr>
            </w:r>
          </w:p>
        </w:tc>
        <w:tc>
          <w:tcPr>
            <w:tcW w:w="176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或者取得代为垫付的东鸿信公司的同意。</w:t>
            </w:r>
          </w:p>
        </w:tc>
        <w:tc>
          <w:tcPr>
            <w:tcW w:w="1766"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1323"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single" w:sz="4" w:space="0" w:color="000000"/>
            </w:tcBorders>
          </w:tcPr>
          <w:p>
            <w:pPr/>
          </w:p>
        </w:tc>
        <w:tc>
          <w:tcPr>
            <w:tcW w:w="44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9"/>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、承诺人保证其不履行或者不完全履行承诺的，赔</w:t>
            </w:r>
          </w:p>
        </w:tc>
        <w:tc>
          <w:tcPr>
            <w:tcW w:w="1766"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1323" w:type="dxa"/>
            <w:tcBorders>
              <w:top w:val="nil" w:sz="6" w:space="0" w:color="auto"/>
              <w:left w:val="single" w:sz="4" w:space="0" w:color="000000"/>
              <w:bottom w:val="single" w:sz="4" w:space="0" w:color="000000"/>
              <w:right w:val="single" w:sz="4" w:space="0" w:color="000000"/>
            </w:tcBorders>
          </w:tcPr>
          <w:p>
            <w:pPr/>
          </w:p>
        </w:tc>
        <w:tc>
          <w:tcPr>
            <w:tcW w:w="3008" w:type="dxa"/>
            <w:tcBorders>
              <w:top w:val="nil" w:sz="6" w:space="0" w:color="auto"/>
              <w:left w:val="single" w:sz="4" w:space="0" w:color="000000"/>
              <w:bottom w:val="single" w:sz="4" w:space="0" w:color="000000"/>
              <w:right w:val="single" w:sz="4" w:space="0" w:color="000000"/>
            </w:tcBorders>
          </w:tcPr>
          <w:p>
            <w:pPr/>
          </w:p>
        </w:tc>
        <w:tc>
          <w:tcPr>
            <w:tcW w:w="440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偿其他股东因此而遭受的损失。</w:t>
            </w:r>
          </w:p>
        </w:tc>
        <w:tc>
          <w:tcPr>
            <w:tcW w:w="17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spacing w:before="26"/>
        <w:ind w:left="1056" w:right="0" w:firstLine="0"/>
        <w:jc w:val="left"/>
        <w:rPr>
          <w:rFonts w:ascii="宋体" w:hAnsi="宋体" w:cs="宋体" w:eastAsia="宋体" w:hint="default"/>
          <w:sz w:val="24"/>
          <w:szCs w:val="24"/>
        </w:rPr>
      </w:pPr>
      <w:r>
        <w:rPr>
          <w:rFonts w:ascii="宋体" w:hAnsi="宋体" w:cs="宋体" w:eastAsia="宋体" w:hint="default"/>
          <w:sz w:val="24"/>
          <w:szCs w:val="24"/>
        </w:rPr>
        <w:t>九、公司接待投资者调研及采访情况</w:t>
      </w:r>
    </w:p>
    <w:p>
      <w:pPr>
        <w:spacing w:line="240" w:lineRule="auto" w:before="5"/>
        <w:rPr>
          <w:rFonts w:ascii="宋体" w:hAnsi="宋体" w:cs="宋体" w:eastAsia="宋体" w:hint="default"/>
          <w:sz w:val="28"/>
          <w:szCs w:val="28"/>
        </w:rPr>
      </w:pPr>
    </w:p>
    <w:p>
      <w:pPr>
        <w:pStyle w:val="BodyText"/>
        <w:spacing w:line="340" w:lineRule="auto"/>
        <w:ind w:left="1056" w:right="1056" w:firstLine="421"/>
        <w:jc w:val="both"/>
      </w:pPr>
      <w:r>
        <w:rPr/>
        <w:pict>
          <v:shape style="position:absolute;margin-left:79.277702pt;margin-top:96.263672pt;width:461.15pt;height:330.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6"/>
                    <w:gridCol w:w="1622"/>
                    <w:gridCol w:w="1241"/>
                    <w:gridCol w:w="1268"/>
                    <w:gridCol w:w="3130"/>
                  </w:tblGrid>
                  <w:tr>
                    <w:trPr>
                      <w:trHeight w:val="955" w:hRule="exact"/>
                    </w:trPr>
                    <w:tc>
                      <w:tcPr>
                        <w:tcW w:w="19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6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12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接待方式</w:t>
                        </w:r>
                        <w:r>
                          <w:rPr>
                            <w:rFonts w:ascii="Microsoft JhengHei" w:hAnsi="Microsoft JhengHei" w:cs="Microsoft JhengHei" w:eastAsia="Microsoft JhengHei"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31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6" w:lineRule="auto" w:before="76"/>
                          <w:ind w:left="928" w:right="823"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谈论的主要内容</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及提供的资料</w:t>
                        </w:r>
                        <w:r>
                          <w:rPr>
                            <w:rFonts w:ascii="Microsoft JhengHei" w:hAnsi="Microsoft JhengHei" w:cs="Microsoft JhengHei" w:eastAsia="Microsoft JhengHei" w:hint="default"/>
                            <w:sz w:val="21"/>
                            <w:szCs w:val="21"/>
                          </w:rPr>
                        </w:r>
                      </w:p>
                    </w:tc>
                  </w:tr>
                  <w:tr>
                    <w:trPr>
                      <w:trHeight w:val="46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2011年1月12日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公司日常经营情况</w:t>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2011年1月20日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公司接受深圳稽查局立案调查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的具体进展</w:t>
                        </w:r>
                      </w:p>
                    </w:tc>
                  </w:tr>
                  <w:tr>
                    <w:trPr>
                      <w:trHeight w:val="46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2011年2月18日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公司资产剥离进展情况</w:t>
                        </w:r>
                      </w:p>
                    </w:tc>
                  </w:tr>
                  <w:tr>
                    <w:trPr>
                      <w:trHeight w:val="46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2011年2月24日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公司日常经营情况</w:t>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2011年3月8日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年度业绩及年报披露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时间</w:t>
                        </w:r>
                      </w:p>
                    </w:tc>
                  </w:tr>
                  <w:tr>
                    <w:trPr>
                      <w:trHeight w:val="55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2011年3月23日—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—4月7日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公司停牌原因、复牌时间</w:t>
                        </w:r>
                      </w:p>
                    </w:tc>
                  </w:tr>
                  <w:tr>
                    <w:trPr>
                      <w:trHeight w:val="55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2011年4月15日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公司重新审计的相关进展及何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时复牌</w:t>
                        </w:r>
                      </w:p>
                    </w:tc>
                  </w:tr>
                  <w:tr>
                    <w:trPr>
                      <w:trHeight w:val="46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2011年4月20日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东莞宜久项目开工时间</w:t>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2011年4月21日—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—6月14日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公司复牌时间以及公司经营状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况</w:t>
                        </w:r>
                        <w:r>
                          <w:rPr>
                            <w:rFonts w:ascii="宋体" w:hAnsi="宋体" w:cs="宋体" w:eastAsia="宋体" w:hint="default"/>
                            <w:sz w:val="21"/>
                            <w:szCs w:val="21"/>
                          </w:rPr>
                        </w:r>
                      </w:p>
                    </w:tc>
                  </w:tr>
                  <w:tr>
                    <w:trPr>
                      <w:trHeight w:val="46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2011年6月30日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年中期业绩情况</w:t>
                        </w:r>
                      </w:p>
                    </w:tc>
                  </w:tr>
                  <w:tr>
                    <w:trPr>
                      <w:trHeight w:val="55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75" w:right="0"/>
                          <w:jc w:val="left"/>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公司代持法人股剩余款项追收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p>
                    </w:tc>
                  </w:tr>
                </w:tbl>
                <w:p>
                  <w:pPr/>
                </w:p>
              </w:txbxContent>
            </v:textbox>
            <w10:wrap type="none"/>
          </v:shape>
        </w:pict>
      </w:r>
      <w:r>
        <w:rPr>
          <w:rFonts w:ascii="Times New Roman" w:hAnsi="Times New Roman" w:cs="Times New Roman" w:eastAsia="Times New Roman" w:hint="default"/>
        </w:rPr>
        <w:t>2011</w:t>
      </w:r>
      <w:r>
        <w:rPr/>
        <w:t>年度，本着公开、公平、公正的原则，公司接受投资者电话咨询、回答投资者关系平</w:t>
      </w:r>
      <w:r>
        <w:rPr>
          <w:w w:val="99"/>
        </w:rPr>
        <w:t> </w:t>
      </w:r>
      <w:r>
        <w:rPr/>
        <w:t>台提问，就公司经营情况及已披露的信息与投资者进行了沟通。公司按照《深圳证券交易所上</w:t>
      </w:r>
      <w:r>
        <w:rPr>
          <w:spacing w:val="-93"/>
        </w:rPr>
        <w:t> </w:t>
      </w:r>
      <w:r>
        <w:rPr>
          <w:spacing w:val="-93"/>
        </w:rPr>
      </w:r>
      <w:r>
        <w:rPr/>
        <w:t>市公司公平信息披露指引》规定，未发生私下、提前或选择性的向特定对象单独披露、透露公</w:t>
      </w:r>
      <w:r>
        <w:rPr>
          <w:spacing w:val="-93"/>
        </w:rPr>
        <w:t> </w:t>
      </w:r>
      <w:r>
        <w:rPr>
          <w:spacing w:val="-93"/>
        </w:rPr>
      </w:r>
      <w:r>
        <w:rPr/>
        <w:t>司非公开重大信息的情形，保证了公司信息披露的公平性。公司在</w:t>
      </w:r>
      <w:r>
        <w:rPr>
          <w:rFonts w:ascii="Times New Roman" w:hAnsi="Times New Roman" w:cs="Times New Roman" w:eastAsia="Times New Roman" w:hint="default"/>
        </w:rPr>
        <w:t>2012</w:t>
      </w:r>
      <w:r>
        <w:rPr/>
        <w:t>年度将严格按照《公司</w:t>
      </w:r>
      <w:r>
        <w:rPr>
          <w:spacing w:val="-94"/>
        </w:rPr>
        <w:t> </w:t>
      </w:r>
      <w:r>
        <w:rPr>
          <w:spacing w:val="-94"/>
        </w:rPr>
      </w:r>
      <w:r>
        <w:rPr/>
        <w:t>信息披露管理制度》及其他相关要求，切实做好证券市场相关信息的公平披露。</w:t>
      </w:r>
    </w:p>
    <w:p>
      <w:pPr>
        <w:spacing w:after="0" w:line="340" w:lineRule="auto"/>
        <w:jc w:val="both"/>
        <w:sectPr>
          <w:pgSz w:w="11910" w:h="16840"/>
          <w:pgMar w:header="0" w:footer="1007" w:top="1120" w:bottom="1200" w:left="820" w:right="34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46"/>
        <w:gridCol w:w="1622"/>
        <w:gridCol w:w="1241"/>
        <w:gridCol w:w="1268"/>
        <w:gridCol w:w="3130"/>
      </w:tblGrid>
      <w:tr>
        <w:trPr>
          <w:trHeight w:val="46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2"/>
              <w:jc w:val="right"/>
              <w:rPr>
                <w:rFonts w:ascii="宋体" w:hAnsi="宋体" w:cs="宋体" w:eastAsia="宋体" w:hint="default"/>
                <w:sz w:val="21"/>
                <w:szCs w:val="21"/>
              </w:rPr>
            </w:pPr>
            <w:bookmarkStart w:name="十、报告期内公司聘任会计师事务所情况" w:id="43"/>
            <w:bookmarkEnd w:id="43"/>
            <w:r>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公司草埔旧改项目动工时间</w:t>
            </w:r>
          </w:p>
        </w:tc>
      </w:tr>
      <w:tr>
        <w:trPr>
          <w:trHeight w:val="46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4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公司的新项目储备情况</w:t>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公司是否有重组或注入资产计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划</w:t>
            </w:r>
            <w:r>
              <w:rPr>
                <w:rFonts w:ascii="宋体" w:hAnsi="宋体" w:cs="宋体" w:eastAsia="宋体" w:hint="default"/>
                <w:sz w:val="21"/>
                <w:szCs w:val="21"/>
              </w:rPr>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公司</w:t>
            </w:r>
            <w:r>
              <w:rPr>
                <w:rFonts w:ascii="Times New Roman" w:hAnsi="Times New Roman" w:cs="Times New Roman" w:eastAsia="Times New Roman" w:hint="default"/>
                <w:spacing w:val="11"/>
                <w:sz w:val="21"/>
                <w:szCs w:val="21"/>
              </w:rPr>
              <w:t>2011</w:t>
            </w:r>
            <w:r>
              <w:rPr>
                <w:rFonts w:ascii="宋体" w:hAnsi="宋体" w:cs="宋体" w:eastAsia="宋体" w:hint="default"/>
                <w:spacing w:val="11"/>
                <w:sz w:val="21"/>
                <w:szCs w:val="21"/>
              </w:rPr>
              <w:t>年度业绩情况及法人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股事项余款追收情况</w:t>
            </w:r>
          </w:p>
        </w:tc>
      </w:tr>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公司与赛德隆公司诉讼进展、在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安徽省的项目开拓情况</w:t>
            </w:r>
          </w:p>
        </w:tc>
      </w:tr>
      <w:tr>
        <w:trPr>
          <w:trHeight w:val="46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0"/>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公司两个旧改项目的相关进展</w:t>
            </w:r>
          </w:p>
        </w:tc>
      </w:tr>
    </w:tbl>
    <w:p>
      <w:pPr>
        <w:spacing w:line="240" w:lineRule="auto" w:before="5"/>
        <w:rPr>
          <w:rFonts w:ascii="宋体" w:hAnsi="宋体" w:cs="宋体" w:eastAsia="宋体" w:hint="default"/>
          <w:sz w:val="18"/>
          <w:szCs w:val="18"/>
        </w:rPr>
      </w:pPr>
    </w:p>
    <w:p>
      <w:pPr>
        <w:pStyle w:val="Heading4"/>
        <w:spacing w:line="240" w:lineRule="auto" w:before="26"/>
        <w:ind w:left="396" w:right="0"/>
        <w:jc w:val="both"/>
      </w:pPr>
      <w:r>
        <w:rPr/>
        <w:t>十、报告期内公司聘任会计师事务所情况</w:t>
      </w:r>
    </w:p>
    <w:p>
      <w:pPr>
        <w:spacing w:line="240" w:lineRule="auto" w:before="7"/>
        <w:rPr>
          <w:rFonts w:ascii="宋体" w:hAnsi="宋体" w:cs="宋体" w:eastAsia="宋体" w:hint="default"/>
          <w:sz w:val="28"/>
          <w:szCs w:val="28"/>
        </w:rPr>
      </w:pPr>
    </w:p>
    <w:p>
      <w:pPr>
        <w:pStyle w:val="BodyText"/>
        <w:spacing w:line="328" w:lineRule="auto"/>
        <w:ind w:left="396" w:right="409" w:firstLine="421"/>
        <w:jc w:val="both"/>
      </w:pPr>
      <w:r>
        <w:rPr/>
        <w:t>报告期内公司聘任深圳市鹏城会计师事务所有限公司为</w:t>
      </w:r>
      <w:r>
        <w:rPr>
          <w:rFonts w:ascii="Times New Roman" w:hAnsi="Times New Roman" w:cs="Times New Roman" w:eastAsia="Times New Roman" w:hint="default"/>
        </w:rPr>
        <w:t>2011</w:t>
      </w:r>
      <w:r>
        <w:rPr/>
        <w:t>年度审计单位，经</w:t>
      </w:r>
      <w:r>
        <w:rPr>
          <w:rFonts w:ascii="Times New Roman" w:hAnsi="Times New Roman" w:cs="Times New Roman" w:eastAsia="Times New Roman" w:hint="default"/>
        </w:rPr>
        <w:t>2011</w:t>
      </w:r>
      <w:r>
        <w:rPr/>
        <w:t>年第一</w:t>
      </w:r>
      <w:r>
        <w:rPr>
          <w:w w:val="99"/>
        </w:rPr>
        <w:t> </w:t>
      </w:r>
      <w:r>
        <w:rPr/>
        <w:t>次临时股东大会审议通过，</w:t>
      </w:r>
      <w:r>
        <w:rPr>
          <w:rFonts w:ascii="Times New Roman" w:hAnsi="Times New Roman" w:cs="Times New Roman" w:eastAsia="Times New Roman" w:hint="default"/>
        </w:rPr>
        <w:t>2011</w:t>
      </w:r>
      <w:r>
        <w:rPr/>
        <w:t>年度审计费人民币</w:t>
      </w:r>
      <w:r>
        <w:rPr>
          <w:rFonts w:ascii="Times New Roman" w:hAnsi="Times New Roman" w:cs="Times New Roman" w:eastAsia="Times New Roman" w:hint="default"/>
        </w:rPr>
        <w:t>50</w:t>
      </w:r>
      <w:r>
        <w:rPr/>
        <w:t>万元。截止本报告期该会计师事务所已为</w:t>
      </w:r>
      <w:r>
        <w:rPr>
          <w:spacing w:val="-102"/>
        </w:rPr>
        <w:t> </w:t>
      </w:r>
      <w:r>
        <w:rPr>
          <w:spacing w:val="-102"/>
        </w:rPr>
      </w:r>
      <w:r>
        <w:rPr/>
        <w:t>公司提供审计服务的连续年限为九年。</w:t>
      </w:r>
    </w:p>
    <w:p>
      <w:pPr>
        <w:spacing w:line="240" w:lineRule="auto" w:before="11"/>
        <w:rPr>
          <w:rFonts w:ascii="宋体" w:hAnsi="宋体" w:cs="宋体" w:eastAsia="宋体" w:hint="default"/>
          <w:sz w:val="25"/>
          <w:szCs w:val="25"/>
        </w:rPr>
      </w:pPr>
    </w:p>
    <w:p>
      <w:pPr>
        <w:pStyle w:val="Heading4"/>
        <w:spacing w:line="237" w:lineRule="auto"/>
        <w:ind w:left="396" w:right="409"/>
        <w:jc w:val="both"/>
      </w:pPr>
      <w:r>
        <w:rPr>
          <w:spacing w:val="-1"/>
        </w:rPr>
        <w:t>十二、报告期内公司及其董事、监事、高级管理人员、公司股东、实际控制人、收</w:t>
      </w:r>
      <w:r>
        <w:rPr>
          <w:spacing w:val="-88"/>
        </w:rPr>
        <w:t> </w:t>
      </w:r>
      <w:r>
        <w:rPr>
          <w:spacing w:val="-88"/>
        </w:rPr>
      </w:r>
      <w:r>
        <w:rPr>
          <w:spacing w:val="-1"/>
        </w:rPr>
        <w:t>购人接受有权机关调查、司法纪检部门采取强制措施、被移送司法机关或追究刑事</w:t>
      </w:r>
      <w:r>
        <w:rPr>
          <w:spacing w:val="-89"/>
        </w:rPr>
        <w:t> </w:t>
      </w:r>
      <w:r>
        <w:rPr>
          <w:spacing w:val="-89"/>
        </w:rPr>
      </w:r>
      <w:r>
        <w:rPr/>
        <w:t>责任等事项</w:t>
      </w:r>
    </w:p>
    <w:p>
      <w:pPr>
        <w:pStyle w:val="BodyText"/>
        <w:spacing w:line="350" w:lineRule="auto" w:before="110"/>
        <w:ind w:left="396" w:right="412" w:firstLine="421"/>
        <w:jc w:val="both"/>
      </w:pPr>
      <w:r>
        <w:rPr>
          <w:spacing w:val="-2"/>
        </w:rPr>
        <w:t>公司于2010年11月4日收到中国证券监督管理委员会深圳稽查局《立案调查通知书》（2010</w:t>
      </w:r>
      <w:r>
        <w:rPr>
          <w:w w:val="99"/>
        </w:rPr>
        <w:t> </w:t>
      </w:r>
      <w:r>
        <w:rPr/>
        <w:t>深稽立通字02号），因公司涉嫌虚假陈述，深圳稽查局决定对公司及相关人员立案调查。公司</w:t>
      </w:r>
      <w:r>
        <w:rPr>
          <w:spacing w:val="-93"/>
        </w:rPr>
        <w:t> </w:t>
      </w:r>
      <w:r>
        <w:rPr>
          <w:spacing w:val="-93"/>
        </w:rPr>
      </w:r>
      <w:r>
        <w:rPr>
          <w:spacing w:val="-2"/>
          <w:w w:val="98"/>
        </w:rPr>
        <w:t>积极配合深圳稽查局的稽查工作，并将对相关稽查结果及时履行信息披露义务。截止报告期末，</w:t>
      </w:r>
      <w:r>
        <w:rPr>
          <w:spacing w:val="-80"/>
          <w:w w:val="98"/>
        </w:rPr>
        <w:t> </w:t>
      </w:r>
      <w:r>
        <w:rPr>
          <w:spacing w:val="-80"/>
          <w:w w:val="98"/>
        </w:rPr>
      </w:r>
      <w:r>
        <w:rPr/>
        <w:t>深圳稽查局尚未向公司出具调查结论。</w:t>
      </w:r>
    </w:p>
    <w:p>
      <w:pPr>
        <w:pStyle w:val="BodyText"/>
        <w:spacing w:line="350" w:lineRule="auto" w:before="29"/>
        <w:ind w:left="396" w:right="418" w:firstLine="421"/>
        <w:jc w:val="both"/>
      </w:pPr>
      <w:r>
        <w:rPr/>
        <w:t>除上述外，报告期内公司董事、监事、高级管理人员、公司股东、实际控制人、收购人如</w:t>
      </w:r>
      <w:r>
        <w:rPr>
          <w:w w:val="99"/>
        </w:rPr>
        <w:t> </w:t>
      </w:r>
      <w:r>
        <w:rPr/>
        <w:t>不存在接受有权机关调查、司法纪检部门采取强制措施、被移送司法机关或追究刑事责任、中</w:t>
      </w:r>
      <w:r>
        <w:rPr>
          <w:spacing w:val="-93"/>
        </w:rPr>
        <w:t> </w:t>
      </w:r>
      <w:r>
        <w:rPr>
          <w:spacing w:val="-93"/>
        </w:rPr>
      </w:r>
      <w:r>
        <w:rPr/>
        <w:t>国证监会稽查、中国证监会行政处罚、证券市场禁入、认定为不适当人选被其他行政管理部门</w:t>
      </w:r>
      <w:r>
        <w:rPr>
          <w:spacing w:val="-93"/>
        </w:rPr>
        <w:t> </w:t>
      </w:r>
      <w:r>
        <w:rPr>
          <w:spacing w:val="-93"/>
        </w:rPr>
      </w:r>
      <w:r>
        <w:rPr/>
        <w:t>处罚及证券交易所公开谴责的情形。</w:t>
      </w:r>
    </w:p>
    <w:p>
      <w:pPr>
        <w:spacing w:after="0" w:line="350" w:lineRule="auto"/>
        <w:jc w:val="both"/>
        <w:sectPr>
          <w:pgSz w:w="11910" w:h="16840"/>
          <w:pgMar w:header="0" w:footer="1007" w:top="1040" w:bottom="1200" w:left="1480" w:right="980"/>
        </w:sectPr>
      </w:pPr>
    </w:p>
    <w:p>
      <w:pPr>
        <w:tabs>
          <w:tab w:pos="1634" w:val="left" w:leader="none"/>
        </w:tabs>
        <w:spacing w:before="71"/>
        <w:ind w:left="89" w:right="0" w:firstLine="0"/>
        <w:jc w:val="center"/>
        <w:rPr>
          <w:rFonts w:ascii="宋体" w:hAnsi="宋体" w:cs="宋体" w:eastAsia="宋体" w:hint="default"/>
          <w:sz w:val="28"/>
          <w:szCs w:val="28"/>
        </w:rPr>
      </w:pPr>
      <w:bookmarkStart w:name="第十一节财务报告（附后）" w:id="44"/>
      <w:bookmarkEnd w:id="44"/>
      <w:r>
        <w:rPr/>
      </w:r>
      <w:bookmarkStart w:name="第十二节备查文件目录" w:id="45"/>
      <w:bookmarkEnd w:id="45"/>
      <w:r>
        <w:rPr/>
      </w:r>
      <w:r>
        <w:rPr>
          <w:rFonts w:ascii="宋体" w:hAnsi="宋体" w:cs="宋体" w:eastAsia="宋体" w:hint="default"/>
          <w:sz w:val="28"/>
          <w:szCs w:val="28"/>
        </w:rPr>
        <w:t>第十一节</w:t>
        <w:tab/>
        <w:t>财务报告（附后）</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36"/>
          <w:szCs w:val="36"/>
        </w:rPr>
      </w:pPr>
    </w:p>
    <w:p>
      <w:pPr>
        <w:tabs>
          <w:tab w:pos="1489" w:val="left" w:leader="none"/>
        </w:tabs>
        <w:spacing w:before="0"/>
        <w:ind w:left="87" w:right="0" w:firstLine="0"/>
        <w:jc w:val="center"/>
        <w:rPr>
          <w:rFonts w:ascii="宋体" w:hAnsi="宋体" w:cs="宋体" w:eastAsia="宋体" w:hint="default"/>
          <w:sz w:val="28"/>
          <w:szCs w:val="28"/>
        </w:rPr>
      </w:pPr>
      <w:r>
        <w:rPr>
          <w:rFonts w:ascii="宋体" w:hAnsi="宋体" w:cs="宋体" w:eastAsia="宋体" w:hint="default"/>
          <w:sz w:val="28"/>
          <w:szCs w:val="28"/>
        </w:rPr>
        <w:t>第十二节</w:t>
        <w:tab/>
        <w:t>备查文件目录</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BodyText"/>
        <w:spacing w:line="240" w:lineRule="auto" w:before="221"/>
        <w:ind w:left="617" w:right="0"/>
        <w:jc w:val="left"/>
      </w:pPr>
      <w:r>
        <w:rPr/>
        <w:t>一、载有公司法定代表人、财务总监、财务经理签名并盖章的</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年度会计报表。</w:t>
      </w:r>
    </w:p>
    <w:p>
      <w:pPr>
        <w:pStyle w:val="BodyText"/>
        <w:spacing w:line="328" w:lineRule="auto" w:before="110"/>
        <w:ind w:left="196" w:right="0" w:firstLine="421"/>
        <w:jc w:val="left"/>
      </w:pPr>
      <w:r>
        <w:rPr>
          <w:w w:val="95"/>
        </w:rPr>
        <w:t>二、载有深圳市鹏城会计师事务所有限公司盖章、注册会计师签名并盖章的 </w:t>
      </w:r>
      <w:r>
        <w:rPr>
          <w:rFonts w:ascii="Times New Roman" w:hAnsi="Times New Roman" w:cs="Times New Roman" w:eastAsia="Times New Roman" w:hint="default"/>
          <w:w w:val="95"/>
        </w:rPr>
        <w:t>2011</w:t>
      </w:r>
      <w:r>
        <w:rPr>
          <w:rFonts w:ascii="Times New Roman" w:hAnsi="Times New Roman" w:cs="Times New Roman" w:eastAsia="Times New Roman" w:hint="default"/>
          <w:spacing w:val="28"/>
          <w:w w:val="95"/>
        </w:rPr>
        <w:t> </w:t>
      </w:r>
      <w:r>
        <w:rPr>
          <w:w w:val="95"/>
        </w:rPr>
        <w:t>年度审计</w:t>
      </w:r>
      <w:r>
        <w:rPr>
          <w:w w:val="99"/>
        </w:rPr>
        <w:t> </w:t>
      </w:r>
      <w:r>
        <w:rPr/>
        <w:t>报告原件。</w:t>
      </w:r>
    </w:p>
    <w:p>
      <w:pPr>
        <w:pStyle w:val="BodyText"/>
        <w:spacing w:line="350" w:lineRule="auto" w:before="48"/>
        <w:ind w:left="196" w:right="0" w:firstLine="421"/>
        <w:jc w:val="left"/>
      </w:pPr>
      <w:r>
        <w:rPr>
          <w:spacing w:val="-5"/>
          <w:w w:val="99"/>
        </w:rPr>
        <w:t>三、报告期内在《中国证券报》、《证券时报》上公开披露过的所有公司文件正本及公告原</w:t>
      </w:r>
      <w:r>
        <w:rPr>
          <w:w w:val="99"/>
        </w:rPr>
        <w:t> </w:t>
      </w:r>
      <w:r>
        <w:rPr/>
        <w:t>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612" w:lineRule="auto"/>
        <w:ind w:left="5398" w:right="177"/>
        <w:jc w:val="center"/>
        <w:rPr>
          <w:rFonts w:ascii="宋体" w:hAnsi="宋体" w:cs="宋体" w:eastAsia="宋体" w:hint="default"/>
        </w:rPr>
      </w:pPr>
      <w:r>
        <w:rPr>
          <w:rFonts w:ascii="宋体" w:hAnsi="宋体" w:cs="宋体" w:eastAsia="宋体" w:hint="default"/>
        </w:rPr>
        <w:t>宝安鸿基地产集团股份有限公司</w:t>
      </w:r>
      <w:r>
        <w:rPr>
          <w:rFonts w:ascii="宋体" w:hAnsi="宋体" w:cs="宋体" w:eastAsia="宋体" w:hint="default"/>
          <w:spacing w:val="-115"/>
        </w:rPr>
        <w:t> </w:t>
      </w:r>
      <w:r>
        <w:rPr>
          <w:rFonts w:ascii="宋体" w:hAnsi="宋体" w:cs="宋体" w:eastAsia="宋体" w:hint="default"/>
        </w:rPr>
        <w:t>董 事</w:t>
      </w:r>
      <w:r>
        <w:rPr>
          <w:rFonts w:ascii="宋体" w:hAnsi="宋体" w:cs="宋体" w:eastAsia="宋体" w:hint="default"/>
          <w:spacing w:val="1"/>
        </w:rPr>
        <w:t> </w:t>
      </w:r>
      <w:r>
        <w:rPr>
          <w:rFonts w:ascii="宋体" w:hAnsi="宋体" w:cs="宋体" w:eastAsia="宋体" w:hint="default"/>
        </w:rPr>
        <w:t>局</w:t>
      </w:r>
    </w:p>
    <w:p>
      <w:pPr>
        <w:spacing w:before="113"/>
        <w:ind w:left="0" w:right="807" w:firstLine="0"/>
        <w:jc w:val="right"/>
        <w:rPr>
          <w:rFonts w:ascii="宋体" w:hAnsi="宋体" w:cs="宋体" w:eastAsia="宋体" w:hint="default"/>
          <w:sz w:val="24"/>
          <w:szCs w:val="24"/>
        </w:rPr>
      </w:pPr>
      <w:r>
        <w:rPr>
          <w:rFonts w:ascii="宋体" w:hAnsi="宋体" w:cs="宋体" w:eastAsia="宋体" w:hint="default"/>
          <w:sz w:val="24"/>
          <w:szCs w:val="24"/>
        </w:rPr>
        <w:t>二○一二年四月七日</w:t>
      </w:r>
    </w:p>
    <w:p>
      <w:pPr>
        <w:spacing w:after="0"/>
        <w:jc w:val="right"/>
        <w:rPr>
          <w:rFonts w:ascii="宋体" w:hAnsi="宋体" w:cs="宋体" w:eastAsia="宋体" w:hint="default"/>
          <w:sz w:val="24"/>
          <w:szCs w:val="24"/>
        </w:rPr>
        <w:sectPr>
          <w:pgSz w:w="11910" w:h="16840"/>
          <w:pgMar w:header="0" w:footer="1007" w:top="1580" w:bottom="1200" w:left="16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1"/>
        <w:tabs>
          <w:tab w:pos="1667" w:val="left" w:leader="none"/>
        </w:tabs>
        <w:spacing w:line="240" w:lineRule="auto"/>
        <w:ind w:left="382" w:right="0"/>
        <w:jc w:val="center"/>
      </w:pPr>
      <w:r>
        <w:rPr/>
        <w:t>目</w:t>
        <w:tab/>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3"/>
        <w:rPr>
          <w:rFonts w:ascii="宋体" w:hAnsi="宋体" w:cs="宋体" w:eastAsia="宋体" w:hint="default"/>
          <w:sz w:val="42"/>
          <w:szCs w:val="42"/>
        </w:rPr>
      </w:pPr>
    </w:p>
    <w:p>
      <w:pPr>
        <w:pStyle w:val="BodyText"/>
        <w:tabs>
          <w:tab w:pos="2987" w:val="left" w:leader="none"/>
          <w:tab w:pos="7845" w:val="left" w:leader="none"/>
        </w:tabs>
        <w:spacing w:line="240" w:lineRule="auto"/>
        <w:ind w:left="2357" w:right="0"/>
        <w:jc w:val="left"/>
      </w:pPr>
      <w:r>
        <w:rPr/>
        <w:pict>
          <v:group style="position:absolute;margin-left:108.991798pt;margin-top:15.623654pt;width:227.75pt;height:.1pt;mso-position-horizontal-relative:page;mso-position-vertical-relative:paragraph;z-index:1720" coordorigin="2180,312" coordsize="4555,2">
            <v:shape style="position:absolute;left:2180;top:312;width:4555;height:2" coordorigin="2180,312" coordsize="4555,0" path="m2180,312l6734,312e" filled="false" stroked="true" strokeweight=".48pt" strokecolor="#000000">
              <v:path arrowok="t"/>
            </v:shape>
            <w10:wrap type="none"/>
          </v:group>
        </w:pict>
      </w:r>
      <w:r>
        <w:rPr/>
        <w:pict>
          <v:group style="position:absolute;margin-left:463.034698pt;margin-top:15.623654pt;width:47.4pt;height:.1pt;mso-position-horizontal-relative:page;mso-position-vertical-relative:paragraph;z-index:1744" coordorigin="9261,312" coordsize="948,2">
            <v:shape style="position:absolute;left:9261;top:312;width:948;height:2" coordorigin="9261,312" coordsize="948,0" path="m9261,312l10209,312e" filled="false" stroked="true" strokeweight=".48pt" strokecolor="#000000">
              <v:path arrowok="t"/>
            </v:shape>
            <w10:wrap type="none"/>
          </v:group>
        </w:pict>
      </w:r>
      <w:r>
        <w:rPr>
          <w:w w:val="95"/>
        </w:rPr>
        <w:t>目</w:t>
        <w:tab/>
        <w:t>录</w:t>
        <w:tab/>
      </w:r>
      <w:r>
        <w:rPr/>
        <w:t>页</w:t>
      </w:r>
      <w:r>
        <w:rPr>
          <w:spacing w:val="-2"/>
        </w:rPr>
        <w:t> </w:t>
      </w:r>
      <w:r>
        <w:rPr/>
        <w:t>次</w:t>
      </w:r>
    </w:p>
    <w:p>
      <w:pPr>
        <w:pStyle w:val="BodyText"/>
        <w:tabs>
          <w:tab w:pos="8298" w:val="right" w:leader="none"/>
        </w:tabs>
        <w:spacing w:line="240" w:lineRule="auto" w:before="331"/>
        <w:ind w:left="610" w:right="0"/>
        <w:jc w:val="left"/>
        <w:rPr>
          <w:rFonts w:ascii="Times New Roman" w:hAnsi="Times New Roman" w:cs="Times New Roman" w:eastAsia="Times New Roman" w:hint="default"/>
        </w:rPr>
      </w:pPr>
      <w:r>
        <w:rPr>
          <w:position w:val="2"/>
        </w:rPr>
        <w:t>一、审计报告</w:t>
      </w:r>
      <w:r>
        <w:rPr>
          <w:rFonts w:ascii="Times New Roman" w:hAnsi="Times New Roman" w:cs="Times New Roman" w:eastAsia="Times New Roman" w:hint="default"/>
        </w:rPr>
        <w:tab/>
      </w:r>
      <w:r>
        <w:rPr>
          <w:rFonts w:ascii="Times New Roman" w:hAnsi="Times New Roman" w:cs="Times New Roman" w:eastAsia="Times New Roman" w:hint="default"/>
        </w:rPr>
        <w:t>47-48</w:t>
      </w:r>
    </w:p>
    <w:p>
      <w:pPr>
        <w:pStyle w:val="BodyText"/>
        <w:spacing w:line="240" w:lineRule="auto" w:before="292"/>
        <w:ind w:left="610" w:right="0"/>
        <w:jc w:val="left"/>
      </w:pPr>
      <w:r>
        <w:rPr/>
        <w:t>二、已审财务报表</w:t>
      </w:r>
    </w:p>
    <w:p>
      <w:pPr>
        <w:pStyle w:val="BodyText"/>
        <w:tabs>
          <w:tab w:pos="8298" w:val="right" w:leader="none"/>
        </w:tabs>
        <w:spacing w:line="240" w:lineRule="auto" w:before="322"/>
        <w:ind w:left="1031" w:right="0"/>
        <w:jc w:val="left"/>
        <w:rPr>
          <w:rFonts w:ascii="Times New Roman" w:hAnsi="Times New Roman" w:cs="Times New Roman" w:eastAsia="Times New Roman" w:hint="default"/>
        </w:rPr>
      </w:pPr>
      <w:r>
        <w:rPr>
          <w:position w:val="2"/>
        </w:rPr>
        <w:t>合并及母公司资产负债表</w:t>
      </w:r>
      <w:r>
        <w:rPr>
          <w:rFonts w:ascii="Times New Roman" w:hAnsi="Times New Roman" w:cs="Times New Roman" w:eastAsia="Times New Roman" w:hint="default"/>
        </w:rPr>
        <w:tab/>
      </w:r>
      <w:r>
        <w:rPr>
          <w:rFonts w:ascii="Times New Roman" w:hAnsi="Times New Roman" w:cs="Times New Roman" w:eastAsia="Times New Roman" w:hint="default"/>
        </w:rPr>
        <w:t>49-52</w:t>
      </w:r>
    </w:p>
    <w:p>
      <w:pPr>
        <w:pStyle w:val="BodyText"/>
        <w:tabs>
          <w:tab w:pos="8298" w:val="right" w:leader="none"/>
        </w:tabs>
        <w:spacing w:line="240" w:lineRule="auto" w:before="289"/>
        <w:ind w:left="1031" w:right="0"/>
        <w:jc w:val="left"/>
        <w:rPr>
          <w:rFonts w:ascii="Times New Roman" w:hAnsi="Times New Roman" w:cs="Times New Roman" w:eastAsia="Times New Roman" w:hint="default"/>
        </w:rPr>
      </w:pPr>
      <w:r>
        <w:rPr>
          <w:position w:val="2"/>
        </w:rPr>
        <w:t>合并及母公司利润表</w:t>
      </w:r>
      <w:r>
        <w:rPr>
          <w:rFonts w:ascii="Times New Roman" w:hAnsi="Times New Roman" w:cs="Times New Roman" w:eastAsia="Times New Roman" w:hint="default"/>
        </w:rPr>
        <w:tab/>
      </w:r>
      <w:r>
        <w:rPr>
          <w:rFonts w:ascii="Times New Roman" w:hAnsi="Times New Roman" w:cs="Times New Roman" w:eastAsia="Times New Roman" w:hint="default"/>
        </w:rPr>
        <w:t>53-54</w:t>
      </w:r>
    </w:p>
    <w:p>
      <w:pPr>
        <w:pStyle w:val="BodyText"/>
        <w:tabs>
          <w:tab w:pos="8298" w:val="right" w:leader="none"/>
        </w:tabs>
        <w:spacing w:line="240" w:lineRule="auto" w:before="299"/>
        <w:ind w:left="1031" w:right="0"/>
        <w:jc w:val="left"/>
        <w:rPr>
          <w:rFonts w:ascii="Times New Roman" w:hAnsi="Times New Roman" w:cs="Times New Roman" w:eastAsia="Times New Roman" w:hint="default"/>
        </w:rPr>
      </w:pPr>
      <w:r>
        <w:rPr>
          <w:position w:val="1"/>
        </w:rPr>
        <w:t>合并及母公司现金流量表</w:t>
      </w:r>
      <w:r>
        <w:rPr>
          <w:rFonts w:ascii="Times New Roman" w:hAnsi="Times New Roman" w:cs="Times New Roman" w:eastAsia="Times New Roman" w:hint="default"/>
        </w:rPr>
        <w:tab/>
      </w:r>
      <w:r>
        <w:rPr>
          <w:rFonts w:ascii="Times New Roman" w:hAnsi="Times New Roman" w:cs="Times New Roman" w:eastAsia="Times New Roman" w:hint="default"/>
        </w:rPr>
        <w:t>55-56</w:t>
      </w:r>
    </w:p>
    <w:p>
      <w:pPr>
        <w:pStyle w:val="BodyText"/>
        <w:tabs>
          <w:tab w:pos="8298" w:val="right" w:leader="none"/>
        </w:tabs>
        <w:spacing w:line="240" w:lineRule="auto" w:before="299"/>
        <w:ind w:left="1031" w:right="0"/>
        <w:jc w:val="left"/>
        <w:rPr>
          <w:rFonts w:ascii="Times New Roman" w:hAnsi="Times New Roman" w:cs="Times New Roman" w:eastAsia="Times New Roman" w:hint="default"/>
        </w:rPr>
      </w:pPr>
      <w:r>
        <w:rPr>
          <w:position w:val="1"/>
        </w:rPr>
        <w:t>合并及母公司所有者权益变动表</w:t>
      </w:r>
      <w:r>
        <w:rPr>
          <w:rFonts w:ascii="Times New Roman" w:hAnsi="Times New Roman" w:cs="Times New Roman" w:eastAsia="Times New Roman" w:hint="default"/>
        </w:rPr>
        <w:tab/>
      </w:r>
      <w:r>
        <w:rPr>
          <w:rFonts w:ascii="Times New Roman" w:hAnsi="Times New Roman" w:cs="Times New Roman" w:eastAsia="Times New Roman" w:hint="default"/>
        </w:rPr>
        <w:t>57-60</w:t>
      </w:r>
    </w:p>
    <w:p>
      <w:pPr>
        <w:pStyle w:val="BodyText"/>
        <w:tabs>
          <w:tab w:pos="8351" w:val="right" w:leader="none"/>
        </w:tabs>
        <w:spacing w:line="240" w:lineRule="auto" w:before="299"/>
        <w:ind w:left="610" w:right="0"/>
        <w:jc w:val="left"/>
        <w:rPr>
          <w:rFonts w:ascii="Times New Roman" w:hAnsi="Times New Roman" w:cs="Times New Roman" w:eastAsia="Times New Roman" w:hint="default"/>
        </w:rPr>
      </w:pPr>
      <w:r>
        <w:rPr>
          <w:position w:val="1"/>
        </w:rPr>
        <w:t>三、财务报表附注</w:t>
      </w:r>
      <w:r>
        <w:rPr>
          <w:rFonts w:ascii="Times New Roman" w:hAnsi="Times New Roman" w:cs="Times New Roman" w:eastAsia="Times New Roman" w:hint="default"/>
        </w:rPr>
        <w:tab/>
      </w:r>
      <w:r>
        <w:rPr>
          <w:rFonts w:ascii="Times New Roman" w:hAnsi="Times New Roman" w:cs="Times New Roman" w:eastAsia="Times New Roman" w:hint="default"/>
        </w:rPr>
        <w:t>61-139</w:t>
      </w:r>
    </w:p>
    <w:p>
      <w:pPr>
        <w:spacing w:after="0" w:line="240" w:lineRule="auto"/>
        <w:jc w:val="left"/>
        <w:rPr>
          <w:rFonts w:ascii="Times New Roman" w:hAnsi="Times New Roman" w:cs="Times New Roman" w:eastAsia="Times New Roman" w:hint="default"/>
        </w:rPr>
        <w:sectPr>
          <w:footerReference w:type="default" r:id="rId23"/>
          <w:pgSz w:w="11910" w:h="16840"/>
          <w:pgMar w:footer="976" w:header="0" w:top="1580" w:bottom="1160" w:left="1680" w:right="1580"/>
          <w:pgNumType w:start="46"/>
        </w:sectPr>
      </w:pPr>
    </w:p>
    <w:p>
      <w:pPr>
        <w:pStyle w:val="BodyText"/>
        <w:tabs>
          <w:tab w:pos="7374" w:val="left" w:leader="none"/>
        </w:tabs>
        <w:spacing w:line="240" w:lineRule="auto" w:before="50"/>
        <w:ind w:left="1361" w:right="88"/>
        <w:jc w:val="left"/>
        <w:rPr>
          <w:rFonts w:ascii="Times New Roman" w:hAnsi="Times New Roman" w:cs="Times New Roman" w:eastAsia="Times New Roman" w:hint="default"/>
        </w:rPr>
      </w:pPr>
      <w:r>
        <w:rPr/>
        <w:pict>
          <v:shape style="position:absolute;margin-left:63.999599pt;margin-top:4.323643pt;width:44.2704pt;height:24.72pt;mso-position-horizontal-relative:page;mso-position-vertical-relative:paragraph;z-index:1768" type="#_x0000_t75" stroked="false">
            <v:imagedata r:id="rId24" o:title=""/>
          </v:shape>
        </w:pict>
      </w:r>
      <w:r>
        <w:rPr>
          <w:spacing w:val="2"/>
          <w:w w:val="99"/>
        </w:rPr>
        <w:t>深</w:t>
      </w:r>
      <w:r>
        <w:rPr>
          <w:w w:val="99"/>
        </w:rPr>
        <w:t>圳</w:t>
      </w:r>
      <w:r>
        <w:rPr>
          <w:spacing w:val="2"/>
          <w:w w:val="99"/>
        </w:rPr>
        <w:t>市</w:t>
      </w:r>
      <w:r>
        <w:rPr>
          <w:w w:val="99"/>
        </w:rPr>
        <w:t>鹏</w:t>
      </w:r>
      <w:r>
        <w:rPr>
          <w:spacing w:val="2"/>
          <w:w w:val="99"/>
        </w:rPr>
        <w:t>城</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有</w:t>
      </w:r>
      <w:r>
        <w:rPr>
          <w:spacing w:val="2"/>
          <w:w w:val="99"/>
        </w:rPr>
        <w:t>限</w:t>
      </w:r>
      <w:r>
        <w:rPr>
          <w:w w:val="99"/>
        </w:rPr>
        <w:t>公司</w:t>
      </w:r>
      <w:r>
        <w:rPr/>
        <w:tab/>
      </w:r>
      <w:r>
        <w:rPr>
          <w:spacing w:val="2"/>
          <w:w w:val="99"/>
        </w:rPr>
        <w:t>电</w:t>
      </w:r>
      <w:r>
        <w:rPr>
          <w:w w:val="99"/>
        </w:rPr>
        <w:t>话</w:t>
      </w:r>
      <w:r>
        <w:rPr>
          <w:spacing w:val="-106"/>
          <w:w w:val="99"/>
        </w:rPr>
        <w:t>：</w:t>
      </w:r>
      <w:r>
        <w:rPr>
          <w:spacing w:val="2"/>
          <w:w w:val="99"/>
        </w:rPr>
        <w:t>（</w:t>
      </w:r>
      <w:r>
        <w:rPr>
          <w:rFonts w:ascii="Times New Roman" w:hAnsi="Times New Roman" w:cs="Times New Roman" w:eastAsia="Times New Roman" w:hint="default"/>
          <w:spacing w:val="1"/>
          <w:w w:val="99"/>
        </w:rPr>
        <w:t>075</w:t>
      </w:r>
      <w:r>
        <w:rPr>
          <w:rFonts w:ascii="Times New Roman" w:hAnsi="Times New Roman" w:cs="Times New Roman" w:eastAsia="Times New Roman" w:hint="default"/>
          <w:spacing w:val="-2"/>
          <w:w w:val="99"/>
        </w:rPr>
        <w:t>5</w:t>
      </w:r>
      <w:r>
        <w:rPr>
          <w:w w:val="99"/>
        </w:rPr>
        <w:t>）</w:t>
      </w:r>
      <w:r>
        <w:rPr>
          <w:rFonts w:ascii="Times New Roman" w:hAnsi="Times New Roman" w:cs="Times New Roman" w:eastAsia="Times New Roman" w:hint="default"/>
          <w:spacing w:val="1"/>
          <w:w w:val="99"/>
        </w:rPr>
        <w:t>837</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288</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pStyle w:val="BodyText"/>
        <w:tabs>
          <w:tab w:pos="7374" w:val="left" w:leader="none"/>
        </w:tabs>
        <w:spacing w:line="240" w:lineRule="auto" w:before="26"/>
        <w:ind w:left="1361" w:right="88"/>
        <w:jc w:val="left"/>
        <w:rPr>
          <w:rFonts w:ascii="Times New Roman" w:hAnsi="Times New Roman" w:cs="Times New Roman" w:eastAsia="Times New Roman" w:hint="default"/>
        </w:rPr>
      </w:pPr>
      <w:r>
        <w:rPr/>
        <w:pict>
          <v:group style="position:absolute;margin-left:58.465801pt;margin-top:17.403675pt;width:479.8pt;height:.1pt;mso-position-horizontal-relative:page;mso-position-vertical-relative:paragraph;z-index:1792" coordorigin="1169,348" coordsize="9596,2">
            <v:shape style="position:absolute;left:1169;top:348;width:9596;height:2" coordorigin="1169,348" coordsize="9596,0" path="m1169,348l10764,348e" filled="false" stroked="true" strokeweight=".48pt" strokecolor="#000000">
              <v:path arrowok="t"/>
            </v:shape>
            <w10:wrap type="none"/>
          </v:group>
        </w:pict>
      </w:r>
      <w:r>
        <w:rPr>
          <w:spacing w:val="2"/>
          <w:w w:val="99"/>
        </w:rPr>
        <w:t>中</w:t>
      </w:r>
      <w:r>
        <w:rPr>
          <w:w w:val="99"/>
        </w:rPr>
        <w:t>国</w:t>
      </w:r>
      <w:r>
        <w:rPr>
          <w:spacing w:val="2"/>
          <w:w w:val="99"/>
        </w:rPr>
        <w:t>深</w:t>
      </w:r>
      <w:r>
        <w:rPr>
          <w:w w:val="99"/>
        </w:rPr>
        <w:t>圳</w:t>
      </w:r>
      <w:r>
        <w:rPr>
          <w:spacing w:val="2"/>
          <w:w w:val="99"/>
        </w:rPr>
        <w:t>市</w:t>
      </w:r>
      <w:r>
        <w:rPr>
          <w:w w:val="99"/>
        </w:rPr>
        <w:t>福</w:t>
      </w:r>
      <w:r>
        <w:rPr>
          <w:spacing w:val="2"/>
          <w:w w:val="99"/>
        </w:rPr>
        <w:t>田</w:t>
      </w:r>
      <w:r>
        <w:rPr>
          <w:w w:val="99"/>
        </w:rPr>
        <w:t>区</w:t>
      </w:r>
      <w:r>
        <w:rPr>
          <w:spacing w:val="2"/>
          <w:w w:val="99"/>
        </w:rPr>
        <w:t>滨</w:t>
      </w:r>
      <w:r>
        <w:rPr>
          <w:w w:val="99"/>
        </w:rPr>
        <w:t>河</w:t>
      </w:r>
      <w:r>
        <w:rPr>
          <w:spacing w:val="2"/>
          <w:w w:val="99"/>
        </w:rPr>
        <w:t>大</w:t>
      </w:r>
      <w:r>
        <w:rPr>
          <w:w w:val="99"/>
        </w:rPr>
        <w:t>道</w:t>
      </w:r>
      <w:r>
        <w:rPr>
          <w:spacing w:val="-53"/>
        </w:rPr>
        <w:t> </w:t>
      </w:r>
      <w:r>
        <w:rPr>
          <w:rFonts w:ascii="Times New Roman" w:hAnsi="Times New Roman" w:cs="Times New Roman" w:eastAsia="Times New Roman" w:hint="default"/>
          <w:spacing w:val="1"/>
          <w:w w:val="99"/>
        </w:rPr>
        <w:t>50</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号</w:t>
      </w:r>
      <w:r>
        <w:rPr>
          <w:w w:val="99"/>
        </w:rPr>
        <w:t>联</w:t>
      </w:r>
      <w:r>
        <w:rPr>
          <w:spacing w:val="2"/>
          <w:w w:val="99"/>
        </w:rPr>
        <w:t>合</w:t>
      </w:r>
      <w:r>
        <w:rPr>
          <w:w w:val="99"/>
        </w:rPr>
        <w:t>广场</w:t>
      </w:r>
      <w:r>
        <w:rPr>
          <w:spacing w:val="-53"/>
        </w:rPr>
        <w:t> </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w w:val="99"/>
        </w:rPr>
        <w:t>座</w:t>
      </w:r>
      <w:r>
        <w:rPr>
          <w:spacing w:val="-50"/>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楼</w:t>
      </w:r>
      <w:r>
        <w:rPr/>
        <w:tab/>
      </w:r>
      <w:r>
        <w:rPr>
          <w:spacing w:val="2"/>
          <w:w w:val="99"/>
        </w:rPr>
        <w:t>传</w:t>
      </w:r>
      <w:r>
        <w:rPr>
          <w:w w:val="99"/>
        </w:rPr>
        <w:t>真</w:t>
      </w:r>
      <w:r>
        <w:rPr>
          <w:spacing w:val="-106"/>
          <w:w w:val="99"/>
        </w:rPr>
        <w:t>：</w:t>
      </w:r>
      <w:r>
        <w:rPr>
          <w:spacing w:val="2"/>
          <w:w w:val="99"/>
        </w:rPr>
        <w:t>（</w:t>
      </w:r>
      <w:r>
        <w:rPr>
          <w:rFonts w:ascii="Times New Roman" w:hAnsi="Times New Roman" w:cs="Times New Roman" w:eastAsia="Times New Roman" w:hint="default"/>
          <w:spacing w:val="1"/>
          <w:w w:val="99"/>
        </w:rPr>
        <w:t>075</w:t>
      </w:r>
      <w:r>
        <w:rPr>
          <w:rFonts w:ascii="Times New Roman" w:hAnsi="Times New Roman" w:cs="Times New Roman" w:eastAsia="Times New Roman" w:hint="default"/>
          <w:spacing w:val="-2"/>
          <w:w w:val="99"/>
        </w:rPr>
        <w:t>5</w:t>
      </w:r>
      <w:r>
        <w:rPr>
          <w:w w:val="99"/>
        </w:rPr>
        <w:t>）</w:t>
      </w:r>
      <w:r>
        <w:rPr>
          <w:rFonts w:ascii="Times New Roman" w:hAnsi="Times New Roman" w:cs="Times New Roman" w:eastAsia="Times New Roman" w:hint="default"/>
          <w:spacing w:val="1"/>
          <w:w w:val="99"/>
        </w:rPr>
        <w:t>822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754</w:t>
      </w:r>
      <w:r>
        <w:rPr>
          <w:rFonts w:ascii="Times New Roman" w:hAnsi="Times New Roman" w:cs="Times New Roman" w:eastAsia="Times New Roman" w:hint="default"/>
          <w:w w:val="99"/>
        </w:rPr>
        <w:t>9</w:t>
      </w:r>
      <w:r>
        <w:rPr>
          <w:rFonts w:ascii="Times New Roman" w:hAnsi="Times New Roman" w:cs="Times New Roman" w:eastAsia="Times New Roman" w:hint="default"/>
        </w:rPr>
      </w:r>
    </w:p>
    <w:p>
      <w:pPr>
        <w:pStyle w:val="Heading1"/>
        <w:spacing w:line="240" w:lineRule="auto" w:before="459"/>
        <w:ind w:left="10" w:right="0"/>
        <w:jc w:val="center"/>
      </w:pPr>
      <w:r>
        <w:rPr/>
        <w:t>审 计 报</w:t>
      </w:r>
      <w:r>
        <w:rPr>
          <w:spacing w:val="2"/>
        </w:rPr>
        <w:t> </w:t>
      </w:r>
      <w:r>
        <w:rPr/>
        <w:t>告</w:t>
      </w:r>
    </w:p>
    <w:p>
      <w:pPr>
        <w:pStyle w:val="BodyText"/>
        <w:spacing w:line="240" w:lineRule="auto" w:before="701"/>
        <w:ind w:left="0" w:right="103"/>
        <w:jc w:val="right"/>
      </w:pPr>
      <w:r>
        <w:rPr/>
        <w:t>深鹏所股审字</w:t>
      </w:r>
      <w:r>
        <w:rPr>
          <w:rFonts w:ascii="Times New Roman" w:hAnsi="Times New Roman" w:cs="Times New Roman" w:eastAsia="Times New Roman" w:hint="default"/>
        </w:rPr>
        <w:t>[2012]0093</w:t>
      </w:r>
      <w:r>
        <w:rPr>
          <w:rFonts w:ascii="Times New Roman" w:hAnsi="Times New Roman" w:cs="Times New Roman" w:eastAsia="Times New Roman" w:hint="default"/>
          <w:spacing w:val="-1"/>
        </w:rPr>
        <w:t> </w:t>
      </w:r>
      <w:r>
        <w:rPr/>
        <w:t>号</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456" w:lineRule="auto"/>
        <w:ind w:left="599" w:right="95" w:hanging="484"/>
        <w:jc w:val="left"/>
      </w:pPr>
      <w:r>
        <w:rPr/>
        <w:t>宝安鸿基地产集团股份有限公司全体股东：</w:t>
      </w:r>
      <w:r>
        <w:rPr>
          <w:spacing w:val="-100"/>
        </w:rPr>
        <w:t> </w:t>
      </w:r>
      <w:r>
        <w:rPr>
          <w:spacing w:val="-100"/>
        </w:rPr>
      </w:r>
      <w:r>
        <w:rPr>
          <w:spacing w:val="-1"/>
        </w:rPr>
        <w:t>我们审计了后附的宝安鸿基地产集团股份有限公司（以下简称</w:t>
      </w:r>
      <w:r>
        <w:rPr>
          <w:rFonts w:ascii="Times New Roman" w:hAnsi="Times New Roman" w:cs="Times New Roman" w:eastAsia="Times New Roman" w:hint="default"/>
          <w:spacing w:val="-1"/>
        </w:rPr>
        <w:t>“</w:t>
      </w:r>
      <w:r>
        <w:rPr>
          <w:spacing w:val="-1"/>
        </w:rPr>
        <w:t>宝安地产公司</w:t>
      </w:r>
      <w:r>
        <w:rPr>
          <w:rFonts w:ascii="Times New Roman" w:hAnsi="Times New Roman" w:cs="Times New Roman" w:eastAsia="Times New Roman" w:hint="default"/>
          <w:spacing w:val="-1"/>
        </w:rPr>
        <w:t>”</w:t>
      </w:r>
      <w:r>
        <w:rPr>
          <w:spacing w:val="-1"/>
        </w:rPr>
        <w:t>）合并财务报表，包括</w:t>
      </w:r>
    </w:p>
    <w:p>
      <w:pPr>
        <w:pStyle w:val="BodyText"/>
        <w:spacing w:line="427" w:lineRule="auto" w:before="20"/>
        <w:ind w:right="88"/>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日合并资产负债表、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年度合并利润表、股东权益变动表和现金流量表以及财务报表</w:t>
      </w:r>
      <w:r>
        <w:rPr>
          <w:spacing w:val="-102"/>
        </w:rPr>
        <w:t> </w:t>
      </w:r>
      <w:r>
        <w:rPr>
          <w:spacing w:val="-102"/>
        </w:rPr>
      </w:r>
      <w:r>
        <w:rPr/>
        <w:t>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535" w:right="88"/>
        <w:jc w:val="left"/>
        <w:rPr>
          <w:rFonts w:ascii="宋体" w:hAnsi="宋体" w:cs="宋体" w:eastAsia="宋体" w:hint="default"/>
        </w:rPr>
      </w:pPr>
      <w:r>
        <w:rPr>
          <w:rFonts w:ascii="宋体" w:hAnsi="宋体" w:cs="宋体" w:eastAsia="宋体" w:hint="default"/>
        </w:rPr>
        <w:t>一、管理层对财务报表的责任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96" w:lineRule="auto"/>
        <w:ind w:right="129" w:firstLine="423"/>
        <w:jc w:val="both"/>
      </w:pPr>
      <w:r>
        <w:rPr>
          <w:spacing w:val="2"/>
          <w:w w:val="95"/>
        </w:rPr>
        <w:t>编制和公允列报合并财务报表是管理层的责任，这种责任包括：（</w:t>
      </w:r>
      <w:r>
        <w:rPr>
          <w:rFonts w:ascii="Times New Roman" w:hAnsi="Times New Roman" w:cs="Times New Roman" w:eastAsia="Times New Roman" w:hint="default"/>
          <w:spacing w:val="2"/>
          <w:w w:val="95"/>
        </w:rPr>
        <w:t>1</w:t>
      </w:r>
      <w:r>
        <w:rPr>
          <w:spacing w:val="2"/>
          <w:w w:val="95"/>
        </w:rPr>
        <w:t>）按照企业会计准则的规定编制</w:t>
      </w:r>
      <w:r>
        <w:rPr>
          <w:spacing w:val="-92"/>
          <w:w w:val="95"/>
        </w:rPr>
        <w:t> </w:t>
      </w:r>
      <w:r>
        <w:rPr>
          <w:spacing w:val="-92"/>
          <w:w w:val="95"/>
        </w:rPr>
      </w:r>
      <w:r>
        <w:rPr>
          <w:spacing w:val="2"/>
          <w:w w:val="95"/>
        </w:rPr>
        <w:t>合并财务报表，并使其实现公允反映；（</w:t>
      </w:r>
      <w:r>
        <w:rPr>
          <w:rFonts w:ascii="Times New Roman" w:hAnsi="Times New Roman" w:cs="Times New Roman" w:eastAsia="Times New Roman" w:hint="default"/>
          <w:spacing w:val="2"/>
          <w:w w:val="95"/>
        </w:rPr>
        <w:t>2</w:t>
      </w:r>
      <w:r>
        <w:rPr>
          <w:spacing w:val="2"/>
          <w:w w:val="95"/>
        </w:rPr>
        <w:t>）设计、执行和维护必要的内部控制，以使合并财务报表不存</w:t>
      </w:r>
      <w:r>
        <w:rPr>
          <w:spacing w:val="43"/>
          <w:w w:val="95"/>
        </w:rPr>
        <w:t> </w:t>
      </w:r>
      <w:r>
        <w:rPr>
          <w:spacing w:val="43"/>
          <w:w w:val="95"/>
        </w:rPr>
      </w:r>
      <w:r>
        <w:rPr/>
        <w:t>在由于舞弊或错误导致的重大错报。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535" w:right="88"/>
        <w:jc w:val="left"/>
        <w:rPr>
          <w:rFonts w:ascii="宋体" w:hAnsi="宋体" w:cs="宋体" w:eastAsia="宋体" w:hint="default"/>
        </w:rPr>
      </w:pPr>
      <w:r>
        <w:rPr>
          <w:rFonts w:ascii="宋体" w:hAnsi="宋体" w:cs="宋体" w:eastAsia="宋体" w:hint="default"/>
        </w:rPr>
        <w:t>二、注册会计师的责任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20" w:lineRule="auto"/>
        <w:ind w:right="127" w:firstLine="423"/>
        <w:jc w:val="both"/>
      </w:pPr>
      <w:r>
        <w:rPr>
          <w:w w:val="95"/>
        </w:rPr>
        <w:t>我们的责任是在执行审计工作的基础上对合并财务报表发表审计意见。我们按照中国注册会计师审计</w:t>
      </w:r>
      <w:r>
        <w:rPr>
          <w:spacing w:val="-93"/>
          <w:w w:val="95"/>
        </w:rPr>
        <w:t> </w:t>
      </w:r>
      <w:r>
        <w:rPr>
          <w:spacing w:val="-93"/>
          <w:w w:val="95"/>
        </w:rPr>
      </w:r>
      <w:r>
        <w:rPr>
          <w:w w:val="95"/>
        </w:rPr>
        <w:t>准则的规定执行了审计工作。中国注册会计师审计准则要求我们遵守职业道德守则，计划和执行审计工作</w:t>
      </w:r>
      <w:r>
        <w:rPr>
          <w:spacing w:val="54"/>
          <w:w w:val="95"/>
        </w:rPr>
        <w:t> </w:t>
      </w:r>
      <w:r>
        <w:rPr>
          <w:spacing w:val="54"/>
          <w:w w:val="95"/>
        </w:rPr>
      </w:r>
      <w:r>
        <w:rPr/>
        <w:t>以对合并财务报表是否不存在重大错报获取合理保证。</w:t>
      </w:r>
    </w:p>
    <w:p>
      <w:pPr>
        <w:pStyle w:val="BodyText"/>
        <w:spacing w:line="420" w:lineRule="auto" w:before="47"/>
        <w:ind w:right="125" w:firstLine="423"/>
        <w:jc w:val="both"/>
      </w:pPr>
      <w:r>
        <w:rPr>
          <w:w w:val="95"/>
        </w:rPr>
        <w:t>审计工作涉及实施审计程序，以获取有关合并财务报表金额和披露的审计证据。选择的审计程序取决</w:t>
      </w:r>
      <w:r>
        <w:rPr>
          <w:spacing w:val="-94"/>
          <w:w w:val="95"/>
        </w:rPr>
        <w:t> </w:t>
      </w:r>
      <w:r>
        <w:rPr>
          <w:spacing w:val="-94"/>
          <w:w w:val="95"/>
        </w:rPr>
      </w:r>
      <w:r>
        <w:rPr>
          <w:w w:val="95"/>
        </w:rPr>
        <w:t>于注册会计师的判断，包括对由于舞弊或错误导致的合并财务报表重大错报风险的评估。在进行风险评估</w:t>
      </w:r>
      <w:r>
        <w:rPr>
          <w:spacing w:val="54"/>
          <w:w w:val="95"/>
        </w:rPr>
        <w:t> </w:t>
      </w:r>
      <w:r>
        <w:rPr>
          <w:spacing w:val="54"/>
          <w:w w:val="95"/>
        </w:rPr>
      </w:r>
      <w:r>
        <w:rPr>
          <w:w w:val="95"/>
        </w:rPr>
        <w:t>时，注册会计师考虑与合并财务报表编制和公允列报相关的内部控制，以设计恰当的审计程序，但目的并</w:t>
      </w:r>
      <w:r>
        <w:rPr>
          <w:spacing w:val="55"/>
          <w:w w:val="95"/>
        </w:rPr>
        <w:t> </w:t>
      </w:r>
      <w:r>
        <w:rPr>
          <w:spacing w:val="55"/>
          <w:w w:val="95"/>
        </w:rPr>
      </w:r>
      <w:r>
        <w:rPr>
          <w:w w:val="95"/>
        </w:rPr>
        <w:t>非对内部控制的有效性发表意见。审计工作还包括评价管理层选用会计政策的恰当性和作出会计估计的合</w:t>
      </w:r>
      <w:r>
        <w:rPr>
          <w:spacing w:val="55"/>
          <w:w w:val="95"/>
        </w:rPr>
        <w:t> </w:t>
      </w:r>
      <w:r>
        <w:rPr>
          <w:spacing w:val="55"/>
          <w:w w:val="95"/>
        </w:rPr>
      </w:r>
      <w:r>
        <w:rPr/>
        <w:t>理性，以及评价合并财务报表的总体列报。</w:t>
      </w:r>
    </w:p>
    <w:p>
      <w:pPr>
        <w:pStyle w:val="BodyText"/>
        <w:spacing w:line="240" w:lineRule="auto" w:before="88"/>
        <w:ind w:left="539" w:right="88"/>
        <w:jc w:val="left"/>
      </w:pPr>
      <w:r>
        <w:rPr/>
        <w:t>我们相信，我们获取的审计证据是充分、适当的，为发表审计意见提供了基础。</w:t>
      </w:r>
    </w:p>
    <w:p>
      <w:pPr>
        <w:spacing w:after="0" w:line="240" w:lineRule="auto"/>
        <w:jc w:val="left"/>
        <w:sectPr>
          <w:pgSz w:w="11910" w:h="16840"/>
          <w:pgMar w:header="0" w:footer="976" w:top="1580" w:bottom="1160" w:left="1020" w:right="1000"/>
        </w:sectPr>
      </w:pPr>
    </w:p>
    <w:p>
      <w:pPr>
        <w:spacing w:line="240" w:lineRule="auto" w:before="12"/>
        <w:rPr>
          <w:rFonts w:ascii="宋体" w:hAnsi="宋体" w:cs="宋体" w:eastAsia="宋体" w:hint="default"/>
          <w:sz w:val="17"/>
          <w:szCs w:val="17"/>
        </w:rPr>
      </w:pPr>
    </w:p>
    <w:p>
      <w:pPr>
        <w:pStyle w:val="BodyText"/>
        <w:spacing w:line="240" w:lineRule="auto" w:before="34"/>
        <w:ind w:left="535" w:right="88"/>
        <w:jc w:val="left"/>
        <w:rPr>
          <w:rFonts w:ascii="宋体" w:hAnsi="宋体" w:cs="宋体" w:eastAsia="宋体" w:hint="default"/>
        </w:rPr>
      </w:pPr>
      <w:bookmarkStart w:name="合并资产负债表" w:id="46"/>
      <w:bookmarkEnd w:id="46"/>
      <w:r>
        <w:rPr/>
      </w:r>
      <w:r>
        <w:rPr>
          <w:rFonts w:ascii="宋体" w:hAnsi="宋体" w:cs="宋体" w:eastAsia="宋体" w:hint="default"/>
        </w:rPr>
        <w:t>三、审计意见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529" w:right="88"/>
        <w:jc w:val="left"/>
      </w:pPr>
      <w:r>
        <w:rPr>
          <w:spacing w:val="3"/>
        </w:rPr>
        <w:t>我们认为，合并财务报表在所有重大方面按照企业会计准则的规定编制，公允反映了</w:t>
      </w:r>
      <w:r>
        <w:rPr>
          <w:spacing w:val="-55"/>
        </w:rPr>
        <w:t> </w:t>
      </w:r>
      <w:r>
        <w:rPr>
          <w:spacing w:val="4"/>
        </w:rPr>
        <w:t>宝安地产公司</w:t>
      </w:r>
    </w:p>
    <w:p>
      <w:pPr>
        <w:spacing w:line="240" w:lineRule="auto" w:before="10"/>
        <w:rPr>
          <w:rFonts w:ascii="宋体" w:hAnsi="宋体" w:cs="宋体" w:eastAsia="宋体" w:hint="default"/>
          <w:sz w:val="18"/>
          <w:szCs w:val="18"/>
        </w:rPr>
      </w:pPr>
    </w:p>
    <w:p>
      <w:pPr>
        <w:pStyle w:val="BodyText"/>
        <w:spacing w:line="240" w:lineRule="auto"/>
        <w:ind w:right="88"/>
        <w:jc w:val="left"/>
      </w:pP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日的合并财务状况以及</w:t>
      </w:r>
      <w:r>
        <w:rPr>
          <w:spacing w:val="-52"/>
        </w:rPr>
        <w:t> </w:t>
      </w:r>
      <w:r>
        <w:rPr>
          <w:rFonts w:ascii="Times New Roman" w:hAnsi="Times New Roman" w:cs="Times New Roman" w:eastAsia="Times New Roman" w:hint="default"/>
        </w:rPr>
        <w:t>2011 </w:t>
      </w:r>
      <w:r>
        <w:rPr/>
        <w:t>年度的合并经营成果和合并现金流量。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pStyle w:val="BodyText"/>
        <w:tabs>
          <w:tab w:pos="7725" w:val="left" w:leader="none"/>
        </w:tabs>
        <w:spacing w:line="523" w:lineRule="auto"/>
        <w:ind w:left="1174" w:right="685" w:hanging="1004"/>
        <w:jc w:val="left"/>
      </w:pPr>
      <w:r>
        <w:rPr/>
        <w:t>深圳市鹏城会计师事务所有限公司</w:t>
        <w:tab/>
        <w:t>中国注册会计师</w:t>
      </w:r>
      <w:r>
        <w:rPr>
          <w:w w:val="99"/>
        </w:rPr>
        <w:t> </w:t>
      </w:r>
      <w:r>
        <w:rPr/>
        <w:t>中国 </w:t>
      </w:r>
      <w:r>
        <w:rPr>
          <w:rFonts w:ascii="Wingdings" w:hAnsi="Wingdings" w:cs="Wingdings" w:eastAsia="Wingdings" w:hint="default"/>
          <w:w w:val="85"/>
        </w:rPr>
        <w:t>�</w:t>
      </w:r>
      <w:r>
        <w:rPr>
          <w:rFonts w:ascii="Wingdings" w:hAnsi="Wingdings" w:cs="Wingdings" w:eastAsia="Wingdings" w:hint="default"/>
          <w:spacing w:val="-154"/>
          <w:w w:val="85"/>
        </w:rPr>
        <w:t></w:t>
      </w:r>
      <w:r>
        <w:rPr>
          <w:rFonts w:ascii="Times New Roman" w:hAnsi="Times New Roman" w:cs="Times New Roman" w:eastAsia="Times New Roman" w:hint="default"/>
          <w:spacing w:val="-154"/>
          <w:w w:val="85"/>
        </w:rPr>
      </w:r>
      <w:r>
        <w:rPr/>
        <w:t>深圳</w:t>
      </w:r>
    </w:p>
    <w:p>
      <w:pPr>
        <w:spacing w:after="0" w:line="523" w:lineRule="auto"/>
        <w:jc w:val="left"/>
        <w:sectPr>
          <w:footerReference w:type="default" r:id="rId25"/>
          <w:pgSz w:w="11910" w:h="16840"/>
          <w:pgMar w:footer="865" w:header="0" w:top="1580" w:bottom="1060" w:left="1020" w:right="1000"/>
          <w:pgNumType w:start="48"/>
        </w:sectPr>
      </w:pPr>
    </w:p>
    <w:p>
      <w:pPr>
        <w:pStyle w:val="BodyText"/>
        <w:spacing w:line="240" w:lineRule="auto" w:before="35"/>
        <w:ind w:left="986" w:right="-14"/>
        <w:jc w:val="left"/>
      </w:pP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5 </w:t>
      </w:r>
      <w:r>
        <w:rPr/>
        <w:t>日</w:t>
      </w:r>
    </w:p>
    <w:p>
      <w:pPr>
        <w:spacing w:line="240" w:lineRule="auto" w:before="0"/>
        <w:rPr>
          <w:rFonts w:ascii="宋体" w:hAnsi="宋体" w:cs="宋体" w:eastAsia="宋体" w:hint="default"/>
          <w:sz w:val="26"/>
          <w:szCs w:val="26"/>
        </w:rPr>
      </w:pPr>
      <w:r>
        <w:rPr/>
        <w:br w:type="column"/>
      </w:r>
      <w:r>
        <w:rPr>
          <w:rFonts w:ascii="宋体"/>
          <w:sz w:val="26"/>
        </w:rPr>
      </w: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110.35pt;height:.5pt;mso-position-horizontal-relative:char;mso-position-vertical-relative:line" coordorigin="0,0" coordsize="2207,10">
            <v:group style="position:absolute;left:5;top:5;width:2197;height:2" coordorigin="5,5" coordsize="2197,2">
              <v:shape style="position:absolute;left:5;top:5;width:2197;height:2" coordorigin="5,5" coordsize="2197,0" path="m5,5l2201,5e" filled="false" stroked="true" strokeweight=".48pt" strokecolor="#000000">
                <v:path arrowok="t"/>
              </v:shape>
            </v:group>
          </v:group>
        </w:pict>
      </w:r>
      <w:r>
        <w:rPr>
          <w:rFonts w:ascii="宋体" w:hAnsi="宋体" w:cs="宋体" w:eastAsia="宋体" w:hint="default"/>
          <w:sz w:val="2"/>
          <w:szCs w:val="2"/>
        </w:rPr>
      </w:r>
    </w:p>
    <w:p>
      <w:pPr>
        <w:pStyle w:val="BodyText"/>
        <w:spacing w:line="523" w:lineRule="auto"/>
        <w:ind w:left="986" w:right="685"/>
        <w:jc w:val="center"/>
      </w:pPr>
      <w:r>
        <w:rPr/>
        <w:t>侯立勋</w:t>
      </w:r>
      <w:r>
        <w:rPr>
          <w:w w:val="99"/>
        </w:rPr>
        <w:t> </w:t>
      </w: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110.35pt;height:.5pt;mso-position-horizontal-relative:char;mso-position-vertical-relative:line" coordorigin="0,0" coordsize="2207,10">
            <v:group style="position:absolute;left:5;top:5;width:2197;height:2" coordorigin="5,5" coordsize="2197,2">
              <v:shape style="position:absolute;left:5;top:5;width:2197;height:2" coordorigin="5,5" coordsize="2197,0" path="m5,5l2201,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983" w:right="685"/>
        <w:jc w:val="center"/>
      </w:pPr>
      <w:r>
        <w:rPr/>
        <w:t>薛海明</w:t>
      </w:r>
    </w:p>
    <w:p>
      <w:pPr>
        <w:spacing w:after="0" w:line="240" w:lineRule="auto"/>
        <w:jc w:val="center"/>
        <w:sectPr>
          <w:type w:val="continuous"/>
          <w:pgSz w:w="11910" w:h="16840"/>
          <w:pgMar w:top="1580" w:bottom="1200" w:left="1020" w:right="1000"/>
          <w:cols w:num="2" w:equalWidth="0">
            <w:col w:w="2513" w:space="4227"/>
            <w:col w:w="3150"/>
          </w:cols>
        </w:sectPr>
      </w:pPr>
    </w:p>
    <w:p>
      <w:pPr>
        <w:pStyle w:val="Heading1"/>
        <w:spacing w:line="385" w:lineRule="exact"/>
        <w:ind w:right="192"/>
        <w:jc w:val="center"/>
      </w:pPr>
      <w:bookmarkStart w:name="合并资产负债表（续）" w:id="47"/>
      <w:bookmarkEnd w:id="47"/>
      <w:r>
        <w:rPr/>
      </w:r>
      <w:r>
        <w:rPr/>
        <w:t>合并资产负债表</w:t>
      </w:r>
    </w:p>
    <w:p>
      <w:pPr>
        <w:pStyle w:val="BodyText"/>
        <w:spacing w:line="286" w:lineRule="exact"/>
        <w:ind w:left="0" w:right="18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11"/>
        <w:rPr>
          <w:rFonts w:ascii="宋体" w:hAnsi="宋体" w:cs="宋体" w:eastAsia="宋体" w:hint="default"/>
          <w:sz w:val="32"/>
          <w:szCs w:val="32"/>
        </w:rPr>
      </w:pPr>
    </w:p>
    <w:p>
      <w:pPr>
        <w:pStyle w:val="BodyText"/>
        <w:tabs>
          <w:tab w:pos="7263" w:val="left" w:leader="none"/>
        </w:tabs>
        <w:spacing w:line="240" w:lineRule="auto"/>
        <w:ind w:left="0" w:right="377"/>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703"/>
        <w:gridCol w:w="991"/>
        <w:gridCol w:w="2541"/>
        <w:gridCol w:w="2623"/>
      </w:tblGrid>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84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362,404,316.56</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701,741,671.75</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4,609,851.26</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4,256,720.77</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7,136,384.54</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30,550,413.89</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28,947,899.34</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43,703,322.27</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912,241,811.08</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638,215,147.94</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1,315,340,262.78</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1,418,467,276.62</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33,437,762.52</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41,578,330.24</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52,652,491.59</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97,066,040.97</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367,041,939.04</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458,892,286.19</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10</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75,445,364.66</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1"/>
              <w:jc w:val="right"/>
              <w:rPr>
                <w:rFonts w:ascii="Times New Roman" w:hAnsi="Times New Roman" w:cs="Times New Roman" w:eastAsia="Times New Roman" w:hint="default"/>
                <w:sz w:val="21"/>
                <w:szCs w:val="21"/>
              </w:rPr>
            </w:pPr>
            <w:r>
              <w:rPr>
                <w:rFonts w:ascii="Times New Roman"/>
                <w:spacing w:val="-1"/>
                <w:sz w:val="21"/>
              </w:rPr>
              <w:t>104,911,161.57</w:t>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11</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12</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28,632,389.70</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1"/>
              <w:jc w:val="right"/>
              <w:rPr>
                <w:rFonts w:ascii="Times New Roman" w:hAnsi="Times New Roman" w:cs="Times New Roman" w:eastAsia="Times New Roman" w:hint="default"/>
                <w:sz w:val="21"/>
                <w:szCs w:val="21"/>
              </w:rPr>
            </w:pPr>
            <w:r>
              <w:rPr>
                <w:rFonts w:ascii="Times New Roman"/>
                <w:spacing w:val="-1"/>
                <w:sz w:val="21"/>
              </w:rPr>
              <w:t>112,585,549.84</w:t>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13</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14</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2"/>
                <w:sz w:val="21"/>
              </w:rPr>
              <w:t>111,617.54</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8,431,064.45</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15</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15,479,767.27</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41,484,641.18</w:t>
            </w:r>
            <w:r>
              <w:rPr>
                <w:rFonts w:ascii="Times New Roman"/>
                <w:sz w:val="21"/>
              </w:rPr>
            </w:r>
          </w:p>
        </w:tc>
      </w:tr>
      <w:tr>
        <w:trPr>
          <w:trHeight w:val="3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572,801,332.32</w:t>
            </w:r>
            <w:r>
              <w:rPr>
                <w:rFonts w:ascii="Times New Roman"/>
                <w:sz w:val="21"/>
              </w:rPr>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9"/>
              <w:jc w:val="right"/>
              <w:rPr>
                <w:rFonts w:ascii="Times New Roman" w:hAnsi="Times New Roman" w:cs="Times New Roman" w:eastAsia="Times New Roman" w:hint="default"/>
                <w:sz w:val="21"/>
                <w:szCs w:val="21"/>
              </w:rPr>
            </w:pPr>
            <w:r>
              <w:rPr>
                <w:rFonts w:ascii="Times New Roman"/>
                <w:w w:val="95"/>
                <w:sz w:val="21"/>
              </w:rPr>
              <w:t>864,949,074.44</w:t>
            </w:r>
            <w:r>
              <w:rPr>
                <w:rFonts w:ascii="Times New Roman"/>
                <w:sz w:val="21"/>
              </w:rPr>
            </w:r>
          </w:p>
        </w:tc>
      </w:tr>
      <w:tr>
        <w:trPr>
          <w:trHeight w:val="379"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1,888,141,595.10</w:t>
            </w:r>
            <w:r>
              <w:rPr>
                <w:rFonts w:ascii="Times New Roman"/>
                <w:sz w:val="21"/>
              </w:rPr>
            </w:r>
          </w:p>
        </w:tc>
        <w:tc>
          <w:tcPr>
            <w:tcW w:w="2623" w:type="dxa"/>
            <w:tcBorders>
              <w:top w:val="single" w:sz="4" w:space="0" w:color="000000"/>
              <w:left w:val="single" w:sz="4" w:space="0" w:color="000000"/>
              <w:bottom w:val="single" w:sz="4" w:space="0" w:color="000000"/>
              <w:right w:val="single" w:sz="2" w:space="0" w:color="808080"/>
            </w:tcBorders>
          </w:tcPr>
          <w:p>
            <w:pPr>
              <w:pStyle w:val="TableParagraph"/>
              <w:spacing w:line="240" w:lineRule="auto" w:before="128"/>
              <w:ind w:right="186"/>
              <w:jc w:val="right"/>
              <w:rPr>
                <w:rFonts w:ascii="Times New Roman" w:hAnsi="Times New Roman" w:cs="Times New Roman" w:eastAsia="Times New Roman" w:hint="default"/>
                <w:sz w:val="21"/>
                <w:szCs w:val="21"/>
              </w:rPr>
            </w:pPr>
            <w:r>
              <w:rPr>
                <w:rFonts w:ascii="Times New Roman"/>
                <w:w w:val="95"/>
                <w:sz w:val="21"/>
              </w:rPr>
              <w:t>2,283,416,351.06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6"/>
          <w:pgSz w:w="11910" w:h="16840"/>
          <w:pgMar w:footer="1469" w:header="0" w:top="1060" w:bottom="1660" w:left="1020" w:right="800"/>
          <w:pgNumType w:start="49"/>
        </w:sectPr>
      </w:pPr>
    </w:p>
    <w:p>
      <w:pPr>
        <w:pStyle w:val="Heading1"/>
        <w:spacing w:line="390" w:lineRule="exact"/>
        <w:ind w:right="15"/>
        <w:jc w:val="center"/>
      </w:pPr>
      <w:bookmarkStart w:name="2011年12月31日" w:id="48"/>
      <w:bookmarkEnd w:id="48"/>
      <w:r>
        <w:rPr/>
      </w:r>
      <w:r>
        <w:rPr/>
        <w:t>合并资产负债表（续）</w:t>
      </w:r>
    </w:p>
    <w:p>
      <w:pPr>
        <w:pStyle w:val="BodyText"/>
        <w:spacing w:line="240" w:lineRule="auto" w:before="67"/>
        <w:ind w:left="0" w:right="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369" w:val="left" w:leader="none"/>
        </w:tabs>
        <w:spacing w:line="240" w:lineRule="auto" w:before="153"/>
        <w:ind w:left="0" w:right="92"/>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696"/>
        <w:gridCol w:w="996"/>
        <w:gridCol w:w="2488"/>
        <w:gridCol w:w="2483"/>
      </w:tblGrid>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81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17</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75,000,000.00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18</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169,687,725.97</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92,301,941.89</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19</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434,428,888.21</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722,615,327.08</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5,715,754.48</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8,393,771.20</w:t>
            </w:r>
            <w:r>
              <w:rPr>
                <w:rFonts w:ascii="Times New Roman"/>
                <w:sz w:val="21"/>
              </w:rPr>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21</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101,539,468.59</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85,346,872.50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22</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178,256.94</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w w:val="95"/>
                <w:sz w:val="21"/>
              </w:rPr>
              <w:t>440,097.43</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23</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1,786,039.81</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1,786,039.81</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24</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74,320,398.06</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121,405,299.80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25</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93,340,000.00</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880,996,532.06</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1,107,289,349.71</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26</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221,500,000.00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27</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62,000,000.00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15</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7,499,877.76</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9,153,618.90</w:t>
            </w:r>
            <w:r>
              <w:rPr>
                <w:rFonts w:ascii="Times New Roman"/>
                <w:sz w:val="21"/>
              </w:rPr>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28</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14,001,533.98</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21,501,411.74</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292,653,618.90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902,497,943.80</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1,399,942,968.61</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有</w:t>
            </w:r>
            <w:r>
              <w:rPr>
                <w:rFonts w:ascii="宋体" w:hAnsi="宋体" w:cs="宋体" w:eastAsia="宋体" w:hint="default"/>
                <w:spacing w:val="2"/>
                <w:w w:val="99"/>
                <w:sz w:val="21"/>
                <w:szCs w:val="21"/>
              </w:rPr>
              <w:t>者</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权益</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29</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30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314,704,209.29</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330,003,134.76</w:t>
            </w:r>
            <w:r>
              <w:rPr>
                <w:rFonts w:ascii="Times New Roman"/>
                <w:sz w:val="21"/>
              </w:rPr>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31</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86,217,520.36</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212,430,339.50</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32</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125,302,709.63</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-140,990,764.14</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995,817,803.28</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871,036,074.12</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7"/>
              <w:jc w:val="right"/>
              <w:rPr>
                <w:rFonts w:ascii="Times New Roman" w:hAnsi="Times New Roman" w:cs="Times New Roman" w:eastAsia="Times New Roman" w:hint="default"/>
                <w:sz w:val="21"/>
                <w:szCs w:val="21"/>
              </w:rPr>
            </w:pPr>
            <w:r>
              <w:rPr>
                <w:rFonts w:ascii="Times New Roman"/>
                <w:w w:val="95"/>
                <w:sz w:val="21"/>
              </w:rPr>
              <w:t>-10,174,151.98</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12,437,308.33</w:t>
            </w:r>
            <w:r>
              <w:rPr>
                <w:rFonts w:ascii="Times New Roman"/>
                <w:sz w:val="21"/>
              </w:rPr>
            </w:r>
          </w:p>
        </w:tc>
      </w:tr>
      <w:tr>
        <w:trPr>
          <w:trHeight w:val="372"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985,643,651.30</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883,473,382.45</w:t>
            </w:r>
            <w:r>
              <w:rPr>
                <w:rFonts w:ascii="Times New Roman"/>
                <w:sz w:val="21"/>
              </w:rPr>
            </w: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95"/>
                <w:sz w:val="21"/>
              </w:rPr>
              <w:t>1,888,141,595.10</w:t>
            </w:r>
            <w:r>
              <w:rPr>
                <w:rFonts w:ascii="Times New Roman"/>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2,283,416,351.06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7"/>
          <w:pgSz w:w="11910" w:h="16840"/>
          <w:pgMar w:footer="1469" w:header="0" w:top="1060" w:bottom="1660" w:left="1020" w:right="980"/>
          <w:pgNumType w:start="50"/>
        </w:sectPr>
      </w:pPr>
    </w:p>
    <w:p>
      <w:pPr>
        <w:pStyle w:val="Heading1"/>
        <w:spacing w:line="401" w:lineRule="exact"/>
        <w:ind w:right="15"/>
        <w:jc w:val="center"/>
      </w:pPr>
      <w:bookmarkStart w:name="母公司资产负债表" w:id="49"/>
      <w:bookmarkEnd w:id="49"/>
      <w:r>
        <w:rPr/>
      </w:r>
      <w:bookmarkStart w:name="母公司资产负债表（续）" w:id="50"/>
      <w:bookmarkEnd w:id="50"/>
      <w:r>
        <w:rPr/>
      </w:r>
      <w:r>
        <w:rPr/>
        <w:t>母公司资产负债表</w:t>
      </w:r>
    </w:p>
    <w:p>
      <w:pPr>
        <w:pStyle w:val="BodyText"/>
        <w:spacing w:line="240" w:lineRule="auto" w:before="108"/>
        <w:ind w:left="0" w:right="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7369" w:val="left" w:leader="none"/>
        </w:tabs>
        <w:spacing w:line="240" w:lineRule="auto"/>
        <w:ind w:left="0" w:right="92"/>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840"/>
        <w:gridCol w:w="1275"/>
        <w:gridCol w:w="2132"/>
        <w:gridCol w:w="2416"/>
      </w:tblGrid>
      <w:tr>
        <w:trPr>
          <w:trHeight w:val="37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78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4,299,690.12</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3,230,934.71</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106,877.85</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2,242,094.66</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750,130,357.23</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503,328,532.94</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31,887,485.28</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33,331,348.80</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786,424,410.48</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w w:val="95"/>
                <w:sz w:val="21"/>
              </w:rPr>
              <w:t>542,132,911.11</w:t>
            </w:r>
            <w:r>
              <w:rPr>
                <w:rFonts w:ascii="Times New Roman"/>
                <w:spacing w:val="-1"/>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33,437,762.52</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41,578,330.24</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761,634,198.83</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738,700,002.76</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176,845,182.27</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262,228,524.37</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14,336,920.72</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26,667,313.23</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28,632,389.70</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30,087,974.38</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25,737,205.35</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51,796,858.71</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1,040,623,659.39</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1,151,059,003.69</w:t>
            </w:r>
            <w:r>
              <w:rPr>
                <w:rFonts w:ascii="Times New Roman"/>
                <w:sz w:val="21"/>
              </w:rPr>
            </w:r>
          </w:p>
        </w:tc>
      </w:tr>
      <w:tr>
        <w:trPr>
          <w:trHeight w:val="382"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1,827,048,069.87</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1,693,191,914.80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8"/>
          <w:pgSz w:w="11910" w:h="16840"/>
          <w:pgMar w:footer="1316" w:header="0" w:top="1080" w:bottom="1500" w:left="1020" w:right="980"/>
          <w:pgNumType w:start="51"/>
        </w:sectPr>
      </w:pPr>
    </w:p>
    <w:p>
      <w:pPr>
        <w:pStyle w:val="Heading1"/>
        <w:spacing w:line="404" w:lineRule="exact"/>
        <w:ind w:left="3183" w:right="3003"/>
        <w:jc w:val="center"/>
      </w:pPr>
      <w:r>
        <w:rPr/>
        <w:t>母公司资产负债表（续）</w:t>
      </w:r>
    </w:p>
    <w:p>
      <w:pPr>
        <w:spacing w:line="240" w:lineRule="auto" w:before="5"/>
        <w:rPr>
          <w:rFonts w:ascii="宋体" w:hAnsi="宋体" w:cs="宋体" w:eastAsia="宋体" w:hint="default"/>
          <w:sz w:val="26"/>
          <w:szCs w:val="26"/>
        </w:rPr>
      </w:pPr>
    </w:p>
    <w:p>
      <w:pPr>
        <w:pStyle w:val="BodyText"/>
        <w:spacing w:line="240" w:lineRule="auto"/>
        <w:ind w:left="3183" w:right="2991"/>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293" w:val="left" w:leader="none"/>
        </w:tabs>
        <w:spacing w:line="240" w:lineRule="auto" w:before="180"/>
        <w:ind w:left="135" w:right="105"/>
        <w:jc w:val="left"/>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852"/>
        <w:gridCol w:w="1138"/>
        <w:gridCol w:w="2257"/>
        <w:gridCol w:w="2257"/>
      </w:tblGrid>
      <w:tr>
        <w:trPr>
          <w:trHeight w:val="37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4" w:right="0"/>
              <w:jc w:val="left"/>
              <w:rPr>
                <w:rFonts w:ascii="宋体" w:hAnsi="宋体" w:cs="宋体" w:eastAsia="宋体" w:hint="default"/>
                <w:sz w:val="21"/>
                <w:szCs w:val="21"/>
              </w:rPr>
            </w:pPr>
            <w:r>
              <w:rPr>
                <w:rFonts w:ascii="宋体" w:hAnsi="宋体" w:cs="宋体" w:eastAsia="宋体" w:hint="default"/>
                <w:sz w:val="21"/>
                <w:szCs w:val="21"/>
              </w:rPr>
              <w:t>附注十一</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70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3,497,128.69</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5,016,111.07</w:t>
            </w:r>
            <w:r>
              <w:rPr>
                <w:rFonts w:ascii="Times New Roman"/>
                <w:sz w:val="21"/>
              </w:rPr>
            </w:r>
          </w:p>
        </w:tc>
      </w:tr>
      <w:tr>
        <w:trPr>
          <w:trHeight w:val="348"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76,532,992.53</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46,454,203.00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3,070,324.24</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3,385,905.50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50,289,637.37</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49,071,686.33</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w w:val="95"/>
                <w:sz w:val="21"/>
              </w:rPr>
              <w:t>178,256.94</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w w:val="95"/>
                <w:sz w:val="21"/>
              </w:rPr>
              <w:t>134,284.93</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1,786,039.81</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1,786,039.81</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585,688,036.81</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632,879,875.84</w:t>
            </w:r>
            <w:r>
              <w:rPr>
                <w:rFonts w:ascii="Times New Roman"/>
                <w:sz w:val="21"/>
              </w:rPr>
            </w:r>
          </w:p>
        </w:tc>
      </w:tr>
      <w:tr>
        <w:trPr>
          <w:trHeight w:val="348"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93,340,000.00</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814,382,416.39</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738,728,106.48</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96,500,000.00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8"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7,499,877.76</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9,153,618.90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7,499,877.76</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105,653,618.90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821,882,294.15</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844,381,725.38</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469,593,364.00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423,569,157.10</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430,055,983.68</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59,609,991.26</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196,990,878.50</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52,393,263.36</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-247,830,036.76</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8"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1,005,165,775.72</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848,810,189.42</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1,005,165,775.72</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848,810,189.42</w:t>
            </w:r>
            <w:r>
              <w:rPr>
                <w:rFonts w:ascii="Times New Roman"/>
                <w:sz w:val="21"/>
              </w:rPr>
            </w:r>
          </w:p>
        </w:tc>
      </w:tr>
      <w:tr>
        <w:trPr>
          <w:trHeight w:val="350" w:hRule="exact"/>
        </w:trPr>
        <w:tc>
          <w:tcPr>
            <w:tcW w:w="3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w w:val="95"/>
                <w:sz w:val="21"/>
              </w:rPr>
              <w:t>1,827,048,069.87</w:t>
            </w:r>
            <w:r>
              <w:rPr>
                <w:rFonts w:ascii="Times New Roman"/>
                <w:sz w:val="21"/>
              </w:rPr>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1,693,191,914.80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316" w:top="1080" w:bottom="1500" w:left="1000" w:right="1160"/>
        </w:sectPr>
      </w:pPr>
    </w:p>
    <w:p>
      <w:pPr>
        <w:pStyle w:val="Heading1"/>
        <w:spacing w:line="401" w:lineRule="exact"/>
        <w:ind w:right="112"/>
        <w:jc w:val="center"/>
      </w:pPr>
      <w:bookmarkStart w:name="合并利润表" w:id="51"/>
      <w:bookmarkEnd w:id="51"/>
      <w:r>
        <w:rPr/>
      </w:r>
      <w:bookmarkStart w:name="母公司利润表" w:id="52"/>
      <w:bookmarkEnd w:id="52"/>
      <w:r>
        <w:rPr/>
      </w:r>
      <w:r>
        <w:rPr/>
        <w:t>合并利润表</w:t>
      </w:r>
    </w:p>
    <w:p>
      <w:pPr>
        <w:pStyle w:val="BodyText"/>
        <w:spacing w:line="240" w:lineRule="auto" w:before="240"/>
        <w:ind w:left="0" w:right="107"/>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w:t>
      </w:r>
    </w:p>
    <w:p>
      <w:pPr>
        <w:spacing w:line="240" w:lineRule="auto" w:before="11"/>
        <w:rPr>
          <w:rFonts w:ascii="宋体" w:hAnsi="宋体" w:cs="宋体" w:eastAsia="宋体" w:hint="default"/>
          <w:sz w:val="32"/>
          <w:szCs w:val="32"/>
        </w:rPr>
      </w:pPr>
    </w:p>
    <w:p>
      <w:pPr>
        <w:pStyle w:val="BodyText"/>
        <w:tabs>
          <w:tab w:pos="7369" w:val="left" w:leader="none"/>
        </w:tabs>
        <w:spacing w:line="240" w:lineRule="auto"/>
        <w:ind w:left="0" w:right="192"/>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85"/>
        <w:gridCol w:w="866"/>
        <w:gridCol w:w="2209"/>
        <w:gridCol w:w="2211"/>
      </w:tblGrid>
      <w:tr>
        <w:trPr>
          <w:trHeight w:val="370"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8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817,369,601.45</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777,211,705.95</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33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817,369,601.45</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777,211,705.95</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694,573,180.84</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699,998,610.16</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33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541,275,221.19</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457,897,991.87</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7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34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66,765,144.30</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79,654,372.72</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7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35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6,389,169.00</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21,488,674.34</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7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36</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73,151,116.06</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113,120,235.51</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7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37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1,691,128.57</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23,194,679.78</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7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39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5,301,401.72</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4,642,655.94</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38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106,109,855.95</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76,580,318.68</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-9,651,500.90</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-3,276,720.19</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228,906,276.56</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153,793,414.47</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40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1,121,012.34</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11,350,155.10</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41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3,315,203.06</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36,809,049.65</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26,452,538.48</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226,712,085.84</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128,334,519.92</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42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86,233,621.66</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35,947,749.50</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140,478,464.18</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92,386,770.42</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140,080,654.63</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w w:val="95"/>
                <w:sz w:val="21"/>
              </w:rPr>
              <w:t>96,276,320.09</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95"/>
                <w:sz w:val="21"/>
              </w:rPr>
              <w:t>397,809.55</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95"/>
                <w:sz w:val="21"/>
              </w:rPr>
              <w:t>-3,889,549.67</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0.30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z w:val="21"/>
              </w:rPr>
              <w:t>0.21</w:t>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43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sz w:val="21"/>
              </w:rPr>
              <w:t>0.30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z w:val="21"/>
              </w:rPr>
              <w:t>0.21</w:t>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-15,298,925.47</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-168,605,068.23</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125,179,538.71</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-76,218,297.81</w:t>
            </w:r>
            <w:r>
              <w:rPr>
                <w:rFonts w:ascii="Times New Roman"/>
                <w:sz w:val="21"/>
              </w:rPr>
            </w:r>
          </w:p>
        </w:tc>
      </w:tr>
      <w:tr>
        <w:trPr>
          <w:trHeight w:val="398"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w w:val="95"/>
                <w:sz w:val="21"/>
              </w:rPr>
              <w:t>124,781,729.16</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w w:val="95"/>
                <w:sz w:val="21"/>
              </w:rPr>
              <w:t>-72,328,748.14</w:t>
            </w:r>
            <w:r>
              <w:rPr>
                <w:rFonts w:ascii="Times New Roman"/>
                <w:sz w:val="21"/>
              </w:rPr>
            </w:r>
          </w:p>
        </w:tc>
      </w:tr>
      <w:tr>
        <w:trPr>
          <w:trHeight w:val="401" w:hRule="exact"/>
        </w:trPr>
        <w:tc>
          <w:tcPr>
            <w:tcW w:w="4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6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397,809.55</w:t>
            </w:r>
            <w:r>
              <w:rPr>
                <w:rFonts w:ascii="Times New Roman"/>
                <w:sz w:val="21"/>
              </w:rPr>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5"/>
                <w:sz w:val="21"/>
              </w:rPr>
              <w:t>-3,889,549.67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316" w:top="1080" w:bottom="1500" w:left="1020" w:right="880"/>
        </w:sectPr>
      </w:pPr>
    </w:p>
    <w:p>
      <w:pPr>
        <w:pStyle w:val="Heading1"/>
        <w:spacing w:line="401" w:lineRule="exact"/>
        <w:ind w:right="15"/>
        <w:jc w:val="center"/>
      </w:pPr>
      <w:bookmarkStart w:name="合并现金流量表" w:id="53"/>
      <w:bookmarkEnd w:id="53"/>
      <w:r>
        <w:rPr/>
      </w:r>
      <w:r>
        <w:rPr/>
        <w:t>母公司利润表</w:t>
      </w:r>
    </w:p>
    <w:p>
      <w:pPr>
        <w:pStyle w:val="BodyText"/>
        <w:spacing w:line="240" w:lineRule="auto" w:before="240"/>
        <w:ind w:left="0" w:right="7"/>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w:t>
      </w:r>
    </w:p>
    <w:p>
      <w:pPr>
        <w:spacing w:line="240" w:lineRule="auto" w:before="11"/>
        <w:rPr>
          <w:rFonts w:ascii="宋体" w:hAnsi="宋体" w:cs="宋体" w:eastAsia="宋体" w:hint="default"/>
          <w:sz w:val="32"/>
          <w:szCs w:val="32"/>
        </w:rPr>
      </w:pPr>
    </w:p>
    <w:p>
      <w:pPr>
        <w:pStyle w:val="BodyText"/>
        <w:tabs>
          <w:tab w:pos="7232" w:val="left" w:leader="none"/>
        </w:tabs>
        <w:spacing w:line="240" w:lineRule="auto"/>
        <w:ind w:left="74" w:right="0"/>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4114"/>
        <w:gridCol w:w="1145"/>
        <w:gridCol w:w="2132"/>
        <w:gridCol w:w="2129"/>
      </w:tblGrid>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31,520,930.43</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19,357,792.96</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13,984,137.22</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10,759,689.36</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1,044,495.62</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997,987.13</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38,123.52</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292,364.15</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37,388,008.66</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41,770,604.91</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6,271,566.34</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24,919,724.03</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5,519,021.62</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3,473,248.45</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3"/>
              <w:jc w:val="left"/>
              <w:rPr>
                <w:rFonts w:ascii="宋体" w:hAnsi="宋体" w:cs="宋体" w:eastAsia="宋体" w:hint="default"/>
                <w:sz w:val="21"/>
                <w:szCs w:val="21"/>
              </w:rPr>
            </w:pPr>
            <w:r>
              <w:rPr>
                <w:rFonts w:ascii="宋体" w:hAnsi="宋体" w:cs="宋体" w:eastAsia="宋体" w:hint="default"/>
                <w:w w:val="99"/>
                <w:sz w:val="21"/>
                <w:szCs w:val="21"/>
              </w:rPr>
              <w:t>加</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允</w:t>
            </w:r>
            <w:r>
              <w:rPr>
                <w:rFonts w:ascii="宋体" w:hAnsi="宋体" w:cs="宋体" w:eastAsia="宋体" w:hint="default"/>
                <w:spacing w:val="2"/>
                <w:w w:val="99"/>
                <w:sz w:val="21"/>
                <w:szCs w:val="21"/>
              </w:rPr>
              <w:t>价</w:t>
            </w:r>
            <w:r>
              <w:rPr>
                <w:rFonts w:ascii="宋体" w:hAnsi="宋体" w:cs="宋体" w:eastAsia="宋体" w:hint="default"/>
                <w:w w:val="99"/>
                <w:sz w:val="21"/>
                <w:szCs w:val="21"/>
              </w:rPr>
              <w:t>值</w:t>
            </w:r>
            <w:r>
              <w:rPr>
                <w:rFonts w:ascii="宋体" w:hAnsi="宋体" w:cs="宋体" w:eastAsia="宋体" w:hint="default"/>
                <w:spacing w:val="2"/>
                <w:w w:val="99"/>
                <w:sz w:val="21"/>
                <w:szCs w:val="21"/>
              </w:rPr>
              <w:t>变</w:t>
            </w:r>
            <w:r>
              <w:rPr>
                <w:rFonts w:ascii="宋体" w:hAnsi="宋体" w:cs="宋体" w:eastAsia="宋体" w:hint="default"/>
                <w:w w:val="99"/>
                <w:sz w:val="21"/>
                <w:szCs w:val="21"/>
              </w:rPr>
              <w:t>动</w:t>
            </w:r>
            <w:r>
              <w:rPr>
                <w:rFonts w:ascii="宋体" w:hAnsi="宋体" w:cs="宋体" w:eastAsia="宋体" w:hint="default"/>
                <w:spacing w:val="2"/>
                <w:w w:val="99"/>
                <w:sz w:val="21"/>
                <w:szCs w:val="21"/>
              </w:rPr>
              <w:t>收</w:t>
            </w:r>
            <w:r>
              <w:rPr>
                <w:rFonts w:ascii="宋体" w:hAnsi="宋体" w:cs="宋体" w:eastAsia="宋体" w:hint="default"/>
                <w:spacing w:val="-92"/>
                <w:w w:val="99"/>
                <w:sz w:val="21"/>
                <w:szCs w:val="21"/>
              </w:rPr>
              <w:t>益</w:t>
            </w:r>
            <w:r>
              <w:rPr>
                <w:rFonts w:ascii="宋体" w:hAnsi="宋体" w:cs="宋体" w:eastAsia="宋体" w:hint="default"/>
                <w:spacing w:val="2"/>
                <w:w w:val="99"/>
                <w:sz w:val="21"/>
                <w:szCs w:val="21"/>
              </w:rPr>
              <w:t>（损</w:t>
            </w:r>
            <w:r>
              <w:rPr>
                <w:rFonts w:ascii="宋体" w:hAnsi="宋体" w:cs="宋体" w:eastAsia="宋体" w:hint="default"/>
                <w:w w:val="99"/>
                <w:sz w:val="21"/>
                <w:szCs w:val="21"/>
              </w:rPr>
              <w:t>失以</w:t>
            </w:r>
            <w:r>
              <w:rPr>
                <w:rFonts w:ascii="Times New Roman" w:hAnsi="Times New Roman" w:cs="Times New Roman" w:eastAsia="Times New Roman" w:hint="default"/>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w:t>
            </w:r>
            <w:r>
              <w:rPr>
                <w:rFonts w:ascii="宋体" w:hAnsi="宋体" w:cs="宋体" w:eastAsia="宋体" w:hint="default"/>
                <w:spacing w:val="2"/>
                <w:w w:val="99"/>
                <w:sz w:val="21"/>
                <w:szCs w:val="21"/>
              </w:rPr>
              <w:t>号</w:t>
            </w:r>
            <w:r>
              <w:rPr>
                <w:rFonts w:ascii="宋体" w:hAnsi="宋体" w:cs="宋体" w:eastAsia="宋体" w:hint="default"/>
                <w:w w:val="99"/>
                <w:sz w:val="21"/>
                <w:szCs w:val="21"/>
              </w:rPr>
              <w:t>填</w:t>
            </w:r>
            <w:r>
              <w:rPr>
                <w:rFonts w:ascii="宋体" w:hAnsi="宋体" w:cs="宋体" w:eastAsia="宋体" w:hint="default"/>
                <w:spacing w:val="2"/>
                <w:w w:val="99"/>
                <w:sz w:val="21"/>
                <w:szCs w:val="21"/>
              </w:rPr>
              <w:t>列</w:t>
            </w:r>
            <w:r>
              <w:rPr>
                <w:rFonts w:ascii="宋体" w:hAnsi="宋体" w:cs="宋体" w:eastAsia="宋体" w:hint="default"/>
                <w:w w:val="99"/>
                <w:sz w:val="21"/>
                <w:szCs w:val="21"/>
              </w:rPr>
              <w:t>）</w:t>
            </w:r>
            <w:r>
              <w:rPr>
                <w:rFonts w:ascii="宋体" w:hAnsi="宋体" w:cs="宋体" w:eastAsia="宋体"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247,179,286.01</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166,847,371.48</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-7,988,875.40</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-7,477,399.35</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214,454,863.46</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103,991,546.41</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752,919.72</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10,153,882.31</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78,640.33</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8,524,629.07</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862,213.27</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215,129,142.85</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105,620,799.65</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52,286,729.97</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-9,693,873.85</w:t>
            </w:r>
            <w:r>
              <w:rPr>
                <w:rFonts w:ascii="Times New Roman"/>
                <w:sz w:val="21"/>
              </w:rPr>
            </w: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162,842,412.88</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115,314,673.50</w:t>
            </w:r>
            <w:r>
              <w:rPr>
                <w:rFonts w:ascii="Times New Roman"/>
                <w:sz w:val="21"/>
              </w:rPr>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0.35</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0.25</w:t>
            </w:r>
          </w:p>
        </w:tc>
      </w:tr>
      <w:tr>
        <w:trPr>
          <w:trHeight w:val="50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4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0.35</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9"/>
          <w:pgSz w:w="11910" w:h="16840"/>
          <w:pgMar w:footer="865" w:header="0" w:top="1080" w:bottom="1060" w:left="1020" w:right="980"/>
          <w:pgNumType w:start="54"/>
        </w:sectPr>
      </w:pPr>
    </w:p>
    <w:p>
      <w:pPr>
        <w:pStyle w:val="BodyText"/>
        <w:tabs>
          <w:tab w:pos="1696" w:val="left" w:leader="none"/>
          <w:tab w:pos="2748" w:val="left" w:leader="none"/>
        </w:tabs>
        <w:spacing w:line="240" w:lineRule="auto" w:before="34"/>
        <w:ind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陈泰泉</w:t>
        <w:tab/>
      </w:r>
      <w:r>
        <w:rPr/>
      </w:r>
    </w:p>
    <w:p>
      <w:pPr>
        <w:pStyle w:val="BodyText"/>
        <w:tabs>
          <w:tab w:pos="2590" w:val="left" w:leader="none"/>
          <w:tab w:pos="3434" w:val="left" w:leader="none"/>
        </w:tabs>
        <w:spacing w:line="240" w:lineRule="auto" w:before="34"/>
        <w:ind w:left="64" w:right="0"/>
        <w:jc w:val="left"/>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pStyle w:val="BodyText"/>
        <w:tabs>
          <w:tab w:pos="2063" w:val="left" w:leader="none"/>
          <w:tab w:pos="3010" w:val="left" w:leader="none"/>
        </w:tabs>
        <w:spacing w:line="240" w:lineRule="auto" w:before="34"/>
        <w:ind w:left="64" w:right="0"/>
        <w:jc w:val="left"/>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spacing w:after="0" w:line="240" w:lineRule="auto"/>
        <w:jc w:val="left"/>
        <w:sectPr>
          <w:type w:val="continuous"/>
          <w:pgSz w:w="11910" w:h="16840"/>
          <w:pgMar w:top="1580" w:bottom="1200" w:left="1020" w:right="980"/>
          <w:cols w:num="3" w:equalWidth="0">
            <w:col w:w="2749" w:space="40"/>
            <w:col w:w="3435" w:space="40"/>
            <w:col w:w="3646"/>
          </w:cols>
        </w:sectPr>
      </w:pPr>
    </w:p>
    <w:p>
      <w:pPr>
        <w:pStyle w:val="Heading1"/>
        <w:spacing w:line="401" w:lineRule="exact"/>
        <w:ind w:right="72"/>
        <w:jc w:val="center"/>
      </w:pPr>
      <w:r>
        <w:rPr/>
        <w:t>合并现金流量表</w:t>
      </w:r>
    </w:p>
    <w:p>
      <w:pPr>
        <w:pStyle w:val="BodyText"/>
        <w:spacing w:line="240" w:lineRule="auto" w:before="240"/>
        <w:ind w:left="0" w:right="67"/>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w:t>
      </w:r>
    </w:p>
    <w:p>
      <w:pPr>
        <w:spacing w:line="240" w:lineRule="auto" w:before="0"/>
        <w:rPr>
          <w:rFonts w:ascii="宋体" w:hAnsi="宋体" w:cs="宋体" w:eastAsia="宋体" w:hint="default"/>
          <w:sz w:val="22"/>
          <w:szCs w:val="22"/>
        </w:rPr>
      </w:pPr>
    </w:p>
    <w:p>
      <w:pPr>
        <w:pStyle w:val="BodyText"/>
        <w:tabs>
          <w:tab w:pos="7369" w:val="left" w:leader="none"/>
        </w:tabs>
        <w:spacing w:line="240" w:lineRule="auto" w:before="182"/>
        <w:ind w:left="0" w:right="152"/>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831"/>
        <w:gridCol w:w="1049"/>
        <w:gridCol w:w="1930"/>
        <w:gridCol w:w="1930"/>
      </w:tblGrid>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59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nil" w:sz="6" w:space="0" w:color="auto"/>
            </w:tcBorders>
          </w:tcPr>
          <w:p>
            <w:pP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530,514,285.51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966,299,758.24</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10,451,911.80</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143,953,597.67</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540,966,197.31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1,110,253,355.91</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690,202,749.81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302,203,752.65</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71,745,836.12</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112,342,095.13</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110,956,060.46</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50,518,350.73</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92,964,572.71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107,930,855.11</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965,869,219.10</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572,995,053.62</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-424,903,021.79</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537,258,302.29</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nil" w:sz="6" w:space="0" w:color="auto"/>
            </w:tcBorders>
          </w:tcPr>
          <w:p>
            <w:pP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10,317,154.92</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176,465,928.91</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124,680,563.26</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239,739,713.43</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179,722,569.51</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250,056,868.35</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480,869,061.68</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3,853,963.69</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14,393,048.39</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356,940,000.00</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26,853,963.69</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371,333,048.39</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223,202,904.66</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109,536,013.29</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nil" w:sz="6" w:space="0" w:color="auto"/>
            </w:tcBorders>
          </w:tcPr>
          <w:p>
            <w:pP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425,044,292.48</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425,044,292.48</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128,160,000.00</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624,900,000.00</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7,873,756.81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20,889,344.15</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100"/>
                <w:sz w:val="18"/>
              </w:rPr>
              <w:t>-</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7,806,958.90</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136,033,756.81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653,596,303.05</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-136,033,756.81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-228,552,010.57</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-11,338.43</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-72,377.34</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-337,745,212.37</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418,169,927.67</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698,442,335.31</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280,272,407.64</w:t>
            </w:r>
          </w:p>
        </w:tc>
      </w:tr>
      <w:tr>
        <w:trPr>
          <w:trHeight w:val="276"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4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360,697,122.94</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698,442,335.31</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1292" w:header="0" w:top="1080" w:bottom="1480" w:left="1020" w:right="920"/>
          <w:pgNumType w:start="55"/>
        </w:sectPr>
      </w:pPr>
    </w:p>
    <w:p>
      <w:pPr>
        <w:pStyle w:val="Heading1"/>
        <w:spacing w:line="401" w:lineRule="exact"/>
        <w:ind w:left="74" w:right="72"/>
        <w:jc w:val="center"/>
      </w:pPr>
      <w:bookmarkStart w:name="母公司现金流量表" w:id="54"/>
      <w:bookmarkEnd w:id="54"/>
      <w:r>
        <w:rPr/>
      </w:r>
      <w:r>
        <w:rPr/>
        <w:t>母公司现金流量表</w:t>
      </w:r>
    </w:p>
    <w:p>
      <w:pPr>
        <w:pStyle w:val="BodyText"/>
        <w:spacing w:line="240" w:lineRule="auto" w:before="185"/>
        <w:ind w:left="82" w:right="72"/>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w:t>
      </w:r>
    </w:p>
    <w:p>
      <w:pPr>
        <w:spacing w:line="240" w:lineRule="auto" w:before="9"/>
        <w:rPr>
          <w:rFonts w:ascii="宋体" w:hAnsi="宋体" w:cs="宋体" w:eastAsia="宋体" w:hint="default"/>
          <w:sz w:val="20"/>
          <w:szCs w:val="20"/>
        </w:rPr>
      </w:pPr>
    </w:p>
    <w:p>
      <w:pPr>
        <w:pStyle w:val="BodyText"/>
        <w:tabs>
          <w:tab w:pos="7369" w:val="left" w:leader="none"/>
        </w:tabs>
        <w:spacing w:line="240" w:lineRule="auto"/>
        <w:ind w:left="0" w:right="72"/>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745"/>
        <w:gridCol w:w="1196"/>
        <w:gridCol w:w="1869"/>
        <w:gridCol w:w="1867"/>
      </w:tblGrid>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附注十一、</w:t>
            </w:r>
            <w:r>
              <w:rPr>
                <w:rFonts w:ascii="Times New Roman" w:hAnsi="Times New Roman" w:cs="Times New Roman" w:eastAsia="Times New Roman" w:hint="default"/>
                <w:spacing w:val="-3"/>
                <w:sz w:val="18"/>
                <w:szCs w:val="18"/>
              </w:rPr>
              <w:t>5</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6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61,487,216.96</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64,961,995.96</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7,735,913.18</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341,969,760.49</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69,223,130.14</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406,931,756.45</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11,295,221.26</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18,667,977.93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25,045,052.03</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19,261,660.03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31,472,501.79</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5,765,491.07</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52,650,359.39</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162,547,049.74</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120,463,134.47</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206,242,178.77</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-51,240,004.33</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200,689,577.68</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10,317,990.96</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134,291,031.14</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72,250,900.00</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156,401,953.47</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175,557,615.74</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166,719,944.43</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382,099,546.88</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1,814,911.45</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31,455,123.05</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103,000,000.00</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356,040,000.00</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104,814,911.45</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387,495,123.05</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61,905,032.98</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-5,395,576.17</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3,160,000.00</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382,800,000.00</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6,434,623.24</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25,405,280.63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100"/>
                <w:sz w:val="18"/>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2"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9,594,623.24</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408,205,280.63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-9,594,623.24</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-228,205,280.63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-1,650.00</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1,068,755.41</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-32,911,279.12</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3,230,934.71</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36,142,213.83</w:t>
            </w:r>
          </w:p>
        </w:tc>
      </w:tr>
      <w:tr>
        <w:trPr>
          <w:trHeight w:val="31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4,299,690.12</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3,230,934.71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92" w:top="1080" w:bottom="1480" w:left="1000" w:right="980"/>
        </w:sectPr>
      </w:pPr>
    </w:p>
    <w:p>
      <w:pPr>
        <w:pStyle w:val="Heading1"/>
        <w:spacing w:line="396" w:lineRule="exact"/>
        <w:ind w:right="45"/>
        <w:jc w:val="center"/>
      </w:pPr>
      <w:r>
        <w:rPr/>
        <w:t>合并所有者权益变动表</w:t>
      </w:r>
    </w:p>
    <w:p>
      <w:pPr>
        <w:pStyle w:val="BodyText"/>
        <w:spacing w:line="240" w:lineRule="auto" w:before="12"/>
        <w:ind w:left="0" w:right="3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pStyle w:val="BodyText"/>
        <w:tabs>
          <w:tab w:pos="12631" w:val="left" w:leader="none"/>
        </w:tabs>
        <w:spacing w:line="240" w:lineRule="auto" w:before="69"/>
        <w:ind w:left="0" w:right="95"/>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3094"/>
        <w:gridCol w:w="1232"/>
        <w:gridCol w:w="1205"/>
        <w:gridCol w:w="986"/>
        <w:gridCol w:w="835"/>
        <w:gridCol w:w="1343"/>
        <w:gridCol w:w="1145"/>
        <w:gridCol w:w="1405"/>
        <w:gridCol w:w="943"/>
        <w:gridCol w:w="1220"/>
        <w:gridCol w:w="1480"/>
      </w:tblGrid>
      <w:tr>
        <w:trPr>
          <w:trHeight w:val="252" w:hRule="exact"/>
        </w:trPr>
        <w:tc>
          <w:tcPr>
            <w:tcW w:w="309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9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0" w:hRule="exact"/>
        </w:trPr>
        <w:tc>
          <w:tcPr>
            <w:tcW w:w="3094" w:type="dxa"/>
            <w:vMerge/>
            <w:tcBorders>
              <w:left w:val="nil" w:sz="6" w:space="0" w:color="auto"/>
              <w:right w:val="single" w:sz="4" w:space="0" w:color="000000"/>
            </w:tcBorders>
          </w:tcPr>
          <w:p>
            <w:pPr/>
          </w:p>
        </w:tc>
        <w:tc>
          <w:tcPr>
            <w:tcW w:w="90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8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20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094" w:type="dxa"/>
            <w:vMerge/>
            <w:tcBorders>
              <w:left w:val="nil" w:sz="6" w:space="0" w:color="auto"/>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1"/>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1"/>
              <w:jc w:val="right"/>
              <w:rPr>
                <w:rFonts w:ascii="宋体" w:hAnsi="宋体" w:cs="宋体" w:eastAsia="宋体" w:hint="default"/>
                <w:sz w:val="15"/>
                <w:szCs w:val="15"/>
              </w:rPr>
            </w:pPr>
            <w:r>
              <w:rPr>
                <w:rFonts w:ascii="宋体" w:hAnsi="宋体" w:cs="宋体" w:eastAsia="宋体" w:hint="default"/>
                <w:w w:val="95"/>
                <w:sz w:val="15"/>
                <w:szCs w:val="15"/>
              </w:rPr>
              <w:t>专项储备</w:t>
            </w:r>
            <w:r>
              <w:rPr>
                <w:rFonts w:ascii="宋体" w:hAnsi="宋体" w:cs="宋体" w:eastAsia="宋体" w:hint="default"/>
                <w:sz w:val="15"/>
                <w:szCs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5"/>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其他</w:t>
            </w:r>
          </w:p>
        </w:tc>
        <w:tc>
          <w:tcPr>
            <w:tcW w:w="1220"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nil" w:sz="6" w:space="0" w:color="auto"/>
            </w:tcBorders>
          </w:tcPr>
          <w:p>
            <w:pP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330,003,134.76</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w w:val="95"/>
                <w:sz w:val="15"/>
              </w:rPr>
              <w:t>25,111,672.72</w:t>
            </w:r>
            <w:r>
              <w:rPr>
                <w:rFonts w:ascii="Times New Roman"/>
                <w:spacing w:val="-1"/>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883,473,382.45</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z w:val="15"/>
              </w:rPr>
              <w:t>12,674,364.39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-12,674,364.39</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7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330,003,134.76</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-140,990,764.14</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z w:val="15"/>
              </w:rPr>
              <w:t>12,437,308.33</w:t>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883,473,382.45</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w w:val="95"/>
                <w:sz w:val="15"/>
                <w:szCs w:val="15"/>
              </w:rPr>
              <w:t>三、本期增减变动金额（减少以</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号填列）</w:t>
            </w:r>
            <w:r>
              <w:rPr>
                <w:rFonts w:ascii="宋体" w:hAnsi="宋体" w:cs="宋体" w:eastAsia="宋体" w:hint="default"/>
                <w:sz w:val="15"/>
                <w:szCs w:val="15"/>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-15,298,925.47</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-126,212,819.14</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266,293,473.77</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-22,611,460.31</w:t>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102,170,268.85</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140,080,654.63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z w:val="15"/>
              </w:rPr>
              <w:t>397,809.55</w:t>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140,478,464.18</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-15,298,925.47</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-15,298,925.47</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5"/>
                <w:sz w:val="15"/>
              </w:rPr>
              <w:t>-15,298,925.47</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140,080,654.63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z w:val="15"/>
              </w:rPr>
              <w:t>397,809.55</w:t>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95"/>
                <w:sz w:val="15"/>
              </w:rPr>
              <w:t>125,179,538.71</w:t>
            </w:r>
            <w:r>
              <w:rPr>
                <w:rFonts w:ascii="Times New Roman"/>
                <w:sz w:val="15"/>
              </w:rPr>
            </w:r>
          </w:p>
        </w:tc>
      </w:tr>
      <w:tr>
        <w:trPr>
          <w:trHeight w:val="2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-23,009,269.86</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95"/>
                <w:sz w:val="15"/>
              </w:rPr>
              <w:t>-23,009,269.86</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-23,009,269.86</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-23,009,269.86</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sz w:val="15"/>
              </w:rPr>
              <w:t>27,452,309.39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-27,452,309.39</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z w:val="15"/>
              </w:rPr>
              <w:t>27,452,309.39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-27,452,309.39</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5"/>
                <w:sz w:val="15"/>
              </w:rPr>
              <w:t>314,704,209.29</w:t>
            </w:r>
            <w:r>
              <w:rPr>
                <w:rFonts w:ascii="Times New Roman"/>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z w:val="15"/>
              </w:rPr>
              <w:t>86,217,520.36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125,302,709.63</w:t>
            </w:r>
            <w:r>
              <w:rPr>
                <w:rFonts w:ascii="Times New Roman"/>
                <w:sz w:val="15"/>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-10,174,151.98</w:t>
            </w:r>
            <w:r>
              <w:rPr>
                <w:rFonts w:ascii="Times New Roman"/>
                <w:sz w:val="15"/>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95"/>
                <w:sz w:val="15"/>
              </w:rPr>
              <w:t>985,643,651.30</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31"/>
          <w:pgSz w:w="16840" w:h="11910" w:orient="landscape"/>
          <w:pgMar w:footer="1215" w:header="0" w:top="1100" w:bottom="1400" w:left="880" w:right="800"/>
          <w:pgNumType w:start="57"/>
        </w:sectPr>
      </w:pPr>
    </w:p>
    <w:p>
      <w:pPr>
        <w:pStyle w:val="Heading1"/>
        <w:spacing w:line="396" w:lineRule="exact"/>
        <w:ind w:right="205"/>
        <w:jc w:val="center"/>
      </w:pPr>
      <w:r>
        <w:rPr/>
        <w:t>合并所有者权益变动表</w:t>
      </w:r>
    </w:p>
    <w:p>
      <w:pPr>
        <w:pStyle w:val="BodyText"/>
        <w:spacing w:line="240" w:lineRule="auto" w:before="12"/>
        <w:ind w:left="0" w:right="19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pStyle w:val="BodyText"/>
        <w:tabs>
          <w:tab w:pos="12527" w:val="left" w:leader="none"/>
        </w:tabs>
        <w:spacing w:line="240" w:lineRule="auto" w:before="69"/>
        <w:ind w:left="0" w:right="65"/>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46"/>
        <w:gridCol w:w="1160"/>
        <w:gridCol w:w="1205"/>
        <w:gridCol w:w="1102"/>
        <w:gridCol w:w="955"/>
        <w:gridCol w:w="1157"/>
        <w:gridCol w:w="1357"/>
        <w:gridCol w:w="1208"/>
        <w:gridCol w:w="974"/>
        <w:gridCol w:w="1157"/>
        <w:gridCol w:w="1278"/>
      </w:tblGrid>
      <w:tr>
        <w:trPr>
          <w:trHeight w:val="252" w:hRule="exact"/>
        </w:trPr>
        <w:tc>
          <w:tcPr>
            <w:tcW w:w="324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5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50" w:hRule="exact"/>
        </w:trPr>
        <w:tc>
          <w:tcPr>
            <w:tcW w:w="3246" w:type="dxa"/>
            <w:vMerge/>
            <w:tcBorders>
              <w:left w:val="nil" w:sz="6" w:space="0" w:color="auto"/>
              <w:right w:val="single" w:sz="4" w:space="0" w:color="000000"/>
            </w:tcBorders>
          </w:tcPr>
          <w:p>
            <w:pPr/>
          </w:p>
        </w:tc>
        <w:tc>
          <w:tcPr>
            <w:tcW w:w="91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46" w:type="dxa"/>
            <w:vMerge/>
            <w:tcBorders>
              <w:left w:val="nil" w:sz="6" w:space="0" w:color="auto"/>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57"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nil" w:sz="6" w:space="0" w:color="auto"/>
            </w:tcBorders>
          </w:tcPr>
          <w:p>
            <w:pP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498,608,202.99</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-278,684,580.54</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114,385,953.19</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z w:val="15"/>
              </w:rPr>
              <w:t>1,016,333,279.14</w:t>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12,984,122.05</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-12,984,122.05</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7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28,433,374.26</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95"/>
                <w:sz w:val="15"/>
              </w:rPr>
              <w:t>28,433,374.26</w:t>
            </w:r>
            <w:r>
              <w:rPr>
                <w:rFonts w:ascii="Times New Roman"/>
                <w:sz w:val="15"/>
              </w:rPr>
            </w:r>
          </w:p>
        </w:tc>
      </w:tr>
      <w:tr>
        <w:trPr>
          <w:trHeight w:val="25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498,608,202.99</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-237,267,084.23</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101,401,831.14</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z w:val="15"/>
              </w:rPr>
              <w:t>1,044,766,653.40</w:t>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96,276,320.09</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-88,964,522.81</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95"/>
                <w:sz w:val="15"/>
              </w:rPr>
              <w:t>-161,293,270.95</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96,276,320.09</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-3,889,549.67</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92,386,770.42</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96,276,320.09</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-3,889,549.67</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w w:val="95"/>
                <w:sz w:val="15"/>
              </w:rPr>
              <w:t>-76,218,297.81</w:t>
            </w:r>
            <w:r>
              <w:rPr>
                <w:rFonts w:ascii="Times New Roman"/>
                <w:sz w:val="15"/>
              </w:rPr>
            </w:r>
          </w:p>
        </w:tc>
      </w:tr>
      <w:tr>
        <w:trPr>
          <w:trHeight w:val="25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2"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5"/>
                <w:sz w:val="15"/>
              </w:rPr>
              <w:t>330,003,134.76</w:t>
            </w:r>
            <w:r>
              <w:rPr>
                <w:rFonts w:ascii="Times New Roman"/>
                <w:sz w:val="15"/>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w w:val="95"/>
                <w:sz w:val="15"/>
              </w:rPr>
              <w:t>-140,990,764.14</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z w:val="15"/>
              </w:rPr>
              <w:t>12,437,308.33</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95"/>
                <w:sz w:val="15"/>
              </w:rPr>
              <w:t>883,473,382.45</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32"/>
          <w:pgSz w:w="16840" w:h="11910" w:orient="landscape"/>
          <w:pgMar w:footer="1316" w:header="0" w:top="1100" w:bottom="1500" w:left="1020" w:right="780"/>
          <w:pgNumType w:start="58"/>
        </w:sectPr>
      </w:pPr>
    </w:p>
    <w:p>
      <w:pPr>
        <w:pStyle w:val="Heading1"/>
        <w:spacing w:line="396" w:lineRule="exact"/>
        <w:ind w:right="42"/>
        <w:jc w:val="center"/>
      </w:pPr>
      <w:r>
        <w:rPr/>
        <w:t>母公司所有者权益变动表</w:t>
      </w:r>
    </w:p>
    <w:p>
      <w:pPr>
        <w:pStyle w:val="BodyText"/>
        <w:spacing w:line="240" w:lineRule="auto" w:before="139"/>
        <w:ind w:left="0" w:right="35"/>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pStyle w:val="BodyText"/>
        <w:tabs>
          <w:tab w:pos="12422" w:val="left" w:leader="none"/>
        </w:tabs>
        <w:spacing w:line="240" w:lineRule="auto" w:before="110"/>
        <w:ind w:left="0" w:right="11"/>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30"/>
        <w:gridCol w:w="1732"/>
        <w:gridCol w:w="1732"/>
        <w:gridCol w:w="1737"/>
        <w:gridCol w:w="1735"/>
        <w:gridCol w:w="1732"/>
        <w:gridCol w:w="1740"/>
      </w:tblGrid>
      <w:tr>
        <w:trPr>
          <w:trHeight w:val="281" w:hRule="exact"/>
        </w:trPr>
        <w:tc>
          <w:tcPr>
            <w:tcW w:w="4230" w:type="dxa"/>
            <w:vMerge w:val="restart"/>
            <w:tcBorders>
              <w:top w:val="single" w:sz="4" w:space="0" w:color="000000"/>
              <w:left w:val="nil" w:sz="6" w:space="0" w:color="auto"/>
              <w:right w:val="single" w:sz="4"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0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81" w:hRule="exact"/>
        </w:trPr>
        <w:tc>
          <w:tcPr>
            <w:tcW w:w="4230" w:type="dxa"/>
            <w:vMerge/>
            <w:tcBorders>
              <w:left w:val="nil" w:sz="6" w:space="0" w:color="auto"/>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3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430,055,983.68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196,990,878.50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-247,830,036.76</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848,810,189.42</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430,055,983.68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196,990,878.50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-247,830,036.76</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848,810,189.42</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-6,486,826.58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-137,380,887.24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300,223,300.12</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156,355,586.30</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162,842,412.88</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162,842,412.88</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-6,486,826.58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-6,486,826.58</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-6,486,826.58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162,842,412.88</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156,355,586.30</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16,284,241.29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-16,284,241.29</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16,284,241.29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-16,284,241.29</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-153,665,128.53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153,665,128.53</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-153,665,128.53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153,665,128.53</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100"/>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w w:val="100"/>
                <w:sz w:val="18"/>
              </w:rPr>
              <w:t>-</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423,569,157.10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59,609,991.26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52,393,263.36</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1,005,165,775.72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0" w:footer="1316" w:top="1100" w:bottom="1500" w:left="1020" w:right="940"/>
        </w:sectPr>
      </w:pPr>
    </w:p>
    <w:p>
      <w:pPr>
        <w:pStyle w:val="Heading1"/>
        <w:spacing w:line="396" w:lineRule="exact"/>
        <w:ind w:left="72" w:right="17"/>
        <w:jc w:val="center"/>
      </w:pPr>
      <w:r>
        <w:rPr/>
        <w:t>母公司所有者权益变动表</w:t>
      </w:r>
    </w:p>
    <w:p>
      <w:pPr>
        <w:pStyle w:val="BodyText"/>
        <w:spacing w:line="240" w:lineRule="auto" w:before="12"/>
        <w:ind w:left="79" w:right="17"/>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pStyle w:val="BodyText"/>
        <w:tabs>
          <w:tab w:pos="12316" w:val="left" w:leader="none"/>
        </w:tabs>
        <w:spacing w:line="240" w:lineRule="auto" w:before="69"/>
        <w:ind w:left="0" w:right="17"/>
        <w:jc w:val="center"/>
      </w:pPr>
      <w:r>
        <w:rPr/>
        <w:t>编制单位：</w:t>
      </w:r>
      <w:r>
        <w:rPr>
          <w:u w:val="single" w:color="000000"/>
        </w:rPr>
        <w:t>宝安鸿基地产集团股份有限公司</w:t>
      </w:r>
      <w:r>
        <w:rPr/>
        <w:tab/>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30"/>
        <w:gridCol w:w="1754"/>
        <w:gridCol w:w="1752"/>
        <w:gridCol w:w="1752"/>
        <w:gridCol w:w="1752"/>
        <w:gridCol w:w="1752"/>
        <w:gridCol w:w="1756"/>
      </w:tblGrid>
      <w:tr>
        <w:trPr>
          <w:trHeight w:val="290" w:hRule="exact"/>
        </w:trPr>
        <w:tc>
          <w:tcPr>
            <w:tcW w:w="423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17"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90" w:hRule="exact"/>
        </w:trPr>
        <w:tc>
          <w:tcPr>
            <w:tcW w:w="423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2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430,004,578.52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196,990,878.50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-391,578,084.52</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705,010,736.50</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28,433,374.26</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28,433,374.26</w:t>
            </w:r>
          </w:p>
        </w:tc>
      </w:tr>
      <w:tr>
        <w:trPr>
          <w:trHeight w:val="28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430,004,578.52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196,990,878.50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-363,144,710.26</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733,444,110.76</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51,405.16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115,314,673.50</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115,366,078.66</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115,314,673.50</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115,314,673.50</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51,405.16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51,405.16</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51,405.16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115,314,673.50</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115,366,078.66</w:t>
            </w:r>
          </w:p>
        </w:tc>
      </w:tr>
      <w:tr>
        <w:trPr>
          <w:trHeight w:val="28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8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88"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9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469,593,364.00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430,055,983.68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100"/>
                <w:sz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196,990,878.50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-247,830,036.76</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848,810,189.42</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6840" w:h="11910" w:orient="landscape"/>
          <w:pgMar w:footer="1316" w:header="0" w:top="1100" w:bottom="1500" w:left="920" w:right="940"/>
          <w:pgNumType w:start="60"/>
        </w:sectPr>
      </w:pPr>
    </w:p>
    <w:p>
      <w:pPr>
        <w:pStyle w:val="Heading1"/>
        <w:spacing w:line="288" w:lineRule="auto" w:before="68"/>
        <w:ind w:left="2702" w:right="2701"/>
        <w:jc w:val="center"/>
      </w:pPr>
      <w:r>
        <w:rPr/>
        <w:t>宝安鸿基地产集团股份有限公司</w:t>
      </w:r>
      <w:r>
        <w:rPr>
          <w:w w:val="99"/>
        </w:rPr>
        <w:t> </w:t>
      </w:r>
      <w:r>
        <w:rPr/>
        <w:t>财务报表附注</w:t>
      </w:r>
    </w:p>
    <w:p>
      <w:pPr>
        <w:pStyle w:val="BodyText"/>
        <w:spacing w:line="240" w:lineRule="auto" w:before="176"/>
        <w:ind w:left="10" w:right="0"/>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21" w:right="88"/>
        <w:jc w:val="left"/>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88"/>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39" w:right="0"/>
        <w:jc w:val="left"/>
        <w:rPr>
          <w:rFonts w:ascii="Times New Roman" w:hAnsi="Times New Roman" w:cs="Times New Roman" w:eastAsia="Times New Roman" w:hint="default"/>
        </w:rPr>
      </w:pPr>
      <w:r>
        <w:rPr>
          <w:spacing w:val="2"/>
        </w:rPr>
        <w:t>宝安鸿基地产集团股份有限公司（以下简称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）是于</w:t>
      </w:r>
      <w:r>
        <w:rPr>
          <w:spacing w:val="-47"/>
        </w:rPr>
        <w:t> </w:t>
      </w: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日经深府办复</w:t>
      </w:r>
      <w:r>
        <w:rPr>
          <w:rFonts w:ascii="Times New Roman" w:hAnsi="Times New Roman" w:cs="Times New Roman" w:eastAsia="Times New Roman" w:hint="default"/>
        </w:rPr>
        <w:t>[1993]926</w:t>
      </w:r>
    </w:p>
    <w:p>
      <w:pPr>
        <w:spacing w:line="240" w:lineRule="auto" w:before="2"/>
        <w:rPr>
          <w:rFonts w:ascii="Times New Roman" w:hAnsi="Times New Roman" w:cs="Times New Roman" w:eastAsia="Times New Roman" w:hint="default"/>
          <w:sz w:val="18"/>
          <w:szCs w:val="18"/>
        </w:rPr>
      </w:pPr>
    </w:p>
    <w:p>
      <w:pPr>
        <w:pStyle w:val="BodyText"/>
        <w:spacing w:line="412" w:lineRule="auto"/>
        <w:ind w:right="99"/>
        <w:jc w:val="both"/>
      </w:pPr>
      <w:r>
        <w:rPr>
          <w:spacing w:val="-2"/>
          <w:w w:val="99"/>
        </w:rPr>
        <w:t>号文批准在原深圳市装卸运输公司的基础上改组设立的股份有限公司。</w:t>
      </w:r>
      <w:r>
        <w:rPr>
          <w:rFonts w:ascii="Times New Roman" w:hAnsi="Times New Roman" w:cs="Times New Roman" w:eastAsia="Times New Roman" w:hint="default"/>
          <w:spacing w:val="-2"/>
          <w:w w:val="99"/>
        </w:rPr>
        <w:t>1994</w:t>
      </w:r>
      <w:r>
        <w:rPr>
          <w:rFonts w:ascii="Times New Roman" w:hAnsi="Times New Roman" w:cs="Times New Roman" w:eastAsia="Times New Roman" w:hint="default"/>
          <w:spacing w:val="-21"/>
          <w:w w:val="99"/>
        </w:rPr>
        <w:t> </w:t>
      </w:r>
      <w:r>
        <w:rPr>
          <w:w w:val="99"/>
        </w:rPr>
        <w:t>年</w:t>
      </w:r>
      <w:r>
        <w:rPr>
          <w:spacing w:val="-70"/>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21"/>
          <w:w w:val="99"/>
        </w:rPr>
        <w:t> </w:t>
      </w:r>
      <w:r>
        <w:rPr>
          <w:w w:val="99"/>
        </w:rPr>
        <w:t>月</w:t>
      </w:r>
      <w:r>
        <w:rPr>
          <w:spacing w:val="-72"/>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8"/>
          <w:w w:val="99"/>
        </w:rPr>
        <w:t> </w:t>
      </w:r>
      <w:r>
        <w:rPr>
          <w:w w:val="99"/>
        </w:rPr>
        <w:t>日经深证办复</w:t>
      </w:r>
      <w:r>
        <w:rPr>
          <w:rFonts w:ascii="Times New Roman" w:hAnsi="Times New Roman" w:cs="Times New Roman" w:eastAsia="Times New Roman" w:hint="default"/>
          <w:w w:val="99"/>
        </w:rPr>
        <w:t>[1994]40 </w:t>
      </w:r>
      <w:r>
        <w:rPr>
          <w:spacing w:val="-1"/>
          <w:w w:val="99"/>
        </w:rPr>
        <w:t>号文批准，向社会公众公开发行人民币普通股股票，并于同年在深圳证券交易所挂牌上市。</w:t>
      </w:r>
      <w:r>
        <w:rPr>
          <w:rFonts w:ascii="Times New Roman" w:hAnsi="Times New Roman" w:cs="Times New Roman" w:eastAsia="Times New Roman" w:hint="default"/>
          <w:spacing w:val="-1"/>
          <w:w w:val="99"/>
        </w:rPr>
        <w:t>1995</w:t>
      </w:r>
      <w:r>
        <w:rPr>
          <w:rFonts w:ascii="Times New Roman" w:hAnsi="Times New Roman" w:cs="Times New Roman" w:eastAsia="Times New Roman" w:hint="default"/>
          <w:spacing w:val="5"/>
          <w:w w:val="99"/>
        </w:rPr>
        <w:t> </w:t>
      </w:r>
      <w:r>
        <w:rPr>
          <w:w w:val="99"/>
        </w:rPr>
        <w:t>年</w:t>
      </w:r>
      <w:r>
        <w:rPr>
          <w:spacing w:val="-43"/>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w w:val="99"/>
        </w:rPr>
        <w:t> </w:t>
      </w:r>
      <w:r>
        <w:rPr>
          <w:spacing w:val="1"/>
          <w:w w:val="74"/>
        </w:rPr>
        <w:t>月、</w:t>
      </w:r>
      <w:r>
        <w:rPr>
          <w:spacing w:val="-76"/>
          <w:w w:val="74"/>
        </w:rPr>
        <w:t> </w:t>
      </w:r>
      <w:r>
        <w:rPr>
          <w:spacing w:val="-76"/>
          <w:w w:val="74"/>
        </w:rPr>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2"/>
        </w:rPr>
        <w:t>月、</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4"/>
        </w:rPr>
        <w:t> </w:t>
      </w:r>
      <w:r>
        <w:rPr>
          <w:spacing w:val="3"/>
        </w:rPr>
        <w:t>月分别实施了增资配股、分红派息和公积金转增股本，截至</w:t>
      </w:r>
      <w:r>
        <w:rPr>
          <w:spacing w:val="-50"/>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41"/>
        <w:ind w:right="88"/>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日止，总股本为</w:t>
      </w:r>
      <w:r>
        <w:rPr>
          <w:spacing w:val="-55"/>
        </w:rPr>
        <w:t> </w:t>
      </w:r>
      <w:r>
        <w:rPr>
          <w:rFonts w:ascii="Times New Roman" w:hAnsi="Times New Roman" w:cs="Times New Roman" w:eastAsia="Times New Roman" w:hint="default"/>
        </w:rPr>
        <w:t>469,593,364.00</w:t>
      </w:r>
      <w:r>
        <w:rPr>
          <w:rFonts w:ascii="Times New Roman" w:hAnsi="Times New Roman" w:cs="Times New Roman" w:eastAsia="Times New Roman" w:hint="default"/>
          <w:spacing w:val="-3"/>
        </w:rPr>
        <w:t> </w:t>
      </w:r>
      <w:r>
        <w:rPr/>
        <w:t>元。自</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日起，中国宝安集团控股有限公司通过二级市场</w:t>
      </w:r>
    </w:p>
    <w:p>
      <w:pPr>
        <w:spacing w:line="240" w:lineRule="auto" w:before="12"/>
        <w:rPr>
          <w:rFonts w:ascii="宋体" w:hAnsi="宋体" w:cs="宋体" w:eastAsia="宋体" w:hint="default"/>
          <w:sz w:val="15"/>
          <w:szCs w:val="15"/>
        </w:rPr>
      </w:pPr>
    </w:p>
    <w:p>
      <w:pPr>
        <w:pStyle w:val="BodyText"/>
        <w:spacing w:line="240" w:lineRule="auto"/>
        <w:ind w:right="88"/>
        <w:jc w:val="left"/>
      </w:pPr>
      <w:r>
        <w:rPr/>
        <w:t>买入本公司股票，至</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日持有本公司</w:t>
      </w:r>
      <w:r>
        <w:rPr>
          <w:spacing w:val="-53"/>
        </w:rPr>
        <w:t> </w:t>
      </w:r>
      <w:r>
        <w:rPr>
          <w:rFonts w:ascii="Times New Roman" w:hAnsi="Times New Roman" w:cs="Times New Roman" w:eastAsia="Times New Roman" w:hint="default"/>
        </w:rPr>
        <w:t>19.80%</w:t>
      </w:r>
      <w:r>
        <w:rPr/>
        <w:t>股票</w:t>
      </w:r>
      <w:r>
        <w:rPr>
          <w:rFonts w:ascii="Times New Roman" w:hAnsi="Times New Roman" w:cs="Times New Roman" w:eastAsia="Times New Roman" w:hint="default"/>
        </w:rPr>
        <w:t>,</w:t>
      </w:r>
      <w:r>
        <w:rPr/>
        <w:t>为本公司第一大股东。</w:t>
      </w:r>
    </w:p>
    <w:p>
      <w:pPr>
        <w:spacing w:line="240" w:lineRule="auto" w:before="2"/>
        <w:rPr>
          <w:rFonts w:ascii="宋体" w:hAnsi="宋体" w:cs="宋体" w:eastAsia="宋体" w:hint="default"/>
          <w:sz w:val="16"/>
          <w:szCs w:val="16"/>
        </w:rPr>
      </w:pPr>
    </w:p>
    <w:p>
      <w:pPr>
        <w:pStyle w:val="BodyText"/>
        <w:spacing w:line="412" w:lineRule="auto"/>
        <w:ind w:right="88" w:firstLine="437"/>
        <w:jc w:val="left"/>
      </w:pPr>
      <w:r>
        <w:rPr/>
        <w:t>本公司持有深司字</w:t>
      </w:r>
      <w:r>
        <w:rPr>
          <w:spacing w:val="-45"/>
        </w:rPr>
        <w:t> </w:t>
      </w:r>
      <w:r>
        <w:rPr>
          <w:rFonts w:ascii="Times New Roman" w:hAnsi="Times New Roman" w:cs="Times New Roman" w:eastAsia="Times New Roman" w:hint="default"/>
        </w:rPr>
        <w:t>N24470</w:t>
      </w:r>
      <w:r>
        <w:rPr>
          <w:rFonts w:ascii="Times New Roman" w:hAnsi="Times New Roman" w:cs="Times New Roman" w:eastAsia="Times New Roman" w:hint="default"/>
          <w:spacing w:val="1"/>
        </w:rPr>
        <w:t> </w:t>
      </w:r>
      <w:r>
        <w:rPr/>
        <w:t>号企业法人营业执照，注册号为</w:t>
      </w:r>
      <w:r>
        <w:rPr>
          <w:spacing w:val="-41"/>
        </w:rPr>
        <w:t> </w:t>
      </w:r>
      <w:r>
        <w:rPr>
          <w:rFonts w:ascii="Times New Roman" w:hAnsi="Times New Roman" w:cs="Times New Roman" w:eastAsia="Times New Roman" w:hint="default"/>
        </w:rPr>
        <w:t>440301104155082</w:t>
      </w:r>
      <w:r>
        <w:rPr>
          <w:rFonts w:ascii="Times New Roman" w:hAnsi="Times New Roman" w:cs="Times New Roman" w:eastAsia="Times New Roman" w:hint="default"/>
          <w:spacing w:val="1"/>
        </w:rPr>
        <w:t> </w:t>
      </w:r>
      <w:r>
        <w:rPr/>
        <w:t>号。公司注册地址及办</w:t>
      </w:r>
      <w:r>
        <w:rPr>
          <w:w w:val="99"/>
        </w:rPr>
        <w:t> </w:t>
      </w:r>
      <w:r>
        <w:rPr/>
        <w:t>公地址均位于深圳市罗湖区东门中路</w:t>
      </w:r>
      <w:r>
        <w:rPr>
          <w:spacing w:val="-52"/>
        </w:rPr>
        <w:t> </w:t>
      </w:r>
      <w:r>
        <w:rPr>
          <w:rFonts w:ascii="Times New Roman" w:hAnsi="Times New Roman" w:cs="Times New Roman" w:eastAsia="Times New Roman" w:hint="default"/>
        </w:rPr>
        <w:t>1011</w:t>
      </w:r>
      <w:r>
        <w:rPr>
          <w:rFonts w:ascii="Times New Roman" w:hAnsi="Times New Roman" w:cs="Times New Roman" w:eastAsia="Times New Roman" w:hint="default"/>
          <w:spacing w:val="-4"/>
        </w:rPr>
        <w:t> </w:t>
      </w:r>
      <w:r>
        <w:rPr/>
        <w:t>号鸿基大厦</w:t>
      </w:r>
      <w:r>
        <w:rPr>
          <w:spacing w:val="-52"/>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楼。</w:t>
      </w:r>
    </w:p>
    <w:p>
      <w:pPr>
        <w:pStyle w:val="BodyText"/>
        <w:spacing w:line="415" w:lineRule="auto" w:before="41"/>
        <w:ind w:right="100" w:firstLine="437"/>
        <w:jc w:val="left"/>
      </w:pPr>
      <w:r>
        <w:rPr/>
        <w:t>本公司于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日由原</w:t>
      </w:r>
      <w:r>
        <w:rPr>
          <w:rFonts w:ascii="Times New Roman" w:hAnsi="Times New Roman" w:cs="Times New Roman" w:eastAsia="Times New Roman" w:hint="default"/>
        </w:rPr>
        <w:t>“</w:t>
      </w:r>
      <w:r>
        <w:rPr/>
        <w:t>深圳市鸿基</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w:t>
      </w:r>
      <w:r>
        <w:rPr>
          <w:rFonts w:ascii="Times New Roman" w:hAnsi="Times New Roman" w:cs="Times New Roman" w:eastAsia="Times New Roman" w:hint="default"/>
        </w:rPr>
        <w:t>”</w:t>
      </w:r>
      <w:r>
        <w:rPr/>
        <w:t>更名为</w:t>
      </w:r>
      <w:r>
        <w:rPr>
          <w:rFonts w:ascii="Times New Roman" w:hAnsi="Times New Roman" w:cs="Times New Roman" w:eastAsia="Times New Roman" w:hint="default"/>
        </w:rPr>
        <w:t>“</w:t>
      </w:r>
      <w:r>
        <w:rPr/>
        <w:t>宝安鸿基地产集团股份有限</w:t>
      </w:r>
      <w:r>
        <w:rPr>
          <w:w w:val="99"/>
        </w:rPr>
        <w:t> </w:t>
      </w:r>
      <w:r>
        <w:rPr/>
        <w:t>公司</w:t>
      </w:r>
      <w:r>
        <w:rPr>
          <w:rFonts w:ascii="Times New Roman" w:hAnsi="Times New Roman" w:cs="Times New Roman" w:eastAsia="Times New Roman" w:hint="default"/>
        </w:rPr>
        <w:t>”</w:t>
      </w:r>
      <w:r>
        <w:rPr/>
        <w:t>，注册号由原</w:t>
      </w:r>
      <w:r>
        <w:rPr>
          <w:rFonts w:ascii="Times New Roman" w:hAnsi="Times New Roman" w:cs="Times New Roman" w:eastAsia="Times New Roman" w:hint="default"/>
        </w:rPr>
        <w:t>“4403011002854”</w:t>
      </w:r>
      <w:r>
        <w:rPr/>
        <w:t>变更为</w:t>
      </w:r>
      <w:r>
        <w:rPr>
          <w:rFonts w:ascii="Times New Roman" w:hAnsi="Times New Roman" w:cs="Times New Roman" w:eastAsia="Times New Roman" w:hint="default"/>
        </w:rPr>
        <w:t>“440301104155082”</w:t>
      </w:r>
      <w:r>
        <w:rPr/>
        <w:t>。</w:t>
      </w:r>
    </w:p>
    <w:p>
      <w:pPr>
        <w:pStyle w:val="BodyText"/>
        <w:spacing w:line="240" w:lineRule="auto" w:before="38"/>
        <w:ind w:left="553" w:right="88"/>
        <w:jc w:val="left"/>
      </w:pPr>
      <w:r>
        <w:rPr>
          <w:spacing w:val="2"/>
          <w:w w:val="99"/>
        </w:rPr>
        <w:t>本</w:t>
      </w:r>
      <w:r>
        <w:rPr>
          <w:w w:val="99"/>
        </w:rPr>
        <w:t>公</w:t>
      </w:r>
      <w:r>
        <w:rPr>
          <w:spacing w:val="2"/>
          <w:w w:val="99"/>
        </w:rPr>
        <w:t>司</w:t>
      </w:r>
      <w:r>
        <w:rPr>
          <w:w w:val="99"/>
        </w:rPr>
        <w:t>证</w:t>
      </w:r>
      <w:r>
        <w:rPr>
          <w:spacing w:val="2"/>
          <w:w w:val="99"/>
        </w:rPr>
        <w:t>券</w:t>
      </w:r>
      <w:r>
        <w:rPr>
          <w:w w:val="99"/>
        </w:rPr>
        <w:t>简</w:t>
      </w:r>
      <w:r>
        <w:rPr>
          <w:spacing w:val="2"/>
          <w:w w:val="99"/>
        </w:rPr>
        <w:t>称</w:t>
      </w:r>
      <w:r>
        <w:rPr>
          <w:w w:val="99"/>
        </w:rPr>
        <w:t>自</w:t>
      </w:r>
      <w:r>
        <w:rPr>
          <w:spacing w:val="-55"/>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w w:val="99"/>
        </w:rPr>
        <w:t>年</w:t>
      </w:r>
      <w:r>
        <w:rPr>
          <w:spacing w:val="-53"/>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日</w:t>
      </w:r>
      <w:r>
        <w:rPr>
          <w:w w:val="99"/>
        </w:rPr>
        <w:t>起</w:t>
      </w:r>
      <w:r>
        <w:rPr>
          <w:spacing w:val="2"/>
          <w:w w:val="99"/>
        </w:rPr>
        <w:t>，</w:t>
      </w:r>
      <w:r>
        <w:rPr>
          <w:w w:val="99"/>
        </w:rPr>
        <w:t>由“</w:t>
      </w:r>
      <w:r>
        <w:rPr>
          <w:spacing w:val="2"/>
          <w:w w:val="99"/>
        </w:rPr>
        <w:t>深</w:t>
      </w:r>
      <w:r>
        <w:rPr>
          <w:w w:val="99"/>
        </w:rPr>
        <w:t>鸿</w:t>
      </w:r>
      <w:r>
        <w:rPr>
          <w:spacing w:val="2"/>
          <w:w w:val="99"/>
        </w:rPr>
        <w:t>基</w:t>
      </w:r>
      <w:r>
        <w:rPr>
          <w:w w:val="99"/>
        </w:rPr>
        <w:t>”</w:t>
      </w:r>
      <w:r>
        <w:rPr>
          <w:spacing w:val="2"/>
          <w:w w:val="99"/>
        </w:rPr>
        <w:t>变</w:t>
      </w:r>
      <w:r>
        <w:rPr>
          <w:w w:val="99"/>
        </w:rPr>
        <w:t>更</w:t>
      </w:r>
      <w:r>
        <w:rPr>
          <w:spacing w:val="2"/>
          <w:w w:val="99"/>
        </w:rPr>
        <w:t>为</w:t>
      </w:r>
      <w:r>
        <w:rPr>
          <w:w w:val="99"/>
        </w:rPr>
        <w:t>“</w:t>
      </w:r>
      <w:r>
        <w:rPr>
          <w:spacing w:val="2"/>
          <w:w w:val="99"/>
        </w:rPr>
        <w:t>宝</w:t>
      </w:r>
      <w:r>
        <w:rPr>
          <w:w w:val="99"/>
        </w:rPr>
        <w:t>安</w:t>
      </w:r>
      <w:r>
        <w:rPr>
          <w:spacing w:val="2"/>
          <w:w w:val="99"/>
        </w:rPr>
        <w:t>地</w:t>
      </w:r>
      <w:r>
        <w:rPr>
          <w:w w:val="99"/>
        </w:rPr>
        <w:t>产</w:t>
      </w:r>
      <w:r>
        <w:rPr>
          <w:spacing w:val="-104"/>
          <w:w w:val="99"/>
        </w:rPr>
        <w:t>”</w:t>
      </w:r>
      <w:r>
        <w:rPr>
          <w:w w:val="99"/>
        </w:rPr>
        <w:t>。</w:t>
      </w:r>
      <w:r>
        <w:rPr/>
      </w:r>
    </w:p>
    <w:p>
      <w:pPr>
        <w:pStyle w:val="BodyText"/>
        <w:spacing w:line="374" w:lineRule="auto" w:before="141"/>
        <w:ind w:left="539" w:right="88" w:hanging="418"/>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、公司经营范围</w:t>
      </w:r>
      <w:r>
        <w:rPr>
          <w:rFonts w:ascii="Microsoft JhengHei" w:hAnsi="Microsoft JhengHei" w:cs="Microsoft JhengHei" w:eastAsia="Microsoft JhengHei" w:hint="default"/>
          <w:b/>
          <w:bCs/>
          <w:w w:val="99"/>
        </w:rPr>
        <w:t> </w:t>
      </w:r>
      <w:r>
        <w:rPr>
          <w:spacing w:val="-4"/>
          <w:w w:val="99"/>
        </w:rPr>
        <w:t>本公司及控股子公司（以下统称</w:t>
      </w:r>
      <w:r>
        <w:rPr>
          <w:rFonts w:ascii="Times New Roman" w:hAnsi="Times New Roman" w:cs="Times New Roman" w:eastAsia="Times New Roman" w:hint="default"/>
          <w:spacing w:val="-4"/>
          <w:w w:val="99"/>
        </w:rPr>
        <w:t>“</w:t>
      </w:r>
      <w:r>
        <w:rPr>
          <w:spacing w:val="-4"/>
          <w:w w:val="99"/>
        </w:rPr>
        <w:t>本公司</w:t>
      </w:r>
      <w:r>
        <w:rPr>
          <w:rFonts w:ascii="Times New Roman" w:hAnsi="Times New Roman" w:cs="Times New Roman" w:eastAsia="Times New Roman" w:hint="default"/>
          <w:spacing w:val="-4"/>
          <w:w w:val="99"/>
        </w:rPr>
        <w:t>”</w:t>
      </w:r>
      <w:r>
        <w:rPr>
          <w:spacing w:val="-4"/>
          <w:w w:val="99"/>
        </w:rPr>
        <w:t>）的经营范围：投资兴办实业（具体项目另行申报）；国内商</w:t>
      </w:r>
      <w:r>
        <w:rPr>
          <w:spacing w:val="-4"/>
        </w:rPr>
      </w:r>
    </w:p>
    <w:p>
      <w:pPr>
        <w:pStyle w:val="BodyText"/>
        <w:spacing w:line="240" w:lineRule="auto" w:before="78"/>
        <w:ind w:right="88"/>
        <w:jc w:val="left"/>
      </w:pPr>
      <w:r>
        <w:rPr>
          <w:spacing w:val="2"/>
          <w:w w:val="99"/>
        </w:rPr>
        <w:t>业、物资供销业（不含专营、专控、专卖商</w:t>
      </w:r>
      <w:r>
        <w:rPr>
          <w:spacing w:val="16"/>
          <w:w w:val="99"/>
        </w:rPr>
        <w:t>品</w:t>
      </w:r>
      <w:r>
        <w:rPr>
          <w:spacing w:val="-104"/>
          <w:w w:val="99"/>
        </w:rPr>
        <w:t>）</w:t>
      </w:r>
      <w:r>
        <w:rPr>
          <w:spacing w:val="2"/>
          <w:w w:val="99"/>
        </w:rPr>
        <w:t>；装卸运输货物；仓储；自有物业管理；自营进出口业</w:t>
      </w:r>
      <w:r>
        <w:rPr>
          <w:w w:val="99"/>
        </w:rPr>
        <w:t>务</w:t>
      </w:r>
      <w:r>
        <w:rPr/>
      </w:r>
    </w:p>
    <w:p>
      <w:pPr>
        <w:spacing w:line="240" w:lineRule="auto" w:before="2"/>
        <w:rPr>
          <w:rFonts w:ascii="宋体" w:hAnsi="宋体" w:cs="宋体" w:eastAsia="宋体" w:hint="default"/>
          <w:sz w:val="17"/>
          <w:szCs w:val="17"/>
        </w:rPr>
      </w:pPr>
    </w:p>
    <w:p>
      <w:pPr>
        <w:pStyle w:val="BodyText"/>
        <w:spacing w:line="240" w:lineRule="auto"/>
        <w:ind w:right="88"/>
        <w:jc w:val="left"/>
      </w:pPr>
      <w:r>
        <w:rPr>
          <w:spacing w:val="2"/>
          <w:w w:val="99"/>
        </w:rPr>
        <w:t>（</w:t>
      </w:r>
      <w:r>
        <w:rPr>
          <w:w w:val="99"/>
        </w:rPr>
        <w:t>按</w:t>
      </w:r>
      <w:r>
        <w:rPr>
          <w:spacing w:val="2"/>
          <w:w w:val="99"/>
        </w:rPr>
        <w:t>深</w:t>
      </w:r>
      <w:r>
        <w:rPr>
          <w:w w:val="99"/>
        </w:rPr>
        <w:t>贸</w:t>
      </w:r>
      <w:r>
        <w:rPr>
          <w:spacing w:val="2"/>
          <w:w w:val="99"/>
        </w:rPr>
        <w:t>管</w:t>
      </w:r>
      <w:r>
        <w:rPr>
          <w:w w:val="99"/>
        </w:rPr>
        <w:t>审</w:t>
      </w:r>
      <w:r>
        <w:rPr>
          <w:spacing w:val="2"/>
          <w:w w:val="99"/>
        </w:rPr>
        <w:t>证</w:t>
      </w:r>
      <w:r>
        <w:rPr>
          <w:w w:val="99"/>
        </w:rPr>
        <w:t>字第</w:t>
      </w:r>
      <w:r>
        <w:rPr>
          <w:spacing w:val="-50"/>
        </w:rPr>
        <w:t> </w:t>
      </w:r>
      <w:r>
        <w:rPr>
          <w:rFonts w:ascii="Times New Roman" w:hAnsi="Times New Roman" w:cs="Times New Roman" w:eastAsia="Times New Roman" w:hint="default"/>
          <w:spacing w:val="1"/>
          <w:w w:val="99"/>
        </w:rPr>
        <w:t>24</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spacing w:val="2"/>
          <w:w w:val="99"/>
        </w:rPr>
        <w:t>号</w:t>
      </w:r>
      <w:r>
        <w:rPr>
          <w:w w:val="99"/>
        </w:rPr>
        <w:t>规</w:t>
      </w:r>
      <w:r>
        <w:rPr>
          <w:spacing w:val="2"/>
          <w:w w:val="99"/>
        </w:rPr>
        <w:t>定</w:t>
      </w:r>
      <w:r>
        <w:rPr>
          <w:w w:val="99"/>
        </w:rPr>
        <w:t>执行</w:t>
      </w:r>
      <w:r>
        <w:rPr>
          <w:spacing w:val="-104"/>
          <w:w w:val="99"/>
        </w:rPr>
        <w:t>）</w:t>
      </w:r>
      <w:r>
        <w:rPr>
          <w:spacing w:val="2"/>
          <w:w w:val="99"/>
        </w:rPr>
        <w:t>；</w:t>
      </w:r>
      <w:r>
        <w:rPr>
          <w:w w:val="99"/>
        </w:rPr>
        <w:t>出</w:t>
      </w:r>
      <w:r>
        <w:rPr>
          <w:spacing w:val="2"/>
          <w:w w:val="99"/>
        </w:rPr>
        <w:t>租</w:t>
      </w:r>
      <w:r>
        <w:rPr>
          <w:w w:val="99"/>
        </w:rPr>
        <w:t>客</w:t>
      </w:r>
      <w:r>
        <w:rPr>
          <w:spacing w:val="2"/>
          <w:w w:val="99"/>
        </w:rPr>
        <w:t>运</w:t>
      </w:r>
      <w:r>
        <w:rPr>
          <w:w w:val="99"/>
        </w:rPr>
        <w:t>；</w:t>
      </w:r>
      <w:r>
        <w:rPr>
          <w:spacing w:val="2"/>
          <w:w w:val="99"/>
        </w:rPr>
        <w:t>在</w:t>
      </w:r>
      <w:r>
        <w:rPr>
          <w:w w:val="99"/>
        </w:rPr>
        <w:t>合</w:t>
      </w:r>
      <w:r>
        <w:rPr>
          <w:spacing w:val="2"/>
          <w:w w:val="99"/>
        </w:rPr>
        <w:t>法</w:t>
      </w:r>
      <w:r>
        <w:rPr>
          <w:w w:val="99"/>
        </w:rPr>
        <w:t>取</w:t>
      </w:r>
      <w:r>
        <w:rPr>
          <w:spacing w:val="2"/>
          <w:w w:val="99"/>
        </w:rPr>
        <w:t>得</w:t>
      </w:r>
      <w:r>
        <w:rPr>
          <w:w w:val="99"/>
        </w:rPr>
        <w:t>使</w:t>
      </w:r>
      <w:r>
        <w:rPr>
          <w:spacing w:val="2"/>
          <w:w w:val="99"/>
        </w:rPr>
        <w:t>用</w:t>
      </w:r>
      <w:r>
        <w:rPr>
          <w:w w:val="99"/>
        </w:rPr>
        <w:t>权</w:t>
      </w:r>
      <w:r>
        <w:rPr>
          <w:spacing w:val="2"/>
          <w:w w:val="99"/>
        </w:rPr>
        <w:t>的</w:t>
      </w:r>
      <w:r>
        <w:rPr>
          <w:w w:val="99"/>
        </w:rPr>
        <w:t>土</w:t>
      </w:r>
      <w:r>
        <w:rPr>
          <w:spacing w:val="2"/>
          <w:w w:val="99"/>
        </w:rPr>
        <w:t>地</w:t>
      </w:r>
      <w:r>
        <w:rPr>
          <w:w w:val="99"/>
        </w:rPr>
        <w:t>上</w:t>
      </w:r>
      <w:r>
        <w:rPr>
          <w:spacing w:val="2"/>
          <w:w w:val="99"/>
        </w:rPr>
        <w:t>从</w:t>
      </w:r>
      <w:r>
        <w:rPr>
          <w:w w:val="99"/>
        </w:rPr>
        <w:t>事</w:t>
      </w:r>
      <w:r>
        <w:rPr>
          <w:spacing w:val="2"/>
          <w:w w:val="99"/>
        </w:rPr>
        <w:t>房</w:t>
      </w:r>
      <w:r>
        <w:rPr>
          <w:w w:val="99"/>
        </w:rPr>
        <w:t>地</w:t>
      </w:r>
      <w:r>
        <w:rPr>
          <w:spacing w:val="2"/>
          <w:w w:val="99"/>
        </w:rPr>
        <w:t>产</w:t>
      </w:r>
      <w:r>
        <w:rPr>
          <w:w w:val="99"/>
        </w:rPr>
        <w:t>开</w:t>
      </w:r>
      <w:r>
        <w:rPr>
          <w:spacing w:val="2"/>
          <w:w w:val="99"/>
        </w:rPr>
        <w:t>发</w:t>
      </w:r>
      <w:r>
        <w:rPr>
          <w:w w:val="99"/>
        </w:rPr>
        <w:t>经</w:t>
      </w:r>
      <w:r>
        <w:rPr>
          <w:spacing w:val="2"/>
          <w:w w:val="99"/>
        </w:rPr>
        <w:t>营</w:t>
      </w:r>
      <w:r>
        <w:rPr>
          <w:w w:val="99"/>
        </w:rPr>
        <w:t>。</w:t>
      </w:r>
      <w:r>
        <w:rPr/>
      </w:r>
    </w:p>
    <w:p>
      <w:pPr>
        <w:spacing w:line="372" w:lineRule="auto" w:before="144"/>
        <w:ind w:left="539" w:right="7330"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、母公司以及最终母公司</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不适用。</w:t>
      </w:r>
    </w:p>
    <w:p>
      <w:pPr>
        <w:pStyle w:val="Heading5"/>
        <w:spacing w:line="240" w:lineRule="auto" w:before="42"/>
        <w:ind w:right="88"/>
        <w:jc w:val="left"/>
        <w:rPr>
          <w:b w:val="0"/>
          <w:bCs w:val="0"/>
        </w:rPr>
      </w:pPr>
      <w:r>
        <w:rPr>
          <w:rFonts w:ascii="Times New Roman" w:hAnsi="Times New Roman" w:cs="Times New Roman" w:eastAsia="Times New Roman" w:hint="default"/>
        </w:rPr>
        <w:t>4</w:t>
      </w:r>
      <w:r>
        <w:rPr/>
        <w:t>、财务报告的批准报出者和财务报告批准报出日</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39" w:right="88"/>
        <w:jc w:val="left"/>
      </w:pPr>
      <w:r>
        <w:rPr/>
        <w:t>本公司财务报告经本公司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日第六届董事局第十一次定期会议决议通过。</w:t>
      </w:r>
    </w:p>
    <w:p>
      <w:pPr>
        <w:spacing w:after="0" w:line="240" w:lineRule="auto"/>
        <w:jc w:val="left"/>
        <w:sectPr>
          <w:footerReference w:type="default" r:id="rId34"/>
          <w:pgSz w:w="11910" w:h="16840"/>
          <w:pgMar w:footer="865" w:header="0" w:top="1580" w:bottom="1060" w:left="1020" w:right="1000"/>
          <w:pgNumType w:start="61"/>
        </w:sectPr>
      </w:pPr>
    </w:p>
    <w:p>
      <w:pPr>
        <w:pStyle w:val="BodyText"/>
        <w:spacing w:line="240" w:lineRule="auto" w:before="28"/>
        <w:ind w:left="121" w:right="88"/>
        <w:jc w:val="left"/>
        <w:rPr>
          <w:rFonts w:ascii="宋体" w:hAnsi="宋体" w:cs="宋体" w:eastAsia="宋体" w:hint="default"/>
        </w:rPr>
      </w:pPr>
      <w:bookmarkStart w:name="二、公司主要会计政策、会计估计和前期差错" w:id="55"/>
      <w:bookmarkEnd w:id="55"/>
      <w:r>
        <w:rPr/>
      </w:r>
      <w:bookmarkStart w:name="1、财务报表的编制基础" w:id="56"/>
      <w:bookmarkEnd w:id="56"/>
      <w:r>
        <w:rPr/>
      </w:r>
      <w:bookmarkStart w:name="2、遵循企业会计准则的声明" w:id="57"/>
      <w:bookmarkEnd w:id="57"/>
      <w:r>
        <w:rPr/>
      </w:r>
      <w:bookmarkStart w:name="3、会计期间" w:id="58"/>
      <w:bookmarkEnd w:id="58"/>
      <w:r>
        <w:rPr/>
      </w:r>
      <w:bookmarkStart w:name="4、记账本位币" w:id="59"/>
      <w:bookmarkEnd w:id="59"/>
      <w:r>
        <w:rPr/>
      </w:r>
      <w:bookmarkStart w:name="5、同一控制下和非同一控制下企业合并的会计处理方法" w:id="60"/>
      <w:bookmarkEnd w:id="60"/>
      <w:r>
        <w:rPr/>
      </w:r>
      <w:r>
        <w:rPr>
          <w:rFonts w:ascii="宋体" w:hAnsi="宋体" w:cs="宋体" w:eastAsia="宋体" w:hint="default"/>
        </w:rPr>
        <w:t>二、公司主要会计政策、会计估计和前期差错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35"/>
        <w:ind w:left="539" w:right="87"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基本准则》和其他</w:t>
      </w:r>
    </w:p>
    <w:p>
      <w:pPr>
        <w:pStyle w:val="BodyText"/>
        <w:spacing w:line="240" w:lineRule="auto" w:before="80"/>
        <w:ind w:right="88"/>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360" w:lineRule="auto" w:before="0"/>
        <w:ind w:left="539" w:right="97" w:hanging="41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本公司基于上述编制基础编制的财务报表符合企业会计准则的要求，真实、完整地反映了本公司   </w:t>
      </w:r>
      <w:r>
        <w:rPr>
          <w:rFonts w:ascii="宋体" w:hAnsi="宋体" w:cs="宋体" w:eastAsia="宋体" w:hint="default"/>
          <w:spacing w:val="53"/>
          <w:w w:val="95"/>
          <w:sz w:val="21"/>
          <w:szCs w:val="21"/>
        </w:rPr>
        <w:t> </w:t>
      </w:r>
      <w:r>
        <w:rPr>
          <w:rFonts w:ascii="Times New Roman" w:hAnsi="Times New Roman" w:cs="Times New Roman" w:eastAsia="Times New Roman" w:hint="default"/>
          <w:w w:val="95"/>
          <w:sz w:val="21"/>
          <w:szCs w:val="21"/>
        </w:rPr>
        <w:t>2011</w:t>
      </w:r>
      <w:r>
        <w:rPr>
          <w:rFonts w:ascii="Times New Roman" w:hAnsi="Times New Roman" w:cs="Times New Roman" w:eastAsia="Times New Roman" w:hint="default"/>
          <w:sz w:val="21"/>
          <w:szCs w:val="21"/>
        </w:rPr>
      </w:r>
    </w:p>
    <w:p>
      <w:pPr>
        <w:pStyle w:val="BodyText"/>
        <w:spacing w:line="240" w:lineRule="auto" w:before="73"/>
        <w:ind w:right="88"/>
        <w:jc w:val="left"/>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日的财务状况，以及</w:t>
      </w:r>
      <w:r>
        <w:rPr>
          <w:spacing w:val="-54"/>
        </w:rPr>
        <w:t> </w:t>
      </w:r>
      <w:r>
        <w:rPr>
          <w:rFonts w:ascii="Times New Roman" w:hAnsi="Times New Roman" w:cs="Times New Roman" w:eastAsia="Times New Roman" w:hint="default"/>
        </w:rPr>
        <w:t>2011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181"/>
        <w:ind w:left="539" w:right="88"/>
        <w:jc w:val="left"/>
      </w:pPr>
      <w:r>
        <w:rPr/>
        <w:t>采用公历年度，即从每年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日为一个会计年度。</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240" w:lineRule="auto" w:before="181"/>
        <w:ind w:left="539" w:right="88"/>
        <w:jc w:val="left"/>
      </w:pPr>
      <w:r>
        <w:rPr/>
        <w:t>以人民币为记账本位币。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right="8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96" w:lineRule="auto" w:before="181"/>
        <w:ind w:left="539" w:right="88"/>
        <w:jc w:val="left"/>
      </w:pPr>
      <w:r>
        <w:rPr/>
        <w:t>（</w:t>
      </w:r>
      <w:r>
        <w:rPr>
          <w:rFonts w:ascii="Times New Roman" w:hAnsi="Times New Roman" w:cs="Times New Roman" w:eastAsia="Times New Roman" w:hint="default"/>
        </w:rPr>
        <w:t>1</w:t>
      </w:r>
      <w:r>
        <w:rPr/>
        <w:t>）同一控制下的企业合并</w:t>
      </w:r>
      <w:r>
        <w:rPr>
          <w:spacing w:val="-103"/>
        </w:rPr>
        <w:t> </w:t>
      </w:r>
      <w:r>
        <w:rPr>
          <w:spacing w:val="-103"/>
        </w:rPr>
      </w:r>
      <w:r>
        <w:rPr>
          <w:w w:val="95"/>
        </w:rPr>
        <w:t>在企业合并中取得的资产和负债，按照合并日在被合并方的账面价值计量。取得的净资产账面价值与</w:t>
      </w:r>
      <w:r>
        <w:rPr/>
      </w:r>
    </w:p>
    <w:p>
      <w:pPr>
        <w:pStyle w:val="BodyText"/>
        <w:spacing w:line="420" w:lineRule="auto" w:before="68"/>
        <w:ind w:right="103"/>
        <w:jc w:val="both"/>
      </w:pPr>
      <w:r>
        <w:rPr/>
        <w:t>支付的合并对价账面价值（或发行股份面值总额）的差额，调整资本公积；资本公积不足冲减的，调整留</w:t>
      </w:r>
      <w:r>
        <w:rPr>
          <w:w w:val="99"/>
        </w:rPr>
        <w:t> </w:t>
      </w:r>
      <w:r>
        <w:rPr/>
        <w:t>存收益。为进行企业合并发生的各项直接相关费用，包括为进行企业合并而支付的审计费用、评估费用、</w:t>
      </w:r>
      <w:r>
        <w:rPr>
          <w:w w:val="88"/>
        </w:rPr>
        <w:t> </w:t>
      </w:r>
      <w:r>
        <w:rPr/>
        <w:t>法律服务费用等，于发生时计入当期损益。企业合并形成母子公司关系的，母公司编制合并日的合并资产</w:t>
      </w:r>
      <w:r>
        <w:rPr>
          <w:w w:val="99"/>
        </w:rPr>
        <w:t> </w:t>
      </w:r>
      <w:r>
        <w:rPr/>
        <w:t>负债表、合并利润表和合并现金流量表。合并资产负债表中被合并方的各项资产、负债，按其账面价值计</w:t>
      </w:r>
      <w:r>
        <w:rPr>
          <w:w w:val="99"/>
        </w:rPr>
        <w:t> </w:t>
      </w:r>
      <w:r>
        <w:rPr>
          <w:spacing w:val="-2"/>
          <w:w w:val="98"/>
        </w:rPr>
        <w:t>量。因被合并方采用的会计政策与合并方不一致，按照本准则规定进行调整的，以调整后的账面价值计量。</w:t>
      </w:r>
      <w:r>
        <w:rPr>
          <w:spacing w:val="-90"/>
          <w:w w:val="98"/>
        </w:rPr>
        <w:t> </w:t>
      </w:r>
      <w:r>
        <w:rPr>
          <w:spacing w:val="-90"/>
          <w:w w:val="98"/>
        </w:rPr>
      </w:r>
      <w:r>
        <w:rPr/>
        <w:t>合并利润表包括参与合并各方自合并当期期初至合并日所发生的收入、费用和利润。被合并方在合并前实</w:t>
      </w:r>
      <w:r>
        <w:rPr>
          <w:w w:val="99"/>
        </w:rPr>
        <w:t> </w:t>
      </w:r>
      <w:r>
        <w:rPr/>
        <w:t>现的净利润，在合并利润表中单列项目反映。合并现金流量表包括参与合并各方自合并当期期初至合并日</w:t>
      </w:r>
      <w:r>
        <w:rPr>
          <w:w w:val="99"/>
        </w:rPr>
        <w:t> </w:t>
      </w:r>
      <w:r>
        <w:rPr/>
        <w:t>的现金流量。</w:t>
      </w:r>
    </w:p>
    <w:p>
      <w:pPr>
        <w:pStyle w:val="BodyText"/>
        <w:spacing w:line="396" w:lineRule="auto" w:before="47"/>
        <w:ind w:left="539" w:right="87"/>
        <w:jc w:val="left"/>
      </w:pPr>
      <w:r>
        <w:rPr/>
        <w:t>（</w:t>
      </w:r>
      <w:r>
        <w:rPr>
          <w:rFonts w:ascii="Times New Roman" w:hAnsi="Times New Roman" w:cs="Times New Roman" w:eastAsia="Times New Roman" w:hint="default"/>
        </w:rPr>
        <w:t>2</w:t>
      </w:r>
      <w:r>
        <w:rPr/>
        <w:t>）非同一控制下的企业合并</w:t>
      </w:r>
      <w:r>
        <w:rPr>
          <w:spacing w:val="-102"/>
        </w:rPr>
        <w:t> </w:t>
      </w:r>
      <w:r>
        <w:rPr>
          <w:spacing w:val="-102"/>
        </w:rPr>
      </w:r>
      <w:r>
        <w:rPr/>
        <w:t>在购买日为取得对被购买方的控制权而付出的资产、发生或承担的负债以及发行的权益性证券的公允</w:t>
      </w:r>
    </w:p>
    <w:p>
      <w:pPr>
        <w:pStyle w:val="BodyText"/>
        <w:spacing w:line="240" w:lineRule="auto" w:before="68"/>
        <w:ind w:right="0"/>
        <w:jc w:val="left"/>
      </w:pPr>
      <w:r>
        <w:rPr/>
        <w:t>价值加上各项直接相关费用为合并成本。在购买日对作为企业合并对价付出的资产、发生或承担的负债按</w:t>
      </w:r>
    </w:p>
    <w:p>
      <w:pPr>
        <w:spacing w:after="0" w:line="240" w:lineRule="auto"/>
        <w:jc w:val="left"/>
        <w:sectPr>
          <w:pgSz w:w="11910" w:h="16840"/>
          <w:pgMar w:header="0" w:footer="865" w:top="1280" w:bottom="1060" w:left="1020" w:right="1000"/>
        </w:sectPr>
      </w:pPr>
    </w:p>
    <w:p>
      <w:pPr>
        <w:pStyle w:val="BodyText"/>
        <w:spacing w:line="420" w:lineRule="auto" w:before="9"/>
        <w:ind w:right="103"/>
        <w:jc w:val="both"/>
      </w:pPr>
      <w:bookmarkStart w:name="6、合并财务报表的编制方法" w:id="61"/>
      <w:bookmarkEnd w:id="61"/>
      <w:r>
        <w:rPr/>
      </w:r>
      <w:bookmarkStart w:name="7、现金及现金等价物的确定标准" w:id="62"/>
      <w:bookmarkEnd w:id="62"/>
      <w:r>
        <w:rPr/>
      </w:r>
      <w:bookmarkStart w:name="8、外币业务和外币报表折算" w:id="63"/>
      <w:bookmarkEnd w:id="63"/>
      <w:r>
        <w:rPr/>
      </w:r>
      <w:r>
        <w:rPr/>
        <w:t>照公允价值计量，公允价值与其账面价值的差额，计入当期损益。对合并成本大于合并中取得的被购买方</w:t>
      </w:r>
      <w:r>
        <w:rPr>
          <w:w w:val="99"/>
        </w:rPr>
        <w:t> </w:t>
      </w:r>
      <w:r>
        <w:rPr/>
        <w:t>可辨认净资产公允价值份额的差额，确认为商誉。对合并成本小于合并中取得的被购买方可辨认净资产公</w:t>
      </w:r>
      <w:r>
        <w:rPr>
          <w:w w:val="99"/>
        </w:rPr>
        <w:t> </w:t>
      </w:r>
      <w:r>
        <w:rPr/>
        <w:t>允价值份额的时，对取得的被购买方各项可辨认资产、负债及或有负债的公允价值以及合并成本的计量进</w:t>
      </w:r>
      <w:r>
        <w:rPr>
          <w:w w:val="99"/>
        </w:rPr>
        <w:t> </w:t>
      </w:r>
      <w:r>
        <w:rPr/>
        <w:t>行复核；经复核后合并成本仍小于合并中取得的被购买方可辨认净资产公允价值份额的，其差额计入当期</w:t>
      </w:r>
      <w:r>
        <w:rPr>
          <w:w w:val="99"/>
        </w:rPr>
        <w:t> </w:t>
      </w:r>
      <w:r>
        <w:rPr/>
        <w:t>损益。企业合并形成母子公司关系的，母公司编制购买日的合并资产负债表，因企业合并取得的被购买方</w:t>
      </w:r>
      <w:r>
        <w:rPr>
          <w:w w:val="99"/>
        </w:rPr>
        <w:t> </w:t>
      </w:r>
      <w:r>
        <w:rPr/>
        <w:t>各项可辨认资产、负债及或有负债以公允价值列示。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29" w:lineRule="auto"/>
        <w:ind w:right="105" w:firstLine="423"/>
        <w:jc w:val="both"/>
      </w:pPr>
      <w:r>
        <w:rPr/>
        <w:t>（</w:t>
      </w:r>
      <w:r>
        <w:rPr>
          <w:rFonts w:ascii="Times New Roman" w:hAnsi="Times New Roman" w:cs="Times New Roman" w:eastAsia="Times New Roman" w:hint="default"/>
        </w:rPr>
        <w:t>1</w:t>
      </w:r>
      <w:r>
        <w:rPr/>
        <w:t>）合并财务报表以本公司和纳入合并财务报表范围的各子公司的财务报表及其他有关资料为合并</w:t>
      </w:r>
      <w:r>
        <w:rPr>
          <w:w w:val="99"/>
        </w:rPr>
        <w:t> </w:t>
      </w:r>
      <w:r>
        <w:rPr/>
        <w:t>依据，按照权益法调整对子公司的长期股权投资，将本公司和纳入合并财务报表范围的各子公司之间的投</w:t>
      </w:r>
      <w:r>
        <w:rPr>
          <w:w w:val="99"/>
        </w:rPr>
        <w:t> </w:t>
      </w:r>
      <w:r>
        <w:rPr/>
        <w:t>资、交易及往来等全部抵销，并计算少数股东损益及少数股东权益后合并编制而成。合并时，如纳入合并</w:t>
      </w:r>
      <w:r>
        <w:rPr>
          <w:w w:val="99"/>
        </w:rPr>
        <w:t> </w:t>
      </w:r>
      <w:r>
        <w:rPr/>
        <w:t>范围的子公司与本公司会计政策不一致，按本公司执行的会计政策对其进行调整后合并。</w:t>
      </w:r>
    </w:p>
    <w:p>
      <w:pPr>
        <w:pStyle w:val="BodyText"/>
        <w:spacing w:line="412" w:lineRule="auto" w:before="58"/>
        <w:ind w:right="137" w:firstLine="423"/>
        <w:jc w:val="both"/>
      </w:pPr>
      <w:r>
        <w:rPr/>
        <w:t>（</w:t>
      </w:r>
      <w:r>
        <w:rPr>
          <w:rFonts w:ascii="Times New Roman" w:hAnsi="Times New Roman" w:cs="Times New Roman" w:eastAsia="Times New Roman" w:hint="default"/>
        </w:rPr>
        <w:t>2</w:t>
      </w:r>
      <w:r>
        <w:rPr/>
        <w:t>）对于同一控制下企业合并取得的子公司，视同该企业合并于合并当期的期初已经发生，从合并</w:t>
      </w:r>
      <w:r>
        <w:rPr>
          <w:w w:val="99"/>
        </w:rPr>
        <w:t> </w:t>
      </w:r>
      <w:r>
        <w:rPr/>
        <w:t>当期的期初起将其资产、负债、经营成果和现金流量纳入合并财务报表。</w:t>
      </w:r>
    </w:p>
    <w:p>
      <w:pPr>
        <w:pStyle w:val="BodyText"/>
        <w:spacing w:line="412" w:lineRule="auto" w:before="75"/>
        <w:ind w:right="202" w:firstLine="409"/>
        <w:jc w:val="both"/>
      </w:pPr>
      <w:r>
        <w:rPr/>
        <w:t>（</w:t>
      </w:r>
      <w:r>
        <w:rPr>
          <w:rFonts w:ascii="Times New Roman" w:hAnsi="Times New Roman" w:cs="Times New Roman" w:eastAsia="Times New Roman" w:hint="default"/>
        </w:rPr>
        <w:t>3</w:t>
      </w:r>
      <w:r>
        <w:rPr/>
        <w:t>）同一控制下的企业合并事项的，被重组方合并前的净损益应计入非经常性损益，并在申报财务</w:t>
      </w:r>
      <w:r>
        <w:rPr>
          <w:w w:val="99"/>
        </w:rPr>
        <w:t> </w:t>
      </w:r>
      <w:r>
        <w:rPr/>
        <w:t>报表中单独列示。</w:t>
      </w:r>
    </w:p>
    <w:p>
      <w:pPr>
        <w:pStyle w:val="BodyText"/>
        <w:spacing w:line="412" w:lineRule="auto" w:before="73"/>
        <w:ind w:right="103" w:firstLine="423"/>
        <w:jc w:val="both"/>
      </w:pPr>
      <w:r>
        <w:rPr/>
        <w:t>（</w:t>
      </w:r>
      <w:r>
        <w:rPr>
          <w:rFonts w:ascii="Times New Roman" w:hAnsi="Times New Roman" w:cs="Times New Roman" w:eastAsia="Times New Roman" w:hint="default"/>
        </w:rPr>
        <w:t>4</w:t>
      </w:r>
      <w:r>
        <w:rPr/>
        <w:t>）重组属于同一公司控制权人下的非企业合并事项，但被重组方重组前一个会计年度末的资产总</w:t>
      </w:r>
      <w:r>
        <w:rPr>
          <w:w w:val="99"/>
        </w:rPr>
        <w:t> </w:t>
      </w:r>
      <w:r>
        <w:rPr/>
        <w:t>额或前一个会计年度的营业收入或利润总额达到或超过重组前发行人相应项目</w:t>
      </w:r>
      <w:r>
        <w:rPr>
          <w:spacing w:val="-41"/>
        </w:rPr>
        <w:t> </w:t>
      </w:r>
      <w:r>
        <w:rPr>
          <w:rFonts w:ascii="Times New Roman" w:hAnsi="Times New Roman" w:cs="Times New Roman" w:eastAsia="Times New Roman" w:hint="default"/>
          <w:spacing w:val="-3"/>
        </w:rPr>
        <w:t>20%</w:t>
      </w:r>
      <w:r>
        <w:rPr>
          <w:spacing w:val="-3"/>
        </w:rPr>
        <w:t>的，从合并当期的期初</w:t>
      </w:r>
      <w:r>
        <w:rPr>
          <w:spacing w:val="-102"/>
        </w:rPr>
        <w:t> </w:t>
      </w:r>
      <w:r>
        <w:rPr>
          <w:spacing w:val="-102"/>
        </w:rPr>
      </w:r>
      <w:r>
        <w:rPr/>
        <w:t>起编制备考利润表。</w:t>
      </w:r>
    </w:p>
    <w:p>
      <w:pPr>
        <w:pStyle w:val="BodyText"/>
        <w:spacing w:line="415" w:lineRule="auto" w:before="73"/>
        <w:ind w:right="137" w:firstLine="423"/>
        <w:jc w:val="both"/>
      </w:pPr>
      <w:r>
        <w:rPr/>
        <w:t>（</w:t>
      </w:r>
      <w:r>
        <w:rPr>
          <w:rFonts w:ascii="Times New Roman" w:hAnsi="Times New Roman" w:cs="Times New Roman" w:eastAsia="Times New Roman" w:hint="default"/>
        </w:rPr>
        <w:t>5</w:t>
      </w:r>
      <w:r>
        <w:rPr/>
        <w:t>）对于因非同一控制下企业合并取得的子公司，在编制合并报表时，以购买日可辨认净资产公允</w:t>
      </w:r>
      <w:r>
        <w:rPr>
          <w:w w:val="99"/>
        </w:rPr>
        <w:t> </w:t>
      </w:r>
      <w:r>
        <w:rPr/>
        <w:t>价值为基础对个别财务报表进行调整。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74" w:lineRule="auto" w:before="0"/>
        <w:ind w:left="539" w:right="4287"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现金是指本公司的库存现金以及随时用于支付的存款。</w:t>
      </w:r>
    </w:p>
    <w:p>
      <w:pPr>
        <w:pStyle w:val="BodyText"/>
        <w:spacing w:line="436" w:lineRule="auto" w:before="106"/>
        <w:ind w:right="115" w:firstLine="423"/>
        <w:jc w:val="both"/>
      </w:pPr>
      <w:r>
        <w:rPr>
          <w:spacing w:val="1"/>
          <w:w w:val="99"/>
        </w:rPr>
        <w:t>现金等价物为本公司持有的期限短（一般是指从购买日起三个月内到期</w:t>
      </w:r>
      <w:r>
        <w:rPr>
          <w:spacing w:val="-63"/>
          <w:w w:val="99"/>
        </w:rPr>
        <w:t> </w:t>
      </w:r>
      <w:r>
        <w:rPr>
          <w:spacing w:val="-7"/>
          <w:w w:val="99"/>
        </w:rPr>
        <w:t>）、流动性强、易于转换为已</w:t>
      </w:r>
      <w:r>
        <w:rPr>
          <w:w w:val="99"/>
        </w:rPr>
        <w:t> </w:t>
      </w:r>
      <w:r>
        <w:rPr/>
        <w:t>知金额现金且价值变动风险很小的投资。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9" w:right="88"/>
        <w:jc w:val="left"/>
      </w:pPr>
      <w:r>
        <w:rPr/>
        <w:t>（</w:t>
      </w:r>
      <w:r>
        <w:rPr>
          <w:rFonts w:ascii="Times New Roman" w:hAnsi="Times New Roman" w:cs="Times New Roman" w:eastAsia="Times New Roman" w:hint="default"/>
        </w:rPr>
        <w:t>1</w:t>
      </w:r>
      <w:r>
        <w:rPr/>
        <w:t>）外币业务核算方法</w:t>
      </w:r>
    </w:p>
    <w:p>
      <w:pPr>
        <w:spacing w:after="0" w:line="240" w:lineRule="auto"/>
        <w:jc w:val="left"/>
        <w:sectPr>
          <w:pgSz w:w="11910" w:h="16840"/>
          <w:pgMar w:header="0" w:footer="865" w:top="1280" w:bottom="1060" w:left="1020" w:right="1000"/>
        </w:sectPr>
      </w:pPr>
    </w:p>
    <w:p>
      <w:pPr>
        <w:pStyle w:val="BodyText"/>
        <w:spacing w:line="436" w:lineRule="auto" w:before="8"/>
        <w:ind w:left="539" w:right="88"/>
        <w:jc w:val="left"/>
      </w:pPr>
      <w:bookmarkStart w:name="9、金融工具" w:id="64"/>
      <w:bookmarkEnd w:id="64"/>
      <w:r>
        <w:rPr/>
      </w:r>
      <w:r>
        <w:rPr/>
        <w:t>本公司外币交易均按交易发生日的即期近似汇率折算为记账本位币。</w:t>
      </w:r>
      <w:r>
        <w:rPr>
          <w:spacing w:val="-96"/>
        </w:rPr>
        <w:t> </w:t>
      </w:r>
      <w:r>
        <w:rPr>
          <w:spacing w:val="-96"/>
        </w:rPr>
      </w:r>
      <w:r>
        <w:rPr>
          <w:spacing w:val="2"/>
          <w:w w:val="95"/>
        </w:rPr>
        <w:t>在资产负债表日：</w:t>
      </w:r>
      <w:r>
        <w:rPr>
          <w:rFonts w:ascii="Times New Roman" w:hAnsi="Times New Roman" w:cs="Times New Roman" w:eastAsia="Times New Roman" w:hint="default"/>
          <w:spacing w:val="2"/>
          <w:w w:val="95"/>
        </w:rPr>
        <w:t>a</w:t>
      </w:r>
      <w:r>
        <w:rPr>
          <w:spacing w:val="2"/>
          <w:w w:val="95"/>
        </w:rPr>
        <w:t>、外币货币性项目，采用资产负债表日即期汇率折算。因资产负债表日即期汇率</w:t>
      </w:r>
      <w:r>
        <w:rPr>
          <w:spacing w:val="2"/>
        </w:rPr>
      </w:r>
    </w:p>
    <w:p>
      <w:pPr>
        <w:pStyle w:val="BodyText"/>
        <w:spacing w:line="420" w:lineRule="auto" w:before="20"/>
        <w:ind w:right="105"/>
        <w:jc w:val="both"/>
      </w:pPr>
      <w:r>
        <w:rPr/>
        <w:t>与初始确认时或前一资产负债表日即期汇率不同而产生的汇兑差额，计入当期损益。</w:t>
      </w:r>
      <w:r>
        <w:rPr>
          <w:spacing w:val="-53"/>
        </w:rPr>
        <w:t> </w:t>
      </w:r>
      <w:r>
        <w:rPr>
          <w:rFonts w:ascii="Times New Roman" w:hAnsi="Times New Roman" w:cs="Times New Roman" w:eastAsia="Times New Roman" w:hint="default"/>
        </w:rPr>
        <w:t>b</w:t>
      </w:r>
      <w:r>
        <w:rPr/>
        <w:t>、以历史成本计量</w:t>
      </w:r>
      <w:r>
        <w:rPr>
          <w:spacing w:val="-74"/>
        </w:rPr>
        <w:t> </w:t>
      </w:r>
      <w:r>
        <w:rPr>
          <w:spacing w:val="-74"/>
        </w:rPr>
      </w:r>
      <w:r>
        <w:rPr/>
        <w:t>的外币非货币性项目，仍采用交易发生日的即期汇率折算，不改变其记账本位币金额。</w:t>
      </w:r>
      <w:r>
        <w:rPr>
          <w:spacing w:val="-38"/>
        </w:rPr>
        <w:t> </w:t>
      </w:r>
      <w:r>
        <w:rPr>
          <w:rFonts w:ascii="Times New Roman" w:hAnsi="Times New Roman" w:cs="Times New Roman" w:eastAsia="Times New Roman" w:hint="default"/>
        </w:rPr>
        <w:t>c</w:t>
      </w:r>
      <w:r>
        <w:rPr/>
        <w:t>、以公允价值计</w:t>
      </w:r>
      <w:r>
        <w:rPr>
          <w:spacing w:val="-80"/>
        </w:rPr>
        <w:t> </w:t>
      </w:r>
      <w:r>
        <w:rPr>
          <w:spacing w:val="-80"/>
        </w:rPr>
      </w:r>
      <w:r>
        <w:rPr/>
        <w:t>量的外币非货币性项目，采用公允价值确定日的即期汇率折算，折算后的记账本位币金额与原记账本位币</w:t>
      </w:r>
      <w:r>
        <w:rPr>
          <w:w w:val="99"/>
        </w:rPr>
        <w:t> </w:t>
      </w:r>
      <w:r>
        <w:rPr/>
        <w:t>金额的差额，作为公允价值变动处理，计入当期损益。</w:t>
      </w:r>
    </w:p>
    <w:p>
      <w:pPr>
        <w:pStyle w:val="BodyText"/>
        <w:spacing w:line="412" w:lineRule="auto" w:before="67"/>
        <w:ind w:left="539" w:right="4077"/>
        <w:jc w:val="left"/>
      </w:pPr>
      <w:r>
        <w:rPr/>
        <w:t>（</w:t>
      </w:r>
      <w:r>
        <w:rPr>
          <w:rFonts w:ascii="Times New Roman" w:hAnsi="Times New Roman" w:cs="Times New Roman" w:eastAsia="Times New Roman" w:hint="default"/>
        </w:rPr>
        <w:t>2</w:t>
      </w:r>
      <w:r>
        <w:rPr/>
        <w:t>）外币财务报表的折算方法</w:t>
      </w:r>
      <w:r>
        <w:rPr>
          <w:spacing w:val="-102"/>
        </w:rPr>
        <w:t> </w:t>
      </w:r>
      <w:r>
        <w:rPr>
          <w:spacing w:val="-102"/>
        </w:rPr>
      </w:r>
      <w:r>
        <w:rPr/>
        <w:t>公司对境外经营的财务报表进行折算时，遵循下列规定：</w:t>
      </w:r>
    </w:p>
    <w:p>
      <w:pPr>
        <w:pStyle w:val="BodyText"/>
        <w:spacing w:line="412" w:lineRule="auto" w:before="75"/>
        <w:ind w:right="88" w:firstLine="423"/>
        <w:jc w:val="left"/>
      </w:pPr>
      <w:r>
        <w:rPr>
          <w:rFonts w:ascii="Times New Roman" w:hAnsi="Times New Roman" w:cs="Times New Roman" w:eastAsia="Times New Roman" w:hint="default"/>
        </w:rPr>
        <w:t>a</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w:t>
      </w:r>
      <w:r>
        <w:rPr>
          <w:w w:val="99"/>
        </w:rPr>
        <w:t> </w:t>
      </w:r>
      <w:r>
        <w:rPr/>
        <w:t>利润</w:t>
      </w:r>
      <w:r>
        <w:rPr>
          <w:rFonts w:ascii="Times New Roman" w:hAnsi="Times New Roman" w:cs="Times New Roman" w:eastAsia="Times New Roman" w:hint="default"/>
        </w:rPr>
        <w:t>”</w:t>
      </w:r>
      <w:r>
        <w:rPr/>
        <w:t>项目外，其他项目采用发生时的即期近似汇率折算。</w:t>
      </w:r>
    </w:p>
    <w:p>
      <w:pPr>
        <w:pStyle w:val="BodyText"/>
        <w:spacing w:line="415" w:lineRule="auto" w:before="41"/>
        <w:ind w:left="539" w:right="88"/>
        <w:jc w:val="left"/>
      </w:pPr>
      <w:r>
        <w:rPr>
          <w:rFonts w:ascii="Times New Roman" w:hAnsi="Times New Roman" w:cs="Times New Roman" w:eastAsia="Times New Roman" w:hint="default"/>
        </w:rPr>
        <w:t>b</w:t>
      </w:r>
      <w:r>
        <w:rPr/>
        <w:t>、利润表中的收入和费用项目，采用交易发生日的即期近似汇率折算。</w:t>
      </w:r>
      <w:r>
        <w:rPr>
          <w:spacing w:val="-99"/>
        </w:rPr>
        <w:t> </w:t>
      </w:r>
      <w:r>
        <w:rPr>
          <w:spacing w:val="-99"/>
        </w:rPr>
      </w:r>
      <w:r>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pStyle w:val="BodyText"/>
        <w:spacing w:line="396" w:lineRule="auto" w:before="181"/>
        <w:ind w:left="539" w:right="5337"/>
        <w:jc w:val="left"/>
      </w:pPr>
      <w:r>
        <w:rPr/>
        <w:t>（</w:t>
      </w:r>
      <w:r>
        <w:rPr>
          <w:rFonts w:ascii="Times New Roman" w:hAnsi="Times New Roman" w:cs="Times New Roman" w:eastAsia="Times New Roman" w:hint="default"/>
        </w:rPr>
        <w:t>1</w:t>
      </w:r>
      <w:r>
        <w:rPr/>
        <w:t>）金融资产金融负债的分类</w:t>
      </w:r>
      <w:r>
        <w:rPr>
          <w:spacing w:val="-102"/>
        </w:rPr>
        <w:t> </w:t>
      </w:r>
      <w:r>
        <w:rPr>
          <w:spacing w:val="-102"/>
        </w:rPr>
      </w:r>
      <w:r>
        <w:rPr/>
        <w:t>本公司持有的金融资产划分为四类，包括：</w:t>
      </w:r>
    </w:p>
    <w:p>
      <w:pPr>
        <w:pStyle w:val="BodyText"/>
        <w:spacing w:line="420" w:lineRule="auto" w:before="68"/>
        <w:ind w:right="88" w:firstLine="423"/>
        <w:jc w:val="left"/>
      </w:pPr>
      <w:r>
        <w:rPr/>
        <w:t>①以公允价值计量且其变动计入当期损益的金融资产，包括交易性金融资产和指定为公允价值计量且</w:t>
      </w:r>
      <w:r>
        <w:rPr>
          <w:w w:val="99"/>
        </w:rPr>
        <w:t> </w:t>
      </w:r>
      <w:r>
        <w:rPr/>
        <w:t>其变动计入当期损益的金融资产。</w:t>
      </w:r>
    </w:p>
    <w:p>
      <w:pPr>
        <w:pStyle w:val="BodyText"/>
        <w:spacing w:line="240" w:lineRule="auto" w:before="47"/>
        <w:ind w:left="539" w:right="88"/>
        <w:jc w:val="left"/>
      </w:pPr>
      <w:r>
        <w:rPr/>
        <w:t>②持有至到期投资</w:t>
      </w:r>
    </w:p>
    <w:p>
      <w:pPr>
        <w:spacing w:line="240" w:lineRule="auto" w:before="9"/>
        <w:rPr>
          <w:rFonts w:ascii="宋体" w:hAnsi="宋体" w:cs="宋体" w:eastAsia="宋体" w:hint="default"/>
          <w:sz w:val="15"/>
          <w:szCs w:val="15"/>
        </w:rPr>
      </w:pPr>
    </w:p>
    <w:p>
      <w:pPr>
        <w:pStyle w:val="BodyText"/>
        <w:spacing w:line="240" w:lineRule="auto"/>
        <w:ind w:left="539" w:right="88"/>
        <w:jc w:val="left"/>
      </w:pPr>
      <w:r>
        <w:rPr/>
        <w:t>③贷款和应收款项</w:t>
      </w:r>
    </w:p>
    <w:p>
      <w:pPr>
        <w:spacing w:line="240" w:lineRule="auto" w:before="9"/>
        <w:rPr>
          <w:rFonts w:ascii="宋体" w:hAnsi="宋体" w:cs="宋体" w:eastAsia="宋体" w:hint="default"/>
          <w:sz w:val="15"/>
          <w:szCs w:val="15"/>
        </w:rPr>
      </w:pPr>
    </w:p>
    <w:p>
      <w:pPr>
        <w:pStyle w:val="BodyText"/>
        <w:spacing w:line="420" w:lineRule="auto"/>
        <w:ind w:left="539" w:right="3867"/>
        <w:jc w:val="left"/>
      </w:pPr>
      <w:r>
        <w:rPr/>
        <w:t>④可供出售金融资产</w:t>
      </w:r>
      <w:r>
        <w:rPr>
          <w:w w:val="99"/>
        </w:rPr>
        <w:t> </w:t>
      </w:r>
      <w:r>
        <w:rPr/>
        <w:t>本公司持有的金融负债为交易性金融负债和其他金融负债。</w:t>
      </w:r>
    </w:p>
    <w:p>
      <w:pPr>
        <w:pStyle w:val="BodyText"/>
        <w:spacing w:line="408" w:lineRule="auto" w:before="47"/>
        <w:ind w:left="539" w:right="88"/>
        <w:jc w:val="left"/>
      </w:pPr>
      <w:r>
        <w:rPr/>
        <w:t>（</w:t>
      </w:r>
      <w:r>
        <w:rPr>
          <w:rFonts w:ascii="Times New Roman" w:hAnsi="Times New Roman" w:cs="Times New Roman" w:eastAsia="Times New Roman" w:hint="default"/>
        </w:rPr>
        <w:t>2</w:t>
      </w:r>
      <w:r>
        <w:rPr/>
        <w:t>）金融工具的确认与计量</w:t>
      </w:r>
      <w:r>
        <w:rPr>
          <w:spacing w:val="-103"/>
        </w:rPr>
        <w:t> </w:t>
      </w:r>
      <w:r>
        <w:rPr>
          <w:spacing w:val="-103"/>
        </w:rPr>
      </w:r>
      <w:r>
        <w:rPr/>
        <w:t>本公司成为金融工具合同的一方时，确认金融资产或金融负债，初始确认时以公允价值计量。</w:t>
      </w:r>
      <w:r>
        <w:rPr>
          <w:spacing w:val="-93"/>
        </w:rPr>
        <w:t> </w:t>
      </w:r>
      <w:r>
        <w:rPr>
          <w:spacing w:val="-93"/>
        </w:rPr>
      </w:r>
      <w:r>
        <w:rPr>
          <w:spacing w:val="3"/>
        </w:rPr>
        <w:t>交易性金融资产和负债是指本公司持有目的为近期内出售或回购取得且公允价值可以可靠取得的投</w:t>
      </w:r>
    </w:p>
    <w:p>
      <w:pPr>
        <w:pStyle w:val="BodyText"/>
        <w:spacing w:line="420" w:lineRule="auto" w:before="58"/>
        <w:ind w:right="105"/>
        <w:jc w:val="both"/>
      </w:pPr>
      <w:r>
        <w:rPr/>
        <w:t>资，包括本公司于交易所购入股票、基金和以套期保值为目的持有的期货、期权合约等。交易性金融资产</w:t>
      </w:r>
      <w:r>
        <w:rPr>
          <w:w w:val="99"/>
        </w:rPr>
        <w:t> </w:t>
      </w:r>
      <w:r>
        <w:rPr/>
        <w:t>和负债以公允价值进行后续计量。</w:t>
      </w:r>
    </w:p>
    <w:p>
      <w:pPr>
        <w:pStyle w:val="BodyText"/>
        <w:spacing w:line="420" w:lineRule="auto" w:before="47"/>
        <w:ind w:right="88" w:firstLine="423"/>
        <w:jc w:val="left"/>
      </w:pPr>
      <w:r>
        <w:rPr/>
        <w:t>持有至到期投资是指本公司有明确意图和能力持有至到期、且其到期日和回收金额固定或可确定、公</w:t>
      </w:r>
      <w:r>
        <w:rPr>
          <w:w w:val="99"/>
        </w:rPr>
        <w:t> </w:t>
      </w:r>
      <w:r>
        <w:rPr/>
        <w:t>允价值可以可靠取得的投资。</w:t>
      </w:r>
    </w:p>
    <w:p>
      <w:pPr>
        <w:spacing w:after="0" w:line="420" w:lineRule="auto"/>
        <w:jc w:val="left"/>
        <w:sectPr>
          <w:pgSz w:w="11910" w:h="16840"/>
          <w:pgMar w:header="0" w:footer="865" w:top="1300" w:bottom="1060" w:left="1020" w:right="1000"/>
        </w:sectPr>
      </w:pPr>
    </w:p>
    <w:p>
      <w:pPr>
        <w:pStyle w:val="BodyText"/>
        <w:spacing w:line="420" w:lineRule="auto" w:before="9"/>
        <w:ind w:right="0" w:firstLine="423"/>
        <w:jc w:val="left"/>
      </w:pPr>
      <w:r>
        <w:rPr>
          <w:spacing w:val="-2"/>
          <w:w w:val="98"/>
        </w:rPr>
        <w:t>贷款和应收款项指在活跃市场中没有报价、回收金额固定或可确定的非衍生金融资产。包括应收账款、</w:t>
      </w:r>
      <w:r>
        <w:rPr>
          <w:w w:val="49"/>
        </w:rPr>
        <w:t> </w:t>
      </w:r>
      <w:r>
        <w:rPr>
          <w:spacing w:val="-2"/>
          <w:w w:val="95"/>
        </w:rPr>
        <w:t>其他应收款、发放的贷款和拆出资金等，贷款和应收款项初始确认后采用实际利率法按摊余成本进行计量。</w:t>
      </w:r>
      <w:r>
        <w:rPr>
          <w:spacing w:val="-2"/>
        </w:rPr>
      </w:r>
    </w:p>
    <w:p>
      <w:pPr>
        <w:pStyle w:val="BodyText"/>
        <w:spacing w:line="420" w:lineRule="auto" w:before="47"/>
        <w:ind w:right="205" w:firstLine="423"/>
        <w:jc w:val="both"/>
      </w:pPr>
      <w:r>
        <w:rPr/>
        <w:t>可供出售金融资产是指其公允价值能够可靠取得，初始确认时即指定为可供出售的非衍生金融资产和</w:t>
      </w:r>
      <w:r>
        <w:rPr>
          <w:w w:val="99"/>
        </w:rPr>
        <w:t> </w:t>
      </w:r>
      <w:r>
        <w:rPr/>
        <w:t>除上述三类金融资产以外的其他金融资产。主要包括本公司原持有的上市公司法人股份，该股份已取得股</w:t>
      </w:r>
      <w:r>
        <w:rPr>
          <w:w w:val="99"/>
        </w:rPr>
        <w:t> </w:t>
      </w:r>
      <w:r>
        <w:rPr/>
        <w:t>改流通权，包括尚处于被限制流通的股份。可供出售金融资产以公允价值进行后续计量，公允价值变动计</w:t>
      </w:r>
      <w:r>
        <w:rPr>
          <w:w w:val="99"/>
        </w:rPr>
        <w:t> </w:t>
      </w:r>
      <w:r>
        <w:rPr/>
        <w:t>入资本公积。</w:t>
      </w:r>
    </w:p>
    <w:p>
      <w:pPr>
        <w:pStyle w:val="BodyText"/>
        <w:spacing w:line="427" w:lineRule="auto" w:before="57"/>
        <w:ind w:right="205" w:firstLine="423"/>
        <w:jc w:val="both"/>
      </w:pPr>
      <w:r>
        <w:rPr/>
        <w:t>其他金融负债指本公司除交易性金融负债以外的金融负债。其他金融负债初始确认后采用实际利率法</w:t>
      </w:r>
      <w:r>
        <w:rPr>
          <w:w w:val="99"/>
        </w:rPr>
        <w:t> </w:t>
      </w:r>
      <w:r>
        <w:rPr/>
        <w:t>按摊余成本进行计量。</w:t>
      </w:r>
    </w:p>
    <w:p>
      <w:pPr>
        <w:pStyle w:val="BodyText"/>
        <w:spacing w:line="403" w:lineRule="auto" w:before="51"/>
        <w:ind w:left="539" w:right="0"/>
        <w:jc w:val="left"/>
      </w:pPr>
      <w:r>
        <w:rPr/>
        <w:t>（</w:t>
      </w:r>
      <w:r>
        <w:rPr>
          <w:rFonts w:ascii="Times New Roman" w:hAnsi="Times New Roman" w:cs="Times New Roman" w:eastAsia="Times New Roman" w:hint="default"/>
        </w:rPr>
        <w:t>3</w:t>
      </w:r>
      <w:r>
        <w:rPr/>
        <w:t>）金融资产转移与金融负债终止确认</w:t>
      </w:r>
      <w:r>
        <w:rPr>
          <w:spacing w:val="-100"/>
        </w:rPr>
        <w:t> </w:t>
      </w:r>
      <w:r>
        <w:rPr>
          <w:spacing w:val="-100"/>
        </w:rPr>
      </w:r>
      <w:r>
        <w:rPr>
          <w:w w:val="95"/>
        </w:rPr>
        <w:t>本公司已将金融资产所有权上几乎所有的风险和报酬转移给转入方的，则终止确认该金融资产；本公</w:t>
      </w:r>
      <w:r>
        <w:rPr/>
      </w:r>
    </w:p>
    <w:p>
      <w:pPr>
        <w:pStyle w:val="BodyText"/>
        <w:spacing w:line="427" w:lineRule="auto" w:before="74"/>
        <w:ind w:left="539" w:right="0" w:hanging="424"/>
        <w:jc w:val="left"/>
      </w:pPr>
      <w:r>
        <w:rPr/>
        <w:t>司保留了金融资产所有权上几乎所有的风险和报酬的，则不终止确认该金融资产。</w:t>
      </w:r>
      <w:r>
        <w:rPr>
          <w:spacing w:val="-94"/>
        </w:rPr>
        <w:t> </w:t>
      </w:r>
      <w:r>
        <w:rPr>
          <w:spacing w:val="-94"/>
        </w:rPr>
      </w:r>
      <w:r>
        <w:rPr>
          <w:w w:val="95"/>
        </w:rPr>
        <w:t>本公司对于金融资产转移满足终止确认条件的，按照因转移而收到的对价，及原直接计入所有者权益</w:t>
      </w:r>
      <w:r>
        <w:rPr/>
      </w:r>
    </w:p>
    <w:p>
      <w:pPr>
        <w:pStyle w:val="BodyText"/>
        <w:spacing w:line="427" w:lineRule="auto" w:before="51"/>
        <w:ind w:right="203"/>
        <w:jc w:val="both"/>
      </w:pPr>
      <w:r>
        <w:rPr/>
        <w:t>的公允价值变动累计额（涉及转移的金融资产为可供出售金融资产的情形）之和，与所转移金融资产的账</w:t>
      </w:r>
      <w:r>
        <w:rPr>
          <w:w w:val="99"/>
        </w:rPr>
        <w:t> </w:t>
      </w:r>
      <w:r>
        <w:rPr/>
        <w:t>面价值之间的差额计入当期损益。本公司对于金融资产转移不满足终止确认条件的，继续确认所转移金融</w:t>
      </w:r>
      <w:r>
        <w:rPr>
          <w:w w:val="99"/>
        </w:rPr>
        <w:t> </w:t>
      </w:r>
      <w:r>
        <w:rPr/>
        <w:t>资产，并将收到的对价确认为一项金融负债。</w:t>
      </w:r>
    </w:p>
    <w:p>
      <w:pPr>
        <w:pStyle w:val="BodyText"/>
        <w:spacing w:line="429" w:lineRule="auto" w:before="51"/>
        <w:ind w:right="205" w:firstLine="423"/>
        <w:jc w:val="both"/>
      </w:pPr>
      <w:r>
        <w:rPr/>
        <w:t>金融负债的现时义务全部或部分已经解除的，本公司终止确认该金融负债或其一部分。本公司以承兑</w:t>
      </w:r>
      <w:r>
        <w:rPr>
          <w:w w:val="99"/>
        </w:rPr>
        <w:t> </w:t>
      </w:r>
      <w:r>
        <w:rPr/>
        <w:t>汇票贴现方式或其他应收账款抵押方式向银行融资时，不终止确认相关金融资产，取得的融资款项记录为</w:t>
      </w:r>
      <w:r>
        <w:rPr>
          <w:w w:val="99"/>
        </w:rPr>
        <w:t> </w:t>
      </w:r>
      <w:r>
        <w:rPr/>
        <w:t>本公司负债。</w:t>
      </w:r>
    </w:p>
    <w:p>
      <w:pPr>
        <w:pStyle w:val="BodyText"/>
        <w:spacing w:line="403" w:lineRule="auto" w:before="49"/>
        <w:ind w:left="539" w:right="187"/>
        <w:jc w:val="left"/>
      </w:pPr>
      <w:r>
        <w:rPr/>
        <w:t>（</w:t>
      </w:r>
      <w:r>
        <w:rPr>
          <w:rFonts w:ascii="Times New Roman" w:hAnsi="Times New Roman" w:cs="Times New Roman" w:eastAsia="Times New Roman" w:hint="default"/>
        </w:rPr>
        <w:t>4</w:t>
      </w:r>
      <w:r>
        <w:rPr/>
        <w:t>）公允价值的确定</w:t>
      </w:r>
      <w:r>
        <w:rPr>
          <w:spacing w:val="-103"/>
        </w:rPr>
        <w:t> </w:t>
      </w:r>
      <w:r>
        <w:rPr>
          <w:spacing w:val="-103"/>
        </w:rPr>
      </w:r>
      <w:r>
        <w:rPr/>
        <w:t>存在活跃市场的金融工具，本公司采用活跃市场中的报价确定其公允价值。金融工具不存在活跃市场</w:t>
      </w:r>
    </w:p>
    <w:p>
      <w:pPr>
        <w:pStyle w:val="BodyText"/>
        <w:spacing w:line="427" w:lineRule="auto" w:before="72"/>
        <w:ind w:right="0"/>
        <w:jc w:val="left"/>
      </w:pPr>
      <w:r>
        <w:rPr/>
        <w:t>的，本公司采用估值技术确定其公允价值。估值技术包括参考熟悉情况并自愿交易的各方最近进行的市场</w:t>
      </w:r>
      <w:r>
        <w:rPr>
          <w:w w:val="99"/>
        </w:rPr>
        <w:t> </w:t>
      </w:r>
      <w:r>
        <w:rPr>
          <w:spacing w:val="-2"/>
          <w:w w:val="95"/>
        </w:rPr>
        <w:t>交易中使用的价格、参照实质上相同的其他金融工具的当前公允价值、现金流量折现法和期权定价模型等。</w:t>
      </w:r>
      <w:r>
        <w:rPr>
          <w:spacing w:val="-2"/>
        </w:rPr>
      </w:r>
    </w:p>
    <w:p>
      <w:pPr>
        <w:pStyle w:val="BodyText"/>
        <w:spacing w:line="403" w:lineRule="auto" w:before="53"/>
        <w:ind w:left="539" w:right="0"/>
        <w:jc w:val="left"/>
      </w:pPr>
      <w:r>
        <w:rPr/>
        <w:t>（</w:t>
      </w:r>
      <w:r>
        <w:rPr>
          <w:rFonts w:ascii="Times New Roman" w:hAnsi="Times New Roman" w:cs="Times New Roman" w:eastAsia="Times New Roman" w:hint="default"/>
        </w:rPr>
        <w:t>5</w:t>
      </w:r>
      <w:r>
        <w:rPr/>
        <w:t>）金融资产减值</w:t>
      </w:r>
      <w:r>
        <w:rPr>
          <w:w w:val="99"/>
        </w:rPr>
        <w:t> </w:t>
      </w:r>
      <w:r>
        <w:rPr>
          <w:spacing w:val="3"/>
        </w:rPr>
        <w:t>在资产负债表日对以公允价值计量且其变动计入当期损益的金融资产以外的金融资产的账面价值进</w:t>
      </w:r>
    </w:p>
    <w:p>
      <w:pPr>
        <w:pStyle w:val="BodyText"/>
        <w:spacing w:line="427" w:lineRule="auto" w:before="72"/>
        <w:ind w:right="205"/>
        <w:jc w:val="both"/>
      </w:pPr>
      <w:r>
        <w:rPr/>
        <w:t>行检查，有客观证据表明该金融资产发生减值的，计提减值准备。金融资产发生减值的客观证据，包括下</w:t>
      </w:r>
      <w:r>
        <w:rPr>
          <w:w w:val="99"/>
        </w:rPr>
        <w:t> </w:t>
      </w:r>
      <w:r>
        <w:rPr/>
        <w:t>列各项：</w:t>
      </w:r>
    </w:p>
    <w:p>
      <w:pPr>
        <w:pStyle w:val="BodyText"/>
        <w:spacing w:line="403" w:lineRule="auto" w:before="51"/>
        <w:ind w:left="524" w:right="0"/>
        <w:jc w:val="left"/>
      </w:pPr>
      <w:r>
        <w:rPr>
          <w:rFonts w:ascii="Times New Roman" w:hAnsi="Times New Roman" w:cs="Times New Roman" w:eastAsia="Times New Roman" w:hint="default"/>
        </w:rPr>
        <w:t>a</w:t>
      </w:r>
      <w:r>
        <w:rPr/>
        <w:t>、发行方或债务人发生严重财务困难；</w:t>
      </w:r>
      <w:r>
        <w:rPr>
          <w:spacing w:val="-101"/>
        </w:rPr>
        <w:t> </w:t>
      </w:r>
      <w:r>
        <w:rPr>
          <w:spacing w:val="-101"/>
        </w:rPr>
      </w:r>
      <w:r>
        <w:rPr>
          <w:rFonts w:ascii="Times New Roman" w:hAnsi="Times New Roman" w:cs="Times New Roman" w:eastAsia="Times New Roman" w:hint="default"/>
        </w:rPr>
        <w:t>b</w:t>
      </w:r>
      <w:r>
        <w:rPr/>
        <w:t>、债务人违反了合同条款，如偿付利息或本金发生违约或逾期等；</w:t>
      </w:r>
      <w:r>
        <w:rPr>
          <w:spacing w:val="-97"/>
        </w:rPr>
        <w:t> </w:t>
      </w:r>
      <w:r>
        <w:rPr>
          <w:spacing w:val="-97"/>
        </w:rPr>
      </w:r>
      <w:r>
        <w:rPr>
          <w:rFonts w:ascii="Times New Roman" w:hAnsi="Times New Roman" w:cs="Times New Roman" w:eastAsia="Times New Roman" w:hint="default"/>
        </w:rPr>
        <w:t>c</w:t>
      </w:r>
      <w:r>
        <w:rPr/>
        <w:t>、本公司出于经济或法律等方面因素的考虑，对发生困难的债务人作出让步；</w:t>
      </w:r>
    </w:p>
    <w:p>
      <w:pPr>
        <w:spacing w:after="0" w:line="403" w:lineRule="auto"/>
        <w:jc w:val="left"/>
        <w:sectPr>
          <w:pgSz w:w="11910" w:h="16840"/>
          <w:pgMar w:header="0" w:footer="865" w:top="1280" w:bottom="1060" w:left="1020" w:right="900"/>
        </w:sectPr>
      </w:pPr>
    </w:p>
    <w:p>
      <w:pPr>
        <w:pStyle w:val="BodyText"/>
        <w:spacing w:line="403" w:lineRule="auto" w:before="19"/>
        <w:ind w:left="624" w:right="0"/>
        <w:jc w:val="left"/>
      </w:pPr>
      <w:bookmarkStart w:name="10、应收款项" w:id="65"/>
      <w:bookmarkEnd w:id="65"/>
      <w:r>
        <w:rPr/>
      </w:r>
      <w:r>
        <w:rPr>
          <w:rFonts w:ascii="Times New Roman" w:hAnsi="Times New Roman" w:cs="Times New Roman" w:eastAsia="Times New Roman" w:hint="default"/>
        </w:rPr>
        <w:t>d</w:t>
      </w:r>
      <w:r>
        <w:rPr/>
        <w:t>、债务人很可能倒闭或进行其他财务重组；</w:t>
      </w:r>
      <w:r>
        <w:rPr>
          <w:spacing w:val="-100"/>
        </w:rPr>
        <w:t> </w:t>
      </w:r>
      <w:r>
        <w:rPr>
          <w:spacing w:val="-100"/>
        </w:rPr>
      </w:r>
      <w:r>
        <w:rPr>
          <w:rFonts w:ascii="Times New Roman" w:hAnsi="Times New Roman" w:cs="Times New Roman" w:eastAsia="Times New Roman" w:hint="default"/>
        </w:rPr>
        <w:t>e</w:t>
      </w:r>
      <w:r>
        <w:rPr/>
        <w:t>、因发行方发生重大财务困难，该金融资产无法在活跃市场继续交易；</w:t>
      </w:r>
      <w:r>
        <w:rPr>
          <w:spacing w:val="-97"/>
        </w:rPr>
        <w:t> </w:t>
      </w:r>
      <w:r>
        <w:rPr>
          <w:spacing w:val="-97"/>
        </w:rPr>
      </w:r>
      <w:r>
        <w:rPr>
          <w:rFonts w:ascii="Times New Roman" w:hAnsi="Times New Roman" w:cs="Times New Roman" w:eastAsia="Times New Roman" w:hint="default"/>
          <w:spacing w:val="-1"/>
          <w:w w:val="95"/>
        </w:rPr>
        <w:t>f</w:t>
      </w:r>
      <w:r>
        <w:rPr>
          <w:spacing w:val="-1"/>
          <w:w w:val="95"/>
        </w:rPr>
        <w:t>、债务人经营所处的技术、市场、经济和法律环境等发生重大不利变化，使本公司可能无法收回投资</w:t>
      </w:r>
      <w:r>
        <w:rPr>
          <w:spacing w:val="-1"/>
        </w:rPr>
      </w:r>
    </w:p>
    <w:p>
      <w:pPr>
        <w:pStyle w:val="BodyText"/>
        <w:spacing w:line="240" w:lineRule="auto" w:before="40"/>
        <w:ind w:left="215" w:right="0"/>
        <w:jc w:val="left"/>
      </w:pPr>
      <w:r>
        <w:rPr/>
        <w:t>成本；</w:t>
      </w:r>
    </w:p>
    <w:p>
      <w:pPr>
        <w:spacing w:line="240" w:lineRule="auto" w:before="8"/>
        <w:rPr>
          <w:rFonts w:ascii="宋体" w:hAnsi="宋体" w:cs="宋体" w:eastAsia="宋体" w:hint="default"/>
          <w:sz w:val="16"/>
          <w:szCs w:val="16"/>
        </w:rPr>
      </w:pPr>
    </w:p>
    <w:p>
      <w:pPr>
        <w:pStyle w:val="BodyText"/>
        <w:spacing w:line="403" w:lineRule="auto"/>
        <w:ind w:left="215" w:right="0" w:firstLine="423"/>
        <w:jc w:val="left"/>
      </w:pPr>
      <w:r>
        <w:rPr>
          <w:rFonts w:ascii="Times New Roman" w:hAnsi="Times New Roman" w:cs="Times New Roman" w:eastAsia="Times New Roman" w:hint="default"/>
        </w:rPr>
        <w:t>g</w:t>
      </w:r>
      <w:r>
        <w:rPr/>
        <w:t>、无法辨认一组金融资产中的某项资产的现金流量是否已经减少，但根据公开的数据对其进行总体</w:t>
      </w:r>
      <w:r>
        <w:rPr>
          <w:w w:val="99"/>
        </w:rPr>
        <w:t> </w:t>
      </w:r>
      <w:r>
        <w:rPr/>
        <w:t>评价后发现，该组金融资产自初始确认以来的预计未来现金流量确已减少且可计量；</w:t>
      </w:r>
    </w:p>
    <w:p>
      <w:pPr>
        <w:pStyle w:val="BodyText"/>
        <w:spacing w:line="412" w:lineRule="auto" w:before="81"/>
        <w:ind w:left="639" w:right="4302"/>
        <w:jc w:val="left"/>
      </w:pPr>
      <w:r>
        <w:rPr>
          <w:rFonts w:ascii="Times New Roman" w:hAnsi="Times New Roman" w:cs="Times New Roman" w:eastAsia="Times New Roman" w:hint="default"/>
        </w:rPr>
        <w:t>h</w:t>
      </w:r>
      <w:r>
        <w:rPr/>
        <w:t>、权益工具投资的公允价值发生严重或非暂时性下跌；</w:t>
      </w:r>
      <w:r>
        <w:rPr>
          <w:spacing w:val="-100"/>
        </w:rPr>
        <w:t> </w:t>
      </w:r>
      <w:r>
        <w:rPr>
          <w:spacing w:val="-100"/>
        </w:rPr>
      </w:r>
      <w:r>
        <w:rPr>
          <w:rFonts w:ascii="Times New Roman" w:hAnsi="Times New Roman" w:cs="Times New Roman" w:eastAsia="Times New Roman" w:hint="default"/>
        </w:rPr>
        <w:t>i</w:t>
      </w:r>
      <w:r>
        <w:rPr/>
        <w:t>、其他表明金融资产发生减值的客观证据。</w:t>
      </w:r>
    </w:p>
    <w:p>
      <w:pPr>
        <w:pStyle w:val="BodyText"/>
        <w:spacing w:line="412" w:lineRule="auto" w:before="43"/>
        <w:ind w:left="639" w:right="0"/>
        <w:jc w:val="left"/>
      </w:pPr>
      <w:r>
        <w:rPr/>
        <w:t>（</w:t>
      </w:r>
      <w:r>
        <w:rPr>
          <w:rFonts w:ascii="Times New Roman" w:hAnsi="Times New Roman" w:cs="Times New Roman" w:eastAsia="Times New Roman" w:hint="default"/>
        </w:rPr>
        <w:t>6</w:t>
      </w:r>
      <w:r>
        <w:rPr/>
        <w:t>）金融资产减值损失的计量</w:t>
      </w:r>
      <w:r>
        <w:rPr>
          <w:spacing w:val="-102"/>
        </w:rPr>
        <w:t> </w:t>
      </w:r>
      <w:r>
        <w:rPr>
          <w:spacing w:val="-102"/>
        </w:rPr>
      </w:r>
      <w:r>
        <w:rPr>
          <w:rFonts w:ascii="Times New Roman" w:hAnsi="Times New Roman" w:cs="Times New Roman" w:eastAsia="Times New Roman" w:hint="default"/>
        </w:rPr>
        <w:t>a</w:t>
      </w:r>
      <w:r>
        <w:rPr/>
        <w:t>、以公允价值计量且其变动计入当期损益的金融资产不需要进行减值测试；</w:t>
      </w:r>
      <w:r>
        <w:rPr>
          <w:spacing w:val="-98"/>
        </w:rPr>
        <w:t> </w:t>
      </w:r>
      <w:r>
        <w:rPr>
          <w:spacing w:val="-98"/>
        </w:rPr>
      </w:r>
      <w:r>
        <w:rPr>
          <w:rFonts w:ascii="Times New Roman" w:hAnsi="Times New Roman" w:cs="Times New Roman" w:eastAsia="Times New Roman" w:hint="default"/>
        </w:rPr>
        <w:t>b</w:t>
      </w:r>
      <w:r>
        <w:rPr/>
        <w:t>、持有至到期投资的减值损失的计量：按预计未来现金流现值低于期末账面价值的差额计提减值准</w:t>
      </w:r>
    </w:p>
    <w:p>
      <w:pPr>
        <w:pStyle w:val="BodyText"/>
        <w:spacing w:line="240" w:lineRule="auto" w:before="43"/>
        <w:ind w:left="215" w:right="0"/>
        <w:jc w:val="left"/>
      </w:pPr>
      <w:r>
        <w:rPr/>
        <w:t>备；</w:t>
      </w:r>
    </w:p>
    <w:p>
      <w:pPr>
        <w:spacing w:line="240" w:lineRule="auto" w:before="2"/>
        <w:rPr>
          <w:rFonts w:ascii="宋体" w:hAnsi="宋体" w:cs="宋体" w:eastAsia="宋体" w:hint="default"/>
          <w:sz w:val="17"/>
          <w:szCs w:val="17"/>
        </w:rPr>
      </w:pPr>
    </w:p>
    <w:p>
      <w:pPr>
        <w:pStyle w:val="BodyText"/>
        <w:spacing w:line="412" w:lineRule="auto"/>
        <w:ind w:left="215" w:right="0" w:firstLine="423"/>
        <w:jc w:val="left"/>
      </w:pPr>
      <w:r>
        <w:rPr>
          <w:rFonts w:ascii="Times New Roman" w:hAnsi="Times New Roman" w:cs="Times New Roman" w:eastAsia="Times New Roman" w:hint="default"/>
        </w:rPr>
        <w:t>c</w:t>
      </w:r>
      <w:r>
        <w:rPr/>
        <w:t>、若可供出售的金融资产公允价值出现持续下降，且其下降属于非暂时性的，则可认定该项金融资</w:t>
      </w:r>
      <w:r>
        <w:rPr>
          <w:w w:val="99"/>
        </w:rPr>
        <w:t> </w:t>
      </w:r>
      <w:r>
        <w:rPr/>
        <w:t>产发生了减值，原直接计入资本公积的累计损失予以转出计入当期损益。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60" w:lineRule="auto" w:before="0"/>
        <w:ind w:left="215" w:right="5251"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本公司应收款项主要包括应收账款、其他应收款。</w:t>
      </w:r>
    </w:p>
    <w:p>
      <w:pPr>
        <w:pStyle w:val="BodyText"/>
        <w:spacing w:line="240" w:lineRule="auto" w:before="100"/>
        <w:ind w:left="215" w:right="0"/>
        <w:jc w:val="left"/>
      </w:pPr>
      <w:r>
        <w:rPr/>
        <w:t>（</w:t>
      </w:r>
      <w:r>
        <w:rPr>
          <w:rFonts w:ascii="Times New Roman" w:hAnsi="Times New Roman" w:cs="Times New Roman" w:eastAsia="Times New Roman" w:hint="default"/>
        </w:rPr>
        <w:t>1</w:t>
      </w:r>
      <w:r>
        <w:rPr/>
        <w:t>）单项金额重大并单项计提坏账准备的应收款项：</w:t>
      </w:r>
    </w:p>
    <w:tbl>
      <w:tblPr>
        <w:tblW w:w="0" w:type="auto"/>
        <w:jc w:val="left"/>
        <w:tblInd w:w="102" w:type="dxa"/>
        <w:tblLayout w:type="fixed"/>
        <w:tblCellMar>
          <w:top w:w="0" w:type="dxa"/>
          <w:left w:w="0" w:type="dxa"/>
          <w:bottom w:w="0" w:type="dxa"/>
          <w:right w:w="0" w:type="dxa"/>
        </w:tblCellMar>
        <w:tblLook w:val="01E0"/>
      </w:tblPr>
      <w:tblGrid>
        <w:gridCol w:w="4514"/>
        <w:gridCol w:w="5365"/>
      </w:tblGrid>
      <w:tr>
        <w:trPr>
          <w:trHeight w:val="49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单项金额重大的金额标准</w:t>
            </w:r>
          </w:p>
        </w:tc>
        <w:tc>
          <w:tcPr>
            <w:tcW w:w="5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p>
        </w:tc>
      </w:tr>
      <w:tr>
        <w:trPr>
          <w:trHeight w:val="590" w:hRule="exact"/>
        </w:trPr>
        <w:tc>
          <w:tcPr>
            <w:tcW w:w="4514" w:type="dxa"/>
            <w:tcBorders>
              <w:top w:val="single" w:sz="4" w:space="0" w:color="000000"/>
              <w:left w:val="nil" w:sz="6" w:space="0" w:color="auto"/>
              <w:bottom w:val="nil" w:sz="6" w:space="0" w:color="auto"/>
              <w:right w:val="single" w:sz="4" w:space="0" w:color="000000"/>
            </w:tcBorders>
          </w:tcPr>
          <w:p>
            <w:pPr/>
          </w:p>
        </w:tc>
        <w:tc>
          <w:tcPr>
            <w:tcW w:w="5365" w:type="dxa"/>
            <w:tcBorders>
              <w:top w:val="single" w:sz="4" w:space="0" w:color="000000"/>
              <w:left w:val="single" w:sz="4" w:space="0" w:color="000000"/>
              <w:bottom w:val="nil" w:sz="6" w:space="0" w:color="auto"/>
              <w:right w:val="nil" w:sz="6" w:space="0" w:color="auto"/>
            </w:tcBorders>
          </w:tcPr>
          <w:p>
            <w:pPr>
              <w:pStyle w:val="TableParagraph"/>
              <w:spacing w:line="240" w:lineRule="auto" w:before="174"/>
              <w:ind w:left="105" w:right="0"/>
              <w:jc w:val="left"/>
              <w:rPr>
                <w:rFonts w:ascii="宋体" w:hAnsi="宋体" w:cs="宋体" w:eastAsia="宋体" w:hint="default"/>
                <w:sz w:val="21"/>
                <w:szCs w:val="21"/>
              </w:rPr>
            </w:pPr>
            <w:r>
              <w:rPr>
                <w:rFonts w:ascii="宋体" w:hAnsi="宋体" w:cs="宋体" w:eastAsia="宋体" w:hint="default"/>
                <w:spacing w:val="3"/>
                <w:sz w:val="21"/>
                <w:szCs w:val="21"/>
              </w:rPr>
              <w:t>若有客观证据表明某笔金额重大的应收款项未来现金流</w:t>
            </w:r>
          </w:p>
        </w:tc>
      </w:tr>
      <w:tr>
        <w:trPr>
          <w:trHeight w:val="480" w:hRule="exact"/>
        </w:trPr>
        <w:tc>
          <w:tcPr>
            <w:tcW w:w="4514" w:type="dxa"/>
            <w:tcBorders>
              <w:top w:val="nil" w:sz="6" w:space="0" w:color="auto"/>
              <w:left w:val="nil" w:sz="6" w:space="0" w:color="auto"/>
              <w:bottom w:val="nil" w:sz="6" w:space="0" w:color="auto"/>
              <w:right w:val="single" w:sz="4" w:space="0" w:color="000000"/>
            </w:tcBorders>
          </w:tcPr>
          <w:p>
            <w:pPr/>
          </w:p>
        </w:tc>
        <w:tc>
          <w:tcPr>
            <w:tcW w:w="5365"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pacing w:val="3"/>
                <w:sz w:val="21"/>
                <w:szCs w:val="21"/>
              </w:rPr>
              <w:t>量的现值低于其账面价值，则将其差额确认为减值损失</w:t>
            </w:r>
          </w:p>
        </w:tc>
      </w:tr>
      <w:tr>
        <w:trPr>
          <w:trHeight w:val="480" w:hRule="exact"/>
        </w:trPr>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08"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65"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pacing w:val="4"/>
                <w:sz w:val="21"/>
                <w:szCs w:val="21"/>
              </w:rPr>
              <w:t>并计提坏账准备。经单独测试未减值的应收款项，采用</w:t>
            </w:r>
          </w:p>
        </w:tc>
      </w:tr>
      <w:tr>
        <w:trPr>
          <w:trHeight w:val="480" w:hRule="exact"/>
        </w:trPr>
        <w:tc>
          <w:tcPr>
            <w:tcW w:w="4514" w:type="dxa"/>
            <w:tcBorders>
              <w:top w:val="nil" w:sz="6" w:space="0" w:color="auto"/>
              <w:left w:val="nil" w:sz="6" w:space="0" w:color="auto"/>
              <w:bottom w:val="nil" w:sz="6" w:space="0" w:color="auto"/>
              <w:right w:val="single" w:sz="4" w:space="0" w:color="000000"/>
            </w:tcBorders>
          </w:tcPr>
          <w:p>
            <w:pPr/>
          </w:p>
        </w:tc>
        <w:tc>
          <w:tcPr>
            <w:tcW w:w="5365"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pacing w:val="3"/>
                <w:sz w:val="21"/>
                <w:szCs w:val="21"/>
              </w:rPr>
              <w:t>账龄分析法，按应收款项的账龄和规定的提取比例确认</w:t>
            </w:r>
          </w:p>
        </w:tc>
      </w:tr>
      <w:tr>
        <w:trPr>
          <w:trHeight w:val="380" w:hRule="exact"/>
        </w:trPr>
        <w:tc>
          <w:tcPr>
            <w:tcW w:w="4514" w:type="dxa"/>
            <w:tcBorders>
              <w:top w:val="nil" w:sz="6" w:space="0" w:color="auto"/>
              <w:left w:val="nil" w:sz="6" w:space="0" w:color="auto"/>
              <w:bottom w:val="single" w:sz="4" w:space="0" w:color="000000"/>
              <w:right w:val="single" w:sz="4" w:space="0" w:color="000000"/>
            </w:tcBorders>
          </w:tcPr>
          <w:p>
            <w:pPr/>
          </w:p>
        </w:tc>
        <w:tc>
          <w:tcPr>
            <w:tcW w:w="5365" w:type="dxa"/>
            <w:tcBorders>
              <w:top w:val="nil" w:sz="6" w:space="0" w:color="auto"/>
              <w:left w:val="single" w:sz="4" w:space="0" w:color="000000"/>
              <w:bottom w:val="single" w:sz="4" w:space="0" w:color="000000"/>
              <w:right w:val="nil" w:sz="6" w:space="0" w:color="auto"/>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z w:val="21"/>
                <w:szCs w:val="21"/>
              </w:rPr>
              <w:t>减值损失。</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2</w:t>
      </w:r>
      <w:r>
        <w:rPr/>
        <w:t>）按组合计提坏账准备应收款项：</w:t>
      </w:r>
    </w:p>
    <w:p>
      <w:pPr>
        <w:pStyle w:val="BodyText"/>
        <w:spacing w:line="240" w:lineRule="auto" w:before="189"/>
        <w:ind w:left="639" w:right="0"/>
        <w:jc w:val="left"/>
      </w:pPr>
      <w:r>
        <w:rPr/>
        <w:t>①未逾期款项：按合同约定尚未到期的应收款项，采用应收帐款期末余额</w:t>
      </w:r>
      <w:r>
        <w:rPr>
          <w:spacing w:val="-44"/>
        </w:rPr>
        <w:t> </w:t>
      </w:r>
      <w:r>
        <w:rPr>
          <w:rFonts w:ascii="Times New Roman" w:hAnsi="Times New Roman" w:cs="Times New Roman" w:eastAsia="Times New Roman" w:hint="default"/>
        </w:rPr>
        <w:t>0.5%</w:t>
      </w:r>
      <w:r>
        <w:rPr/>
        <w:t>的比例确认减值损失。</w:t>
      </w:r>
    </w:p>
    <w:p>
      <w:pPr>
        <w:pStyle w:val="BodyText"/>
        <w:spacing w:line="420" w:lineRule="auto" w:before="189"/>
        <w:ind w:left="215" w:right="208" w:firstLine="423"/>
        <w:jc w:val="left"/>
      </w:pPr>
      <w:r>
        <w:rPr/>
        <w:t>②已逾期款项：按合同约定已到期但尚未归还的应收款项及无固定还款期的应收款项，按账龄情况进</w:t>
      </w:r>
      <w:r>
        <w:rPr>
          <w:w w:val="99"/>
        </w:rPr>
        <w:t> </w:t>
      </w:r>
      <w:r>
        <w:rPr/>
        <w:t>行分类。采用账龄分析法，按应收款项的账龄和规定的提取比例确认减值损失。</w:t>
      </w:r>
    </w:p>
    <w:p>
      <w:pPr>
        <w:spacing w:after="0" w:line="420" w:lineRule="auto"/>
        <w:jc w:val="left"/>
        <w:sectPr>
          <w:pgSz w:w="11910" w:h="16840"/>
          <w:pgMar w:header="0" w:footer="865" w:top="1280" w:bottom="1060" w:left="920" w:right="880"/>
        </w:sectPr>
      </w:pPr>
    </w:p>
    <w:p>
      <w:pPr>
        <w:pStyle w:val="BodyText"/>
        <w:spacing w:line="240" w:lineRule="auto" w:before="9"/>
        <w:ind w:left="215" w:right="0"/>
        <w:jc w:val="left"/>
      </w:pPr>
      <w:bookmarkStart w:name="11、存货" w:id="66"/>
      <w:bookmarkEnd w:id="66"/>
      <w:r>
        <w:rPr/>
      </w:r>
      <w:r>
        <w:rPr/>
        <w:t>采用账龄分析法计提坏账准备的计提比例：</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1"/>
        <w:gridCol w:w="3294"/>
        <w:gridCol w:w="3294"/>
      </w:tblGrid>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92"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r>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15%</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r>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w:t>
            </w:r>
          </w:p>
        </w:tc>
      </w:tr>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r>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80%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r>
      <w:tr>
        <w:trPr>
          <w:trHeight w:val="49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5" w:right="0"/>
        <w:jc w:val="left"/>
      </w:pPr>
      <w:r>
        <w:rPr/>
        <w:t>（</w:t>
      </w:r>
      <w:r>
        <w:rPr>
          <w:rFonts w:ascii="Times New Roman" w:hAnsi="Times New Roman" w:cs="Times New Roman" w:eastAsia="Times New Roman" w:hint="default"/>
        </w:rPr>
        <w:t>3</w:t>
      </w:r>
      <w:r>
        <w:rPr/>
        <w:t>）单项金额虽不重大但单项计提坏账准备的应收账款：</w:t>
      </w:r>
    </w:p>
    <w:tbl>
      <w:tblPr>
        <w:tblW w:w="0" w:type="auto"/>
        <w:jc w:val="left"/>
        <w:tblInd w:w="102" w:type="dxa"/>
        <w:tblLayout w:type="fixed"/>
        <w:tblCellMar>
          <w:top w:w="0" w:type="dxa"/>
          <w:left w:w="0" w:type="dxa"/>
          <w:bottom w:w="0" w:type="dxa"/>
          <w:right w:w="0" w:type="dxa"/>
        </w:tblCellMar>
        <w:tblLook w:val="01E0"/>
      </w:tblPr>
      <w:tblGrid>
        <w:gridCol w:w="2995"/>
        <w:gridCol w:w="6775"/>
      </w:tblGrid>
      <w:tr>
        <w:trPr>
          <w:trHeight w:val="1049" w:hRule="exact"/>
        </w:trPr>
        <w:tc>
          <w:tcPr>
            <w:tcW w:w="2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75" w:type="dxa"/>
            <w:tcBorders>
              <w:top w:val="single" w:sz="4" w:space="0" w:color="000000"/>
              <w:left w:val="single" w:sz="4" w:space="0" w:color="000000"/>
              <w:bottom w:val="single" w:sz="4" w:space="0" w:color="000000"/>
              <w:right w:val="nil" w:sz="6" w:space="0" w:color="auto"/>
            </w:tcBorders>
          </w:tcPr>
          <w:p>
            <w:pPr>
              <w:pStyle w:val="TableParagraph"/>
              <w:spacing w:line="520" w:lineRule="exact" w:before="42"/>
              <w:ind w:left="103" w:right="103"/>
              <w:jc w:val="left"/>
              <w:rPr>
                <w:rFonts w:ascii="宋体" w:hAnsi="宋体" w:cs="宋体" w:eastAsia="宋体" w:hint="default"/>
                <w:sz w:val="21"/>
                <w:szCs w:val="21"/>
              </w:rPr>
            </w:pPr>
            <w:r>
              <w:rPr>
                <w:rFonts w:ascii="宋体" w:hAnsi="宋体" w:cs="宋体" w:eastAsia="宋体" w:hint="default"/>
                <w:sz w:val="21"/>
                <w:szCs w:val="21"/>
              </w:rPr>
              <w:t>单项金额不重大但风险较大的应收款项，单独进行测试，并计提个别坏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账准备。</w:t>
            </w:r>
          </w:p>
        </w:tc>
      </w:tr>
      <w:tr>
        <w:trPr>
          <w:trHeight w:val="1572" w:hRule="exact"/>
        </w:trPr>
        <w:tc>
          <w:tcPr>
            <w:tcW w:w="2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453" w:lineRule="auto"/>
              <w:ind w:left="103" w:right="103"/>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确认减值损失，计提坏账准备，经单独测试未减值的应收款项，采用账</w:t>
            </w:r>
          </w:p>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龄分析法，按应收款项的账龄和规定的提取比例确认减值损失。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spacing w:line="333" w:lineRule="exact"/>
        <w:ind w:left="221" w:right="0"/>
        <w:jc w:val="left"/>
        <w:rPr>
          <w:b w:val="0"/>
          <w:bCs w:val="0"/>
        </w:rPr>
      </w:pPr>
      <w:r>
        <w:rPr>
          <w:rFonts w:ascii="Times New Roman" w:hAnsi="Times New Roman" w:cs="Times New Roman" w:eastAsia="Times New Roman" w:hint="default"/>
          <w:spacing w:val="-3"/>
        </w:rPr>
        <w:t>11</w:t>
      </w:r>
      <w:r>
        <w:rPr>
          <w:spacing w:val="-3"/>
        </w:rPr>
        <w:t>、存货</w:t>
      </w:r>
      <w:r>
        <w:rPr>
          <w:b w:val="0"/>
          <w:bCs w:val="0"/>
          <w:spacing w:val="-3"/>
        </w:rPr>
      </w:r>
    </w:p>
    <w:p>
      <w:pPr>
        <w:spacing w:line="240" w:lineRule="auto" w:before="13"/>
        <w:rPr>
          <w:rFonts w:ascii="Microsoft JhengHei" w:hAnsi="Microsoft JhengHei" w:cs="Microsoft JhengHei" w:eastAsia="Microsoft JhengHei" w:hint="default"/>
          <w:b/>
          <w:bCs/>
          <w:sz w:val="12"/>
          <w:szCs w:val="12"/>
        </w:rPr>
      </w:pPr>
    </w:p>
    <w:p>
      <w:pPr>
        <w:pStyle w:val="BodyText"/>
        <w:spacing w:line="429" w:lineRule="auto"/>
        <w:ind w:left="639" w:right="3357" w:hanging="424"/>
        <w:jc w:val="left"/>
      </w:pPr>
      <w:r>
        <w:rPr/>
        <w:t>（</w:t>
      </w:r>
      <w:r>
        <w:rPr>
          <w:rFonts w:ascii="Times New Roman" w:hAnsi="Times New Roman" w:cs="Times New Roman" w:eastAsia="Times New Roman" w:hint="default"/>
        </w:rPr>
        <w:t>1</w:t>
      </w:r>
      <w:r>
        <w:rPr/>
        <w:t>）存货的分类</w:t>
      </w:r>
      <w:r>
        <w:rPr>
          <w:spacing w:val="-102"/>
        </w:rPr>
        <w:t> </w:t>
      </w:r>
      <w:r>
        <w:rPr>
          <w:spacing w:val="-102"/>
        </w:rPr>
      </w:r>
      <w:r>
        <w:rPr/>
        <w:t>存货分为原材料、在产品、产成品及库存商品、在建开发成本等。</w:t>
      </w:r>
    </w:p>
    <w:p>
      <w:pPr>
        <w:pStyle w:val="BodyText"/>
        <w:spacing w:line="427" w:lineRule="auto" w:before="80"/>
        <w:ind w:left="639" w:right="3147" w:hanging="424"/>
        <w:jc w:val="left"/>
      </w:pPr>
      <w:r>
        <w:rPr/>
        <w:t>（</w:t>
      </w:r>
      <w:r>
        <w:rPr>
          <w:rFonts w:ascii="Times New Roman" w:hAnsi="Times New Roman" w:cs="Times New Roman" w:eastAsia="Times New Roman" w:hint="default"/>
        </w:rPr>
        <w:t>2</w:t>
      </w:r>
      <w:r>
        <w:rPr/>
        <w:t>）发出存货的计价方法</w:t>
      </w:r>
      <w:r>
        <w:rPr>
          <w:spacing w:val="-100"/>
        </w:rPr>
        <w:t> </w:t>
      </w:r>
      <w:r>
        <w:rPr>
          <w:spacing w:val="-100"/>
        </w:rPr>
      </w:r>
      <w:r>
        <w:rPr/>
        <w:t>各类存货的购入与入库按实际成本计价，发出采用加权平均法计价。</w:t>
      </w:r>
    </w:p>
    <w:p>
      <w:pPr>
        <w:pStyle w:val="BodyText"/>
        <w:spacing w:line="429" w:lineRule="auto" w:before="82"/>
        <w:ind w:left="639" w:right="207" w:hanging="424"/>
        <w:jc w:val="left"/>
      </w:pPr>
      <w:r>
        <w:rPr/>
        <w:t>（</w:t>
      </w:r>
      <w:r>
        <w:rPr>
          <w:rFonts w:ascii="Times New Roman" w:hAnsi="Times New Roman" w:cs="Times New Roman" w:eastAsia="Times New Roman" w:hint="default"/>
        </w:rPr>
        <w:t>3</w:t>
      </w:r>
      <w:r>
        <w:rPr/>
        <w:t>）存货可变现净值的确定依据及存货跌价准备的计提方法</w:t>
      </w:r>
      <w:r>
        <w:rPr>
          <w:spacing w:val="-97"/>
        </w:rPr>
        <w:t> </w:t>
      </w:r>
      <w:r>
        <w:rPr>
          <w:spacing w:val="-97"/>
        </w:rPr>
      </w:r>
      <w:r>
        <w:rPr/>
        <w:t>存货可变现净值系根据本公司在正常经营过程中，以估计售价减去估计完工成本及销售所必须的估计</w:t>
      </w:r>
    </w:p>
    <w:p>
      <w:pPr>
        <w:pStyle w:val="BodyText"/>
        <w:spacing w:line="456" w:lineRule="auto" w:before="77"/>
        <w:ind w:left="639" w:right="207" w:hanging="424"/>
        <w:jc w:val="left"/>
      </w:pPr>
      <w:r>
        <w:rPr/>
        <w:t>费用后的价值。</w:t>
      </w:r>
      <w:r>
        <w:rPr>
          <w:w w:val="99"/>
        </w:rPr>
        <w:t> </w:t>
      </w:r>
      <w:r>
        <w:rPr/>
        <w:t>存货跌价准备的计提方法：本公司于每年中期期末及年度终了在对存货进行全面盘点的基础上，对遭</w:t>
      </w:r>
    </w:p>
    <w:p>
      <w:pPr>
        <w:pStyle w:val="BodyText"/>
        <w:spacing w:line="453" w:lineRule="auto" w:before="57"/>
        <w:ind w:left="215" w:right="204"/>
        <w:jc w:val="both"/>
      </w:pPr>
      <w:r>
        <w:rPr/>
        <w:t>受损失，全部或部分陈旧过时或销售价格低于成本的存货，根据存货成本与可变现净值孰低计量，按单个</w:t>
      </w:r>
      <w:r>
        <w:rPr>
          <w:w w:val="99"/>
        </w:rPr>
        <w:t> </w:t>
      </w:r>
      <w:r>
        <w:rPr/>
        <w:t>存货项目对同类存货项目的可变现净值低于存货成本的差额计提存货跌价准备，并计入当期损益。确定可</w:t>
      </w:r>
      <w:r>
        <w:rPr>
          <w:w w:val="99"/>
        </w:rPr>
        <w:t> </w:t>
      </w:r>
      <w:r>
        <w:rPr/>
        <w:t>变现净值时，除考虑持有目的和资产负债表日该存货的价格与成本波动外，还需要考虑未来事项的影响。</w:t>
      </w:r>
    </w:p>
    <w:p>
      <w:pPr>
        <w:spacing w:after="0" w:line="453" w:lineRule="auto"/>
        <w:jc w:val="both"/>
        <w:sectPr>
          <w:footerReference w:type="default" r:id="rId35"/>
          <w:pgSz w:w="11910" w:h="16840"/>
          <w:pgMar w:footer="865" w:header="0" w:top="1280" w:bottom="1060" w:left="920" w:right="880"/>
          <w:pgNumType w:start="67"/>
        </w:sectPr>
      </w:pPr>
    </w:p>
    <w:p>
      <w:pPr>
        <w:pStyle w:val="BodyText"/>
        <w:spacing w:line="403" w:lineRule="auto" w:before="8"/>
        <w:ind w:left="539" w:right="6177" w:hanging="424"/>
        <w:jc w:val="left"/>
      </w:pPr>
      <w:bookmarkStart w:name="12、长期股权投资" w:id="67"/>
      <w:bookmarkEnd w:id="67"/>
      <w:r>
        <w:rPr/>
      </w:r>
      <w:r>
        <w:rPr/>
        <w:t>（</w:t>
      </w:r>
      <w:r>
        <w:rPr>
          <w:rFonts w:ascii="Times New Roman" w:hAnsi="Times New Roman" w:cs="Times New Roman" w:eastAsia="Times New Roman" w:hint="default"/>
        </w:rPr>
        <w:t>4</w:t>
      </w:r>
      <w:r>
        <w:rPr/>
        <w:t>）存货的盘存制度</w:t>
      </w:r>
      <w:r>
        <w:rPr>
          <w:spacing w:val="-101"/>
        </w:rPr>
        <w:t> </w:t>
      </w:r>
      <w:r>
        <w:rPr>
          <w:spacing w:val="-101"/>
        </w:rPr>
      </w:r>
      <w:r>
        <w:rPr/>
        <w:t>存货的盘存制度采用永续盘存制。</w:t>
      </w:r>
    </w:p>
    <w:p>
      <w:pPr>
        <w:pStyle w:val="BodyText"/>
        <w:spacing w:line="403" w:lineRule="auto" w:before="74"/>
        <w:ind w:left="539" w:right="88" w:hanging="424"/>
        <w:jc w:val="left"/>
      </w:pPr>
      <w:r>
        <w:rPr/>
        <w:t>（</w:t>
      </w:r>
      <w:r>
        <w:rPr>
          <w:rFonts w:ascii="Times New Roman" w:hAnsi="Times New Roman" w:cs="Times New Roman" w:eastAsia="Times New Roman" w:hint="default"/>
        </w:rPr>
        <w:t>5</w:t>
      </w:r>
      <w:r>
        <w:rPr/>
        <w:t>）低值易耗品和包装物的摊销方法</w:t>
      </w:r>
      <w:r>
        <w:rPr>
          <w:spacing w:val="-100"/>
        </w:rPr>
        <w:t> </w:t>
      </w:r>
      <w:r>
        <w:rPr>
          <w:spacing w:val="-100"/>
        </w:rPr>
      </w:r>
      <w:r>
        <w:rPr/>
        <w:t>低值易耗品于其领用时采用一次性摊销法摊销。包装物于其领用时采用一次性摊销法摊销。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5"/>
        <w:spacing w:line="240" w:lineRule="auto"/>
        <w:ind w:right="88"/>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240" w:lineRule="auto" w:before="191"/>
        <w:ind w:right="88"/>
        <w:jc w:val="left"/>
      </w:pPr>
      <w:r>
        <w:rPr/>
        <w:t>（</w:t>
      </w:r>
      <w:r>
        <w:rPr>
          <w:rFonts w:ascii="Times New Roman" w:hAnsi="Times New Roman" w:cs="Times New Roman" w:eastAsia="Times New Roman" w:hint="default"/>
        </w:rPr>
        <w:t>1</w:t>
      </w:r>
      <w:r>
        <w:rPr/>
        <w:t>）投资成本确定</w:t>
      </w:r>
    </w:p>
    <w:p>
      <w:pPr>
        <w:spacing w:line="240" w:lineRule="auto" w:before="5"/>
        <w:rPr>
          <w:rFonts w:ascii="宋体" w:hAnsi="宋体" w:cs="宋体" w:eastAsia="宋体" w:hint="default"/>
          <w:sz w:val="15"/>
          <w:szCs w:val="15"/>
        </w:rPr>
      </w:pPr>
    </w:p>
    <w:p>
      <w:pPr>
        <w:pStyle w:val="BodyText"/>
        <w:spacing w:line="403" w:lineRule="auto"/>
        <w:ind w:left="539" w:right="88"/>
        <w:jc w:val="left"/>
      </w:pPr>
      <w:r>
        <w:rPr>
          <w:rFonts w:ascii="Times New Roman" w:hAnsi="Times New Roman" w:cs="Times New Roman" w:eastAsia="Times New Roman" w:hint="default"/>
        </w:rPr>
        <w:t>A</w:t>
      </w:r>
      <w:r>
        <w:rPr/>
        <w:t>、企业合并形成的长期股权投资，按照下列规定确定其投资成本：</w:t>
      </w:r>
      <w:r>
        <w:rPr>
          <w:spacing w:val="-100"/>
        </w:rPr>
        <w:t> </w:t>
      </w:r>
      <w:r>
        <w:rPr>
          <w:spacing w:val="-100"/>
        </w:rPr>
      </w:r>
      <w:r>
        <w:rPr>
          <w:rFonts w:ascii="Times New Roman" w:hAnsi="Times New Roman" w:cs="Times New Roman" w:eastAsia="Times New Roman" w:hint="default"/>
        </w:rPr>
        <w:t>a</w:t>
      </w:r>
      <w:r>
        <w:rPr/>
        <w:t>、同一控制下的企业合并，合并方以支付现金、转让非现金资产或承担债务方式作为合并对价的，</w:t>
      </w:r>
    </w:p>
    <w:p>
      <w:pPr>
        <w:pStyle w:val="BodyText"/>
        <w:spacing w:line="427" w:lineRule="auto" w:before="40"/>
        <w:ind w:right="105"/>
        <w:jc w:val="both"/>
      </w:pPr>
      <w:r>
        <w:rPr/>
        <w:t>在合并日按照取得被合并方所有者权益账面价值的份额作为长期股权投资的投资成本。长期股权投资投资</w:t>
      </w:r>
      <w:r>
        <w:rPr>
          <w:w w:val="99"/>
        </w:rPr>
        <w:t> </w:t>
      </w:r>
      <w:r>
        <w:rPr/>
        <w:t>成本与支付的现金、转让的非现金资产以及所承担债务账面价值之间的差额，调整资本公积；资本公积不</w:t>
      </w:r>
      <w:r>
        <w:rPr>
          <w:w w:val="99"/>
        </w:rPr>
        <w:t> </w:t>
      </w:r>
      <w:r>
        <w:rPr/>
        <w:t>足冲减的，调整留存收益。</w:t>
      </w:r>
    </w:p>
    <w:p>
      <w:pPr>
        <w:pStyle w:val="BodyText"/>
        <w:spacing w:line="429" w:lineRule="auto" w:before="51"/>
        <w:ind w:right="105" w:firstLine="423"/>
        <w:jc w:val="both"/>
      </w:pPr>
      <w:r>
        <w:rPr/>
        <w:t>合并方以发行权益性证券作为合并对价的，在合并日按照取得被合并方所有者权益账面价值的份额作</w:t>
      </w:r>
      <w:r>
        <w:rPr>
          <w:w w:val="99"/>
        </w:rPr>
        <w:t> </w:t>
      </w:r>
      <w:r>
        <w:rPr/>
        <w:t>为长期股权投资的投资成本。按照发行股份的面值总额作为股本，长期股权投资投资成本与所发行股份面</w:t>
      </w:r>
      <w:r>
        <w:rPr>
          <w:w w:val="99"/>
        </w:rPr>
        <w:t> </w:t>
      </w:r>
      <w:r>
        <w:rPr/>
        <w:t>值总额之间的差额，调整资本公积；资本公积不足冲减的，调整留存收益。</w:t>
      </w:r>
    </w:p>
    <w:p>
      <w:pPr>
        <w:pStyle w:val="BodyText"/>
        <w:spacing w:line="240" w:lineRule="auto" w:before="49"/>
        <w:ind w:left="539" w:right="88"/>
        <w:jc w:val="left"/>
      </w:pPr>
      <w:r>
        <w:rPr>
          <w:rFonts w:ascii="Times New Roman" w:hAnsi="Times New Roman" w:cs="Times New Roman" w:eastAsia="Times New Roman" w:hint="default"/>
        </w:rPr>
        <w:t>b</w:t>
      </w:r>
      <w:r>
        <w:rPr/>
        <w:t>、非同一控制下的企业合并，按照下列规定确定的合并成本作为长期股权投资的投资成本：</w:t>
      </w:r>
    </w:p>
    <w:p>
      <w:pPr>
        <w:spacing w:line="240" w:lineRule="auto" w:before="3"/>
        <w:rPr>
          <w:rFonts w:ascii="宋体" w:hAnsi="宋体" w:cs="宋体" w:eastAsia="宋体" w:hint="default"/>
          <w:sz w:val="15"/>
          <w:szCs w:val="15"/>
        </w:rPr>
      </w:pPr>
    </w:p>
    <w:p>
      <w:pPr>
        <w:pStyle w:val="BodyText"/>
        <w:spacing w:line="403" w:lineRule="auto"/>
        <w:ind w:right="105" w:firstLine="42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一次交换交易实现的企业合并，合并成本为购买方在购买日为取得对被购买方的控制权而付出的资</w:t>
      </w:r>
      <w:r>
        <w:rPr>
          <w:w w:val="99"/>
        </w:rPr>
        <w:t> </w:t>
      </w:r>
      <w:r>
        <w:rPr/>
        <w:t>产、发生或承担的负债以及发行的权益性证券的公允价值。</w:t>
      </w:r>
    </w:p>
    <w:p>
      <w:pPr>
        <w:pStyle w:val="BodyText"/>
        <w:spacing w:line="240" w:lineRule="auto" w:before="72"/>
        <w:ind w:left="539" w:right="8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通过多次交换交易分步实现的企业合并，合并成本为每一单项交易成本之和。</w:t>
      </w:r>
    </w:p>
    <w:p>
      <w:pPr>
        <w:spacing w:line="240" w:lineRule="auto" w:before="5"/>
        <w:rPr>
          <w:rFonts w:ascii="宋体" w:hAnsi="宋体" w:cs="宋体" w:eastAsia="宋体" w:hint="default"/>
          <w:sz w:val="15"/>
          <w:szCs w:val="15"/>
        </w:rPr>
      </w:pPr>
    </w:p>
    <w:p>
      <w:pPr>
        <w:pStyle w:val="BodyText"/>
        <w:spacing w:line="240" w:lineRule="auto"/>
        <w:ind w:left="539" w:right="88"/>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t>购买方为进行企业合并发生的各项直接相关费用也应当计入企业合并成本。</w:t>
      </w:r>
    </w:p>
    <w:p>
      <w:pPr>
        <w:spacing w:line="240" w:lineRule="auto" w:before="3"/>
        <w:rPr>
          <w:rFonts w:ascii="宋体" w:hAnsi="宋体" w:cs="宋体" w:eastAsia="宋体" w:hint="default"/>
          <w:sz w:val="15"/>
          <w:szCs w:val="15"/>
        </w:rPr>
      </w:pPr>
    </w:p>
    <w:p>
      <w:pPr>
        <w:pStyle w:val="BodyText"/>
        <w:spacing w:line="403" w:lineRule="auto"/>
        <w:ind w:right="105" w:firstLine="423"/>
        <w:jc w:val="both"/>
      </w:pPr>
      <w:r>
        <w:rPr>
          <w:rFonts w:ascii="Times New Roman" w:hAnsi="Times New Roman" w:cs="Times New Roman" w:eastAsia="Times New Roman" w:hint="default"/>
          <w:w w:val="99"/>
        </w:rPr>
        <w:t>4/</w:t>
      </w:r>
      <w:r>
        <w:rPr>
          <w:rFonts w:ascii="Times New Roman" w:hAnsi="Times New Roman" w:cs="Times New Roman" w:eastAsia="Times New Roman" w:hint="default"/>
          <w:spacing w:val="3"/>
          <w:w w:val="99"/>
        </w:rPr>
        <w:t> </w:t>
      </w:r>
      <w:r>
        <w:rPr>
          <w:spacing w:val="-1"/>
          <w:w w:val="99"/>
        </w:rPr>
        <w:t>在合并合同或协议中对可能影响合并成本的未来事项作出约定的，购买日如果估计未来事项很可能</w:t>
      </w:r>
      <w:r>
        <w:rPr>
          <w:w w:val="99"/>
        </w:rPr>
        <w:t> </w:t>
      </w:r>
      <w:r>
        <w:rPr/>
        <w:t>发生并且对合并成本的影响金额能够可靠计量的，购买方应当将其计入合并成本。</w:t>
      </w:r>
    </w:p>
    <w:p>
      <w:pPr>
        <w:pStyle w:val="BodyText"/>
        <w:spacing w:line="403" w:lineRule="auto" w:before="72"/>
        <w:ind w:right="103" w:firstLine="423"/>
        <w:jc w:val="both"/>
      </w:pPr>
      <w:r>
        <w:rPr>
          <w:rFonts w:ascii="Times New Roman" w:hAnsi="Times New Roman" w:cs="Times New Roman" w:eastAsia="Times New Roman" w:hint="default"/>
        </w:rPr>
        <w:t>B</w:t>
      </w:r>
      <w:r>
        <w:rPr/>
        <w:t>、除企业合并形成的长期股权投资以外，其它方式取得的长期股权投资，按照下列规定确定其投资</w:t>
      </w:r>
      <w:r>
        <w:rPr>
          <w:w w:val="99"/>
        </w:rPr>
        <w:t> </w:t>
      </w:r>
      <w:r>
        <w:rPr/>
        <w:t>成本：</w:t>
      </w:r>
    </w:p>
    <w:p>
      <w:pPr>
        <w:pStyle w:val="BodyText"/>
        <w:spacing w:line="405" w:lineRule="auto" w:before="72"/>
        <w:ind w:right="149" w:firstLine="423"/>
        <w:jc w:val="both"/>
      </w:pPr>
      <w:r>
        <w:rPr>
          <w:rFonts w:ascii="Times New Roman" w:hAnsi="Times New Roman" w:cs="Times New Roman" w:eastAsia="Times New Roman" w:hint="default"/>
        </w:rPr>
        <w:t>a</w:t>
      </w:r>
      <w:r>
        <w:rPr/>
        <w:t>、以支付现金取得的长期股权投资，按照实际支付的购买价款作为投资成本。投资成本包括与取得</w:t>
      </w:r>
      <w:r>
        <w:rPr>
          <w:w w:val="99"/>
        </w:rPr>
        <w:t> </w:t>
      </w:r>
      <w:r>
        <w:rPr/>
        <w:t>长期股权投资直接相关的费用、税金及其它必要支出。</w:t>
      </w:r>
    </w:p>
    <w:p>
      <w:pPr>
        <w:pStyle w:val="BodyText"/>
        <w:spacing w:line="403" w:lineRule="auto" w:before="70"/>
        <w:ind w:left="539" w:right="88"/>
        <w:jc w:val="left"/>
      </w:pPr>
      <w:r>
        <w:rPr>
          <w:rFonts w:ascii="Times New Roman" w:hAnsi="Times New Roman" w:cs="Times New Roman" w:eastAsia="Times New Roman" w:hint="default"/>
        </w:rPr>
        <w:t>b</w:t>
      </w:r>
      <w:r>
        <w:rPr/>
        <w:t>、以发行权益性证券取得的长期股权投资，按照发行权益性证券的公允价值作为投资成本。</w:t>
      </w:r>
      <w:r>
        <w:rPr>
          <w:spacing w:val="-95"/>
        </w:rPr>
        <w:t> </w:t>
      </w:r>
      <w:r>
        <w:rPr>
          <w:spacing w:val="-95"/>
        </w:rPr>
      </w:r>
      <w:r>
        <w:rPr>
          <w:rFonts w:ascii="Times New Roman" w:hAnsi="Times New Roman" w:cs="Times New Roman" w:eastAsia="Times New Roman" w:hint="default"/>
        </w:rPr>
        <w:t>c</w:t>
      </w:r>
      <w:r>
        <w:rPr/>
        <w:t>、投资者投入的长期股权投资，按照投资合同或协议约定的价值作为投资成本，但合同或协议约定</w:t>
      </w:r>
    </w:p>
    <w:p>
      <w:pPr>
        <w:pStyle w:val="BodyText"/>
        <w:spacing w:line="240" w:lineRule="auto" w:before="40"/>
        <w:ind w:right="88"/>
        <w:jc w:val="left"/>
      </w:pPr>
      <w:r>
        <w:rPr/>
        <w:t>价值不公允的除外。</w:t>
      </w:r>
    </w:p>
    <w:p>
      <w:pPr>
        <w:spacing w:after="0" w:line="240" w:lineRule="auto"/>
        <w:jc w:val="left"/>
        <w:sectPr>
          <w:footerReference w:type="default" r:id="rId36"/>
          <w:pgSz w:w="11910" w:h="16840"/>
          <w:pgMar w:footer="865" w:header="0" w:top="1320" w:bottom="1060" w:left="1020" w:right="1000"/>
          <w:pgNumType w:start="68"/>
        </w:sectPr>
      </w:pPr>
    </w:p>
    <w:p>
      <w:pPr>
        <w:pStyle w:val="BodyText"/>
        <w:spacing w:line="415" w:lineRule="auto" w:before="19"/>
        <w:ind w:right="125" w:firstLine="423"/>
        <w:jc w:val="both"/>
      </w:pPr>
      <w:r>
        <w:rPr>
          <w:rFonts w:ascii="Times New Roman" w:hAnsi="Times New Roman" w:cs="Times New Roman" w:eastAsia="Times New Roman" w:hint="default"/>
        </w:rPr>
        <w:t>d</w:t>
      </w:r>
      <w:r>
        <w:rPr/>
        <w:t>、通过非货币性资产交换取得的长期股权投资，如非货币性资产交换具有商业实质，换入的长期股</w:t>
      </w:r>
      <w:r>
        <w:rPr>
          <w:w w:val="99"/>
        </w:rPr>
        <w:t> </w:t>
      </w:r>
      <w:r>
        <w:rPr/>
        <w:t>权投资按照公允价值和应支付的相关税费作为投资成本；如非货币资产交易不具有商业实质，换入的长期</w:t>
      </w:r>
      <w:r>
        <w:rPr>
          <w:w w:val="99"/>
        </w:rPr>
        <w:t> </w:t>
      </w:r>
      <w:r>
        <w:rPr/>
        <w:t>股权投资以换出资产的账面价值和应支付的相关税费作为投资成本。</w:t>
      </w:r>
    </w:p>
    <w:p>
      <w:pPr>
        <w:pStyle w:val="BodyText"/>
        <w:spacing w:line="240" w:lineRule="auto" w:before="61"/>
        <w:ind w:left="539" w:right="108"/>
        <w:jc w:val="left"/>
      </w:pPr>
      <w:r>
        <w:rPr>
          <w:rFonts w:ascii="Times New Roman" w:hAnsi="Times New Roman" w:cs="Times New Roman" w:eastAsia="Times New Roman" w:hint="default"/>
        </w:rPr>
        <w:t>e</w:t>
      </w:r>
      <w:r>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412" w:lineRule="auto"/>
        <w:ind w:left="539" w:right="108" w:hanging="424"/>
        <w:jc w:val="left"/>
      </w:pPr>
      <w:r>
        <w:rPr/>
        <w:t>（</w:t>
      </w:r>
      <w:r>
        <w:rPr>
          <w:rFonts w:ascii="Times New Roman" w:hAnsi="Times New Roman" w:cs="Times New Roman" w:eastAsia="Times New Roman" w:hint="default"/>
        </w:rPr>
        <w:t>2</w:t>
      </w:r>
      <w:r>
        <w:rPr/>
        <w:t>）后续计量及损益确认方法</w:t>
      </w:r>
      <w:r>
        <w:rPr>
          <w:spacing w:val="-100"/>
        </w:rPr>
        <w:t> </w:t>
      </w:r>
      <w:r>
        <w:rPr>
          <w:spacing w:val="-100"/>
        </w:rPr>
      </w:r>
      <w:r>
        <w:rPr>
          <w:spacing w:val="3"/>
        </w:rPr>
        <w:t>本公司能够对被投资单位实施控制的长期股权投资或本公司对被投资单位不具有共同控制或重大影</w:t>
      </w:r>
    </w:p>
    <w:p>
      <w:pPr>
        <w:pStyle w:val="BodyText"/>
        <w:spacing w:line="436" w:lineRule="auto" w:before="75"/>
        <w:ind w:right="111"/>
        <w:jc w:val="left"/>
      </w:pPr>
      <w:r>
        <w:rPr/>
        <w:t>响，并且在活跃市场中没有报价、公允价值不能可靠计量的长期股权投资采用成本法核算；本公司对被投</w:t>
      </w:r>
      <w:r>
        <w:rPr>
          <w:w w:val="99"/>
        </w:rPr>
        <w:t> </w:t>
      </w:r>
      <w:r>
        <w:rPr/>
        <w:t>资单位具有共同控制或重大影响的长期股权投资采用权益法核算。</w:t>
      </w:r>
    </w:p>
    <w:p>
      <w:pPr>
        <w:pStyle w:val="BodyText"/>
        <w:spacing w:line="424" w:lineRule="auto" w:before="52"/>
        <w:ind w:right="124" w:firstLine="423"/>
        <w:jc w:val="both"/>
      </w:pPr>
      <w:r>
        <w:rPr>
          <w:rFonts w:ascii="Times New Roman" w:hAnsi="Times New Roman" w:cs="Times New Roman" w:eastAsia="Times New Roman" w:hint="default"/>
          <w:spacing w:val="-1"/>
          <w:w w:val="98"/>
        </w:rPr>
        <w:t>A</w:t>
      </w:r>
      <w:r>
        <w:rPr>
          <w:spacing w:val="-1"/>
          <w:w w:val="98"/>
        </w:rPr>
        <w:t>、采用成本法核算的长期股权投资按照投资成本计价。追加或收回投资时调整长期股权投资的成本。</w:t>
      </w:r>
      <w:r>
        <w:rPr>
          <w:w w:val="49"/>
        </w:rPr>
        <w:t> </w:t>
      </w:r>
      <w:r>
        <w:rPr/>
        <w:t>被投资单位宣告分派的现金股利或利润，除取得投资时实际支付的价款或对价中包含的已宣告但尚未发放</w:t>
      </w:r>
      <w:r>
        <w:rPr>
          <w:w w:val="99"/>
        </w:rPr>
        <w:t> </w:t>
      </w:r>
      <w:r>
        <w:rPr/>
        <w:t>的现金股利或利润外，本公司按照享有被投资单位宣告发放的现金股利或利润确认当期投资收益。</w:t>
      </w:r>
    </w:p>
    <w:p>
      <w:pPr>
        <w:pStyle w:val="BodyText"/>
        <w:spacing w:line="424" w:lineRule="auto" w:before="62"/>
        <w:ind w:right="125" w:firstLine="423"/>
        <w:jc w:val="both"/>
      </w:pPr>
      <w:r>
        <w:rPr>
          <w:rFonts w:ascii="Times New Roman" w:hAnsi="Times New Roman" w:cs="Times New Roman" w:eastAsia="Times New Roman" w:hint="default"/>
        </w:rPr>
        <w:t>B</w:t>
      </w:r>
      <w:r>
        <w:rPr/>
        <w:t>、采用权益法核算的，长期股权投资的投资成本大于投资时应享有被投资单位可辨认净资产公允价</w:t>
      </w:r>
      <w:r>
        <w:rPr>
          <w:w w:val="99"/>
        </w:rPr>
        <w:t> </w:t>
      </w:r>
      <w:r>
        <w:rPr/>
        <w:t>值份额的，不调整长期股权投资的投资成本；长期股权投资的投资成本本小于投资时应享有被投资单位可</w:t>
      </w:r>
      <w:r>
        <w:rPr>
          <w:w w:val="99"/>
        </w:rPr>
        <w:t> </w:t>
      </w:r>
      <w:r>
        <w:rPr/>
        <w:t>辨认净资产公允价值份额的，其差额应当计入当期损益，同时调整长期股权投资的成本。</w:t>
      </w:r>
    </w:p>
    <w:p>
      <w:pPr>
        <w:pStyle w:val="BodyText"/>
        <w:spacing w:line="436" w:lineRule="auto" w:before="62"/>
        <w:ind w:right="125" w:firstLine="483"/>
        <w:jc w:val="both"/>
      </w:pPr>
      <w:r>
        <w:rPr>
          <w:spacing w:val="-1"/>
          <w:w w:val="95"/>
        </w:rPr>
        <w:t>公司取得长期股权投资后，按照应享有或应分担的被投资单位实现的净损益的份额，确认投资损益并</w:t>
      </w:r>
      <w:r>
        <w:rPr>
          <w:w w:val="99"/>
        </w:rPr>
        <w:t> </w:t>
      </w:r>
      <w:r>
        <w:rPr/>
        <w:t>调整长期股权投资的账面价值；按照被投资单位宣告分派的利润或现金股利计算应分得的部分，相应减少</w:t>
      </w:r>
      <w:r>
        <w:rPr>
          <w:w w:val="99"/>
        </w:rPr>
        <w:t> </w:t>
      </w:r>
      <w:r>
        <w:rPr/>
        <w:t>长期股权投资的账面价值。公司确认被投资单位发生的净亏损，以长期股权投资的账面价值以及其他实质</w:t>
      </w:r>
      <w:r>
        <w:rPr>
          <w:w w:val="99"/>
        </w:rPr>
        <w:t> </w:t>
      </w:r>
      <w:r>
        <w:rPr/>
        <w:t>上构成对被投资单位净投资的长期权益减记至零为限，公司负有承担额外损失义务的除外。被投资单位以</w:t>
      </w:r>
      <w:r>
        <w:rPr>
          <w:w w:val="99"/>
        </w:rPr>
        <w:t> </w:t>
      </w:r>
      <w:r>
        <w:rPr/>
        <w:t>后实现净利润的，投资企业在其收益分享额弥补未确认的亏损分担额后，恢复确认收益分享额。</w:t>
      </w:r>
    </w:p>
    <w:p>
      <w:pPr>
        <w:pStyle w:val="BodyText"/>
        <w:spacing w:line="436" w:lineRule="auto" w:before="52"/>
        <w:ind w:right="104" w:firstLine="423"/>
        <w:jc w:val="both"/>
      </w:pPr>
      <w:r>
        <w:rPr/>
        <w:t>在确认应享有被投资单位净损益的份额时，以取得投资时被投资单位各项可辨认资产等的公允价值为</w:t>
      </w:r>
      <w:r>
        <w:rPr>
          <w:w w:val="99"/>
        </w:rPr>
        <w:t> </w:t>
      </w:r>
      <w:r>
        <w:rPr/>
        <w:t>基础，对被投资单位的净利润进行调整后确认。被投资单位采用的会计政策及会计期间与投资企业不一致</w:t>
      </w:r>
      <w:r>
        <w:rPr>
          <w:w w:val="99"/>
        </w:rPr>
        <w:t> </w:t>
      </w:r>
      <w:r>
        <w:rPr/>
        <w:t>的，应当按照投资企业的会计政策及会计期间对被投资单位的财务报表进行调整，并据以确认投资损益。</w:t>
      </w:r>
    </w:p>
    <w:p>
      <w:pPr>
        <w:pStyle w:val="BodyText"/>
        <w:spacing w:line="240" w:lineRule="auto" w:before="52"/>
        <w:ind w:left="539" w:right="108"/>
        <w:jc w:val="left"/>
      </w:pPr>
      <w:r>
        <w:rPr>
          <w:rFonts w:ascii="Times New Roman" w:hAnsi="Times New Roman" w:cs="Times New Roman" w:eastAsia="Times New Roman"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412" w:lineRule="auto"/>
        <w:ind w:left="539" w:right="108" w:hanging="424"/>
        <w:jc w:val="left"/>
      </w:pPr>
      <w:r>
        <w:rPr/>
        <w:t>（</w:t>
      </w:r>
      <w:r>
        <w:rPr>
          <w:rFonts w:ascii="Times New Roman" w:hAnsi="Times New Roman" w:cs="Times New Roman" w:eastAsia="Times New Roman" w:hint="default"/>
        </w:rPr>
        <w:t>3</w:t>
      </w:r>
      <w:r>
        <w:rPr/>
        <w:t>）确定对被投资单位具有共同控制、重大影响的依据</w:t>
      </w:r>
      <w:r>
        <w:rPr>
          <w:spacing w:val="-97"/>
        </w:rPr>
        <w:t> </w:t>
      </w:r>
      <w:r>
        <w:rPr>
          <w:spacing w:val="-97"/>
        </w:rPr>
      </w:r>
      <w:r>
        <w:rPr>
          <w:w w:val="95"/>
        </w:rPr>
        <w:t>共同控制，是指按照合同约定对某项经济活动所共有的控制，仅在与该项经济活动相关的重要财务和</w:t>
      </w:r>
      <w:r>
        <w:rPr/>
      </w:r>
    </w:p>
    <w:p>
      <w:pPr>
        <w:pStyle w:val="BodyText"/>
        <w:spacing w:line="439" w:lineRule="auto" w:before="73"/>
        <w:ind w:right="111"/>
        <w:jc w:val="left"/>
      </w:pPr>
      <w:r>
        <w:rPr/>
        <w:t>经营决策需要分享控制权的投资方一致同意时存在。重大影响，是指对一个企业的财务和经营政策有参与</w:t>
      </w:r>
      <w:r>
        <w:rPr>
          <w:w w:val="99"/>
        </w:rPr>
        <w:t> </w:t>
      </w:r>
      <w:r>
        <w:rPr/>
        <w:t>决策的权力，但并不能够控制或者与其他方一起共同控制这些政策的制定。</w:t>
      </w:r>
    </w:p>
    <w:p>
      <w:pPr>
        <w:spacing w:after="0" w:line="439" w:lineRule="auto"/>
        <w:jc w:val="left"/>
        <w:sectPr>
          <w:pgSz w:w="11910" w:h="16840"/>
          <w:pgMar w:header="0" w:footer="865" w:top="1280" w:bottom="1060" w:left="1020" w:right="980"/>
        </w:sectPr>
      </w:pPr>
    </w:p>
    <w:p>
      <w:pPr>
        <w:pStyle w:val="BodyText"/>
        <w:spacing w:line="381" w:lineRule="auto" w:before="8"/>
        <w:ind w:left="639" w:right="207" w:hanging="424"/>
        <w:jc w:val="left"/>
      </w:pPr>
      <w:bookmarkStart w:name="13、投资性房地产" w:id="68"/>
      <w:bookmarkEnd w:id="68"/>
      <w:r>
        <w:rPr/>
      </w:r>
      <w:bookmarkStart w:name="14、固定资产" w:id="69"/>
      <w:bookmarkEnd w:id="69"/>
      <w:r>
        <w:rPr/>
      </w:r>
      <w:r>
        <w:rPr/>
        <w:t>（</w:t>
      </w:r>
      <w:r>
        <w:rPr>
          <w:rFonts w:ascii="Times New Roman" w:hAnsi="Times New Roman" w:cs="Times New Roman" w:eastAsia="Times New Roman" w:hint="default"/>
        </w:rPr>
        <w:t>4</w:t>
      </w:r>
      <w:r>
        <w:rPr/>
        <w:t>）减值测试方法及减值准备计提方法</w:t>
      </w:r>
      <w:r>
        <w:rPr>
          <w:spacing w:val="-98"/>
        </w:rPr>
        <w:t> </w:t>
      </w:r>
      <w:r>
        <w:rPr>
          <w:spacing w:val="-98"/>
        </w:rPr>
      </w:r>
      <w:r>
        <w:rPr/>
        <w:t>资产负债表日对长期股权投资逐项进行检查，判断长期股权投资是否存在可能发生减值的迹象。如果</w:t>
      </w:r>
    </w:p>
    <w:p>
      <w:pPr>
        <w:pStyle w:val="BodyText"/>
        <w:spacing w:line="400" w:lineRule="auto" w:before="62"/>
        <w:ind w:left="215" w:right="223"/>
        <w:jc w:val="both"/>
      </w:pPr>
      <w:r>
        <w:rPr/>
        <w:t>存在被投资单位经营状况恶化等减值迹象的，则估计其可收回金额。可收回金额的计量结果表明，长期股</w:t>
      </w:r>
      <w:r>
        <w:rPr>
          <w:w w:val="99"/>
        </w:rPr>
        <w:t> </w:t>
      </w:r>
      <w:r>
        <w:rPr/>
        <w:t>权投资的可收回金额低于其账面价值的，将长期股权投资的账面价值减记至可收回金额，减记的金额确认</w:t>
      </w:r>
      <w:r>
        <w:rPr>
          <w:w w:val="99"/>
        </w:rPr>
        <w:t> </w:t>
      </w:r>
      <w:r>
        <w:rPr/>
        <w:t>为资产减值损失，计入当期损益，同时计提相应的长期投资减值准备。长期投资减值损失一经确认，在以</w:t>
      </w:r>
      <w:r>
        <w:rPr>
          <w:w w:val="99"/>
        </w:rPr>
        <w:t> </w:t>
      </w:r>
      <w:r>
        <w:rPr/>
        <w:t>后会计期间不再转回。</w:t>
      </w:r>
    </w:p>
    <w:p>
      <w:pPr>
        <w:spacing w:line="240" w:lineRule="auto" w:before="0"/>
        <w:rPr>
          <w:rFonts w:ascii="宋体" w:hAnsi="宋体" w:cs="宋体" w:eastAsia="宋体" w:hint="default"/>
          <w:sz w:val="20"/>
          <w:szCs w:val="20"/>
        </w:rPr>
      </w:pPr>
    </w:p>
    <w:p>
      <w:pPr>
        <w:spacing w:line="345" w:lineRule="auto" w:before="175"/>
        <w:ind w:left="639" w:right="1887"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投资性房地产是指为赚取租金或资本增值，或两者兼有而持有的房地产开发物业。</w:t>
      </w:r>
    </w:p>
    <w:p>
      <w:pPr>
        <w:pStyle w:val="BodyText"/>
        <w:spacing w:line="403" w:lineRule="auto" w:before="91"/>
        <w:ind w:left="215" w:right="225" w:firstLine="423"/>
        <w:jc w:val="both"/>
      </w:pPr>
      <w:r>
        <w:rPr/>
        <w:t>投资性房地产按照取得时的成本进行初始计量，在资产负债表日采用成本模式对投资性房地产进行后</w:t>
      </w:r>
      <w:r>
        <w:rPr>
          <w:w w:val="99"/>
        </w:rPr>
        <w:t> </w:t>
      </w:r>
      <w:r>
        <w:rPr/>
        <w:t>续计量。投资性房地产在预计可使用年限之内分期摊销。</w:t>
      </w:r>
    </w:p>
    <w:p>
      <w:pPr>
        <w:pStyle w:val="BodyText"/>
        <w:spacing w:line="400" w:lineRule="auto" w:before="43"/>
        <w:ind w:left="215" w:right="223" w:firstLine="423"/>
        <w:jc w:val="both"/>
      </w:pPr>
      <w:r>
        <w:rPr/>
        <w:t>资产负债表日判断投资性房地产是否存在可能发生减值的迹象。存在减值迹象的，应当估计其可收回</w:t>
      </w:r>
      <w:r>
        <w:rPr>
          <w:w w:val="99"/>
        </w:rPr>
        <w:t> </w:t>
      </w:r>
      <w:r>
        <w:rPr/>
        <w:t>金额。可收回金额的计量结果表明，投资性房地产的可收回金额低于其账面价值的，应当将投资性房地产</w:t>
      </w:r>
      <w:r>
        <w:rPr>
          <w:w w:val="99"/>
        </w:rPr>
        <w:t> </w:t>
      </w:r>
      <w:r>
        <w:rPr/>
        <w:t>的账面价值减记至可收回金额，减记的金额确认为资产减值损失，计入当期损益，同时计提相应的资产减</w:t>
      </w:r>
      <w:r>
        <w:rPr>
          <w:w w:val="99"/>
        </w:rPr>
        <w:t> </w:t>
      </w:r>
      <w:r>
        <w:rPr/>
        <w:t>值准备。</w:t>
      </w:r>
    </w:p>
    <w:p>
      <w:pPr>
        <w:spacing w:line="240" w:lineRule="auto" w:before="0"/>
        <w:rPr>
          <w:rFonts w:ascii="宋体" w:hAnsi="宋体" w:cs="宋体" w:eastAsia="宋体" w:hint="default"/>
          <w:sz w:val="20"/>
          <w:szCs w:val="20"/>
        </w:rPr>
      </w:pPr>
    </w:p>
    <w:p>
      <w:pPr>
        <w:pStyle w:val="Heading5"/>
        <w:spacing w:line="240" w:lineRule="auto" w:before="175"/>
        <w:ind w:left="221" w:right="0"/>
        <w:jc w:val="left"/>
        <w:rPr>
          <w:b w:val="0"/>
          <w:bCs w:val="0"/>
        </w:rPr>
      </w:pPr>
      <w:r>
        <w:rPr>
          <w:rFonts w:ascii="Times New Roman" w:hAnsi="Times New Roman" w:cs="Times New Roman" w:eastAsia="Times New Roman" w:hint="default"/>
        </w:rPr>
        <w:t>14</w:t>
      </w:r>
      <w:r>
        <w:rPr/>
        <w:t>、固定资产</w:t>
      </w:r>
      <w:r>
        <w:rPr>
          <w:b w:val="0"/>
          <w:bCs w:val="0"/>
        </w:rPr>
      </w:r>
    </w:p>
    <w:p>
      <w:pPr>
        <w:pStyle w:val="BodyText"/>
        <w:spacing w:line="379" w:lineRule="auto" w:before="162"/>
        <w:ind w:left="639" w:right="0" w:hanging="424"/>
        <w:jc w:val="left"/>
      </w:pPr>
      <w:r>
        <w:rPr/>
        <w:t>（</w:t>
      </w:r>
      <w:r>
        <w:rPr>
          <w:rFonts w:ascii="Times New Roman" w:hAnsi="Times New Roman" w:cs="Times New Roman" w:eastAsia="Times New Roman" w:hint="default"/>
        </w:rPr>
        <w:t>1</w:t>
      </w:r>
      <w:r>
        <w:rPr/>
        <w:t>）固定资产确认</w:t>
      </w:r>
      <w:r>
        <w:rPr>
          <w:spacing w:val="-102"/>
        </w:rPr>
        <w:t> </w:t>
      </w:r>
      <w:r>
        <w:rPr>
          <w:spacing w:val="-102"/>
        </w:rPr>
      </w:r>
      <w:r>
        <w:rPr>
          <w:spacing w:val="-2"/>
          <w:w w:val="95"/>
        </w:rPr>
        <w:t>固定资产为生产商品、提供劳务、出租或经营管理而持有的、使用寿命超过一个会计年度的有形资产。</w:t>
      </w:r>
      <w:r>
        <w:rPr>
          <w:spacing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79" w:lineRule="auto"/>
        <w:ind w:left="215" w:right="204"/>
        <w:jc w:val="both"/>
      </w:pPr>
      <w:r>
        <w:rPr/>
        <w:pict>
          <v:shape style="position:absolute;margin-left:51.128101pt;margin-top:38.303669pt;width:494.45pt;height:211.9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9"/>
                    <w:gridCol w:w="2466"/>
                    <w:gridCol w:w="2471"/>
                    <w:gridCol w:w="2469"/>
                  </w:tblGrid>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一、房屋及建筑物</w:t>
                        </w:r>
                      </w:p>
                    </w:tc>
                    <w:tc>
                      <w:tcPr>
                        <w:tcW w:w="2466" w:type="dxa"/>
                        <w:tcBorders>
                          <w:top w:val="single" w:sz="4" w:space="0" w:color="000000"/>
                          <w:left w:val="single" w:sz="4" w:space="0" w:color="000000"/>
                          <w:bottom w:val="single" w:sz="4" w:space="0" w:color="000000"/>
                          <w:right w:val="single" w:sz="4" w:space="0" w:color="000000"/>
                        </w:tcBorders>
                      </w:tcPr>
                      <w:p>
                        <w:pPr/>
                      </w:p>
                    </w:tc>
                    <w:tc>
                      <w:tcPr>
                        <w:tcW w:w="2471" w:type="dxa"/>
                        <w:tcBorders>
                          <w:top w:val="single" w:sz="4" w:space="0" w:color="000000"/>
                          <w:left w:val="single" w:sz="4" w:space="0" w:color="000000"/>
                          <w:bottom w:val="single" w:sz="4" w:space="0" w:color="000000"/>
                          <w:right w:val="single" w:sz="4" w:space="0" w:color="000000"/>
                        </w:tcBorders>
                      </w:tcPr>
                      <w:p>
                        <w:pPr/>
                      </w:p>
                    </w:tc>
                    <w:tc>
                      <w:tcPr>
                        <w:tcW w:w="2469"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31"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3.23%</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531" w:right="0"/>
                          <w:jc w:val="left"/>
                          <w:rPr>
                            <w:rFonts w:ascii="宋体" w:hAnsi="宋体" w:cs="宋体" w:eastAsia="宋体" w:hint="default"/>
                            <w:sz w:val="21"/>
                            <w:szCs w:val="21"/>
                          </w:rPr>
                        </w:pPr>
                        <w:r>
                          <w:rPr>
                            <w:rFonts w:ascii="宋体" w:hAnsi="宋体" w:cs="宋体" w:eastAsia="宋体" w:hint="default"/>
                            <w:sz w:val="21"/>
                            <w:szCs w:val="21"/>
                          </w:rPr>
                          <w:t>非生产用房</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2.77%</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531" w:right="0"/>
                          <w:jc w:val="left"/>
                          <w:rPr>
                            <w:rFonts w:ascii="宋体" w:hAnsi="宋体" w:cs="宋体" w:eastAsia="宋体" w:hint="default"/>
                            <w:sz w:val="21"/>
                            <w:szCs w:val="21"/>
                          </w:rPr>
                        </w:pPr>
                        <w:r>
                          <w:rPr>
                            <w:rFonts w:ascii="宋体" w:hAnsi="宋体" w:cs="宋体" w:eastAsia="宋体" w:hint="default"/>
                            <w:sz w:val="21"/>
                            <w:szCs w:val="21"/>
                          </w:rPr>
                          <w:t>简易房</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19.2%</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31" w:right="0"/>
                          <w:jc w:val="left"/>
                          <w:rPr>
                            <w:rFonts w:ascii="宋体" w:hAnsi="宋体" w:cs="宋体" w:eastAsia="宋体" w:hint="default"/>
                            <w:sz w:val="21"/>
                            <w:szCs w:val="21"/>
                          </w:rPr>
                        </w:pPr>
                        <w:r>
                          <w:rPr>
                            <w:rFonts w:ascii="宋体" w:hAnsi="宋体" w:cs="宋体" w:eastAsia="宋体" w:hint="default"/>
                            <w:sz w:val="21"/>
                            <w:szCs w:val="21"/>
                          </w:rPr>
                          <w:t>其他建筑物</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9.6%</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二、机器设备</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w:t>
                        </w:r>
                        <w:r>
                          <w:rPr>
                            <w:rFonts w:ascii="Times New Roman" w:hAnsi="Times New Roman" w:cs="Times New Roman" w:eastAsia="Times New Roman" w:hint="default"/>
                            <w:sz w:val="21"/>
                            <w:szCs w:val="21"/>
                          </w:rPr>
                          <w:t>9.7%</w:t>
                        </w:r>
                      </w:p>
                    </w:tc>
                  </w:tr>
                  <w:tr>
                    <w:trPr>
                      <w:trHeight w:val="470"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三、运输设备</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16.17%</w:t>
                        </w:r>
                      </w:p>
                    </w:tc>
                  </w:tr>
                  <w:tr>
                    <w:trPr>
                      <w:trHeight w:val="46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四、电子及其他设备</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w:t>
                        </w:r>
                      </w:p>
                    </w:tc>
                    <w:tc>
                      <w:tcPr>
                        <w:tcW w:w="2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19.4%</w:t>
                        </w:r>
                      </w:p>
                    </w:tc>
                  </w:tr>
                </w:tbl>
                <w:p>
                  <w:pPr/>
                </w:p>
              </w:txbxContent>
            </v:textbox>
            <w10:wrap type="none"/>
          </v:shape>
        </w:pict>
      </w:r>
      <w:r>
        <w:rPr/>
        <w:t>（</w:t>
      </w:r>
      <w:r>
        <w:rPr>
          <w:rFonts w:ascii="Times New Roman" w:hAnsi="Times New Roman" w:cs="Times New Roman" w:eastAsia="Times New Roman" w:hint="default"/>
        </w:rPr>
        <w:t>2</w:t>
      </w:r>
      <w:r>
        <w:rPr/>
        <w:t>）各类固定资产的折旧方法</w:t>
      </w:r>
      <w:r>
        <w:rPr>
          <w:spacing w:val="-100"/>
        </w:rPr>
        <w:t> </w:t>
      </w:r>
      <w:r>
        <w:rPr>
          <w:spacing w:val="-100"/>
        </w:rPr>
      </w:r>
      <w:r>
        <w:rPr/>
        <w:t>固定资产采用直线法计提折旧，按固定资产的类别、估计经济使用年限和估计残值确定分类折旧率如下：</w:t>
      </w:r>
    </w:p>
    <w:p>
      <w:pPr>
        <w:spacing w:after="0" w:line="379" w:lineRule="auto"/>
        <w:jc w:val="both"/>
        <w:sectPr>
          <w:footerReference w:type="default" r:id="rId37"/>
          <w:pgSz w:w="11910" w:h="16840"/>
          <w:pgMar w:footer="865" w:header="0" w:top="1260" w:bottom="1060" w:left="920" w:right="880"/>
          <w:pgNumType w:start="70"/>
        </w:sectPr>
      </w:pPr>
    </w:p>
    <w:p>
      <w:pPr>
        <w:pStyle w:val="BodyText"/>
        <w:spacing w:line="412" w:lineRule="auto" w:before="8"/>
        <w:ind w:left="539" w:right="122" w:hanging="424"/>
        <w:jc w:val="left"/>
      </w:pPr>
      <w:bookmarkStart w:name="15、在建工程" w:id="70"/>
      <w:bookmarkEnd w:id="70"/>
      <w:r>
        <w:rPr/>
      </w:r>
      <w:bookmarkStart w:name="16、借款费用" w:id="71"/>
      <w:bookmarkEnd w:id="71"/>
      <w:r>
        <w:rPr/>
      </w:r>
      <w:r>
        <w:rPr/>
        <w:t>（</w:t>
      </w:r>
      <w:r>
        <w:rPr>
          <w:rFonts w:ascii="Times New Roman" w:hAnsi="Times New Roman" w:cs="Times New Roman" w:eastAsia="Times New Roman" w:hint="default"/>
        </w:rPr>
        <w:t>3</w:t>
      </w:r>
      <w:r>
        <w:rPr/>
        <w:t>）固定资产的减值</w:t>
      </w:r>
      <w:r>
        <w:rPr>
          <w:spacing w:val="-101"/>
        </w:rPr>
        <w:t> </w:t>
      </w:r>
      <w:r>
        <w:rPr>
          <w:spacing w:val="-101"/>
        </w:rPr>
      </w:r>
      <w:r>
        <w:rPr>
          <w:spacing w:val="-2"/>
          <w:w w:val="98"/>
        </w:rPr>
        <w:t>资产负债表日判断固定资产是否存在可能发生减值的迹象。如果存在资产市价持续下跌，或技术陈旧、</w:t>
      </w:r>
      <w:r>
        <w:rPr>
          <w:spacing w:val="-2"/>
        </w:rPr>
      </w:r>
    </w:p>
    <w:p>
      <w:pPr>
        <w:pStyle w:val="BodyText"/>
        <w:spacing w:line="436" w:lineRule="auto" w:before="75"/>
        <w:ind w:right="104"/>
        <w:jc w:val="both"/>
      </w:pPr>
      <w:r>
        <w:rPr/>
        <w:t>损坏、长期闲置等减值迹象的，则估计其可收回金额。可收回金额的计量结果表明，固定资产的可收回金</w:t>
      </w:r>
      <w:r>
        <w:rPr>
          <w:w w:val="99"/>
        </w:rPr>
        <w:t> </w:t>
      </w:r>
      <w:r>
        <w:rPr/>
        <w:t>额低于其账面价值的，将固定资产的账面价值减记至可收回金额，减记的金额确认为资产减值损失，计入</w:t>
      </w:r>
      <w:r>
        <w:rPr>
          <w:w w:val="99"/>
        </w:rPr>
        <w:t> </w:t>
      </w:r>
      <w:r>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4</w:t>
      </w:r>
      <w:r>
        <w:rPr/>
        <w:t>）其他说明</w:t>
      </w:r>
    </w:p>
    <w:p>
      <w:pPr>
        <w:spacing w:line="240" w:lineRule="auto" w:before="12"/>
        <w:rPr>
          <w:rFonts w:ascii="宋体" w:hAnsi="宋体" w:cs="宋体" w:eastAsia="宋体" w:hint="default"/>
          <w:sz w:val="15"/>
          <w:szCs w:val="15"/>
        </w:rPr>
      </w:pPr>
    </w:p>
    <w:p>
      <w:pPr>
        <w:pStyle w:val="BodyText"/>
        <w:spacing w:line="439" w:lineRule="auto"/>
        <w:ind w:right="123" w:firstLine="423"/>
        <w:jc w:val="both"/>
      </w:pPr>
      <w:r>
        <w:rPr/>
        <w:t>无法为本公司产生收益或暂时未使用（季节性停用除外）的固定资产，作为闲置固定资产。闲置固定</w:t>
      </w:r>
      <w:r>
        <w:rPr>
          <w:w w:val="99"/>
        </w:rPr>
        <w:t> </w:t>
      </w:r>
      <w:r>
        <w:rPr/>
        <w:t>资产需重新估计预计使用寿命和折旧率，折旧直接计入当期损益。</w:t>
      </w:r>
    </w:p>
    <w:p>
      <w:pPr>
        <w:pStyle w:val="BodyText"/>
        <w:spacing w:line="240" w:lineRule="auto" w:before="50"/>
        <w:ind w:left="539" w:right="108"/>
        <w:jc w:val="left"/>
      </w:pPr>
      <w:r>
        <w:rPr/>
        <w:t>本公司至少于每年年度终了，对固定资产使用寿命和折旧进行复核，必要时进行调整。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25" w:firstLine="423"/>
        <w:jc w:val="both"/>
      </w:pPr>
      <w:r>
        <w:rPr/>
        <w:t>在建工程包括施工前期准备、正在施工中的建筑工程、安装工程、技术改造工程和大修理工程等。在</w:t>
      </w:r>
      <w:r>
        <w:rPr>
          <w:w w:val="99"/>
        </w:rPr>
        <w:t> </w:t>
      </w:r>
      <w:r>
        <w:rPr/>
        <w:t>建工程按照实际发生的支出分项目核算，并在工程达到预定可使用状态时结转为固定资产。与在建工程有</w:t>
      </w:r>
      <w:r>
        <w:rPr>
          <w:w w:val="99"/>
        </w:rPr>
        <w:t> </w:t>
      </w:r>
      <w:r>
        <w:rPr>
          <w:spacing w:val="1"/>
          <w:w w:val="99"/>
        </w:rPr>
        <w:t>关的借款费用（包括借款利息、溢折价摊销、汇兑损益等</w:t>
      </w:r>
      <w:r>
        <w:rPr>
          <w:spacing w:val="-73"/>
          <w:w w:val="99"/>
        </w:rPr>
        <w:t> </w:t>
      </w:r>
      <w:r>
        <w:rPr>
          <w:spacing w:val="-4"/>
          <w:w w:val="99"/>
        </w:rPr>
        <w:t>），在相关工程达到预定可使用状态前的计入工</w:t>
      </w:r>
      <w:r>
        <w:rPr>
          <w:spacing w:val="-77"/>
          <w:w w:val="99"/>
        </w:rPr>
        <w:t> </w:t>
      </w:r>
      <w:r>
        <w:rPr>
          <w:spacing w:val="-77"/>
          <w:w w:val="99"/>
        </w:rPr>
      </w:r>
      <w:r>
        <w:rPr/>
        <w:t>程成本，在相关工程达到预定可使用状态后的计入当期财务费用。</w:t>
      </w:r>
    </w:p>
    <w:p>
      <w:pPr>
        <w:pStyle w:val="BodyText"/>
        <w:spacing w:line="427" w:lineRule="auto" w:before="52"/>
        <w:ind w:right="123" w:firstLine="423"/>
        <w:jc w:val="both"/>
      </w:pPr>
      <w:r>
        <w:rPr>
          <w:spacing w:val="-5"/>
          <w:w w:val="98"/>
        </w:rPr>
        <w:t>资产负债表日对在建工程进行全面检查，判断在建工程是否存在可能发生减值的迹象。如果存在：（</w:t>
      </w:r>
      <w:r>
        <w:rPr>
          <w:rFonts w:ascii="Times New Roman" w:hAnsi="Times New Roman" w:cs="Times New Roman" w:eastAsia="Times New Roman" w:hint="default"/>
          <w:spacing w:val="-5"/>
          <w:w w:val="98"/>
        </w:rPr>
        <w:t>1</w:t>
      </w:r>
      <w:r>
        <w:rPr>
          <w:spacing w:val="-5"/>
          <w:w w:val="98"/>
        </w:rPr>
        <w:t>）</w:t>
      </w:r>
      <w:r>
        <w:rPr>
          <w:w w:val="49"/>
        </w:rPr>
        <w:t> </w:t>
      </w:r>
      <w:r>
        <w:rPr>
          <w:w w:val="99"/>
        </w:rPr>
        <w:t>在建工程长期停建并且预计在未来</w:t>
      </w:r>
      <w:r>
        <w:rPr>
          <w:spacing w:val="-32"/>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8"/>
          <w:w w:val="99"/>
        </w:rPr>
        <w:t> </w:t>
      </w:r>
      <w:r>
        <w:rPr>
          <w:spacing w:val="-4"/>
          <w:w w:val="99"/>
        </w:rPr>
        <w:t>年内不会重新开工，（</w:t>
      </w:r>
      <w:r>
        <w:rPr>
          <w:rFonts w:ascii="Times New Roman" w:hAnsi="Times New Roman" w:cs="Times New Roman" w:eastAsia="Times New Roman" w:hint="default"/>
          <w:spacing w:val="-4"/>
          <w:w w:val="99"/>
        </w:rPr>
        <w:t>2</w:t>
      </w:r>
      <w:r>
        <w:rPr>
          <w:spacing w:val="-4"/>
          <w:w w:val="99"/>
        </w:rPr>
        <w:t>）所建项目在性能上、技术上已经落后并且所</w:t>
      </w:r>
      <w:r>
        <w:rPr>
          <w:spacing w:val="-99"/>
          <w:w w:val="99"/>
        </w:rPr>
        <w:t> </w:t>
      </w:r>
      <w:r>
        <w:rPr>
          <w:spacing w:val="-99"/>
          <w:w w:val="99"/>
        </w:rPr>
      </w:r>
      <w:r>
        <w:rPr/>
        <w:t>带来的经济效益具有很大的不确定性等减值迹象的，则估计其可收回金额。可收回金额的计量结果表明，</w:t>
      </w:r>
      <w:r>
        <w:rPr>
          <w:w w:val="88"/>
        </w:rPr>
        <w:t> </w:t>
      </w:r>
      <w:r>
        <w:rPr/>
        <w:t>在建工程的可收回金额低于其账面价值的，将在建工程的账面价值减记至可收回金额，减记的金额确认为</w:t>
      </w:r>
      <w:r>
        <w:rPr>
          <w:w w:val="99"/>
        </w:rPr>
        <w:t> </w:t>
      </w:r>
      <w:r>
        <w:rPr/>
        <w:t>资产减值损失，计入当期损益，同时计提相应的在建工程减值准备。在建工程减值损失一经确认，在以后</w:t>
      </w:r>
      <w:r>
        <w:rPr>
          <w:w w:val="99"/>
        </w:rPr>
        <w:t> </w:t>
      </w:r>
      <w:r>
        <w:rPr/>
        <w:t>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27" w:firstLine="423"/>
        <w:jc w:val="both"/>
      </w:pPr>
      <w:r>
        <w:rPr>
          <w:w w:val="95"/>
        </w:rPr>
        <w:t>借款费用可直接归属于符合资本化条件的资产的购建或者生产的，予以资本化，计入相关资产成本；</w:t>
      </w:r>
      <w:r>
        <w:rPr>
          <w:spacing w:val="-73"/>
          <w:w w:val="95"/>
        </w:rPr>
        <w:t> </w:t>
      </w:r>
      <w:r>
        <w:rPr>
          <w:spacing w:val="-73"/>
          <w:w w:val="95"/>
        </w:rPr>
      </w:r>
      <w:r>
        <w:rPr/>
        <w:t>其他借款费用，在发生时根据其发生额确认为费用，计入当期损益。</w:t>
      </w:r>
    </w:p>
    <w:p>
      <w:pPr>
        <w:pStyle w:val="BodyText"/>
        <w:spacing w:line="240" w:lineRule="auto" w:before="54"/>
        <w:ind w:left="539" w:right="108"/>
        <w:jc w:val="left"/>
      </w:pPr>
      <w:r>
        <w:rPr/>
        <w:t>借款费用同时满足下列条件的，开始资本化：</w:t>
      </w:r>
    </w:p>
    <w:p>
      <w:pPr>
        <w:spacing w:line="240" w:lineRule="auto" w:before="2"/>
        <w:rPr>
          <w:rFonts w:ascii="宋体" w:hAnsi="宋体" w:cs="宋体" w:eastAsia="宋体" w:hint="default"/>
          <w:sz w:val="17"/>
          <w:szCs w:val="17"/>
        </w:rPr>
      </w:pPr>
    </w:p>
    <w:p>
      <w:pPr>
        <w:pStyle w:val="BodyText"/>
        <w:spacing w:line="412" w:lineRule="auto"/>
        <w:ind w:right="222" w:firstLine="423"/>
        <w:jc w:val="both"/>
      </w:pPr>
      <w:r>
        <w:rPr>
          <w:rFonts w:ascii="Times New Roman" w:hAnsi="Times New Roman" w:cs="Times New Roman" w:eastAsia="Times New Roman" w:hint="default"/>
        </w:rPr>
        <w:t>a</w:t>
      </w:r>
      <w:r>
        <w:rPr/>
        <w:t>、资产支出已经发生，资产支出包括为购建或者生产符合资本化条件的资产而以支付现金、转移非</w:t>
      </w:r>
      <w:r>
        <w:rPr>
          <w:w w:val="99"/>
        </w:rPr>
        <w:t> </w:t>
      </w:r>
      <w:r>
        <w:rPr/>
        <w:t>现金资产或者承担带息债务形式发生的支出；</w:t>
      </w:r>
    </w:p>
    <w:p>
      <w:pPr>
        <w:spacing w:after="0" w:line="412" w:lineRule="auto"/>
        <w:jc w:val="both"/>
        <w:sectPr>
          <w:pgSz w:w="11910" w:h="16840"/>
          <w:pgMar w:header="0" w:footer="865" w:top="1300" w:bottom="1060" w:left="1020" w:right="980"/>
        </w:sectPr>
      </w:pPr>
    </w:p>
    <w:p>
      <w:pPr>
        <w:pStyle w:val="BodyText"/>
        <w:spacing w:line="412" w:lineRule="auto" w:before="8"/>
        <w:ind w:left="539" w:right="88"/>
        <w:jc w:val="left"/>
      </w:pPr>
      <w:bookmarkStart w:name="17、无形资产" w:id="72"/>
      <w:bookmarkEnd w:id="72"/>
      <w:r>
        <w:rPr/>
      </w:r>
      <w:bookmarkStart w:name="18、长期待摊费用" w:id="73"/>
      <w:bookmarkEnd w:id="73"/>
      <w:r>
        <w:rPr/>
      </w:r>
      <w:r>
        <w:rPr>
          <w:rFonts w:ascii="Times New Roman" w:hAnsi="Times New Roman" w:cs="Times New Roman" w:eastAsia="Times New Roman" w:hint="default"/>
        </w:rPr>
        <w:t>b</w:t>
      </w:r>
      <w:r>
        <w:rPr/>
        <w:t>、借款费用已经发生；</w:t>
      </w:r>
      <w:r>
        <w:rPr>
          <w:w w:val="99"/>
        </w:rPr>
        <w:t> </w:t>
      </w:r>
      <w:r>
        <w:rPr>
          <w:rFonts w:ascii="Times New Roman" w:hAnsi="Times New Roman" w:cs="Times New Roman" w:eastAsia="Times New Roman" w:hint="default"/>
        </w:rPr>
        <w:t>c</w:t>
      </w:r>
      <w:r>
        <w:rPr/>
        <w:t>、为使资产达到预定可使用或者可销售状态所必要的购建或者生产活动已经开始。</w:t>
      </w:r>
      <w:r>
        <w:rPr>
          <w:spacing w:val="-96"/>
        </w:rPr>
        <w:t> </w:t>
      </w:r>
      <w:r>
        <w:rPr>
          <w:spacing w:val="-96"/>
        </w:rPr>
      </w:r>
      <w:r>
        <w:rPr>
          <w:spacing w:val="3"/>
        </w:rPr>
        <w:t>借款费用资本化的期间为资产支出已经发生和借款费用已经发生以及相关生产或购建活动已经开始</w:t>
      </w:r>
    </w:p>
    <w:p>
      <w:pPr>
        <w:pStyle w:val="BodyText"/>
        <w:spacing w:line="436" w:lineRule="auto" w:before="73"/>
        <w:ind w:right="91"/>
        <w:jc w:val="left"/>
      </w:pPr>
      <w:r>
        <w:rPr/>
        <w:t>至相关资产达到预定可使用或销售状态时的期间，在此期间内，如相关生产或购建活动发生非正常的中断</w:t>
      </w:r>
      <w:r>
        <w:rPr>
          <w:w w:val="99"/>
        </w:rPr>
        <w:t> </w:t>
      </w:r>
      <w:r>
        <w:rPr/>
        <w:t>且时间超过</w:t>
      </w:r>
      <w:r>
        <w:rPr>
          <w:spacing w:val="-48"/>
        </w:rPr>
        <w:t> </w:t>
      </w:r>
      <w:r>
        <w:rPr>
          <w:rFonts w:ascii="Times New Roman" w:hAnsi="Times New Roman" w:cs="Times New Roman" w:eastAsia="Times New Roman" w:hint="default"/>
        </w:rPr>
        <w:t>3 </w:t>
      </w:r>
      <w:r>
        <w:rPr/>
        <w:t>个月的，则暂停借款费用资本化。</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Heading5"/>
        <w:spacing w:line="240" w:lineRule="auto"/>
        <w:ind w:right="88"/>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56" w:lineRule="auto"/>
        <w:ind w:right="107" w:firstLine="423"/>
        <w:jc w:val="both"/>
      </w:pPr>
      <w:r>
        <w:rPr>
          <w:w w:val="95"/>
        </w:rPr>
        <w:t>无形资产指企业拥有或控制的没有实物形态的可辨认非货币性资产，包括专有技术、土地使用权等。</w:t>
      </w:r>
      <w:r>
        <w:rPr>
          <w:spacing w:val="-73"/>
          <w:w w:val="95"/>
        </w:rPr>
        <w:t> </w:t>
      </w:r>
      <w:r>
        <w:rPr>
          <w:spacing w:val="-73"/>
          <w:w w:val="95"/>
        </w:rPr>
      </w:r>
      <w:r>
        <w:rPr/>
        <w:t>无形资产在取得时按照实际成本计价。</w:t>
      </w:r>
    </w:p>
    <w:p>
      <w:pPr>
        <w:pStyle w:val="BodyText"/>
        <w:spacing w:line="453" w:lineRule="auto" w:before="57"/>
        <w:ind w:right="105" w:firstLine="423"/>
        <w:jc w:val="both"/>
      </w:pPr>
      <w:r>
        <w:rPr/>
        <w:t>无形资产在取得时分析判断其使用寿命。使用寿命有限的无形资产，自无形资产可供使用时起在预计</w:t>
      </w:r>
      <w:r>
        <w:rPr>
          <w:w w:val="99"/>
        </w:rPr>
        <w:t> </w:t>
      </w:r>
      <w:r>
        <w:rPr/>
        <w:t>使用年限、合同规定的受益年限和法律规定有效年限三者中最短者分期平均摊销。公司于年度终了对无形</w:t>
      </w:r>
      <w:r>
        <w:rPr>
          <w:w w:val="99"/>
        </w:rPr>
        <w:t> </w:t>
      </w:r>
      <w:r>
        <w:rPr/>
        <w:t>资产的使用寿命及摊销方法进行复核，使用寿命及摊销方法与以前估计不同的，则改变摊销期限和摊销方</w:t>
      </w:r>
      <w:r>
        <w:rPr>
          <w:w w:val="99"/>
        </w:rPr>
        <w:t> </w:t>
      </w:r>
      <w:r>
        <w:rPr/>
        <w:t>法。</w:t>
      </w:r>
    </w:p>
    <w:p>
      <w:pPr>
        <w:pStyle w:val="BodyText"/>
        <w:spacing w:line="439" w:lineRule="auto" w:before="56"/>
        <w:ind w:right="104" w:firstLine="423"/>
        <w:jc w:val="both"/>
      </w:pPr>
      <w:r>
        <w:rPr>
          <w:spacing w:val="-2"/>
          <w:w w:val="99"/>
        </w:rPr>
        <w:t>本公司期末检查各项无形资产预计给本公司带来未来经济利益的能力，当存在以下情形之一时：（</w:t>
      </w:r>
      <w:r>
        <w:rPr>
          <w:rFonts w:ascii="Times New Roman" w:hAnsi="Times New Roman" w:cs="Times New Roman" w:eastAsia="Times New Roman" w:hint="default"/>
          <w:spacing w:val="-2"/>
          <w:w w:val="99"/>
        </w:rPr>
        <w:t>1</w:t>
      </w:r>
      <w:r>
        <w:rPr>
          <w:spacing w:val="-2"/>
          <w:w w:val="99"/>
        </w:rPr>
        <w:t>）</w:t>
      </w:r>
      <w:r>
        <w:rPr>
          <w:w w:val="88"/>
        </w:rPr>
        <w:t> </w:t>
      </w:r>
      <w:r>
        <w:rPr>
          <w:spacing w:val="-2"/>
          <w:w w:val="99"/>
        </w:rPr>
        <w:t>某项无形资产已被其他新技术等所替代，使其为企业创造经济利益的能力受到重大不利影响；（</w:t>
      </w:r>
      <w:r>
        <w:rPr>
          <w:rFonts w:ascii="Times New Roman" w:hAnsi="Times New Roman" w:cs="Times New Roman" w:eastAsia="Times New Roman" w:hint="default"/>
          <w:spacing w:val="-2"/>
          <w:w w:val="99"/>
        </w:rPr>
        <w:t>2</w:t>
      </w:r>
      <w:r>
        <w:rPr>
          <w:spacing w:val="-2"/>
          <w:w w:val="99"/>
        </w:rPr>
        <w:t>）某项无</w:t>
      </w:r>
      <w:r>
        <w:rPr>
          <w:spacing w:val="-92"/>
          <w:w w:val="99"/>
        </w:rPr>
        <w:t> </w:t>
      </w:r>
      <w:r>
        <w:rPr>
          <w:spacing w:val="-92"/>
          <w:w w:val="99"/>
        </w:rPr>
      </w:r>
      <w:r>
        <w:rPr>
          <w:spacing w:val="-4"/>
          <w:w w:val="98"/>
        </w:rPr>
        <w:t>形资产的市价在当期大幅下跌，在剩余摊销年限内预期不会恢复；（</w:t>
      </w:r>
      <w:r>
        <w:rPr>
          <w:rFonts w:ascii="Times New Roman" w:hAnsi="Times New Roman" w:cs="Times New Roman" w:eastAsia="Times New Roman" w:hint="default"/>
          <w:spacing w:val="-4"/>
          <w:w w:val="98"/>
        </w:rPr>
        <w:t>3</w:t>
      </w:r>
      <w:r>
        <w:rPr>
          <w:spacing w:val="-4"/>
          <w:w w:val="98"/>
        </w:rPr>
        <w:t>）某项无形资产已超过法律保护期限，</w:t>
      </w:r>
      <w:r>
        <w:rPr>
          <w:spacing w:val="-98"/>
          <w:w w:val="98"/>
        </w:rPr>
        <w:t> </w:t>
      </w:r>
      <w:r>
        <w:rPr>
          <w:spacing w:val="-98"/>
          <w:w w:val="98"/>
        </w:rPr>
      </w:r>
      <w:r>
        <w:rPr/>
        <w:t>但仍然具有部分使用价值等减值迹象的，则估计其可收回金额。可收回金额的计量结果表明，无形资产的</w:t>
      </w:r>
      <w:r>
        <w:rPr>
          <w:w w:val="99"/>
        </w:rPr>
        <w:t> </w:t>
      </w:r>
      <w:r>
        <w:rPr/>
        <w:t>可收回金额低于其账面价值的，将无形资产的账面价值减记至可收回金额，减记的金额确认为资产减值损</w:t>
      </w:r>
      <w:r>
        <w:rPr>
          <w:w w:val="99"/>
        </w:rPr>
        <w:t> </w:t>
      </w:r>
      <w:r>
        <w:rPr>
          <w:spacing w:val="-2"/>
          <w:w w:val="99"/>
        </w:rPr>
        <w:t>失，计入当期损益，同时计提相应的无形资产减值准备；（</w:t>
      </w:r>
      <w:r>
        <w:rPr>
          <w:rFonts w:ascii="Times New Roman" w:hAnsi="Times New Roman" w:cs="Times New Roman" w:eastAsia="Times New Roman" w:hint="default"/>
          <w:spacing w:val="-2"/>
          <w:w w:val="99"/>
        </w:rPr>
        <w:t>4</w:t>
      </w:r>
      <w:r>
        <w:rPr>
          <w:spacing w:val="-2"/>
          <w:w w:val="99"/>
        </w:rPr>
        <w:t>）其他足以证明某项无形资产实质上已发生了</w:t>
      </w:r>
      <w:r>
        <w:rPr>
          <w:spacing w:val="-92"/>
          <w:w w:val="99"/>
        </w:rPr>
        <w:t> </w:t>
      </w:r>
      <w:r>
        <w:rPr>
          <w:spacing w:val="-92"/>
          <w:w w:val="99"/>
        </w:rPr>
      </w:r>
      <w:r>
        <w:rPr/>
        <w:t>减值准备情形的情况，按预计可收回金额低于账面价值的差额计提无形资产减值准备。无形资产减值损失</w:t>
      </w:r>
      <w:r>
        <w:rPr>
          <w:w w:val="99"/>
        </w:rPr>
        <w:t> </w:t>
      </w:r>
      <w:r>
        <w:rPr/>
        <w:t>一经确认，在以后会计期间不再转回。</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386" w:lineRule="auto" w:before="0"/>
        <w:ind w:left="539" w:right="2187"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长期待摊费用指应由本期和以后各期负担的分摊期限在一年以上的各项费用。</w:t>
      </w:r>
    </w:p>
    <w:p>
      <w:pPr>
        <w:pStyle w:val="BodyText"/>
        <w:spacing w:line="446" w:lineRule="auto" w:before="118"/>
        <w:ind w:right="105" w:firstLine="423"/>
        <w:jc w:val="both"/>
      </w:pPr>
      <w:r>
        <w:rPr/>
        <w:t>长期待摊费用在取得时按照实际成本计价，开办费在发生时计入当期损益；经营性租赁固定资产的装</w:t>
      </w:r>
      <w:r>
        <w:rPr>
          <w:w w:val="99"/>
        </w:rPr>
        <w:t> </w:t>
      </w:r>
      <w:r>
        <w:rPr/>
        <w:t>修费用按其在自生产经营之日起</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年内或租赁期内的较短者平均摊销，其他长期待摊费用按项目的受益期</w:t>
      </w:r>
      <w:r>
        <w:rPr>
          <w:w w:val="99"/>
        </w:rPr>
        <w:t> </w:t>
      </w:r>
      <w:r>
        <w:rPr/>
        <w:t>平均摊销。对于在以后会计期间已无法带来预期经济利益的长期待摊费用，本公司对其尚未摊销的摊余价</w:t>
      </w:r>
      <w:r>
        <w:rPr>
          <w:w w:val="99"/>
        </w:rPr>
        <w:t> </w:t>
      </w:r>
      <w:r>
        <w:rPr/>
        <w:t>值全部转入当期损益。</w:t>
      </w:r>
    </w:p>
    <w:p>
      <w:pPr>
        <w:spacing w:after="0" w:line="446" w:lineRule="auto"/>
        <w:jc w:val="both"/>
        <w:sectPr>
          <w:footerReference w:type="default" r:id="rId38"/>
          <w:pgSz w:w="11910" w:h="16840"/>
          <w:pgMar w:footer="865" w:header="0" w:top="1300" w:bottom="1060" w:left="1020" w:right="1000"/>
          <w:pgNumType w:start="72"/>
        </w:sectPr>
      </w:pPr>
    </w:p>
    <w:p>
      <w:pPr>
        <w:pStyle w:val="Heading5"/>
        <w:spacing w:line="307" w:lineRule="exact"/>
        <w:ind w:right="108"/>
        <w:jc w:val="left"/>
        <w:rPr>
          <w:b w:val="0"/>
          <w:bCs w:val="0"/>
        </w:rPr>
      </w:pPr>
      <w:bookmarkStart w:name="19、预计负债" w:id="74"/>
      <w:bookmarkEnd w:id="74"/>
      <w:r>
        <w:rPr>
          <w:b w:val="0"/>
          <w:bCs w:val="0"/>
        </w:rPr>
      </w:r>
      <w:bookmarkStart w:name="20、收入" w:id="75"/>
      <w:bookmarkEnd w:id="75"/>
      <w:r>
        <w:rPr>
          <w:b w:val="0"/>
          <w:bCs w:val="0"/>
        </w:rPr>
      </w:r>
      <w:bookmarkStart w:name="21、政府补助" w:id="76"/>
      <w:bookmarkEnd w:id="76"/>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36" w:lineRule="auto"/>
        <w:ind w:right="125" w:firstLine="423"/>
        <w:jc w:val="both"/>
      </w:pPr>
      <w:r>
        <w:rPr/>
        <w:t>与或有事项相关的义务同时符合以下条件，本公司将其确认为预计负债：该义务是本公司承担的现时</w:t>
      </w:r>
      <w:r>
        <w:rPr>
          <w:w w:val="99"/>
        </w:rPr>
        <w:t> </w:t>
      </w:r>
      <w:r>
        <w:rPr/>
        <w:t>义务；该义务的履行很可能导致经济利益流出企业；该义务的金额能够可靠的计量；</w:t>
      </w:r>
    </w:p>
    <w:p>
      <w:pPr>
        <w:pStyle w:val="BodyText"/>
        <w:spacing w:line="439" w:lineRule="auto" w:before="52"/>
        <w:ind w:right="125" w:firstLine="423"/>
        <w:jc w:val="both"/>
      </w:pPr>
      <w:r>
        <w:rPr/>
        <w:t>清偿预计负债所需支出全部或部分预期由第三方补偿的，补偿金额只有在基本确定能够收到时，才能</w:t>
      </w:r>
      <w:r>
        <w:rPr>
          <w:w w:val="99"/>
        </w:rPr>
        <w:t> </w:t>
      </w:r>
      <w:r>
        <w:rPr/>
        <w:t>作为资产单独确认，同时对该项单独核算的资产确认的补偿金额不超过对应的预计负债的账面金额。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108"/>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12" w:lineRule="auto"/>
        <w:ind w:left="553" w:right="108" w:hanging="15"/>
        <w:jc w:val="left"/>
      </w:pPr>
      <w:r>
        <w:rPr/>
        <w:t>（</w:t>
      </w:r>
      <w:r>
        <w:rPr>
          <w:rFonts w:ascii="Times New Roman" w:hAnsi="Times New Roman" w:cs="Times New Roman" w:eastAsia="Times New Roman" w:hint="default"/>
        </w:rPr>
        <w:t>1</w:t>
      </w:r>
      <w:r>
        <w:rPr/>
        <w:t>）销售商品收入</w:t>
      </w:r>
      <w:r>
        <w:rPr>
          <w:w w:val="99"/>
        </w:rPr>
        <w:t> </w:t>
      </w:r>
      <w:r>
        <w:rPr>
          <w:w w:val="95"/>
        </w:rPr>
        <w:t>企业已将商品所有权上的主要风险和报酬转移给购货方；企业既没有保留通常与所有权相联系的继续</w:t>
      </w:r>
      <w:r>
        <w:rPr/>
      </w:r>
    </w:p>
    <w:p>
      <w:pPr>
        <w:pStyle w:val="BodyText"/>
        <w:spacing w:line="439" w:lineRule="auto" w:before="73"/>
        <w:ind w:right="111"/>
        <w:jc w:val="left"/>
      </w:pPr>
      <w:r>
        <w:rPr/>
        <w:t>管理权，也没有对已售出的商品实施有效控制；收入的金额能够可靠地计量；相关的经济利益很可能流入</w:t>
      </w:r>
      <w:r>
        <w:rPr>
          <w:w w:val="99"/>
        </w:rPr>
        <w:t> </w:t>
      </w:r>
      <w:r>
        <w:rPr/>
        <w:t>企业；相关的已发生或将发生的成本能够可靠地计量。</w:t>
      </w:r>
    </w:p>
    <w:p>
      <w:pPr>
        <w:pStyle w:val="BodyText"/>
        <w:spacing w:line="436" w:lineRule="auto" w:before="50"/>
        <w:ind w:right="125" w:firstLine="437"/>
        <w:jc w:val="both"/>
      </w:pPr>
      <w:r>
        <w:rPr>
          <w:w w:val="95"/>
        </w:rPr>
        <w:t>房地产销售收入确认原则：销售合同已经签订；收取首期款项并已办理银行按揭手续或取得收取购房</w:t>
      </w:r>
      <w:r>
        <w:rPr>
          <w:w w:val="99"/>
        </w:rPr>
        <w:t> </w:t>
      </w:r>
      <w:r>
        <w:rPr/>
        <w:t>款权利；房屋主体完工并验收合格；该项销售的成本能够可靠地计量。上述条件同时满足时，确认为当期</w:t>
      </w:r>
      <w:r>
        <w:rPr>
          <w:w w:val="99"/>
        </w:rPr>
        <w:t> </w:t>
      </w:r>
      <w:r>
        <w:rPr/>
        <w:t>收入。</w:t>
      </w:r>
    </w:p>
    <w:p>
      <w:pPr>
        <w:pStyle w:val="BodyText"/>
        <w:spacing w:line="412" w:lineRule="auto" w:before="52"/>
        <w:ind w:left="539" w:right="108"/>
        <w:jc w:val="left"/>
      </w:pPr>
      <w:r>
        <w:rPr/>
        <w:t>（</w:t>
      </w:r>
      <w:r>
        <w:rPr>
          <w:rFonts w:ascii="Times New Roman" w:hAnsi="Times New Roman" w:cs="Times New Roman" w:eastAsia="Times New Roman" w:hint="default"/>
        </w:rPr>
        <w:t>2</w:t>
      </w:r>
      <w:r>
        <w:rPr/>
        <w:t>）提供劳务收入</w:t>
      </w:r>
      <w:r>
        <w:rPr>
          <w:w w:val="99"/>
        </w:rPr>
        <w:t> </w:t>
      </w:r>
      <w:r>
        <w:rPr>
          <w:w w:val="95"/>
        </w:rPr>
        <w:t>资产负债表日，本公司对提供的劳务交易或建造合同的结果能够可靠估计的，采用完工百分比法确认</w:t>
      </w:r>
      <w:r>
        <w:rPr/>
      </w:r>
    </w:p>
    <w:p>
      <w:pPr>
        <w:pStyle w:val="BodyText"/>
        <w:spacing w:line="436" w:lineRule="auto" w:before="75"/>
        <w:ind w:right="111"/>
        <w:jc w:val="left"/>
      </w:pPr>
      <w:r>
        <w:rPr/>
        <w:t>收入实现，完工进度采用已完工作的测量确定。提供的劳务交易或建造合同的结果能够可靠估计，是指相</w:t>
      </w:r>
      <w:r>
        <w:rPr>
          <w:w w:val="99"/>
        </w:rPr>
        <w:t> </w:t>
      </w:r>
      <w:r>
        <w:rPr/>
        <w:t>关的合同总收入和实际发生以及将发生的成本能够可靠计量，与合同相关的经济利益很可能流入。</w:t>
      </w:r>
    </w:p>
    <w:p>
      <w:pPr>
        <w:pStyle w:val="BodyText"/>
        <w:spacing w:line="415" w:lineRule="auto" w:before="52"/>
        <w:ind w:left="539" w:right="107"/>
        <w:jc w:val="left"/>
      </w:pPr>
      <w:r>
        <w:rPr/>
        <w:t>（</w:t>
      </w:r>
      <w:r>
        <w:rPr>
          <w:rFonts w:ascii="Times New Roman" w:hAnsi="Times New Roman" w:cs="Times New Roman" w:eastAsia="Times New Roman" w:hint="default"/>
        </w:rPr>
        <w:t>3</w:t>
      </w:r>
      <w:r>
        <w:rPr/>
        <w:t>）让渡资产使用权收入</w:t>
      </w:r>
      <w:r>
        <w:rPr>
          <w:spacing w:val="-102"/>
        </w:rPr>
        <w:t> </w:t>
      </w:r>
      <w:r>
        <w:rPr>
          <w:spacing w:val="-102"/>
        </w:rPr>
      </w:r>
      <w:r>
        <w:rPr/>
        <w:t>让渡资产使用权收入在相关的经济利益很可能流入且收入的金额能够可靠地计量时确认。本公司让渡</w:t>
      </w:r>
    </w:p>
    <w:p>
      <w:pPr>
        <w:pStyle w:val="BodyText"/>
        <w:spacing w:line="436" w:lineRule="auto" w:before="71"/>
        <w:ind w:right="111"/>
        <w:jc w:val="left"/>
      </w:pPr>
      <w:r>
        <w:rPr/>
        <w:t>资产使用权收入包括利息收入、使用费收入等，利息收入按照贷款企业使用本公司资金时间和实际利率计</w:t>
      </w:r>
      <w:r>
        <w:rPr>
          <w:w w:val="99"/>
        </w:rPr>
        <w:t> </w:t>
      </w:r>
      <w:r>
        <w:rPr/>
        <w:t>算确定，使用费收入包括出租车承包经营收入和租金收入等，按照合同约定收费时间和方法计算确定。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108"/>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23" w:firstLine="423"/>
        <w:jc w:val="both"/>
      </w:pPr>
      <w:r>
        <w:rPr/>
        <w:t>本公司收到的与资产相关的政府补助，确认为递延收益，自相关资产达到预定可使用状态时起，在该</w:t>
      </w:r>
      <w:r>
        <w:rPr>
          <w:w w:val="99"/>
        </w:rPr>
        <w:t> </w:t>
      </w:r>
      <w:r>
        <w:rPr/>
        <w:t>资产使用寿命内平均计入各期损益。相关资产在使用寿命结束前被出售、转让、报废或发生毁损的，将递</w:t>
      </w:r>
      <w:r>
        <w:rPr>
          <w:w w:val="99"/>
        </w:rPr>
        <w:t> </w:t>
      </w:r>
      <w:r>
        <w:rPr/>
        <w:t>延收益余额一次性转入资产处置当期的损益。</w:t>
      </w:r>
    </w:p>
    <w:p>
      <w:pPr>
        <w:pStyle w:val="BodyText"/>
        <w:spacing w:line="240" w:lineRule="auto" w:before="52"/>
        <w:ind w:right="0" w:firstLine="423"/>
        <w:jc w:val="both"/>
      </w:pPr>
      <w:r>
        <w:rPr/>
        <w:t>本公司收到的与收益相关的政府补助，用于补偿以后期间的相关费用或损失的，确认为递延收益，在</w:t>
      </w:r>
    </w:p>
    <w:p>
      <w:pPr>
        <w:spacing w:line="240" w:lineRule="auto" w:before="4"/>
        <w:rPr>
          <w:rFonts w:ascii="宋体" w:hAnsi="宋体" w:cs="宋体" w:eastAsia="宋体" w:hint="default"/>
          <w:sz w:val="17"/>
          <w:szCs w:val="17"/>
        </w:rPr>
      </w:pPr>
    </w:p>
    <w:p>
      <w:pPr>
        <w:pStyle w:val="BodyText"/>
        <w:spacing w:line="240" w:lineRule="auto"/>
        <w:ind w:right="0"/>
        <w:jc w:val="left"/>
      </w:pPr>
      <w:r>
        <w:rPr/>
        <w:t>确认相关费用的期间计入当期损益；用于补偿已经发生的相关费用或损失的，取得时直接计入当期损益。</w:t>
      </w:r>
    </w:p>
    <w:p>
      <w:pPr>
        <w:spacing w:after="0" w:line="240" w:lineRule="auto"/>
        <w:jc w:val="left"/>
        <w:sectPr>
          <w:footerReference w:type="default" r:id="rId39"/>
          <w:pgSz w:w="11910" w:h="16840"/>
          <w:pgMar w:footer="865" w:header="0" w:top="1320" w:bottom="1060" w:left="1020" w:right="980"/>
          <w:pgNumType w:start="73"/>
        </w:sectPr>
      </w:pPr>
    </w:p>
    <w:p>
      <w:pPr>
        <w:pStyle w:val="Heading5"/>
        <w:spacing w:line="307" w:lineRule="exact"/>
        <w:ind w:right="108"/>
        <w:jc w:val="left"/>
        <w:rPr>
          <w:b w:val="0"/>
          <w:bCs w:val="0"/>
        </w:rPr>
      </w:pPr>
      <w:bookmarkStart w:name="22、递延所得税资产/递延所得税负债" w:id="77"/>
      <w:bookmarkEnd w:id="77"/>
      <w:r>
        <w:rPr>
          <w:b w:val="0"/>
          <w:bCs w:val="0"/>
        </w:rPr>
      </w:r>
      <w:bookmarkStart w:name="23、经营租赁" w:id="78"/>
      <w:bookmarkEnd w:id="78"/>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9" w:right="108"/>
        <w:jc w:val="left"/>
      </w:pPr>
      <w:r>
        <w:rPr/>
        <w:t>（</w:t>
      </w:r>
      <w:r>
        <w:rPr>
          <w:rFonts w:ascii="Times New Roman" w:hAnsi="Times New Roman" w:cs="Times New Roman" w:eastAsia="Times New Roman" w:hint="default"/>
        </w:rPr>
        <w:t>1</w:t>
      </w:r>
      <w:r>
        <w:rPr/>
        <w:t>）递延所得税资产的确认</w:t>
      </w:r>
    </w:p>
    <w:p>
      <w:pPr>
        <w:spacing w:line="240" w:lineRule="auto" w:before="2"/>
        <w:rPr>
          <w:rFonts w:ascii="宋体" w:hAnsi="宋体" w:cs="宋体" w:eastAsia="宋体" w:hint="default"/>
          <w:sz w:val="16"/>
          <w:szCs w:val="16"/>
        </w:rPr>
      </w:pPr>
    </w:p>
    <w:p>
      <w:pPr>
        <w:pStyle w:val="BodyText"/>
        <w:spacing w:line="424" w:lineRule="auto"/>
        <w:ind w:right="125" w:firstLine="423"/>
        <w:jc w:val="both"/>
      </w:pPr>
      <w:r>
        <w:rPr>
          <w:rFonts w:ascii="Times New Roman" w:hAnsi="Times New Roman" w:cs="Times New Roman" w:eastAsia="Times New Roman" w:hint="default"/>
        </w:rPr>
        <w:t>a</w:t>
      </w:r>
      <w:r>
        <w:rPr/>
        <w:t>、本公司以很可能取得用来抵扣可抵扣暂时性差异的应纳税所得额为限，确认由可抵扣暂时性差异</w:t>
      </w:r>
      <w:r>
        <w:rPr>
          <w:w w:val="99"/>
        </w:rPr>
        <w:t> </w:t>
      </w:r>
      <w:r>
        <w:rPr/>
        <w:t>产生的递延所得税资产。但是同时具有下列特征的交易中因资产或负债的初始确认所产生的递延所得税资</w:t>
      </w:r>
      <w:r>
        <w:rPr>
          <w:w w:val="99"/>
        </w:rPr>
        <w:t> </w:t>
      </w:r>
      <w:r>
        <w:rPr/>
        <w:t>产不予确认：</w:t>
      </w:r>
    </w:p>
    <w:p>
      <w:pPr>
        <w:pStyle w:val="BodyText"/>
        <w:spacing w:line="240" w:lineRule="auto" w:before="65"/>
        <w:ind w:left="539" w:right="10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该项交易不是企业合并；</w:t>
      </w:r>
    </w:p>
    <w:p>
      <w:pPr>
        <w:spacing w:line="240" w:lineRule="auto" w:before="12"/>
        <w:rPr>
          <w:rFonts w:ascii="宋体" w:hAnsi="宋体" w:cs="宋体" w:eastAsia="宋体" w:hint="default"/>
          <w:sz w:val="15"/>
          <w:szCs w:val="15"/>
        </w:rPr>
      </w:pPr>
    </w:p>
    <w:p>
      <w:pPr>
        <w:pStyle w:val="BodyText"/>
        <w:spacing w:line="240" w:lineRule="auto"/>
        <w:ind w:left="539" w:right="108"/>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spacing w:line="240" w:lineRule="auto" w:before="12"/>
        <w:rPr>
          <w:rFonts w:ascii="宋体" w:hAnsi="宋体" w:cs="宋体" w:eastAsia="宋体" w:hint="default"/>
          <w:sz w:val="15"/>
          <w:szCs w:val="15"/>
        </w:rPr>
      </w:pPr>
    </w:p>
    <w:p>
      <w:pPr>
        <w:pStyle w:val="BodyText"/>
        <w:spacing w:line="415" w:lineRule="auto"/>
        <w:ind w:right="108" w:firstLine="423"/>
        <w:jc w:val="left"/>
      </w:pPr>
      <w:r>
        <w:rPr>
          <w:rFonts w:ascii="Times New Roman" w:hAnsi="Times New Roman" w:cs="Times New Roman" w:eastAsia="Times New Roman" w:hint="default"/>
        </w:rPr>
        <w:t>b</w:t>
      </w:r>
      <w:r>
        <w:rPr/>
        <w:t>、本公司对与子公司、联营公司及合营企业投资相关的可抵扣暂时性差异，同时满足下列条件的，</w:t>
      </w:r>
      <w:r>
        <w:rPr>
          <w:w w:val="99"/>
        </w:rPr>
        <w:t> </w:t>
      </w:r>
      <w:r>
        <w:rPr/>
        <w:t>确认相应的递延所得税资产：</w:t>
      </w:r>
    </w:p>
    <w:p>
      <w:pPr>
        <w:pStyle w:val="BodyText"/>
        <w:spacing w:line="240" w:lineRule="auto" w:before="71"/>
        <w:ind w:left="539" w:right="10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t>暂时性差异在可预见的未来很可能转回；</w:t>
      </w:r>
    </w:p>
    <w:p>
      <w:pPr>
        <w:spacing w:line="240" w:lineRule="auto" w:before="12"/>
        <w:rPr>
          <w:rFonts w:ascii="宋体" w:hAnsi="宋体" w:cs="宋体" w:eastAsia="宋体" w:hint="default"/>
          <w:sz w:val="15"/>
          <w:szCs w:val="15"/>
        </w:rPr>
      </w:pPr>
    </w:p>
    <w:p>
      <w:pPr>
        <w:pStyle w:val="BodyText"/>
        <w:spacing w:line="240" w:lineRule="auto"/>
        <w:ind w:left="539" w:right="10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未来很可能获得用来抵扣暂时性差异的应纳税所得额。</w:t>
      </w:r>
    </w:p>
    <w:p>
      <w:pPr>
        <w:spacing w:line="240" w:lineRule="auto" w:before="2"/>
        <w:rPr>
          <w:rFonts w:ascii="宋体" w:hAnsi="宋体" w:cs="宋体" w:eastAsia="宋体" w:hint="default"/>
          <w:sz w:val="16"/>
          <w:szCs w:val="16"/>
        </w:rPr>
      </w:pPr>
    </w:p>
    <w:p>
      <w:pPr>
        <w:pStyle w:val="BodyText"/>
        <w:spacing w:line="412" w:lineRule="auto"/>
        <w:ind w:right="108" w:firstLine="423"/>
        <w:jc w:val="left"/>
      </w:pPr>
      <w:r>
        <w:rPr>
          <w:rFonts w:ascii="Times New Roman" w:hAnsi="Times New Roman" w:cs="Times New Roman" w:eastAsia="Times New Roman" w:hint="default"/>
        </w:rPr>
        <w:t>c</w:t>
      </w:r>
      <w:r>
        <w:rPr/>
        <w:t>、本公司对于能够结转以后年度的可抵扣亏损和税款抵减，以很可能获得用来抵扣可抵扣亏损和税</w:t>
      </w:r>
      <w:r>
        <w:rPr>
          <w:w w:val="99"/>
        </w:rPr>
        <w:t> </w:t>
      </w:r>
      <w:r>
        <w:rPr/>
        <w:t>款抵减的未来应纳税所得额为限，确认相应的递延所得税资产。</w:t>
      </w:r>
    </w:p>
    <w:p>
      <w:pPr>
        <w:pStyle w:val="BodyText"/>
        <w:spacing w:line="424" w:lineRule="auto" w:before="73"/>
        <w:ind w:left="539" w:right="0"/>
        <w:jc w:val="left"/>
      </w:pPr>
      <w:r>
        <w:rPr/>
        <w:t>（</w:t>
      </w:r>
      <w:r>
        <w:rPr>
          <w:rFonts w:ascii="Times New Roman" w:hAnsi="Times New Roman" w:cs="Times New Roman" w:eastAsia="Times New Roman" w:hint="default"/>
        </w:rPr>
        <w:t>2</w:t>
      </w:r>
      <w:r>
        <w:rPr/>
        <w:t>）递延所得税负债的确认</w:t>
      </w:r>
      <w:r>
        <w:rPr>
          <w:spacing w:val="-103"/>
        </w:rPr>
        <w:t> </w:t>
      </w:r>
      <w:r>
        <w:rPr>
          <w:spacing w:val="-103"/>
        </w:rPr>
      </w:r>
      <w:r>
        <w:rPr/>
        <w:t>除下列情况产生的递延所得税负债以外，本公司确认所有应纳税暂时性差异产生的递延所得税负债：</w:t>
      </w:r>
      <w:r>
        <w:rPr>
          <w:spacing w:val="-95"/>
        </w:rPr>
        <w:t> </w:t>
      </w:r>
      <w:r>
        <w:rPr>
          <w:spacing w:val="-95"/>
        </w:rPr>
      </w:r>
      <w:r>
        <w:rPr>
          <w:rFonts w:ascii="Times New Roman" w:hAnsi="Times New Roman" w:cs="Times New Roman" w:eastAsia="Times New Roman" w:hint="default"/>
        </w:rPr>
        <w:t>a</w:t>
      </w:r>
      <w:r>
        <w:rPr/>
        <w:t>、商誉的初始确认；</w:t>
      </w:r>
    </w:p>
    <w:p>
      <w:pPr>
        <w:pStyle w:val="BodyText"/>
        <w:spacing w:line="415" w:lineRule="auto" w:before="29"/>
        <w:ind w:left="539" w:right="3152"/>
        <w:jc w:val="left"/>
      </w:pPr>
      <w:r>
        <w:rPr>
          <w:rFonts w:ascii="Times New Roman" w:hAnsi="Times New Roman" w:cs="Times New Roman" w:eastAsia="Times New Roman" w:hint="default"/>
        </w:rPr>
        <w:t>b</w:t>
      </w:r>
      <w:r>
        <w:rPr/>
        <w:t>、同时满足具有下列特征的交易中产生的资产或负债的初始确认：</w:t>
      </w:r>
      <w:r>
        <w:rPr>
          <w:spacing w:val="-100"/>
        </w:rPr>
        <w:t> </w:t>
      </w:r>
      <w:r>
        <w:rPr>
          <w:spacing w:val="-100"/>
        </w:rPr>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该项交易不是企业合并；</w:t>
      </w:r>
    </w:p>
    <w:p>
      <w:pPr>
        <w:pStyle w:val="BodyText"/>
        <w:spacing w:line="240" w:lineRule="auto" w:before="38"/>
        <w:ind w:left="539" w:right="108"/>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spacing w:line="240" w:lineRule="auto" w:before="12"/>
        <w:rPr>
          <w:rFonts w:ascii="宋体" w:hAnsi="宋体" w:cs="宋体" w:eastAsia="宋体" w:hint="default"/>
          <w:sz w:val="15"/>
          <w:szCs w:val="15"/>
        </w:rPr>
      </w:pPr>
    </w:p>
    <w:p>
      <w:pPr>
        <w:pStyle w:val="BodyText"/>
        <w:spacing w:line="240" w:lineRule="auto"/>
        <w:ind w:left="539" w:right="108"/>
        <w:jc w:val="left"/>
      </w:pPr>
      <w:r>
        <w:rPr>
          <w:rFonts w:ascii="Times New Roman" w:hAnsi="Times New Roman" w:cs="Times New Roman" w:eastAsia="Times New Roman" w:hint="default"/>
        </w:rPr>
        <w:t>c</w:t>
      </w:r>
      <w:r>
        <w:rPr/>
        <w:t>、本公司对与子公司、联营公司及合营企业投资产生相关的应纳税暂时性差异，同时满足下列条件</w:t>
      </w:r>
    </w:p>
    <w:p>
      <w:pPr>
        <w:spacing w:line="240" w:lineRule="auto" w:before="2"/>
        <w:rPr>
          <w:rFonts w:ascii="宋体" w:hAnsi="宋体" w:cs="宋体" w:eastAsia="宋体" w:hint="default"/>
          <w:sz w:val="16"/>
          <w:szCs w:val="16"/>
        </w:rPr>
      </w:pPr>
    </w:p>
    <w:p>
      <w:pPr>
        <w:pStyle w:val="BodyText"/>
        <w:spacing w:line="240" w:lineRule="auto"/>
        <w:ind w:right="108"/>
        <w:jc w:val="left"/>
      </w:pPr>
      <w:r>
        <w:rPr/>
        <w:t>的：</w:t>
      </w:r>
    </w:p>
    <w:p>
      <w:pPr>
        <w:spacing w:line="240" w:lineRule="auto" w:before="2"/>
        <w:rPr>
          <w:rFonts w:ascii="宋体" w:hAnsi="宋体" w:cs="宋体" w:eastAsia="宋体" w:hint="default"/>
          <w:sz w:val="17"/>
          <w:szCs w:val="17"/>
        </w:rPr>
      </w:pPr>
    </w:p>
    <w:p>
      <w:pPr>
        <w:pStyle w:val="BodyText"/>
        <w:spacing w:line="240" w:lineRule="auto"/>
        <w:ind w:left="539" w:right="10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t>投资企业能够控制暂时性差异的转回的时间；</w:t>
      </w:r>
    </w:p>
    <w:p>
      <w:pPr>
        <w:spacing w:line="240" w:lineRule="auto" w:before="12"/>
        <w:rPr>
          <w:rFonts w:ascii="宋体" w:hAnsi="宋体" w:cs="宋体" w:eastAsia="宋体" w:hint="default"/>
          <w:sz w:val="15"/>
          <w:szCs w:val="15"/>
        </w:rPr>
      </w:pPr>
    </w:p>
    <w:p>
      <w:pPr>
        <w:pStyle w:val="BodyText"/>
        <w:spacing w:line="240" w:lineRule="auto"/>
        <w:ind w:left="539" w:right="10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right="108"/>
        <w:jc w:val="left"/>
        <w:rPr>
          <w:b w:val="0"/>
          <w:bCs w:val="0"/>
        </w:rPr>
      </w:pPr>
      <w:r>
        <w:rPr>
          <w:rFonts w:ascii="Times New Roman" w:hAnsi="Times New Roman" w:cs="Times New Roman" w:eastAsia="Times New Roman" w:hint="default"/>
        </w:rPr>
        <w:t>23</w:t>
      </w:r>
      <w:r>
        <w:rPr/>
        <w:t>、经营租赁</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25" w:firstLine="423"/>
        <w:jc w:val="both"/>
      </w:pPr>
      <w:r>
        <w:rPr/>
        <w:t>经营租赁租出资产所产生的租金收入在租赁期内按直线法确认为收入。经营租赁租出资产发生的初始</w:t>
      </w:r>
      <w:r>
        <w:rPr>
          <w:w w:val="99"/>
        </w:rPr>
        <w:t> </w:t>
      </w:r>
      <w:r>
        <w:rPr/>
        <w:t>直接费用，金额较大时应当资本化，在整个租赁期内按照与确认租金收入相同的基础分期计入当期损益；</w:t>
      </w:r>
      <w:r>
        <w:rPr>
          <w:w w:val="88"/>
        </w:rPr>
        <w:t> </w:t>
      </w:r>
      <w:r>
        <w:rPr/>
        <w:t>金额较小时，直接计入当期损益。或有租金在实际发生时计入当期损益。</w:t>
      </w:r>
    </w:p>
    <w:p>
      <w:pPr>
        <w:pStyle w:val="BodyText"/>
        <w:spacing w:line="240" w:lineRule="auto" w:before="52"/>
        <w:ind w:left="539" w:right="108"/>
        <w:jc w:val="left"/>
      </w:pPr>
      <w:r>
        <w:rPr/>
        <w:t>经营租赁租入资产的租金费用在租赁期内按直线法确认为相关资产成本或费用。</w:t>
      </w:r>
    </w:p>
    <w:p>
      <w:pPr>
        <w:spacing w:after="0" w:line="240" w:lineRule="auto"/>
        <w:jc w:val="left"/>
        <w:sectPr>
          <w:pgSz w:w="11910" w:h="16840"/>
          <w:pgMar w:header="0" w:footer="865" w:top="1300" w:bottom="1060" w:left="1020" w:right="980"/>
        </w:sectPr>
      </w:pPr>
    </w:p>
    <w:p>
      <w:pPr>
        <w:pStyle w:val="Heading5"/>
        <w:spacing w:line="307" w:lineRule="exact"/>
        <w:ind w:right="0"/>
        <w:jc w:val="both"/>
        <w:rPr>
          <w:b w:val="0"/>
          <w:bCs w:val="0"/>
        </w:rPr>
      </w:pPr>
      <w:bookmarkStart w:name="24、职工薪酬" w:id="79"/>
      <w:bookmarkEnd w:id="79"/>
      <w:r>
        <w:rPr>
          <w:b w:val="0"/>
          <w:bCs w:val="0"/>
        </w:rPr>
      </w:r>
      <w:bookmarkStart w:name="25、主要会计政策、会计估计的变更" w:id="80"/>
      <w:bookmarkEnd w:id="8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45" w:firstLine="423"/>
        <w:jc w:val="both"/>
      </w:pPr>
      <w:r>
        <w:rPr>
          <w:spacing w:val="3"/>
        </w:rPr>
        <w:t>职工薪酬是指本公司为获得员工提供的服务而给予的各种形式报酬以及其他相关支出。包括职工工</w:t>
      </w:r>
      <w:r>
        <w:rPr>
          <w:w w:val="99"/>
        </w:rPr>
        <w:t> </w:t>
      </w:r>
      <w:r>
        <w:rPr/>
        <w:t>资、奖金和补贴、各种福利以及各种社会保险费、工会经费和职工教育经费等。本公司目前没有股份支付</w:t>
      </w:r>
      <w:r>
        <w:rPr>
          <w:w w:val="99"/>
        </w:rPr>
        <w:t> </w:t>
      </w:r>
      <w:r>
        <w:rPr/>
        <w:t>计划。</w:t>
      </w:r>
    </w:p>
    <w:p>
      <w:pPr>
        <w:pStyle w:val="BodyText"/>
        <w:spacing w:line="439" w:lineRule="auto" w:before="52"/>
        <w:ind w:right="144" w:firstLine="423"/>
        <w:jc w:val="both"/>
      </w:pPr>
      <w:r>
        <w:rPr>
          <w:spacing w:val="-2"/>
          <w:w w:val="98"/>
        </w:rPr>
        <w:t>本公司在职工提供服务的会计期间，将应付的职工薪酬确认为负债，除辞退福利外，根据其受益对象，</w:t>
      </w:r>
      <w:r>
        <w:rPr>
          <w:w w:val="49"/>
        </w:rPr>
        <w:t> </w:t>
      </w:r>
      <w:r>
        <w:rPr/>
        <w:t>增加相应资产成本或计入当期损益。</w:t>
      </w:r>
    </w:p>
    <w:p>
      <w:pPr>
        <w:pStyle w:val="BodyText"/>
        <w:spacing w:line="429" w:lineRule="auto" w:before="50"/>
        <w:ind w:right="124" w:firstLine="423"/>
        <w:jc w:val="right"/>
      </w:pPr>
      <w:r>
        <w:rPr>
          <w:w w:val="95"/>
        </w:rPr>
        <w:t>辞退福利是在职工劳动合同尚未到期前，本公司决定解除与职工的劳动关系而给予的补偿，或为鼓励</w:t>
      </w:r>
      <w:r>
        <w:rPr>
          <w:w w:val="99"/>
        </w:rPr>
        <w:t> </w:t>
      </w:r>
      <w:r>
        <w:rPr/>
        <w:t>职工自愿接受裁减而给予的补偿。辞退福利同时满足下列条件时，确认为预计负债，同时计入当期损益：</w:t>
      </w:r>
      <w:r>
        <w:rPr>
          <w:w w:val="99"/>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本公司已经制定正式的解除劳动关系计划或提出自愿裁减建议，并即将实施。该计划或建议包括：</w:t>
      </w:r>
      <w:r>
        <w:rPr>
          <w:w w:val="69"/>
        </w:rPr>
        <w:t> </w:t>
      </w:r>
      <w:r>
        <w:rPr>
          <w:w w:val="95"/>
        </w:rPr>
        <w:t>拟解除劳动关系或裁减的职工所在部门、职位及数量；根据有关规定按工作类别或职位确定的解除劳动关</w:t>
      </w:r>
      <w:r>
        <w:rPr>
          <w:spacing w:val="38"/>
          <w:w w:val="95"/>
        </w:rPr>
        <w:t> </w:t>
      </w:r>
      <w:r>
        <w:rPr>
          <w:spacing w:val="38"/>
          <w:w w:val="95"/>
        </w:rPr>
      </w:r>
      <w:r>
        <w:rPr>
          <w:w w:val="95"/>
        </w:rPr>
        <w:t>系或裁减补偿金额；拟解除劳动关系或裁减的时间等。辞退计划经过董事会或类似权力机构的批准，并一</w:t>
      </w:r>
      <w:r>
        <w:rPr/>
      </w:r>
    </w:p>
    <w:p>
      <w:pPr>
        <w:pStyle w:val="BodyText"/>
        <w:spacing w:line="240" w:lineRule="auto" w:before="61"/>
        <w:ind w:right="0"/>
        <w:jc w:val="both"/>
      </w:pPr>
      <w:r>
        <w:rPr/>
        <w:t>般在一年内实施完毕。</w:t>
      </w:r>
    </w:p>
    <w:p>
      <w:pPr>
        <w:spacing w:line="240" w:lineRule="auto" w:before="2"/>
        <w:rPr>
          <w:rFonts w:ascii="宋体" w:hAnsi="宋体" w:cs="宋体" w:eastAsia="宋体" w:hint="default"/>
          <w:sz w:val="17"/>
          <w:szCs w:val="17"/>
        </w:rPr>
      </w:pPr>
    </w:p>
    <w:p>
      <w:pPr>
        <w:pStyle w:val="BodyText"/>
        <w:spacing w:line="429" w:lineRule="auto"/>
        <w:ind w:right="131" w:firstLine="526"/>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1"/>
        </w:rPr>
        <w:t> </w:t>
      </w:r>
      <w:r>
        <w:rPr/>
        <w:t>本公司不能单方面撤回解除劳动关系计划或裁减建议。</w:t>
      </w:r>
      <w:r>
        <w:rPr>
          <w:w w:val="99"/>
        </w:rPr>
        <w:t> </w:t>
      </w:r>
      <w:r>
        <w:rPr/>
        <w:t>本公司实施职工内部退休计划，虽然职工未与企业解除劳动关系，但由于这部分职工未来不能给企业带来</w:t>
      </w:r>
      <w:r>
        <w:rPr>
          <w:w w:val="99"/>
        </w:rPr>
        <w:t> </w:t>
      </w:r>
      <w:r>
        <w:rPr/>
        <w:t>经济利益，符合上述辞退福利计划确认预计负债条件的，比照辞退福利处理。本公司将自职工停止提供服</w:t>
      </w:r>
      <w:r>
        <w:rPr>
          <w:w w:val="99"/>
        </w:rPr>
        <w:t> </w:t>
      </w:r>
      <w:r>
        <w:rPr>
          <w:spacing w:val="3"/>
        </w:rPr>
        <w:t>务日至法定退休日的期间拟支付的内退人员工资和缴纳的社会保险费等，确认为应付职工薪酬（辞退福</w:t>
      </w:r>
      <w:r>
        <w:rPr>
          <w:spacing w:val="-96"/>
        </w:rPr>
        <w:t> </w:t>
      </w:r>
      <w:r>
        <w:rPr>
          <w:spacing w:val="-96"/>
        </w:rPr>
      </w:r>
      <w:r>
        <w:rPr>
          <w:spacing w:val="-35"/>
          <w:w w:val="99"/>
        </w:rPr>
        <w:t>利）。</w:t>
      </w:r>
      <w:r>
        <w:rPr>
          <w:spacing w:val="-35"/>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25</w:t>
      </w:r>
      <w:r>
        <w:rPr/>
        <w:t>、主要会计政策、会计估计的变更</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right="0"/>
        <w:jc w:val="both"/>
      </w:pPr>
      <w:r>
        <w:rPr/>
        <w:t>（</w:t>
      </w:r>
      <w:r>
        <w:rPr>
          <w:rFonts w:ascii="Times New Roman" w:hAnsi="Times New Roman" w:cs="Times New Roman" w:eastAsia="Times New Roman" w:hint="default"/>
        </w:rPr>
        <w:t>1</w:t>
      </w:r>
      <w:r>
        <w:rPr/>
        <w:t>）会计政策变更</w:t>
      </w:r>
    </w:p>
    <w:p>
      <w:pPr>
        <w:spacing w:line="240" w:lineRule="auto" w:before="2"/>
        <w:rPr>
          <w:rFonts w:ascii="宋体" w:hAnsi="宋体" w:cs="宋体" w:eastAsia="宋体" w:hint="default"/>
          <w:sz w:val="16"/>
          <w:szCs w:val="16"/>
        </w:rPr>
      </w:pPr>
    </w:p>
    <w:p>
      <w:pPr>
        <w:pStyle w:val="BodyText"/>
        <w:spacing w:line="412" w:lineRule="auto"/>
        <w:ind w:left="539" w:right="127"/>
        <w:jc w:val="left"/>
      </w:pPr>
      <w:r>
        <w:rPr>
          <w:rFonts w:ascii="Times New Roman" w:hAnsi="Times New Roman" w:cs="Times New Roman" w:eastAsia="Times New Roman" w:hint="default"/>
        </w:rPr>
        <w:t>A</w:t>
      </w:r>
      <w:r>
        <w:rPr/>
        <w:t>、本公司本期会计政策变更事项</w:t>
      </w:r>
      <w:r>
        <w:rPr>
          <w:w w:val="99"/>
        </w:rPr>
        <w:t> </w:t>
      </w:r>
      <w:r>
        <w:rPr/>
        <w:t>以前年度公司子公司所发生的超额亏损，在合并资产负债表中由母公司承担，本期公司根据《企业会</w:t>
      </w:r>
    </w:p>
    <w:p>
      <w:pPr>
        <w:pStyle w:val="BodyText"/>
        <w:spacing w:line="429" w:lineRule="auto" w:before="73"/>
        <w:ind w:right="145"/>
        <w:jc w:val="both"/>
      </w:pPr>
      <w:r>
        <w:rPr>
          <w:w w:val="99"/>
        </w:rPr>
        <w:t>计准则讲解</w:t>
      </w:r>
      <w:r>
        <w:rPr>
          <w:spacing w:val="-29"/>
          <w:w w:val="99"/>
        </w:rPr>
        <w:t> </w:t>
      </w:r>
      <w:r>
        <w:rPr>
          <w:rFonts w:ascii="Times New Roman" w:hAnsi="Times New Roman" w:cs="Times New Roman" w:eastAsia="Times New Roman" w:hint="default"/>
          <w:spacing w:val="-2"/>
          <w:w w:val="99"/>
        </w:rPr>
        <w:t>2010</w:t>
      </w:r>
      <w:r>
        <w:rPr>
          <w:spacing w:val="-2"/>
          <w:w w:val="99"/>
        </w:rPr>
        <w:t>》，合并财务报表中关于“子公司发生超额亏损在合并资产负债表中的反映：子公司少数</w:t>
      </w:r>
      <w:r>
        <w:rPr>
          <w:spacing w:val="-92"/>
          <w:w w:val="99"/>
        </w:rPr>
        <w:t> </w:t>
      </w:r>
      <w:r>
        <w:rPr>
          <w:spacing w:val="-92"/>
          <w:w w:val="99"/>
        </w:rPr>
      </w:r>
      <w:r>
        <w:rPr/>
        <w:t>股东分担的当期亏损超过了少数股东在该子公司期初所有者权益中所享有的份额，其余额仍应当冲减少数</w:t>
      </w:r>
      <w:r>
        <w:rPr>
          <w:w w:val="99"/>
        </w:rPr>
        <w:t> 股东权益，即少数股东权益可以出现负数”，进行会计政策变更，本公司进行追溯调整，历年影响金额如</w:t>
      </w:r>
      <w:r>
        <w:rPr>
          <w:spacing w:val="-97"/>
          <w:w w:val="99"/>
        </w:rPr>
        <w:t> </w:t>
      </w:r>
      <w:r>
        <w:rPr>
          <w:spacing w:val="-97"/>
          <w:w w:val="99"/>
        </w:rPr>
      </w:r>
      <w:r>
        <w:rPr/>
        <w:t>下：</w:t>
      </w:r>
    </w:p>
    <w:p>
      <w:pPr>
        <w:pStyle w:val="BodyText"/>
        <w:spacing w:line="240" w:lineRule="auto" w:before="61"/>
        <w:ind w:left="539" w:right="131"/>
        <w:jc w:val="left"/>
      </w:pPr>
      <w:r>
        <w:rPr>
          <w:rFonts w:ascii="Times New Roman" w:hAnsi="Times New Roman" w:cs="Times New Roman" w:eastAsia="Times New Roman" w:hint="default"/>
        </w:rPr>
        <w:t>B</w:t>
      </w:r>
      <w:r>
        <w:rPr/>
        <w:t>、对原报出的</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年度财务报表影响情况</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56"/>
        <w:gridCol w:w="2048"/>
        <w:gridCol w:w="2048"/>
        <w:gridCol w:w="2048"/>
      </w:tblGrid>
      <w:tr>
        <w:trPr>
          <w:trHeight w:val="50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bl>
    <w:p>
      <w:pPr>
        <w:spacing w:after="0" w:line="240" w:lineRule="auto"/>
        <w:jc w:val="left"/>
        <w:rPr>
          <w:rFonts w:ascii="宋体" w:hAnsi="宋体" w:cs="宋体" w:eastAsia="宋体" w:hint="default"/>
          <w:sz w:val="21"/>
          <w:szCs w:val="21"/>
        </w:rPr>
        <w:sectPr>
          <w:pgSz w:w="11910" w:h="16840"/>
          <w:pgMar w:header="0" w:footer="865" w:top="1300" w:bottom="1060" w:left="1020" w:right="960"/>
        </w:sectPr>
      </w:pPr>
    </w:p>
    <w:p>
      <w:pPr>
        <w:spacing w:line="240" w:lineRule="auto" w:before="9"/>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3556"/>
        <w:gridCol w:w="2048"/>
        <w:gridCol w:w="2048"/>
        <w:gridCol w:w="2048"/>
      </w:tblGrid>
      <w:tr>
        <w:trPr>
          <w:trHeight w:val="511"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0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96,586,077.75</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-309,757.66</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96,276,320.09</w:t>
            </w:r>
            <w:r>
              <w:rPr>
                <w:rFonts w:ascii="Times New Roman"/>
                <w:sz w:val="21"/>
              </w:rPr>
            </w:r>
          </w:p>
        </w:tc>
      </w:tr>
      <w:tr>
        <w:trPr>
          <w:trHeight w:val="502"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-4,199,307.33</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309,757.66</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-3,889,549.67</w:t>
            </w:r>
            <w:r>
              <w:rPr>
                <w:rFonts w:ascii="Times New Roman"/>
                <w:sz w:val="21"/>
              </w:rPr>
            </w:r>
          </w:p>
        </w:tc>
      </w:tr>
      <w:tr>
        <w:trPr>
          <w:trHeight w:val="49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25,111,672.72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-12,674,364.39</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12,437,308.33</w:t>
            </w:r>
            <w:r>
              <w:rPr>
                <w:rFonts w:ascii="Times New Roman"/>
                <w:sz w:val="21"/>
              </w:rPr>
            </w:r>
          </w:p>
        </w:tc>
      </w:tr>
      <w:tr>
        <w:trPr>
          <w:trHeight w:val="49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-153,665,128.53</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12,674,364.39</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-140,990,764.14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15" w:right="0"/>
        <w:jc w:val="left"/>
      </w:pPr>
      <w:r>
        <w:rPr/>
        <w:t>对原报出的</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年度财务报表影响情况</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556"/>
        <w:gridCol w:w="2048"/>
        <w:gridCol w:w="2048"/>
        <w:gridCol w:w="2048"/>
      </w:tblGrid>
      <w:tr>
        <w:trPr>
          <w:trHeight w:val="49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02"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64,907,773.22</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6,913,555.46</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71,821,328.68</w:t>
            </w:r>
            <w:r>
              <w:rPr>
                <w:rFonts w:ascii="Times New Roman"/>
                <w:sz w:val="21"/>
              </w:rPr>
            </w:r>
          </w:p>
        </w:tc>
      </w:tr>
      <w:tr>
        <w:trPr>
          <w:trHeight w:val="49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-14,135,694.57</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-6,913,555.46</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-21,049,250.03</w:t>
            </w:r>
            <w:r>
              <w:rPr>
                <w:rFonts w:ascii="Times New Roman"/>
                <w:sz w:val="21"/>
              </w:rPr>
            </w:r>
          </w:p>
        </w:tc>
      </w:tr>
      <w:tr>
        <w:trPr>
          <w:trHeight w:val="499"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114,385,953.19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-12,984,122.05</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101,401,831.14</w:t>
            </w:r>
            <w:r>
              <w:rPr>
                <w:rFonts w:ascii="Times New Roman"/>
                <w:sz w:val="21"/>
              </w:rPr>
            </w:r>
          </w:p>
        </w:tc>
      </w:tr>
      <w:tr>
        <w:trPr>
          <w:trHeight w:val="502" w:hRule="exact"/>
        </w:trPr>
        <w:tc>
          <w:tcPr>
            <w:tcW w:w="3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-250,251,206.28</w:t>
            </w:r>
            <w:r>
              <w:rPr>
                <w:rFonts w:ascii="Times New Roman"/>
                <w:sz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12,984,122.05</w:t>
            </w:r>
            <w:r>
              <w:rPr>
                <w:rFonts w:ascii="Times New Roman"/>
                <w:sz w:val="21"/>
              </w:rPr>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-237,267,084.23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2</w:t>
      </w:r>
      <w:r>
        <w:rPr/>
        <w:t>）会计估计变更</w:t>
      </w:r>
    </w:p>
    <w:p>
      <w:pPr>
        <w:spacing w:line="240" w:lineRule="auto" w:before="5"/>
        <w:rPr>
          <w:rFonts w:ascii="宋体" w:hAnsi="宋体" w:cs="宋体" w:eastAsia="宋体" w:hint="default"/>
          <w:sz w:val="15"/>
          <w:szCs w:val="15"/>
        </w:rPr>
      </w:pPr>
    </w:p>
    <w:p>
      <w:pPr>
        <w:pStyle w:val="BodyText"/>
        <w:spacing w:line="240" w:lineRule="auto"/>
        <w:ind w:left="848" w:right="0"/>
        <w:jc w:val="left"/>
      </w:pPr>
      <w:r>
        <w:rPr/>
        <w:t>本公司本期主要会计估计变更事项</w:t>
      </w:r>
    </w:p>
    <w:p>
      <w:pPr>
        <w:spacing w:line="240" w:lineRule="auto" w:before="11"/>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1"/>
        <w:gridCol w:w="2360"/>
        <w:gridCol w:w="2579"/>
        <w:gridCol w:w="1648"/>
      </w:tblGrid>
      <w:tr>
        <w:trPr>
          <w:trHeight w:val="502"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会计估计变更的内容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499" w:hRule="exact"/>
        </w:trPr>
        <w:tc>
          <w:tcPr>
            <w:tcW w:w="3291" w:type="dxa"/>
            <w:vMerge w:val="restart"/>
            <w:tcBorders>
              <w:top w:val="single" w:sz="4" w:space="0" w:color="000000"/>
              <w:left w:val="nil" w:sz="6" w:space="0" w:color="auto"/>
              <w:right w:val="single" w:sz="4" w:space="0" w:color="000000"/>
            </w:tcBorders>
          </w:tcPr>
          <w:p>
            <w:pPr>
              <w:pStyle w:val="TableParagraph"/>
              <w:spacing w:line="490" w:lineRule="exact" w:before="37"/>
              <w:ind w:left="108" w:right="101"/>
              <w:jc w:val="left"/>
              <w:rPr>
                <w:rFonts w:ascii="宋体" w:hAnsi="宋体" w:cs="宋体" w:eastAsia="宋体" w:hint="default"/>
                <w:sz w:val="21"/>
                <w:szCs w:val="21"/>
              </w:rPr>
            </w:pPr>
            <w:r>
              <w:rPr>
                <w:rFonts w:ascii="宋体" w:hAnsi="宋体" w:cs="宋体" w:eastAsia="宋体" w:hint="default"/>
                <w:spacing w:val="-5"/>
                <w:w w:val="99"/>
                <w:sz w:val="21"/>
                <w:szCs w:val="21"/>
              </w:rPr>
              <w:t>固定资产的预计使用寿命、预计净</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残值</w:t>
            </w:r>
          </w:p>
        </w:tc>
        <w:tc>
          <w:tcPr>
            <w:tcW w:w="2360" w:type="dxa"/>
            <w:vMerge w:val="restart"/>
            <w:tcBorders>
              <w:top w:val="single" w:sz="4" w:space="0" w:color="000000"/>
              <w:left w:val="single" w:sz="4" w:space="0" w:color="000000"/>
              <w:right w:val="single" w:sz="4" w:space="0" w:color="000000"/>
            </w:tcBorders>
          </w:tcPr>
          <w:p>
            <w:pPr>
              <w:pStyle w:val="TableParagraph"/>
              <w:spacing w:line="490" w:lineRule="exact" w:before="37"/>
              <w:ind w:left="103" w:right="108"/>
              <w:jc w:val="left"/>
              <w:rPr>
                <w:rFonts w:ascii="宋体" w:hAnsi="宋体" w:cs="宋体" w:eastAsia="宋体" w:hint="default"/>
                <w:sz w:val="21"/>
                <w:szCs w:val="21"/>
              </w:rPr>
            </w:pPr>
            <w:r>
              <w:rPr>
                <w:rFonts w:ascii="宋体" w:hAnsi="宋体" w:cs="宋体" w:eastAsia="宋体" w:hint="default"/>
                <w:spacing w:val="3"/>
                <w:sz w:val="21"/>
                <w:szCs w:val="21"/>
              </w:rPr>
              <w:t>第六届董事局第八次定</w:t>
            </w:r>
            <w:r>
              <w:rPr>
                <w:rFonts w:ascii="宋体" w:hAnsi="宋体" w:cs="宋体" w:eastAsia="宋体" w:hint="default"/>
                <w:w w:val="99"/>
                <w:sz w:val="21"/>
                <w:szCs w:val="21"/>
              </w:rPr>
              <w:t> </w:t>
            </w:r>
            <w:r>
              <w:rPr>
                <w:rFonts w:ascii="宋体" w:hAnsi="宋体" w:cs="宋体" w:eastAsia="宋体" w:hint="default"/>
                <w:sz w:val="21"/>
                <w:szCs w:val="21"/>
              </w:rPr>
              <w:t>期会议审批</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-1,183,400</w:t>
            </w:r>
          </w:p>
        </w:tc>
      </w:tr>
      <w:tr>
        <w:trPr>
          <w:trHeight w:val="499" w:hRule="exact"/>
        </w:trPr>
        <w:tc>
          <w:tcPr>
            <w:tcW w:w="3291" w:type="dxa"/>
            <w:vMerge/>
            <w:tcBorders>
              <w:left w:val="nil" w:sz="6" w:space="0" w:color="auto"/>
              <w:bottom w:val="single" w:sz="4" w:space="0" w:color="000000"/>
              <w:right w:val="single" w:sz="4" w:space="0" w:color="000000"/>
            </w:tcBorders>
          </w:tcPr>
          <w:p>
            <w:pPr/>
          </w:p>
        </w:tc>
        <w:tc>
          <w:tcPr>
            <w:tcW w:w="2360" w:type="dxa"/>
            <w:vMerge/>
            <w:tcBorders>
              <w:left w:val="single" w:sz="4" w:space="0" w:color="000000"/>
              <w:bottom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-1,183,400</w:t>
            </w:r>
          </w:p>
        </w:tc>
      </w:tr>
    </w:tbl>
    <w:p>
      <w:pPr>
        <w:spacing w:line="240" w:lineRule="auto" w:before="11"/>
        <w:rPr>
          <w:rFonts w:ascii="宋体" w:hAnsi="宋体" w:cs="宋体" w:eastAsia="宋体" w:hint="default"/>
          <w:sz w:val="8"/>
          <w:szCs w:val="8"/>
        </w:rPr>
      </w:pPr>
    </w:p>
    <w:p>
      <w:pPr>
        <w:spacing w:line="374" w:lineRule="auto" w:before="26"/>
        <w:ind w:left="215" w:right="225" w:firstLine="603"/>
        <w:jc w:val="both"/>
        <w:rPr>
          <w:rFonts w:ascii="宋体" w:hAnsi="宋体" w:cs="宋体" w:eastAsia="宋体" w:hint="default"/>
          <w:sz w:val="24"/>
          <w:szCs w:val="24"/>
        </w:rPr>
      </w:pPr>
      <w:r>
        <w:rPr>
          <w:rFonts w:ascii="宋体" w:hAnsi="宋体" w:cs="宋体" w:eastAsia="宋体" w:hint="default"/>
          <w:spacing w:val="-3"/>
          <w:sz w:val="24"/>
          <w:szCs w:val="24"/>
        </w:rPr>
        <w:t>为了能够更加公允、恰当地反映本公司的财务状况和经营成果，使固定资产折旧年限与</w:t>
      </w:r>
      <w:r>
        <w:rPr>
          <w:rFonts w:ascii="宋体" w:hAnsi="宋体" w:cs="宋体" w:eastAsia="宋体" w:hint="default"/>
          <w:w w:val="100"/>
          <w:sz w:val="24"/>
          <w:szCs w:val="24"/>
        </w:rPr>
        <w:t> </w:t>
      </w:r>
      <w:r>
        <w:rPr>
          <w:rFonts w:ascii="宋体" w:hAnsi="宋体" w:cs="宋体" w:eastAsia="宋体" w:hint="default"/>
          <w:sz w:val="24"/>
          <w:szCs w:val="24"/>
        </w:rPr>
        <w:t>其实际使用寿命更加接近，公司依照会计准则等相关会计及税务法规的规定，结合公司的实</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际情况，对固定资产的预计使用寿命、预计净残值进行会计估计变更，会计估计变更情况：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spacing w:before="0"/>
        <w:ind w:left="215" w:right="0" w:firstLine="0"/>
        <w:jc w:val="left"/>
        <w:rPr>
          <w:rFonts w:ascii="宋体" w:hAnsi="宋体" w:cs="宋体" w:eastAsia="宋体" w:hint="default"/>
          <w:sz w:val="24"/>
          <w:szCs w:val="24"/>
        </w:rPr>
      </w:pPr>
      <w:r>
        <w:rPr>
          <w:rFonts w:ascii="宋体" w:hAnsi="宋体" w:cs="宋体" w:eastAsia="宋体" w:hint="default"/>
          <w:sz w:val="24"/>
          <w:szCs w:val="24"/>
        </w:rPr>
        <w:t>变更前的会计估计</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69"/>
        <w:gridCol w:w="2471"/>
        <w:gridCol w:w="2469"/>
        <w:gridCol w:w="2471"/>
      </w:tblGrid>
      <w:tr>
        <w:trPr>
          <w:trHeight w:val="502"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99"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2.375%</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9.50%</w:t>
            </w:r>
          </w:p>
        </w:tc>
      </w:tr>
      <w:tr>
        <w:trPr>
          <w:trHeight w:val="499"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15.83%</w:t>
            </w:r>
          </w:p>
        </w:tc>
      </w:tr>
      <w:tr>
        <w:trPr>
          <w:trHeight w:val="502"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865" w:top="1040" w:bottom="1060" w:left="920" w:right="88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469"/>
        <w:gridCol w:w="2471"/>
        <w:gridCol w:w="2469"/>
        <w:gridCol w:w="2471"/>
      </w:tblGrid>
      <w:tr>
        <w:trPr>
          <w:trHeight w:val="502"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bookmarkStart w:name="26、前期会计差错更正" w:id="81"/>
            <w:bookmarkEnd w:id="81"/>
            <w:r>
              <w:rPr/>
            </w:r>
            <w:bookmarkStart w:name="27、其他主要会计政策、会计估计和财务报表编制方法" w:id="82"/>
            <w:bookmarkEnd w:id="82"/>
            <w:r>
              <w:rPr/>
            </w:r>
            <w:bookmarkStart w:name="三、税项" w:id="83"/>
            <w:bookmarkEnd w:id="83"/>
            <w:r>
              <w:rPr/>
            </w:r>
            <w:bookmarkStart w:name="1、主要税种及税率" w:id="84"/>
            <w:bookmarkEnd w:id="84"/>
            <w:r>
              <w:rPr/>
            </w:r>
            <w:r>
              <w:rPr>
                <w:rFonts w:ascii="宋体" w:hAnsi="宋体" w:cs="宋体" w:eastAsia="宋体" w:hint="default"/>
                <w:sz w:val="21"/>
                <w:szCs w:val="21"/>
              </w:rPr>
              <w:t>电子及其他设备</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6"/>
        <w:rPr>
          <w:rFonts w:ascii="宋体" w:hAnsi="宋体" w:cs="宋体" w:eastAsia="宋体" w:hint="default"/>
          <w:sz w:val="9"/>
          <w:szCs w:val="9"/>
        </w:rPr>
      </w:pPr>
    </w:p>
    <w:p>
      <w:pPr>
        <w:spacing w:before="26"/>
        <w:ind w:left="215" w:right="0" w:firstLine="0"/>
        <w:jc w:val="left"/>
        <w:rPr>
          <w:rFonts w:ascii="宋体" w:hAnsi="宋体" w:cs="宋体" w:eastAsia="宋体" w:hint="default"/>
          <w:sz w:val="24"/>
          <w:szCs w:val="24"/>
        </w:rPr>
      </w:pPr>
      <w:r>
        <w:rPr>
          <w:rFonts w:ascii="宋体" w:hAnsi="宋体" w:cs="宋体" w:eastAsia="宋体" w:hint="default"/>
          <w:sz w:val="24"/>
          <w:szCs w:val="24"/>
        </w:rPr>
        <w:t>变更后的会计估计</w:t>
      </w:r>
    </w:p>
    <w:p>
      <w:pPr>
        <w:spacing w:line="240" w:lineRule="auto" w:before="10"/>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442"/>
        <w:gridCol w:w="2440"/>
        <w:gridCol w:w="2442"/>
        <w:gridCol w:w="2442"/>
      </w:tblGrid>
      <w:tr>
        <w:trPr>
          <w:trHeight w:val="511"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09"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一、房屋及建筑物</w:t>
            </w:r>
          </w:p>
        </w:tc>
        <w:tc>
          <w:tcPr>
            <w:tcW w:w="2440" w:type="dxa"/>
            <w:tcBorders>
              <w:top w:val="single" w:sz="4" w:space="0" w:color="000000"/>
              <w:left w:val="single" w:sz="4" w:space="0" w:color="000000"/>
              <w:bottom w:val="single" w:sz="4" w:space="0" w:color="000000"/>
              <w:right w:val="single" w:sz="4" w:space="0" w:color="000000"/>
            </w:tcBorders>
          </w:tcPr>
          <w:p>
            <w:pPr/>
          </w:p>
        </w:tc>
        <w:tc>
          <w:tcPr>
            <w:tcW w:w="2442" w:type="dxa"/>
            <w:tcBorders>
              <w:top w:val="single" w:sz="4" w:space="0" w:color="000000"/>
              <w:left w:val="single" w:sz="4" w:space="0" w:color="000000"/>
              <w:bottom w:val="single" w:sz="4" w:space="0" w:color="000000"/>
              <w:right w:val="single" w:sz="4" w:space="0" w:color="000000"/>
            </w:tcBorders>
          </w:tcPr>
          <w:p>
            <w:pPr/>
          </w:p>
        </w:tc>
        <w:tc>
          <w:tcPr>
            <w:tcW w:w="244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3.23%</w:t>
            </w:r>
          </w:p>
        </w:tc>
      </w:tr>
      <w:tr>
        <w:trPr>
          <w:trHeight w:val="509"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非生产用房</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w:t>
            </w:r>
            <w:r>
              <w:rPr>
                <w:rFonts w:ascii="宋体" w:hAnsi="宋体" w:cs="宋体" w:eastAsia="宋体" w:hint="default"/>
                <w:sz w:val="21"/>
                <w:szCs w:val="21"/>
              </w:rPr>
              <w:t>—</w:t>
            </w:r>
            <w:r>
              <w:rPr>
                <w:rFonts w:ascii="Times New Roman" w:hAnsi="Times New Roman" w:cs="Times New Roman" w:eastAsia="Times New Roman" w:hint="default"/>
                <w:sz w:val="21"/>
                <w:szCs w:val="21"/>
              </w:rPr>
              <w:t>2.77%</w:t>
            </w:r>
          </w:p>
        </w:tc>
      </w:tr>
      <w:tr>
        <w:trPr>
          <w:trHeight w:val="511"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简易房</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19.2%</w:t>
            </w:r>
          </w:p>
        </w:tc>
      </w:tr>
      <w:tr>
        <w:trPr>
          <w:trHeight w:val="509"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其他建筑物</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9.6%</w:t>
            </w:r>
          </w:p>
        </w:tc>
      </w:tr>
      <w:tr>
        <w:trPr>
          <w:trHeight w:val="511"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二、机器设备</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w:t>
            </w:r>
            <w:r>
              <w:rPr>
                <w:rFonts w:ascii="Times New Roman" w:hAnsi="Times New Roman" w:cs="Times New Roman" w:eastAsia="Times New Roman" w:hint="default"/>
                <w:sz w:val="21"/>
                <w:szCs w:val="21"/>
              </w:rPr>
              <w:t>9.7%</w:t>
            </w:r>
          </w:p>
        </w:tc>
      </w:tr>
      <w:tr>
        <w:trPr>
          <w:trHeight w:val="509"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三、运输设备</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16.17%</w:t>
            </w:r>
          </w:p>
        </w:tc>
      </w:tr>
      <w:tr>
        <w:trPr>
          <w:trHeight w:val="511" w:hRule="exact"/>
        </w:trPr>
        <w:tc>
          <w:tcPr>
            <w:tcW w:w="2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四、电子及其他设备</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3"/>
        <w:ind w:left="533" w:right="6403" w:hanging="3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本公司本期无会计差错更正事项。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72" w:lineRule="auto" w:before="0"/>
        <w:ind w:left="639" w:right="0" w:hanging="4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、其他主要会计政策、会计估计和财务报表编制方法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1"/>
          <w:w w:val="99"/>
          <w:sz w:val="21"/>
          <w:szCs w:val="21"/>
        </w:rPr>
        <w:t>根据《中华人民共和国公司法》，本公司税后净利润在弥补以前年度未弥补亏损后，提取法定盈余公</w:t>
      </w:r>
      <w:r>
        <w:rPr>
          <w:rFonts w:ascii="宋体" w:hAnsi="宋体" w:cs="宋体" w:eastAsia="宋体" w:hint="default"/>
          <w:spacing w:val="-1"/>
          <w:sz w:val="21"/>
          <w:szCs w:val="21"/>
        </w:rPr>
      </w:r>
    </w:p>
    <w:p>
      <w:pPr>
        <w:pStyle w:val="BodyText"/>
        <w:spacing w:line="412" w:lineRule="auto" w:before="111"/>
        <w:ind w:left="215" w:right="211"/>
        <w:jc w:val="left"/>
      </w:pPr>
      <w:r>
        <w:rPr/>
        <w:t>积</w:t>
      </w:r>
      <w:r>
        <w:rPr>
          <w:spacing w:val="-70"/>
        </w:rPr>
        <w:t> </w:t>
      </w:r>
      <w:r>
        <w:rPr>
          <w:rFonts w:ascii="Times New Roman" w:hAnsi="Times New Roman" w:cs="Times New Roman" w:eastAsia="Times New Roman" w:hint="default"/>
        </w:rPr>
        <w:t>10%</w:t>
      </w:r>
      <w:r>
        <w:rPr/>
        <w:t>，计入当期利润分配；剩余未分配的利润由董事会提出利润分配预案报股东大会批准后实施，计入</w:t>
      </w:r>
      <w:r>
        <w:rPr>
          <w:w w:val="99"/>
        </w:rPr>
        <w:t> </w:t>
      </w:r>
      <w:r>
        <w:rPr/>
        <w:t>实施当期的利润分配。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221" w:right="0"/>
        <w:jc w:val="left"/>
        <w:rPr>
          <w:rFonts w:ascii="宋体" w:hAnsi="宋体" w:cs="宋体" w:eastAsia="宋体" w:hint="default"/>
        </w:rPr>
      </w:pPr>
      <w:r>
        <w:rPr>
          <w:rFonts w:ascii="宋体" w:hAnsi="宋体" w:cs="宋体" w:eastAsia="宋体" w:hint="default"/>
        </w:rPr>
        <w:t>三、税项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left="221" w:right="0"/>
        <w:jc w:val="left"/>
        <w:rPr>
          <w:b w:val="0"/>
          <w:bCs w:val="0"/>
        </w:rPr>
      </w:pPr>
      <w:r>
        <w:rPr>
          <w:rFonts w:ascii="Times New Roman" w:hAnsi="Times New Roman" w:cs="Times New Roman" w:eastAsia="Times New Roman" w:hint="default"/>
        </w:rPr>
        <w:t>1</w:t>
      </w:r>
      <w:r>
        <w:rPr/>
        <w:t>、主要税种及税率</w:t>
      </w:r>
      <w:r>
        <w:rPr>
          <w:b w:val="0"/>
          <w:bCs w:val="0"/>
        </w:rPr>
      </w:r>
    </w:p>
    <w:tbl>
      <w:tblPr>
        <w:tblW w:w="0" w:type="auto"/>
        <w:jc w:val="left"/>
        <w:tblInd w:w="210" w:type="dxa"/>
        <w:tblLayout w:type="fixed"/>
        <w:tblCellMar>
          <w:top w:w="0" w:type="dxa"/>
          <w:left w:w="0" w:type="dxa"/>
          <w:bottom w:w="0" w:type="dxa"/>
          <w:right w:w="0" w:type="dxa"/>
        </w:tblCellMar>
        <w:tblLook w:val="01E0"/>
      </w:tblPr>
      <w:tblGrid>
        <w:gridCol w:w="1891"/>
        <w:gridCol w:w="5784"/>
        <w:gridCol w:w="1987"/>
      </w:tblGrid>
      <w:tr>
        <w:trPr>
          <w:trHeight w:val="509"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11"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w:t>
            </w:r>
          </w:p>
        </w:tc>
      </w:tr>
      <w:tr>
        <w:trPr>
          <w:trHeight w:val="509"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物业代收水电费</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61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p>
        </w:tc>
      </w:tr>
      <w:tr>
        <w:trPr>
          <w:trHeight w:val="511"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房地产销售收入、出租收入、劳务收入的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，运输及装卸收入的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6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509"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5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房屋原值的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65" w:top="1040" w:bottom="1060" w:left="920" w:right="88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1889"/>
        <w:gridCol w:w="5786"/>
        <w:gridCol w:w="1987"/>
      </w:tblGrid>
      <w:tr>
        <w:trPr>
          <w:trHeight w:val="511"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7" w:right="0"/>
              <w:jc w:val="center"/>
              <w:rPr>
                <w:rFonts w:ascii="宋体" w:hAnsi="宋体" w:cs="宋体" w:eastAsia="宋体" w:hint="default"/>
                <w:sz w:val="18"/>
                <w:szCs w:val="18"/>
              </w:rPr>
            </w:pPr>
            <w:bookmarkStart w:name="2、其他说明" w:id="85"/>
            <w:bookmarkEnd w:id="85"/>
            <w:r>
              <w:rPr/>
            </w:r>
            <w:r>
              <w:rPr>
                <w:rFonts w:ascii="宋体" w:hAnsi="宋体" w:cs="宋体" w:eastAsia="宋体" w:hint="default"/>
                <w:sz w:val="18"/>
                <w:szCs w:val="18"/>
              </w:rPr>
              <w:t>税种</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09"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房地产销售增值额</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超率累进税率</w:t>
            </w:r>
          </w:p>
        </w:tc>
      </w:tr>
    </w:tbl>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before="34"/>
        <w:ind w:left="539" w:right="108"/>
        <w:jc w:val="left"/>
      </w:pPr>
      <w:r>
        <w:rPr/>
        <w:t>根据新企业所得税法，自</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日起，企业所得税率统一为</w:t>
      </w:r>
      <w:r>
        <w:rPr>
          <w:spacing w:val="-55"/>
        </w:rPr>
        <w:t> </w:t>
      </w:r>
      <w:r>
        <w:rPr>
          <w:rFonts w:ascii="Times New Roman" w:hAnsi="Times New Roman" w:cs="Times New Roman" w:eastAsia="Times New Roman" w:hint="default"/>
        </w:rPr>
        <w:t>25</w:t>
      </w:r>
      <w:r>
        <w:rPr/>
        <w:t>％。</w:t>
      </w:r>
    </w:p>
    <w:p>
      <w:pPr>
        <w:spacing w:line="240" w:lineRule="auto" w:before="5"/>
        <w:rPr>
          <w:rFonts w:ascii="宋体" w:hAnsi="宋体" w:cs="宋体" w:eastAsia="宋体" w:hint="default"/>
          <w:sz w:val="17"/>
          <w:szCs w:val="17"/>
        </w:rPr>
      </w:pPr>
    </w:p>
    <w:p>
      <w:pPr>
        <w:pStyle w:val="BodyText"/>
        <w:spacing w:line="429" w:lineRule="auto"/>
        <w:ind w:right="115" w:firstLine="423"/>
        <w:jc w:val="both"/>
      </w:pPr>
      <w:r>
        <w:rPr>
          <w:w w:val="99"/>
        </w:rPr>
        <w:t>根据</w:t>
      </w:r>
      <w:r>
        <w:rPr>
          <w:rFonts w:ascii="Times New Roman" w:hAnsi="Times New Roman" w:cs="Times New Roman" w:eastAsia="Times New Roman" w:hint="default"/>
          <w:w w:val="99"/>
        </w:rPr>
        <w:t>“</w:t>
      </w:r>
      <w:r>
        <w:rPr>
          <w:w w:val="99"/>
        </w:rPr>
        <w:t>国务院关于实施企业所得税过渡优惠政策的通知</w:t>
      </w:r>
      <w:r>
        <w:rPr>
          <w:rFonts w:ascii="Times New Roman" w:hAnsi="Times New Roman" w:cs="Times New Roman" w:eastAsia="Times New Roman" w:hint="default"/>
          <w:w w:val="99"/>
        </w:rPr>
        <w:t>”</w:t>
      </w:r>
      <w:r>
        <w:rPr>
          <w:w w:val="99"/>
        </w:rPr>
        <w:t>自</w:t>
      </w:r>
      <w:r>
        <w:rPr>
          <w:spacing w:val="-46"/>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2"/>
          <w:w w:val="99"/>
        </w:rPr>
        <w:t> </w:t>
      </w:r>
      <w:r>
        <w:rPr>
          <w:w w:val="99"/>
        </w:rPr>
        <w:t>年</w:t>
      </w:r>
      <w:r>
        <w:rPr>
          <w:spacing w:val="-49"/>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5"/>
          <w:w w:val="99"/>
        </w:rPr>
        <w:t> </w:t>
      </w:r>
      <w:r>
        <w:rPr>
          <w:w w:val="99"/>
        </w:rPr>
        <w:t>月</w:t>
      </w:r>
      <w:r>
        <w:rPr>
          <w:spacing w:val="-49"/>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5"/>
          <w:w w:val="99"/>
        </w:rPr>
        <w:t> </w:t>
      </w:r>
      <w:r>
        <w:rPr>
          <w:spacing w:val="-7"/>
          <w:w w:val="99"/>
        </w:rPr>
        <w:t>日起，原享受低税率优惠政策</w:t>
      </w:r>
      <w:r>
        <w:rPr>
          <w:w w:val="99"/>
        </w:rPr>
        <w:t> </w:t>
      </w:r>
      <w:r>
        <w:rPr/>
        <w:t>的企业，在新税法施行后</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年内逐步过渡到法定税率。其中：享受企业所得税</w:t>
      </w:r>
      <w:r>
        <w:rPr>
          <w:spacing w:val="-70"/>
        </w:rPr>
        <w:t> </w:t>
      </w:r>
      <w:r>
        <w:rPr>
          <w:rFonts w:ascii="Times New Roman" w:hAnsi="Times New Roman" w:cs="Times New Roman" w:eastAsia="Times New Roman" w:hint="default"/>
        </w:rPr>
        <w:t>15%</w:t>
      </w:r>
      <w:r>
        <w:rPr/>
        <w:t>税率的企业，</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年按</w:t>
      </w:r>
      <w:r>
        <w:rPr>
          <w:w w:val="99"/>
        </w:rPr>
        <w:t> </w:t>
      </w:r>
      <w:r>
        <w:rPr>
          <w:rFonts w:ascii="Times New Roman" w:hAnsi="Times New Roman" w:cs="Times New Roman" w:eastAsia="Times New Roman" w:hint="default"/>
          <w:spacing w:val="-5"/>
        </w:rPr>
        <w:t>18%</w:t>
      </w:r>
      <w:r>
        <w:rPr>
          <w:spacing w:val="-5"/>
        </w:rPr>
        <w:t>税率执行，</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
        </w:rPr>
        <w:t> </w:t>
      </w:r>
      <w:r>
        <w:rPr/>
        <w:t>年按</w:t>
      </w:r>
      <w:r>
        <w:rPr>
          <w:spacing w:val="-53"/>
        </w:rPr>
        <w:t> </w:t>
      </w:r>
      <w:r>
        <w:rPr>
          <w:rFonts w:ascii="Times New Roman" w:hAnsi="Times New Roman" w:cs="Times New Roman" w:eastAsia="Times New Roman" w:hint="default"/>
          <w:spacing w:val="-5"/>
        </w:rPr>
        <w:t>20%</w:t>
      </w:r>
      <w:r>
        <w:rPr>
          <w:spacing w:val="-5"/>
        </w:rPr>
        <w:t>税率执行，</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年按</w:t>
      </w:r>
      <w:r>
        <w:rPr>
          <w:spacing w:val="-53"/>
        </w:rPr>
        <w:t> </w:t>
      </w:r>
      <w:r>
        <w:rPr>
          <w:rFonts w:ascii="Times New Roman" w:hAnsi="Times New Roman" w:cs="Times New Roman" w:eastAsia="Times New Roman" w:hint="default"/>
          <w:spacing w:val="-6"/>
        </w:rPr>
        <w:t>22%</w:t>
      </w:r>
      <w:r>
        <w:rPr>
          <w:spacing w:val="-6"/>
        </w:rPr>
        <w:t>税率执行，</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4"/>
        </w:rPr>
        <w:t> </w:t>
      </w:r>
      <w:r>
        <w:rPr/>
        <w:t>年按</w:t>
      </w:r>
      <w:r>
        <w:rPr>
          <w:spacing w:val="-53"/>
        </w:rPr>
        <w:t> </w:t>
      </w:r>
      <w:r>
        <w:rPr>
          <w:rFonts w:ascii="Times New Roman" w:hAnsi="Times New Roman" w:cs="Times New Roman" w:eastAsia="Times New Roman" w:hint="default"/>
          <w:spacing w:val="-5"/>
        </w:rPr>
        <w:t>24%</w:t>
      </w:r>
      <w:r>
        <w:rPr>
          <w:spacing w:val="-5"/>
        </w:rPr>
        <w:t>税率执行，</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
        </w:rPr>
        <w:t> </w:t>
      </w:r>
      <w:r>
        <w:rPr/>
        <w:t>年按</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w w:val="99"/>
        </w:rPr>
        <w:t> </w:t>
      </w:r>
      <w:r>
        <w:rPr/>
        <w:t>税率执行；原执行</w:t>
      </w:r>
      <w:r>
        <w:rPr>
          <w:spacing w:val="-52"/>
        </w:rPr>
        <w:t> </w:t>
      </w:r>
      <w:r>
        <w:rPr>
          <w:rFonts w:ascii="Times New Roman" w:hAnsi="Times New Roman" w:cs="Times New Roman" w:eastAsia="Times New Roman" w:hint="default"/>
        </w:rPr>
        <w:t>24%</w:t>
      </w:r>
      <w:r>
        <w:rPr/>
        <w:t>税率的企业，</w:t>
      </w:r>
      <w:r>
        <w:rPr>
          <w:rFonts w:ascii="Times New Roman" w:hAnsi="Times New Roman" w:cs="Times New Roman" w:eastAsia="Times New Roman" w:hint="default"/>
        </w:rPr>
        <w:t>2008 </w:t>
      </w:r>
      <w:r>
        <w:rPr/>
        <w:t>年起按</w:t>
      </w:r>
      <w:r>
        <w:rPr>
          <w:spacing w:val="-49"/>
        </w:rPr>
        <w:t> </w:t>
      </w:r>
      <w:r>
        <w:rPr>
          <w:rFonts w:ascii="Times New Roman" w:hAnsi="Times New Roman" w:cs="Times New Roman" w:eastAsia="Times New Roman" w:hint="default"/>
        </w:rPr>
        <w:t>25%</w:t>
      </w:r>
      <w:r>
        <w:rPr/>
        <w:t>税率执行。</w:t>
      </w:r>
    </w:p>
    <w:p>
      <w:pPr>
        <w:pStyle w:val="BodyText"/>
        <w:spacing w:line="441" w:lineRule="auto" w:before="46"/>
        <w:ind w:right="123" w:firstLine="423"/>
        <w:jc w:val="both"/>
      </w:pPr>
      <w:r>
        <w:rPr/>
        <w:t>自</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日起，原享受企业所得税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五免五减半</w:t>
      </w:r>
      <w:r>
        <w:rPr>
          <w:rFonts w:ascii="Times New Roman" w:hAnsi="Times New Roman" w:cs="Times New Roman" w:eastAsia="Times New Roman" w:hint="default"/>
        </w:rPr>
        <w:t>”</w:t>
      </w:r>
      <w:r>
        <w:rPr/>
        <w:t>等定期减免税优惠的企业，新</w:t>
      </w:r>
      <w:r>
        <w:rPr>
          <w:w w:val="99"/>
        </w:rPr>
        <w:t> </w:t>
      </w:r>
      <w:r>
        <w:rPr/>
        <w:t>税法施行后继续按原税收法律、行政法规及相关文件规定的优惠办法及年限享受至期满为止，但因未获利</w:t>
      </w:r>
      <w:r>
        <w:rPr>
          <w:w w:val="99"/>
        </w:rPr>
        <w:t> </w:t>
      </w:r>
      <w:r>
        <w:rPr/>
        <w:t>而尚未享受税收优惠的，其优惠期限从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年度起计算。</w:t>
      </w:r>
    </w:p>
    <w:p>
      <w:pPr>
        <w:pStyle w:val="BodyText"/>
        <w:spacing w:line="429" w:lineRule="auto" w:before="34"/>
        <w:ind w:right="121" w:firstLine="423"/>
        <w:jc w:val="both"/>
      </w:pPr>
      <w:r>
        <w:rPr/>
        <w:t>本公司</w:t>
      </w:r>
      <w:r>
        <w:rPr>
          <w:spacing w:val="-51"/>
        </w:rPr>
        <w:t> </w:t>
      </w:r>
      <w:r>
        <w:rPr>
          <w:rFonts w:ascii="Times New Roman" w:hAnsi="Times New Roman" w:cs="Times New Roman" w:eastAsia="Times New Roman" w:hint="default"/>
        </w:rPr>
        <w:t>2007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16 </w:t>
      </w:r>
      <w:r>
        <w:rPr>
          <w:spacing w:val="2"/>
        </w:rPr>
        <w:t>日前注册成立的深圳企业原享受企业所得税</w:t>
      </w:r>
      <w:r>
        <w:rPr>
          <w:spacing w:val="-42"/>
        </w:rPr>
        <w:t> </w:t>
      </w:r>
      <w:r>
        <w:rPr>
          <w:rFonts w:ascii="Times New Roman" w:hAnsi="Times New Roman" w:cs="Times New Roman" w:eastAsia="Times New Roman" w:hint="default"/>
        </w:rPr>
        <w:t>15%</w:t>
      </w:r>
      <w:r>
        <w:rPr/>
        <w:t>税率，因此</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年该类深圳</w:t>
      </w:r>
      <w:r>
        <w:rPr>
          <w:w w:val="99"/>
        </w:rPr>
        <w:t> </w:t>
      </w:r>
      <w:r>
        <w:rPr/>
        <w:t>企业执行</w:t>
      </w:r>
      <w:r>
        <w:rPr>
          <w:spacing w:val="-49"/>
        </w:rPr>
        <w:t> </w:t>
      </w:r>
      <w:r>
        <w:rPr>
          <w:rFonts w:ascii="Times New Roman" w:hAnsi="Times New Roman" w:cs="Times New Roman" w:eastAsia="Times New Roman" w:hint="default"/>
        </w:rPr>
        <w:t>24%</w:t>
      </w:r>
      <w:r>
        <w:rPr/>
        <w:t>的所得税率。</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Heading5"/>
        <w:spacing w:line="240" w:lineRule="auto"/>
        <w:ind w:right="0"/>
        <w:jc w:val="both"/>
        <w:rPr>
          <w:b w:val="0"/>
          <w:bCs w:val="0"/>
        </w:rPr>
      </w:pPr>
      <w:r>
        <w:rPr>
          <w:rFonts w:ascii="Times New Roman" w:hAnsi="Times New Roman" w:cs="Times New Roman" w:eastAsia="Times New Roman" w:hint="default"/>
        </w:rPr>
        <w:t>2</w:t>
      </w:r>
      <w:r>
        <w:rPr/>
        <w:t>、其他说明</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29" w:lineRule="auto"/>
        <w:ind w:right="122" w:firstLine="423"/>
        <w:jc w:val="both"/>
        <w:rPr>
          <w:rFonts w:ascii="Times New Roman" w:hAnsi="Times New Roman" w:cs="Times New Roman" w:eastAsia="Times New Roman" w:hint="default"/>
        </w:rPr>
      </w:pPr>
      <w:r>
        <w:rPr>
          <w:spacing w:val="4"/>
          <w:w w:val="99"/>
        </w:rPr>
        <w:t>根</w:t>
      </w:r>
      <w:r>
        <w:rPr>
          <w:spacing w:val="2"/>
          <w:w w:val="99"/>
        </w:rPr>
        <w:t>据</w:t>
      </w:r>
      <w:r>
        <w:rPr>
          <w:spacing w:val="4"/>
          <w:w w:val="99"/>
        </w:rPr>
        <w:t>陕</w:t>
      </w:r>
      <w:r>
        <w:rPr>
          <w:spacing w:val="2"/>
          <w:w w:val="99"/>
        </w:rPr>
        <w:t>西</w:t>
      </w:r>
      <w:r>
        <w:rPr>
          <w:spacing w:val="4"/>
          <w:w w:val="99"/>
        </w:rPr>
        <w:t>省</w:t>
      </w:r>
      <w:r>
        <w:rPr>
          <w:spacing w:val="2"/>
          <w:w w:val="99"/>
        </w:rPr>
        <w:t>地</w:t>
      </w:r>
      <w:r>
        <w:rPr>
          <w:spacing w:val="4"/>
          <w:w w:val="99"/>
        </w:rPr>
        <w:t>方</w:t>
      </w:r>
      <w:r>
        <w:rPr>
          <w:spacing w:val="2"/>
          <w:w w:val="99"/>
        </w:rPr>
        <w:t>税</w:t>
      </w:r>
      <w:r>
        <w:rPr>
          <w:spacing w:val="4"/>
          <w:w w:val="99"/>
        </w:rPr>
        <w:t>务</w:t>
      </w:r>
      <w:r>
        <w:rPr>
          <w:spacing w:val="2"/>
          <w:w w:val="99"/>
        </w:rPr>
        <w:t>局</w:t>
      </w:r>
      <w:r>
        <w:rPr>
          <w:spacing w:val="4"/>
          <w:w w:val="99"/>
        </w:rPr>
        <w:t>《</w:t>
      </w:r>
      <w:r>
        <w:rPr>
          <w:spacing w:val="2"/>
          <w:w w:val="99"/>
        </w:rPr>
        <w:t>陕</w:t>
      </w:r>
      <w:r>
        <w:rPr>
          <w:spacing w:val="4"/>
          <w:w w:val="99"/>
        </w:rPr>
        <w:t>西</w:t>
      </w:r>
      <w:r>
        <w:rPr>
          <w:spacing w:val="2"/>
          <w:w w:val="99"/>
        </w:rPr>
        <w:t>省</w:t>
      </w:r>
      <w:r>
        <w:rPr>
          <w:spacing w:val="4"/>
          <w:w w:val="99"/>
        </w:rPr>
        <w:t>土</w:t>
      </w:r>
      <w:r>
        <w:rPr>
          <w:spacing w:val="2"/>
          <w:w w:val="99"/>
        </w:rPr>
        <w:t>地</w:t>
      </w:r>
      <w:r>
        <w:rPr>
          <w:spacing w:val="4"/>
          <w:w w:val="99"/>
        </w:rPr>
        <w:t>增</w:t>
      </w:r>
      <w:r>
        <w:rPr>
          <w:spacing w:val="2"/>
          <w:w w:val="99"/>
        </w:rPr>
        <w:t>值</w:t>
      </w:r>
      <w:r>
        <w:rPr>
          <w:spacing w:val="4"/>
          <w:w w:val="99"/>
        </w:rPr>
        <w:t>税</w:t>
      </w:r>
      <w:r>
        <w:rPr>
          <w:spacing w:val="2"/>
          <w:w w:val="99"/>
        </w:rPr>
        <w:t>预</w:t>
      </w:r>
      <w:r>
        <w:rPr>
          <w:spacing w:val="4"/>
          <w:w w:val="99"/>
        </w:rPr>
        <w:t>征</w:t>
      </w:r>
      <w:r>
        <w:rPr>
          <w:spacing w:val="2"/>
          <w:w w:val="99"/>
        </w:rPr>
        <w:t>暂</w:t>
      </w:r>
      <w:r>
        <w:rPr>
          <w:spacing w:val="4"/>
          <w:w w:val="99"/>
        </w:rPr>
        <w:t>行</w:t>
      </w:r>
      <w:r>
        <w:rPr>
          <w:spacing w:val="2"/>
          <w:w w:val="99"/>
        </w:rPr>
        <w:t>办</w:t>
      </w:r>
      <w:r>
        <w:rPr>
          <w:spacing w:val="7"/>
          <w:w w:val="99"/>
        </w:rPr>
        <w:t>法</w:t>
      </w:r>
      <w:r>
        <w:rPr>
          <w:spacing w:val="-104"/>
          <w:w w:val="99"/>
        </w:rPr>
        <w:t>》</w:t>
      </w:r>
      <w:r>
        <w:rPr>
          <w:spacing w:val="4"/>
          <w:w w:val="99"/>
        </w:rPr>
        <w:t>（</w:t>
      </w:r>
      <w:r>
        <w:rPr>
          <w:spacing w:val="2"/>
          <w:w w:val="99"/>
        </w:rPr>
        <w:t>陕</w:t>
      </w:r>
      <w:r>
        <w:rPr>
          <w:spacing w:val="4"/>
          <w:w w:val="99"/>
        </w:rPr>
        <w:t>地</w:t>
      </w:r>
      <w:r>
        <w:rPr>
          <w:spacing w:val="2"/>
          <w:w w:val="99"/>
        </w:rPr>
        <w:t>税</w:t>
      </w:r>
      <w:r>
        <w:rPr>
          <w:spacing w:val="4"/>
          <w:w w:val="99"/>
        </w:rPr>
        <w:t>发</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2005</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4"/>
          <w:w w:val="99"/>
        </w:rPr>
        <w:t>号</w:t>
      </w:r>
      <w:r>
        <w:rPr>
          <w:spacing w:val="2"/>
          <w:w w:val="99"/>
        </w:rPr>
        <w:t>）</w:t>
      </w:r>
      <w:r>
        <w:rPr>
          <w:spacing w:val="4"/>
          <w:w w:val="99"/>
        </w:rPr>
        <w:t>和</w:t>
      </w:r>
      <w:r>
        <w:rPr>
          <w:spacing w:val="2"/>
          <w:w w:val="99"/>
        </w:rPr>
        <w:t>《</w:t>
      </w:r>
      <w:r>
        <w:rPr>
          <w:spacing w:val="4"/>
          <w:w w:val="99"/>
        </w:rPr>
        <w:t>陕</w:t>
      </w:r>
      <w:r>
        <w:rPr>
          <w:spacing w:val="2"/>
          <w:w w:val="99"/>
        </w:rPr>
        <w:t>西</w:t>
      </w:r>
      <w:r>
        <w:rPr>
          <w:spacing w:val="4"/>
          <w:w w:val="99"/>
        </w:rPr>
        <w:t>省</w:t>
      </w:r>
      <w:r>
        <w:rPr>
          <w:spacing w:val="2"/>
          <w:w w:val="99"/>
        </w:rPr>
        <w:t>地</w:t>
      </w:r>
      <w:r>
        <w:rPr>
          <w:w w:val="99"/>
        </w:rPr>
        <w:t>方</w:t>
      </w:r>
      <w:r>
        <w:rPr>
          <w:w w:val="99"/>
        </w:rPr>
        <w:t> </w:t>
      </w:r>
      <w:r>
        <w:rPr>
          <w:spacing w:val="2"/>
          <w:w w:val="99"/>
        </w:rPr>
        <w:t>税</w:t>
      </w:r>
      <w:r>
        <w:rPr>
          <w:w w:val="99"/>
        </w:rPr>
        <w:t>务</w:t>
      </w:r>
      <w:r>
        <w:rPr>
          <w:spacing w:val="2"/>
          <w:w w:val="99"/>
        </w:rPr>
        <w:t>局</w:t>
      </w:r>
      <w:r>
        <w:rPr>
          <w:w w:val="99"/>
        </w:rPr>
        <w:t>关</w:t>
      </w:r>
      <w:r>
        <w:rPr>
          <w:spacing w:val="2"/>
          <w:w w:val="99"/>
        </w:rPr>
        <w:t>于</w:t>
      </w:r>
      <w:r>
        <w:rPr>
          <w:w w:val="99"/>
        </w:rPr>
        <w:t>调</w:t>
      </w:r>
      <w:r>
        <w:rPr>
          <w:spacing w:val="2"/>
          <w:w w:val="99"/>
        </w:rPr>
        <w:t>整</w:t>
      </w:r>
      <w:r>
        <w:rPr>
          <w:w w:val="99"/>
        </w:rPr>
        <w:t>陕</w:t>
      </w:r>
      <w:r>
        <w:rPr>
          <w:spacing w:val="2"/>
          <w:w w:val="99"/>
        </w:rPr>
        <w:t>西</w:t>
      </w:r>
      <w:r>
        <w:rPr>
          <w:w w:val="99"/>
        </w:rPr>
        <w:t>省</w:t>
      </w:r>
      <w:r>
        <w:rPr>
          <w:spacing w:val="2"/>
          <w:w w:val="99"/>
        </w:rPr>
        <w:t>土</w:t>
      </w:r>
      <w:r>
        <w:rPr>
          <w:w w:val="99"/>
        </w:rPr>
        <w:t>地</w:t>
      </w:r>
      <w:r>
        <w:rPr>
          <w:spacing w:val="2"/>
          <w:w w:val="99"/>
        </w:rPr>
        <w:t>增</w:t>
      </w:r>
      <w:r>
        <w:rPr>
          <w:w w:val="99"/>
        </w:rPr>
        <w:t>值</w:t>
      </w:r>
      <w:r>
        <w:rPr>
          <w:spacing w:val="2"/>
          <w:w w:val="99"/>
        </w:rPr>
        <w:t>税</w:t>
      </w:r>
      <w:r>
        <w:rPr>
          <w:w w:val="99"/>
        </w:rPr>
        <w:t>预</w:t>
      </w:r>
      <w:r>
        <w:rPr>
          <w:spacing w:val="2"/>
          <w:w w:val="99"/>
        </w:rPr>
        <w:t>征</w:t>
      </w:r>
      <w:r>
        <w:rPr>
          <w:w w:val="99"/>
        </w:rPr>
        <w:t>率</w:t>
      </w:r>
      <w:r>
        <w:rPr>
          <w:spacing w:val="2"/>
          <w:w w:val="99"/>
        </w:rPr>
        <w:t>有</w:t>
      </w:r>
      <w:r>
        <w:rPr>
          <w:w w:val="99"/>
        </w:rPr>
        <w:t>关</w:t>
      </w:r>
      <w:r>
        <w:rPr>
          <w:spacing w:val="2"/>
          <w:w w:val="99"/>
        </w:rPr>
        <w:t>问</w:t>
      </w:r>
      <w:r>
        <w:rPr>
          <w:w w:val="99"/>
        </w:rPr>
        <w:t>题</w:t>
      </w:r>
      <w:r>
        <w:rPr>
          <w:spacing w:val="2"/>
          <w:w w:val="99"/>
        </w:rPr>
        <w:t>的</w:t>
      </w:r>
      <w:r>
        <w:rPr>
          <w:w w:val="99"/>
        </w:rPr>
        <w:t>通</w:t>
      </w:r>
      <w:r>
        <w:rPr>
          <w:spacing w:val="4"/>
          <w:w w:val="99"/>
        </w:rPr>
        <w:t>知</w:t>
      </w:r>
      <w:r>
        <w:rPr>
          <w:spacing w:val="-106"/>
          <w:w w:val="99"/>
        </w:rPr>
        <w:t>》</w:t>
      </w:r>
      <w:r>
        <w:rPr>
          <w:spacing w:val="2"/>
          <w:w w:val="99"/>
        </w:rPr>
        <w:t>（陕</w:t>
      </w:r>
      <w:r>
        <w:rPr>
          <w:w w:val="99"/>
        </w:rPr>
        <w:t>地</w:t>
      </w:r>
      <w:r>
        <w:rPr>
          <w:spacing w:val="2"/>
          <w:w w:val="99"/>
        </w:rPr>
        <w:t>税</w:t>
      </w:r>
      <w:r>
        <w:rPr>
          <w:w w:val="99"/>
        </w:rPr>
        <w:t>发</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w w:val="99"/>
        </w:rPr>
        <w:t>号</w:t>
      </w:r>
      <w:r>
        <w:rPr>
          <w:w w:val="99"/>
        </w:rPr>
        <w:t>）</w:t>
      </w:r>
      <w:r>
        <w:rPr>
          <w:spacing w:val="2"/>
          <w:w w:val="99"/>
        </w:rPr>
        <w:t>文</w:t>
      </w:r>
      <w:r>
        <w:rPr>
          <w:w w:val="99"/>
        </w:rPr>
        <w:t>件</w:t>
      </w:r>
      <w:r>
        <w:rPr>
          <w:spacing w:val="2"/>
          <w:w w:val="99"/>
        </w:rPr>
        <w:t>的</w:t>
      </w:r>
      <w:r>
        <w:rPr>
          <w:w w:val="99"/>
        </w:rPr>
        <w:t>规定，自</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5</w:t>
      </w:r>
      <w:r>
        <w:rPr>
          <w:rFonts w:ascii="Times New Roman" w:hAnsi="Times New Roman" w:cs="Times New Roman" w:eastAsia="Times New Roman" w:hint="default"/>
        </w:rPr>
      </w:r>
    </w:p>
    <w:p>
      <w:pPr>
        <w:pStyle w:val="BodyText"/>
        <w:spacing w:line="240" w:lineRule="auto" w:before="46"/>
        <w:ind w:right="0"/>
        <w:jc w:val="both"/>
        <w:rPr>
          <w:rFonts w:ascii="Times New Roman" w:hAnsi="Times New Roman" w:cs="Times New Roman" w:eastAsia="Times New Roman" w:hint="default"/>
        </w:rPr>
      </w:pP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日起，凡在陕西省从事房地产开发的纳税人，土地增值税征收采取</w:t>
      </w:r>
      <w:r>
        <w:rPr>
          <w:rFonts w:ascii="Times New Roman" w:hAnsi="Times New Roman" w:cs="Times New Roman" w:eastAsia="Times New Roman" w:hint="default"/>
        </w:rPr>
        <w:t>“</w:t>
      </w:r>
      <w:r>
        <w:rPr/>
        <w:t>先预征、后清算、多退少补</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pStyle w:val="BodyText"/>
        <w:spacing w:line="434" w:lineRule="auto"/>
        <w:ind w:right="119"/>
        <w:jc w:val="both"/>
      </w:pPr>
      <w:r>
        <w:rPr/>
        <w:t>的方式。从</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日土地增值税预征率如下：项目所在地位于设（区）市的市区，普通标准住宅</w:t>
      </w:r>
      <w:r>
        <w:rPr>
          <w:spacing w:val="-99"/>
        </w:rPr>
        <w:t> </w:t>
      </w:r>
      <w:r>
        <w:rPr>
          <w:spacing w:val="-99"/>
        </w:rPr>
      </w:r>
      <w:r>
        <w:rPr/>
        <w:t>按销售收入</w:t>
      </w:r>
      <w:r>
        <w:rPr>
          <w:spacing w:val="-69"/>
        </w:rPr>
        <w:t> </w:t>
      </w:r>
      <w:r>
        <w:rPr>
          <w:rFonts w:ascii="Times New Roman" w:hAnsi="Times New Roman" w:cs="Times New Roman" w:eastAsia="Times New Roman" w:hint="default"/>
        </w:rPr>
        <w:t>1%</w:t>
      </w:r>
      <w:r>
        <w:rPr/>
        <w:t>预征，非普通住宅（除别墅外）按销售收入</w:t>
      </w:r>
      <w:r>
        <w:rPr>
          <w:spacing w:val="-69"/>
        </w:rPr>
        <w:t> </w:t>
      </w:r>
      <w:r>
        <w:rPr>
          <w:rFonts w:ascii="Times New Roman" w:hAnsi="Times New Roman" w:cs="Times New Roman" w:eastAsia="Times New Roman" w:hint="default"/>
        </w:rPr>
        <w:t>1.5%</w:t>
      </w:r>
      <w:r>
        <w:rPr/>
        <w:t>预征，别墅、写字楼、营业用房为</w:t>
      </w:r>
      <w:r>
        <w:rPr>
          <w:spacing w:val="-69"/>
        </w:rPr>
        <w:t> </w:t>
      </w:r>
      <w:r>
        <w:rPr>
          <w:rFonts w:ascii="Times New Roman" w:hAnsi="Times New Roman" w:cs="Times New Roman" w:eastAsia="Times New Roman" w:hint="default"/>
        </w:rPr>
        <w:t>2.5%</w:t>
      </w:r>
      <w:r>
        <w:rPr/>
        <w:t>。</w:t>
      </w:r>
      <w:r>
        <w:rPr>
          <w:w w:val="64"/>
        </w:rPr>
        <w:t> </w:t>
      </w:r>
      <w:r>
        <w:rPr/>
        <w:t>据《西安市房屋管理局、西安财政局、西安市地方税务局关于公布西安市享受优惠政策普通住房标准的通</w:t>
      </w:r>
      <w:r>
        <w:rPr>
          <w:w w:val="99"/>
        </w:rPr>
        <w:t> </w:t>
      </w:r>
      <w:r>
        <w:rPr/>
        <w:t>知》</w:t>
      </w:r>
      <w:r>
        <w:rPr>
          <w:rFonts w:ascii="Times New Roman" w:hAnsi="Times New Roman" w:cs="Times New Roman" w:eastAsia="Times New Roman" w:hint="default"/>
        </w:rPr>
        <w:t>(</w:t>
      </w:r>
      <w:r>
        <w:rPr/>
        <w:t>市房发【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109</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规定，土地增值税</w:t>
      </w:r>
      <w:r>
        <w:rPr>
          <w:rFonts w:ascii="Times New Roman" w:hAnsi="Times New Roman" w:cs="Times New Roman" w:eastAsia="Times New Roman" w:hint="default"/>
        </w:rPr>
        <w:t>“</w:t>
      </w:r>
      <w:r>
        <w:rPr/>
        <w:t>普通标准住宅</w:t>
      </w:r>
      <w:r>
        <w:rPr>
          <w:rFonts w:ascii="Times New Roman" w:hAnsi="Times New Roman" w:cs="Times New Roman" w:eastAsia="Times New Roman" w:hint="default"/>
        </w:rPr>
        <w:t>”</w:t>
      </w:r>
      <w:r>
        <w:rPr/>
        <w:t>执行标准为：住宅小区建筑容积率在</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以</w:t>
      </w:r>
      <w:r>
        <w:rPr>
          <w:w w:val="99"/>
        </w:rPr>
        <w:t> </w:t>
      </w:r>
      <w:r>
        <w:rPr/>
        <w:t>上、单套建筑面积</w:t>
      </w:r>
      <w:r>
        <w:rPr>
          <w:spacing w:val="-50"/>
        </w:rPr>
        <w:t> </w:t>
      </w:r>
      <w:r>
        <w:rPr>
          <w:rFonts w:ascii="Times New Roman" w:hAnsi="Times New Roman" w:cs="Times New Roman" w:eastAsia="Times New Roman" w:hint="default"/>
        </w:rPr>
        <w:t>144</w:t>
      </w:r>
      <w:r>
        <w:rPr>
          <w:rFonts w:ascii="Times New Roman" w:hAnsi="Times New Roman" w:cs="Times New Roman" w:eastAsia="Times New Roman" w:hint="default"/>
          <w:spacing w:val="4"/>
        </w:rPr>
        <w:t> </w:t>
      </w:r>
      <w:r>
        <w:rPr/>
        <w:t>平方米以下、实际成交价格低于同级别土地上住房平均交易价格的</w:t>
      </w:r>
      <w:r>
        <w:rPr>
          <w:spacing w:val="-50"/>
        </w:rPr>
        <w:t> </w:t>
      </w:r>
      <w:r>
        <w:rPr>
          <w:rFonts w:ascii="Times New Roman" w:hAnsi="Times New Roman" w:cs="Times New Roman" w:eastAsia="Times New Roman" w:hint="default"/>
        </w:rPr>
        <w:t>1.44</w:t>
      </w:r>
      <w:r>
        <w:rPr>
          <w:rFonts w:ascii="Times New Roman" w:hAnsi="Times New Roman" w:cs="Times New Roman" w:eastAsia="Times New Roman" w:hint="default"/>
          <w:spacing w:val="2"/>
        </w:rPr>
        <w:t> </w:t>
      </w:r>
      <w:r>
        <w:rPr/>
        <w:t>倍以下。</w:t>
      </w:r>
    </w:p>
    <w:p>
      <w:pPr>
        <w:pStyle w:val="BodyText"/>
        <w:spacing w:line="429" w:lineRule="auto" w:before="41"/>
        <w:ind w:right="123" w:firstLine="423"/>
        <w:jc w:val="both"/>
      </w:pPr>
      <w:r>
        <w:rPr>
          <w:w w:val="95"/>
        </w:rPr>
        <w:t>本公司西安所开发楼盘</w:t>
      </w:r>
      <w:r>
        <w:rPr>
          <w:rFonts w:ascii="Times New Roman" w:hAnsi="Times New Roman" w:cs="Times New Roman" w:eastAsia="Times New Roman" w:hint="default"/>
          <w:w w:val="95"/>
        </w:rPr>
        <w:t>“</w:t>
      </w:r>
      <w:r>
        <w:rPr>
          <w:w w:val="95"/>
        </w:rPr>
        <w:t>鸿基</w:t>
      </w:r>
      <w:r>
        <w:rPr>
          <w:rFonts w:ascii="Times New Roman" w:hAnsi="Times New Roman" w:cs="Times New Roman" w:eastAsia="Times New Roman" w:hint="default"/>
          <w:w w:val="95"/>
        </w:rPr>
        <w:t>·</w:t>
      </w:r>
      <w:r>
        <w:rPr>
          <w:w w:val="95"/>
        </w:rPr>
        <w:t>紫韵</w:t>
      </w:r>
      <w:r>
        <w:rPr>
          <w:rFonts w:ascii="Times New Roman" w:hAnsi="Times New Roman" w:cs="Times New Roman" w:eastAsia="Times New Roman" w:hint="default"/>
          <w:w w:val="95"/>
        </w:rPr>
        <w:t>”</w:t>
      </w:r>
      <w:r>
        <w:rPr>
          <w:w w:val="95"/>
        </w:rPr>
        <w:t>不符合以上</w:t>
      </w:r>
      <w:r>
        <w:rPr>
          <w:rFonts w:ascii="Times New Roman" w:hAnsi="Times New Roman" w:cs="Times New Roman" w:eastAsia="Times New Roman" w:hint="default"/>
          <w:w w:val="95"/>
        </w:rPr>
        <w:t>“</w:t>
      </w:r>
      <w:r>
        <w:rPr>
          <w:w w:val="95"/>
        </w:rPr>
        <w:t>普通标准住宅</w:t>
      </w:r>
      <w:r>
        <w:rPr>
          <w:rFonts w:ascii="Times New Roman" w:hAnsi="Times New Roman" w:cs="Times New Roman" w:eastAsia="Times New Roman" w:hint="default"/>
          <w:w w:val="95"/>
        </w:rPr>
        <w:t>”</w:t>
      </w:r>
      <w:r>
        <w:rPr>
          <w:w w:val="95"/>
        </w:rPr>
        <w:t>的标准，为非普通住宅，土地增值税预</w:t>
      </w:r>
      <w:r>
        <w:rPr>
          <w:spacing w:val="-95"/>
          <w:w w:val="95"/>
        </w:rPr>
        <w:t> </w:t>
      </w:r>
      <w:r>
        <w:rPr>
          <w:spacing w:val="-95"/>
          <w:w w:val="95"/>
        </w:rPr>
      </w:r>
      <w:r>
        <w:rPr/>
        <w:t>征率按销售收入</w:t>
      </w:r>
      <w:r>
        <w:rPr>
          <w:spacing w:val="-51"/>
        </w:rPr>
        <w:t> </w:t>
      </w:r>
      <w:r>
        <w:rPr>
          <w:rFonts w:ascii="Times New Roman" w:hAnsi="Times New Roman" w:cs="Times New Roman" w:eastAsia="Times New Roman" w:hint="default"/>
        </w:rPr>
        <w:t>1.5%</w:t>
      </w:r>
      <w:r>
        <w:rPr/>
        <w:t>预征。</w:t>
      </w:r>
    </w:p>
    <w:p>
      <w:pPr>
        <w:spacing w:after="0" w:line="429" w:lineRule="auto"/>
        <w:jc w:val="both"/>
        <w:sectPr>
          <w:pgSz w:w="11910" w:h="16840"/>
          <w:pgMar w:header="0" w:footer="865" w:top="1040" w:bottom="1060" w:left="102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4"/>
        <w:ind w:left="121" w:right="0"/>
        <w:jc w:val="left"/>
        <w:rPr>
          <w:rFonts w:ascii="宋体" w:hAnsi="宋体" w:cs="宋体" w:eastAsia="宋体" w:hint="default"/>
        </w:rPr>
      </w:pPr>
      <w:bookmarkStart w:name="四、企业合并及合并财务报表" w:id="86"/>
      <w:bookmarkEnd w:id="86"/>
      <w:r>
        <w:rPr/>
      </w:r>
      <w:r>
        <w:rPr>
          <w:rFonts w:ascii="宋体" w:hAnsi="宋体" w:cs="宋体" w:eastAsia="宋体" w:hint="default"/>
        </w:rPr>
        <w:t>四、企业合并及合并财务报表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w:t>
      </w:r>
      <w:r>
        <w:rPr/>
        <w:t>、子公司情况</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15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2700"/>
        <w:gridCol w:w="998"/>
        <w:gridCol w:w="849"/>
        <w:gridCol w:w="1280"/>
        <w:gridCol w:w="998"/>
        <w:gridCol w:w="994"/>
        <w:gridCol w:w="881"/>
        <w:gridCol w:w="905"/>
        <w:gridCol w:w="751"/>
        <w:gridCol w:w="948"/>
        <w:gridCol w:w="1063"/>
        <w:gridCol w:w="1063"/>
        <w:gridCol w:w="1066"/>
      </w:tblGrid>
      <w:tr>
        <w:trPr>
          <w:trHeight w:val="1222"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6" w:right="108" w:hanging="378"/>
              <w:jc w:val="left"/>
              <w:rPr>
                <w:rFonts w:ascii="宋体" w:hAnsi="宋体" w:cs="宋体" w:eastAsia="宋体" w:hint="default"/>
                <w:sz w:val="15"/>
                <w:szCs w:val="15"/>
              </w:rPr>
            </w:pPr>
            <w:r>
              <w:rPr>
                <w:rFonts w:ascii="宋体" w:hAnsi="宋体" w:cs="宋体" w:eastAsia="宋体" w:hint="default"/>
                <w:sz w:val="15"/>
                <w:szCs w:val="15"/>
              </w:rPr>
              <w:t>业务性质及经营</w:t>
            </w:r>
            <w:r>
              <w:rPr>
                <w:rFonts w:ascii="宋体" w:hAnsi="宋体" w:cs="宋体" w:eastAsia="宋体" w:hint="default"/>
                <w:w w:val="99"/>
                <w:sz w:val="15"/>
                <w:szCs w:val="15"/>
              </w:rPr>
              <w:t> </w:t>
            </w:r>
            <w:r>
              <w:rPr>
                <w:rFonts w:ascii="宋体" w:hAnsi="宋体" w:cs="宋体" w:eastAsia="宋体" w:hint="default"/>
                <w:sz w:val="15"/>
                <w:szCs w:val="15"/>
              </w:rPr>
              <w:t>范围</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26" w:firstLine="12"/>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99"/>
                <w:sz w:val="15"/>
                <w:szCs w:val="15"/>
              </w:rPr>
              <w:t> </w:t>
            </w:r>
            <w:r>
              <w:rPr>
                <w:rFonts w:ascii="宋体" w:hAnsi="宋体" w:cs="宋体" w:eastAsia="宋体" w:hint="default"/>
                <w:spacing w:val="-8"/>
                <w:sz w:val="15"/>
                <w:szCs w:val="15"/>
              </w:rPr>
              <w:t>资额（万元）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4" w:right="135"/>
              <w:jc w:val="center"/>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99"/>
                <w:sz w:val="15"/>
                <w:szCs w:val="15"/>
              </w:rPr>
              <w:t> </w:t>
            </w:r>
            <w:r>
              <w:rPr>
                <w:rFonts w:ascii="宋体" w:hAnsi="宋体" w:cs="宋体" w:eastAsia="宋体" w:hint="default"/>
                <w:sz w:val="15"/>
                <w:szCs w:val="15"/>
              </w:rPr>
              <w:t>成对子公</w:t>
            </w:r>
            <w:r>
              <w:rPr>
                <w:rFonts w:ascii="宋体" w:hAnsi="宋体" w:cs="宋体" w:eastAsia="宋体" w:hint="default"/>
                <w:w w:val="99"/>
                <w:sz w:val="15"/>
                <w:szCs w:val="15"/>
              </w:rPr>
              <w:t> </w:t>
            </w:r>
            <w:r>
              <w:rPr>
                <w:rFonts w:ascii="宋体" w:hAnsi="宋体" w:cs="宋体" w:eastAsia="宋体" w:hint="default"/>
                <w:sz w:val="15"/>
                <w:szCs w:val="15"/>
              </w:rPr>
              <w:t>司净投资</w:t>
            </w:r>
            <w:r>
              <w:rPr>
                <w:rFonts w:ascii="宋体" w:hAnsi="宋体" w:cs="宋体" w:eastAsia="宋体" w:hint="default"/>
                <w:w w:val="99"/>
                <w:sz w:val="15"/>
                <w:szCs w:val="15"/>
              </w:rPr>
              <w:t> </w:t>
            </w:r>
            <w:r>
              <w:rPr>
                <w:rFonts w:ascii="宋体" w:hAnsi="宋体" w:cs="宋体" w:eastAsia="宋体" w:hint="default"/>
                <w:sz w:val="15"/>
                <w:szCs w:val="15"/>
              </w:rPr>
              <w:t>的其他</w:t>
            </w:r>
            <w:r>
              <w:rPr>
                <w:rFonts w:ascii="宋体" w:hAnsi="宋体" w:cs="宋体" w:eastAsia="宋体" w:hint="default"/>
                <w:w w:val="99"/>
                <w:sz w:val="15"/>
                <w:szCs w:val="15"/>
              </w:rPr>
              <w:t> </w:t>
            </w:r>
            <w:r>
              <w:rPr>
                <w:rFonts w:ascii="宋体" w:hAnsi="宋体" w:cs="宋体" w:eastAsia="宋体" w:hint="default"/>
                <w:sz w:val="15"/>
                <w:szCs w:val="15"/>
              </w:rPr>
              <w:t>项目余额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21"/>
              <w:ind w:left="3" w:right="0"/>
              <w:jc w:val="center"/>
              <w:rPr>
                <w:rFonts w:ascii="Times New Roman" w:hAnsi="Times New Roman" w:cs="Times New Roman" w:eastAsia="Times New Roman" w:hint="default"/>
                <w:sz w:val="15"/>
                <w:szCs w:val="15"/>
              </w:rPr>
            </w:pPr>
            <w:r>
              <w:rPr>
                <w:rFonts w:ascii="Times New Roman"/>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104"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19" w:right="166" w:hanging="150"/>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99"/>
                <w:sz w:val="15"/>
                <w:szCs w:val="15"/>
              </w:rPr>
              <w:t> </w:t>
            </w:r>
            <w:r>
              <w:rPr>
                <w:rFonts w:ascii="宋体" w:hAnsi="宋体" w:cs="宋体" w:eastAsia="宋体" w:hint="default"/>
                <w:sz w:val="15"/>
                <w:szCs w:val="15"/>
              </w:rPr>
              <w:t>报表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530" w:lineRule="auto"/>
              <w:ind w:left="377" w:right="226" w:hanging="15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1" w:right="149"/>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99"/>
                <w:sz w:val="15"/>
                <w:szCs w:val="15"/>
              </w:rPr>
              <w:t> </w:t>
            </w:r>
            <w:r>
              <w:rPr>
                <w:rFonts w:ascii="宋体" w:hAnsi="宋体" w:cs="宋体" w:eastAsia="宋体" w:hint="default"/>
                <w:sz w:val="15"/>
                <w:szCs w:val="15"/>
              </w:rPr>
              <w:t>益中用于冲</w:t>
            </w:r>
            <w:r>
              <w:rPr>
                <w:rFonts w:ascii="宋体" w:hAnsi="宋体" w:cs="宋体" w:eastAsia="宋体" w:hint="default"/>
                <w:w w:val="99"/>
                <w:sz w:val="15"/>
                <w:szCs w:val="15"/>
              </w:rPr>
              <w:t> </w:t>
            </w:r>
            <w:r>
              <w:rPr>
                <w:rFonts w:ascii="宋体" w:hAnsi="宋体" w:cs="宋体" w:eastAsia="宋体" w:hint="default"/>
                <w:sz w:val="15"/>
                <w:szCs w:val="15"/>
              </w:rPr>
              <w:t>减少数股东</w:t>
            </w:r>
            <w:r>
              <w:rPr>
                <w:rFonts w:ascii="宋体" w:hAnsi="宋体" w:cs="宋体" w:eastAsia="宋体" w:hint="default"/>
                <w:w w:val="99"/>
                <w:sz w:val="15"/>
                <w:szCs w:val="15"/>
              </w:rPr>
              <w:t> </w:t>
            </w:r>
            <w:r>
              <w:rPr>
                <w:rFonts w:ascii="宋体" w:hAnsi="宋体" w:cs="宋体" w:eastAsia="宋体" w:hint="default"/>
                <w:sz w:val="15"/>
                <w:szCs w:val="15"/>
              </w:rPr>
              <w:t>损益的金额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156"/>
              <w:jc w:val="left"/>
              <w:rPr>
                <w:rFonts w:ascii="宋体" w:hAnsi="宋体" w:cs="宋体" w:eastAsia="宋体" w:hint="default"/>
                <w:sz w:val="15"/>
                <w:szCs w:val="15"/>
              </w:rPr>
            </w:pPr>
            <w:r>
              <w:rPr>
                <w:rFonts w:ascii="宋体" w:hAnsi="宋体" w:cs="宋体" w:eastAsia="宋体" w:hint="default"/>
                <w:sz w:val="15"/>
                <w:szCs w:val="15"/>
              </w:rPr>
              <w:t>母公司承担</w:t>
            </w:r>
            <w:r>
              <w:rPr>
                <w:rFonts w:ascii="宋体" w:hAnsi="宋体" w:cs="宋体" w:eastAsia="宋体" w:hint="default"/>
                <w:w w:val="99"/>
                <w:sz w:val="15"/>
                <w:szCs w:val="15"/>
              </w:rPr>
              <w:t> </w:t>
            </w:r>
            <w:r>
              <w:rPr>
                <w:rFonts w:ascii="宋体" w:hAnsi="宋体" w:cs="宋体" w:eastAsia="宋体" w:hint="default"/>
                <w:sz w:val="15"/>
                <w:szCs w:val="15"/>
              </w:rPr>
              <w:t>的超额亏损</w:t>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z w:val="15"/>
                <w:szCs w:val="15"/>
              </w:rPr>
              <w:t>房地产开发、物业管理行业</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6,080.02</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38"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6" w:right="108" w:hanging="378"/>
              <w:jc w:val="left"/>
              <w:rPr>
                <w:rFonts w:ascii="宋体" w:hAnsi="宋体" w:cs="宋体" w:eastAsia="宋体" w:hint="default"/>
                <w:sz w:val="15"/>
                <w:szCs w:val="15"/>
              </w:rPr>
            </w:pPr>
            <w:r>
              <w:rPr>
                <w:rFonts w:ascii="宋体" w:hAnsi="宋体" w:cs="宋体" w:eastAsia="宋体" w:hint="default"/>
                <w:sz w:val="15"/>
                <w:szCs w:val="15"/>
              </w:rPr>
              <w:t>物资供销、兴办</w:t>
            </w:r>
            <w:r>
              <w:rPr>
                <w:rFonts w:ascii="宋体" w:hAnsi="宋体" w:cs="宋体" w:eastAsia="宋体" w:hint="default"/>
                <w:w w:val="99"/>
                <w:sz w:val="15"/>
                <w:szCs w:val="15"/>
              </w:rPr>
              <w:t> </w:t>
            </w:r>
            <w:r>
              <w:rPr>
                <w:rFonts w:ascii="宋体" w:hAnsi="宋体" w:cs="宋体" w:eastAsia="宋体" w:hint="default"/>
                <w:sz w:val="15"/>
                <w:szCs w:val="15"/>
              </w:rPr>
              <w:t>实业</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1,500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1,050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sz w:val="15"/>
              </w:rPr>
              <w:t>70%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5"/>
                <w:sz w:val="15"/>
              </w:rPr>
              <w:t>-9,931,542.96</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5,431,542.96</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4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09" w:right="108" w:hanging="301"/>
              <w:jc w:val="left"/>
              <w:rPr>
                <w:rFonts w:ascii="宋体" w:hAnsi="宋体" w:cs="宋体" w:eastAsia="宋体" w:hint="default"/>
                <w:sz w:val="15"/>
                <w:szCs w:val="15"/>
              </w:rPr>
            </w:pPr>
            <w:r>
              <w:rPr>
                <w:rFonts w:ascii="宋体" w:hAnsi="宋体" w:cs="宋体" w:eastAsia="宋体" w:hint="default"/>
                <w:sz w:val="15"/>
                <w:szCs w:val="15"/>
              </w:rPr>
              <w:t>房地产开发、物</w:t>
            </w:r>
            <w:r>
              <w:rPr>
                <w:rFonts w:ascii="宋体" w:hAnsi="宋体" w:cs="宋体" w:eastAsia="宋体" w:hint="default"/>
                <w:w w:val="99"/>
                <w:sz w:val="15"/>
                <w:szCs w:val="15"/>
              </w:rPr>
              <w:t> </w:t>
            </w:r>
            <w:r>
              <w:rPr>
                <w:rFonts w:ascii="宋体" w:hAnsi="宋体" w:cs="宋体" w:eastAsia="宋体" w:hint="default"/>
                <w:sz w:val="15"/>
                <w:szCs w:val="15"/>
              </w:rPr>
              <w:t>业管理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3,000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2,850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sz w:val="15"/>
              </w:rPr>
              <w:t>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887,543.52</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612,456.48</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1,026.76</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3,168</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3,096.77</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物业出租及管理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870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886.57</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15,000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29,594</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池洲</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东莞市</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40"/>
          <w:pgSz w:w="16840" w:h="11910" w:orient="landscape"/>
          <w:pgMar w:footer="790" w:header="0" w:top="1100" w:bottom="980" w:left="1020" w:right="940"/>
          <w:pgNumType w:start="79"/>
        </w:sectPr>
      </w:pPr>
    </w:p>
    <w:p>
      <w:pPr>
        <w:spacing w:line="240" w:lineRule="auto" w:before="2"/>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700"/>
        <w:gridCol w:w="998"/>
        <w:gridCol w:w="849"/>
        <w:gridCol w:w="1280"/>
        <w:gridCol w:w="998"/>
        <w:gridCol w:w="994"/>
        <w:gridCol w:w="881"/>
        <w:gridCol w:w="905"/>
        <w:gridCol w:w="751"/>
        <w:gridCol w:w="948"/>
        <w:gridCol w:w="1063"/>
        <w:gridCol w:w="1063"/>
        <w:gridCol w:w="1066"/>
      </w:tblGrid>
      <w:tr>
        <w:trPr>
          <w:trHeight w:val="1222"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4"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2"/>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486" w:right="108" w:hanging="378"/>
              <w:jc w:val="left"/>
              <w:rPr>
                <w:rFonts w:ascii="宋体" w:hAnsi="宋体" w:cs="宋体" w:eastAsia="宋体" w:hint="default"/>
                <w:sz w:val="15"/>
                <w:szCs w:val="15"/>
              </w:rPr>
            </w:pPr>
            <w:r>
              <w:rPr>
                <w:rFonts w:ascii="宋体" w:hAnsi="宋体" w:cs="宋体" w:eastAsia="宋体" w:hint="default"/>
                <w:sz w:val="15"/>
                <w:szCs w:val="15"/>
              </w:rPr>
              <w:t>业务性质及经营</w:t>
            </w:r>
            <w:r>
              <w:rPr>
                <w:rFonts w:ascii="宋体" w:hAnsi="宋体" w:cs="宋体" w:eastAsia="宋体" w:hint="default"/>
                <w:w w:val="99"/>
                <w:sz w:val="15"/>
                <w:szCs w:val="15"/>
              </w:rPr>
              <w:t> </w:t>
            </w:r>
            <w:r>
              <w:rPr>
                <w:rFonts w:ascii="宋体" w:hAnsi="宋体" w:cs="宋体" w:eastAsia="宋体" w:hint="default"/>
                <w:sz w:val="15"/>
                <w:szCs w:val="15"/>
              </w:rPr>
              <w:t>范围</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26" w:firstLine="12"/>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99"/>
                <w:sz w:val="15"/>
                <w:szCs w:val="15"/>
              </w:rPr>
              <w:t> </w:t>
            </w:r>
            <w:r>
              <w:rPr>
                <w:rFonts w:ascii="宋体" w:hAnsi="宋体" w:cs="宋体" w:eastAsia="宋体" w:hint="default"/>
                <w:spacing w:val="-8"/>
                <w:sz w:val="15"/>
                <w:szCs w:val="15"/>
              </w:rPr>
              <w:t>资额（万元）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7" w:lineRule="auto"/>
              <w:ind w:left="134" w:right="135"/>
              <w:jc w:val="center"/>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99"/>
                <w:sz w:val="15"/>
                <w:szCs w:val="15"/>
              </w:rPr>
              <w:t> </w:t>
            </w:r>
            <w:r>
              <w:rPr>
                <w:rFonts w:ascii="宋体" w:hAnsi="宋体" w:cs="宋体" w:eastAsia="宋体" w:hint="default"/>
                <w:sz w:val="15"/>
                <w:szCs w:val="15"/>
              </w:rPr>
              <w:t>成对子公</w:t>
            </w:r>
            <w:r>
              <w:rPr>
                <w:rFonts w:ascii="宋体" w:hAnsi="宋体" w:cs="宋体" w:eastAsia="宋体" w:hint="default"/>
                <w:w w:val="99"/>
                <w:sz w:val="15"/>
                <w:szCs w:val="15"/>
              </w:rPr>
              <w:t> </w:t>
            </w:r>
            <w:r>
              <w:rPr>
                <w:rFonts w:ascii="宋体" w:hAnsi="宋体" w:cs="宋体" w:eastAsia="宋体" w:hint="default"/>
                <w:sz w:val="15"/>
                <w:szCs w:val="15"/>
              </w:rPr>
              <w:t>司净投资</w:t>
            </w:r>
            <w:r>
              <w:rPr>
                <w:rFonts w:ascii="宋体" w:hAnsi="宋体" w:cs="宋体" w:eastAsia="宋体" w:hint="default"/>
                <w:w w:val="99"/>
                <w:sz w:val="15"/>
                <w:szCs w:val="15"/>
              </w:rPr>
              <w:t> </w:t>
            </w:r>
            <w:r>
              <w:rPr>
                <w:rFonts w:ascii="宋体" w:hAnsi="宋体" w:cs="宋体" w:eastAsia="宋体" w:hint="default"/>
                <w:sz w:val="15"/>
                <w:szCs w:val="15"/>
              </w:rPr>
              <w:t>的其他</w:t>
            </w:r>
            <w:r>
              <w:rPr>
                <w:rFonts w:ascii="宋体" w:hAnsi="宋体" w:cs="宋体" w:eastAsia="宋体" w:hint="default"/>
                <w:w w:val="99"/>
                <w:sz w:val="15"/>
                <w:szCs w:val="15"/>
              </w:rPr>
              <w:t> </w:t>
            </w:r>
            <w:r>
              <w:rPr>
                <w:rFonts w:ascii="宋体" w:hAnsi="宋体" w:cs="宋体" w:eastAsia="宋体" w:hint="default"/>
                <w:sz w:val="15"/>
                <w:szCs w:val="15"/>
              </w:rPr>
              <w:t>项目余额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23"/>
              <w:ind w:left="3" w:right="0"/>
              <w:jc w:val="center"/>
              <w:rPr>
                <w:rFonts w:ascii="Times New Roman" w:hAnsi="Times New Roman" w:cs="Times New Roman" w:eastAsia="Times New Roman" w:hint="default"/>
                <w:sz w:val="15"/>
                <w:szCs w:val="15"/>
              </w:rPr>
            </w:pPr>
            <w:r>
              <w:rPr>
                <w:rFonts w:ascii="Times New Roman"/>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8" w:right="104"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319" w:right="166" w:hanging="150"/>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99"/>
                <w:sz w:val="15"/>
                <w:szCs w:val="15"/>
              </w:rPr>
              <w:t> </w:t>
            </w:r>
            <w:r>
              <w:rPr>
                <w:rFonts w:ascii="宋体" w:hAnsi="宋体" w:cs="宋体" w:eastAsia="宋体" w:hint="default"/>
                <w:sz w:val="15"/>
                <w:szCs w:val="15"/>
              </w:rPr>
              <w:t>报表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530" w:lineRule="auto"/>
              <w:ind w:left="377" w:right="226" w:hanging="15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151" w:right="149"/>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99"/>
                <w:sz w:val="15"/>
                <w:szCs w:val="15"/>
              </w:rPr>
              <w:t> </w:t>
            </w:r>
            <w:r>
              <w:rPr>
                <w:rFonts w:ascii="宋体" w:hAnsi="宋体" w:cs="宋体" w:eastAsia="宋体" w:hint="default"/>
                <w:sz w:val="15"/>
                <w:szCs w:val="15"/>
              </w:rPr>
              <w:t>益中用于冲</w:t>
            </w:r>
            <w:r>
              <w:rPr>
                <w:rFonts w:ascii="宋体" w:hAnsi="宋体" w:cs="宋体" w:eastAsia="宋体" w:hint="default"/>
                <w:w w:val="99"/>
                <w:sz w:val="15"/>
                <w:szCs w:val="15"/>
              </w:rPr>
              <w:t> </w:t>
            </w:r>
            <w:r>
              <w:rPr>
                <w:rFonts w:ascii="宋体" w:hAnsi="宋体" w:cs="宋体" w:eastAsia="宋体" w:hint="default"/>
                <w:sz w:val="15"/>
                <w:szCs w:val="15"/>
              </w:rPr>
              <w:t>减少数股东</w:t>
            </w:r>
            <w:r>
              <w:rPr>
                <w:rFonts w:ascii="宋体" w:hAnsi="宋体" w:cs="宋体" w:eastAsia="宋体" w:hint="default"/>
                <w:w w:val="99"/>
                <w:sz w:val="15"/>
                <w:szCs w:val="15"/>
              </w:rPr>
              <w:t> </w:t>
            </w:r>
            <w:r>
              <w:rPr>
                <w:rFonts w:ascii="宋体" w:hAnsi="宋体" w:cs="宋体" w:eastAsia="宋体" w:hint="default"/>
                <w:sz w:val="15"/>
                <w:szCs w:val="15"/>
              </w:rPr>
              <w:t>损益的金额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51" w:right="156"/>
              <w:jc w:val="left"/>
              <w:rPr>
                <w:rFonts w:ascii="宋体" w:hAnsi="宋体" w:cs="宋体" w:eastAsia="宋体" w:hint="default"/>
                <w:sz w:val="15"/>
                <w:szCs w:val="15"/>
              </w:rPr>
            </w:pPr>
            <w:r>
              <w:rPr>
                <w:rFonts w:ascii="宋体" w:hAnsi="宋体" w:cs="宋体" w:eastAsia="宋体" w:hint="default"/>
                <w:sz w:val="15"/>
                <w:szCs w:val="15"/>
              </w:rPr>
              <w:t>母公司承担</w:t>
            </w:r>
            <w:r>
              <w:rPr>
                <w:rFonts w:ascii="宋体" w:hAnsi="宋体" w:cs="宋体" w:eastAsia="宋体" w:hint="default"/>
                <w:w w:val="99"/>
                <w:sz w:val="15"/>
                <w:szCs w:val="15"/>
              </w:rPr>
              <w:t> </w:t>
            </w:r>
            <w:r>
              <w:rPr>
                <w:rFonts w:ascii="宋体" w:hAnsi="宋体" w:cs="宋体" w:eastAsia="宋体" w:hint="default"/>
                <w:sz w:val="15"/>
                <w:szCs w:val="15"/>
              </w:rPr>
              <w:t>的超额亏损</w:t>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东莞宝安鸿基房地产开发有限公司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东莞市</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湘潭</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广东惠东</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物流及运输行业：</w:t>
            </w:r>
            <w:r>
              <w:rPr>
                <w:rFonts w:ascii="Microsoft JhengHei" w:hAnsi="Microsoft JhengHei" w:cs="Microsoft JhengHei" w:eastAsia="Microsoft JhengHei" w:hint="default"/>
                <w:sz w:val="15"/>
                <w:szCs w:val="15"/>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11,250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11,822.63</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物流下属公司：</w:t>
            </w:r>
          </w:p>
        </w:tc>
        <w:tc>
          <w:tcPr>
            <w:tcW w:w="99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集装箱运输</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sz w:val="15"/>
              </w:rPr>
              <w:t>90%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5"/>
                <w:sz w:val="15"/>
              </w:rPr>
              <w:t>-1,362,937.10</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862,937.10</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货运代理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32.90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其它</w:t>
            </w:r>
            <w:r>
              <w:rPr>
                <w:rFonts w:ascii="Microsoft JhengHei" w:hAnsi="Microsoft JhengHei" w:cs="Microsoft JhengHei" w:eastAsia="Microsoft JhengHei" w:hint="default"/>
                <w:sz w:val="15"/>
                <w:szCs w:val="15"/>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运输、贸易</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03"/>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03"/>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sz w:val="15"/>
              </w:rPr>
              <w:t>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232,784.55</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304,715.45</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福州</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增值电信服务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1,600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1,600</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深圳市宝地投资发展有限公司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投资兴办实业</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深圳市宝永发投资发展有限公司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投资兴办实业</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60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深圳市宝鹏投资发展有限公司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投资兴办实业</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95"/>
                <w:sz w:val="15"/>
              </w:rPr>
              <w:t>60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4"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1"/>
          <w:pgSz w:w="16840" w:h="11910" w:orient="landscape"/>
          <w:pgMar w:footer="790" w:header="0" w:top="1100" w:bottom="980" w:left="1160" w:right="940"/>
          <w:pgNumType w:start="80"/>
        </w:sectPr>
      </w:pPr>
    </w:p>
    <w:p>
      <w:pPr>
        <w:pStyle w:val="BodyText"/>
        <w:spacing w:line="412" w:lineRule="auto" w:before="8"/>
        <w:ind w:right="108" w:firstLine="423"/>
        <w:jc w:val="left"/>
      </w:pPr>
      <w:r>
        <w:rPr>
          <w:rFonts w:ascii="Times New Roman" w:hAnsi="Times New Roman" w:cs="Times New Roman" w:eastAsia="Times New Roman" w:hint="default"/>
        </w:rPr>
        <w:t>2</w:t>
      </w:r>
      <w:r>
        <w:rPr/>
        <w:t>、本公司间接持有福建升通网络传媒有限公司</w:t>
      </w:r>
      <w:r>
        <w:rPr>
          <w:spacing w:val="-6"/>
        </w:rPr>
        <w:t> </w:t>
      </w:r>
      <w:r>
        <w:rPr>
          <w:rFonts w:ascii="Times New Roman" w:hAnsi="Times New Roman" w:cs="Times New Roman" w:eastAsia="Times New Roman" w:hint="default"/>
        </w:rPr>
        <w:t>10%</w:t>
      </w:r>
      <w:r>
        <w:rPr/>
        <w:t>股权目前为其他单位名义持有，本公司通过股权</w:t>
      </w:r>
      <w:r>
        <w:rPr>
          <w:w w:val="99"/>
        </w:rPr>
        <w:t> </w:t>
      </w:r>
      <w:r>
        <w:rPr/>
        <w:t>协议实质持有。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539" w:right="108"/>
        <w:jc w:val="left"/>
      </w:pPr>
      <w:r>
        <w:rPr>
          <w:rFonts w:ascii="Times New Roman" w:hAnsi="Times New Roman" w:cs="Times New Roman" w:eastAsia="Times New Roman" w:hint="default"/>
        </w:rPr>
        <w:t>3</w:t>
      </w:r>
      <w:r>
        <w:rPr/>
        <w:t>、本公司无同一控制下企业合并取得的子公司。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412" w:lineRule="auto"/>
        <w:ind w:left="539" w:right="108"/>
        <w:jc w:val="left"/>
      </w:pPr>
      <w:r>
        <w:rPr>
          <w:rFonts w:ascii="Times New Roman" w:hAnsi="Times New Roman" w:cs="Times New Roman" w:eastAsia="Times New Roman" w:hint="default"/>
        </w:rPr>
        <w:t>4</w:t>
      </w:r>
      <w:r>
        <w:rPr/>
        <w:t>、本公司非同一控制下企业合并取得的子公司。</w:t>
      </w:r>
      <w:r>
        <w:rPr>
          <w:spacing w:val="-102"/>
        </w:rPr>
        <w:t> </w:t>
      </w:r>
      <w:r>
        <w:rPr>
          <w:spacing w:val="-102"/>
        </w:rPr>
      </w:r>
      <w:r>
        <w:rPr/>
        <w:t>本期公司通过购买股权取得全资子公司</w:t>
      </w:r>
      <w:r>
        <w:rPr>
          <w:rFonts w:ascii="Times New Roman" w:hAnsi="Times New Roman" w:cs="Times New Roman" w:eastAsia="Times New Roman" w:hint="default"/>
        </w:rPr>
        <w:t>“</w:t>
      </w:r>
      <w:r>
        <w:rPr/>
        <w:t>东莞市宜久房地产开发有限公司</w:t>
      </w:r>
      <w:r>
        <w:rPr>
          <w:rFonts w:ascii="Times New Roman" w:hAnsi="Times New Roman" w:cs="Times New Roman" w:eastAsia="Times New Roman" w:hint="default"/>
        </w:rPr>
        <w:t>”</w:t>
      </w:r>
      <w:r>
        <w:rPr/>
        <w:t>，公司情况见附注四、</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BodyText"/>
        <w:spacing w:line="240" w:lineRule="auto"/>
        <w:ind w:left="539" w:right="108"/>
        <w:jc w:val="left"/>
      </w:pPr>
      <w:r>
        <w:rPr>
          <w:rFonts w:ascii="Times New Roman" w:hAnsi="Times New Roman" w:cs="Times New Roman" w:eastAsia="Times New Roman" w:hint="default"/>
        </w:rPr>
        <w:t>5</w:t>
      </w:r>
      <w:r>
        <w:rPr/>
        <w:t>、合并范围发生变更的说明</w:t>
      </w:r>
    </w:p>
    <w:p>
      <w:pPr>
        <w:spacing w:line="240" w:lineRule="auto" w:before="12"/>
        <w:rPr>
          <w:rFonts w:ascii="宋体" w:hAnsi="宋体" w:cs="宋体" w:eastAsia="宋体" w:hint="default"/>
          <w:sz w:val="15"/>
          <w:szCs w:val="15"/>
        </w:rPr>
      </w:pPr>
    </w:p>
    <w:p>
      <w:pPr>
        <w:pStyle w:val="BodyText"/>
        <w:spacing w:line="412" w:lineRule="auto"/>
        <w:ind w:left="642" w:right="108" w:hanging="104"/>
        <w:jc w:val="left"/>
      </w:pPr>
      <w:r>
        <w:rPr/>
        <w:t>（</w:t>
      </w:r>
      <w:r>
        <w:rPr>
          <w:rFonts w:ascii="Times New Roman" w:hAnsi="Times New Roman" w:cs="Times New Roman" w:eastAsia="Times New Roman" w:hint="default"/>
        </w:rPr>
        <w:t>1</w:t>
      </w:r>
      <w:r>
        <w:rPr/>
        <w:t>）持有半数及半数以上表决权比例但未纳入合并范围的公司：</w:t>
      </w:r>
      <w:r>
        <w:rPr>
          <w:spacing w:val="-98"/>
        </w:rPr>
        <w:t> </w:t>
      </w:r>
      <w:r>
        <w:rPr>
          <w:spacing w:val="-98"/>
        </w:rPr>
      </w:r>
      <w:r>
        <w:rPr/>
        <w:t>如下公司经本公司董事会决议，处于依法清算阶段，本公司已对该等公司无实质控制权，未纳入财</w:t>
      </w:r>
    </w:p>
    <w:p>
      <w:pPr>
        <w:pStyle w:val="BodyText"/>
        <w:spacing w:line="240" w:lineRule="auto" w:before="75"/>
        <w:ind w:right="108"/>
        <w:jc w:val="left"/>
      </w:pPr>
      <w:r>
        <w:rPr/>
        <w:t>务报表合并范围。</w:t>
      </w:r>
    </w:p>
    <w:p>
      <w:pPr>
        <w:spacing w:line="240" w:lineRule="auto" w:before="2"/>
        <w:rPr>
          <w:rFonts w:ascii="宋体" w:hAnsi="宋体" w:cs="宋体" w:eastAsia="宋体" w:hint="default"/>
          <w:sz w:val="17"/>
          <w:szCs w:val="17"/>
        </w:rPr>
      </w:pPr>
    </w:p>
    <w:p>
      <w:pPr>
        <w:pStyle w:val="BodyText"/>
        <w:tabs>
          <w:tab w:pos="1263" w:val="left" w:leader="none"/>
        </w:tabs>
        <w:spacing w:line="240" w:lineRule="auto"/>
        <w:ind w:left="0" w:right="125"/>
        <w:jc w:val="right"/>
      </w:pPr>
      <w:r>
        <w:rPr/>
        <w:t>单位：万元</w:t>
        <w:tab/>
        <w:t>币种：人民币</w:t>
      </w:r>
    </w:p>
    <w:p>
      <w:pPr>
        <w:spacing w:line="240" w:lineRule="auto" w:before="7"/>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2983"/>
        <w:gridCol w:w="763"/>
        <w:gridCol w:w="1090"/>
        <w:gridCol w:w="1090"/>
        <w:gridCol w:w="946"/>
        <w:gridCol w:w="950"/>
        <w:gridCol w:w="1412"/>
      </w:tblGrid>
      <w:tr>
        <w:trPr>
          <w:trHeight w:val="509" w:hRule="exact"/>
        </w:trPr>
        <w:tc>
          <w:tcPr>
            <w:tcW w:w="29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占权益比例</w:t>
            </w:r>
          </w:p>
        </w:tc>
        <w:tc>
          <w:tcPr>
            <w:tcW w:w="141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主营业务</w:t>
            </w:r>
          </w:p>
        </w:tc>
      </w:tr>
      <w:tr>
        <w:trPr>
          <w:trHeight w:val="511" w:hRule="exact"/>
        </w:trPr>
        <w:tc>
          <w:tcPr>
            <w:tcW w:w="2983" w:type="dxa"/>
            <w:vMerge/>
            <w:tcBorders>
              <w:left w:val="nil" w:sz="6" w:space="0" w:color="auto"/>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2" w:type="dxa"/>
            <w:vMerge/>
            <w:tcBorders>
              <w:left w:val="single" w:sz="4" w:space="0" w:color="000000"/>
              <w:bottom w:val="single" w:sz="4" w:space="0" w:color="000000"/>
              <w:right w:val="nil" w:sz="6" w:space="0" w:color="auto"/>
            </w:tcBorders>
          </w:tcPr>
          <w:p>
            <w:pPr/>
          </w:p>
        </w:tc>
      </w:tr>
      <w:tr>
        <w:trPr>
          <w:trHeight w:val="509"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未纳入合并范围的子公司</w:t>
            </w:r>
          </w:p>
        </w:tc>
        <w:tc>
          <w:tcPr>
            <w:tcW w:w="7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生物制药</w:t>
            </w:r>
          </w:p>
        </w:tc>
      </w:tr>
      <w:tr>
        <w:trPr>
          <w:trHeight w:val="509"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机械生产销售</w:t>
            </w:r>
          </w:p>
        </w:tc>
      </w:tr>
      <w:tr>
        <w:trPr>
          <w:trHeight w:val="511"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旅店、服务</w:t>
            </w:r>
          </w:p>
        </w:tc>
      </w:tr>
      <w:tr>
        <w:trPr>
          <w:trHeight w:val="509"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进出口及代理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539" w:right="108"/>
        <w:jc w:val="left"/>
      </w:pPr>
      <w:r>
        <w:rPr/>
        <w:t>（</w:t>
      </w:r>
      <w:r>
        <w:rPr>
          <w:rFonts w:ascii="Times New Roman" w:hAnsi="Times New Roman" w:cs="Times New Roman" w:eastAsia="Times New Roman" w:hint="default"/>
        </w:rPr>
        <w:t>2</w:t>
      </w:r>
      <w:r>
        <w:rPr/>
        <w:t>）本公司无持有半数及半数以下表决权比例，但纳入合并范围的公司。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539" w:right="108"/>
        <w:jc w:val="left"/>
      </w:pPr>
      <w:r>
        <w:rPr>
          <w:rFonts w:ascii="Times New Roman" w:hAnsi="Times New Roman" w:cs="Times New Roman" w:eastAsia="Times New Roman" w:hint="default"/>
        </w:rPr>
        <w:t>6</w:t>
      </w:r>
      <w:r>
        <w:rPr/>
        <w:t>、本期新纳入合并范围的主体和本期不再纳入合并范围的主体</w:t>
      </w:r>
    </w:p>
    <w:p>
      <w:pPr>
        <w:spacing w:line="240" w:lineRule="auto" w:before="12"/>
        <w:rPr>
          <w:rFonts w:ascii="宋体" w:hAnsi="宋体" w:cs="宋体" w:eastAsia="宋体" w:hint="default"/>
          <w:sz w:val="15"/>
          <w:szCs w:val="15"/>
        </w:rPr>
      </w:pPr>
    </w:p>
    <w:p>
      <w:pPr>
        <w:pStyle w:val="BodyText"/>
        <w:spacing w:line="240" w:lineRule="auto"/>
        <w:ind w:left="433" w:right="108"/>
        <w:jc w:val="left"/>
      </w:pPr>
      <w:r>
        <w:rPr/>
        <w:t>（</w:t>
      </w:r>
      <w:r>
        <w:rPr>
          <w:rFonts w:ascii="Times New Roman" w:hAnsi="Times New Roman" w:cs="Times New Roman" w:eastAsia="Times New Roman" w:hint="default"/>
        </w:rPr>
        <w:t>1</w:t>
      </w:r>
      <w:r>
        <w:rPr/>
        <w:t>）本期新纳入合并范围的子公司</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3977"/>
        <w:gridCol w:w="2630"/>
        <w:gridCol w:w="2627"/>
      </w:tblGrid>
      <w:tr>
        <w:trPr>
          <w:trHeight w:val="511"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09"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东莞市宜久房地产开发有限公司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44" w:right="0"/>
              <w:jc w:val="left"/>
              <w:rPr>
                <w:rFonts w:ascii="Times New Roman" w:hAnsi="Times New Roman" w:cs="Times New Roman" w:eastAsia="Times New Roman" w:hint="default"/>
                <w:sz w:val="21"/>
                <w:szCs w:val="21"/>
              </w:rPr>
            </w:pPr>
            <w:r>
              <w:rPr>
                <w:rFonts w:ascii="Times New Roman"/>
                <w:sz w:val="21"/>
              </w:rPr>
              <w:t>-2,306,538.29</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42" w:right="0"/>
              <w:jc w:val="left"/>
              <w:rPr>
                <w:rFonts w:ascii="Times New Roman" w:hAnsi="Times New Roman" w:cs="Times New Roman" w:eastAsia="Times New Roman" w:hint="default"/>
                <w:sz w:val="21"/>
                <w:szCs w:val="21"/>
              </w:rPr>
            </w:pPr>
            <w:r>
              <w:rPr>
                <w:rFonts w:ascii="Times New Roman"/>
                <w:sz w:val="21"/>
              </w:rPr>
              <w:t>-3,306,538.29</w:t>
            </w:r>
          </w:p>
        </w:tc>
      </w:tr>
    </w:tbl>
    <w:p>
      <w:pPr>
        <w:spacing w:after="0" w:line="240" w:lineRule="auto"/>
        <w:jc w:val="left"/>
        <w:rPr>
          <w:rFonts w:ascii="Times New Roman" w:hAnsi="Times New Roman" w:cs="Times New Roman" w:eastAsia="Times New Roman" w:hint="default"/>
          <w:sz w:val="21"/>
          <w:szCs w:val="21"/>
        </w:rPr>
        <w:sectPr>
          <w:footerReference w:type="default" r:id="rId42"/>
          <w:pgSz w:w="11910" w:h="16840"/>
          <w:pgMar w:footer="865" w:header="0" w:top="1300" w:bottom="1060" w:left="1020" w:right="980"/>
          <w:pgNumType w:start="81"/>
        </w:sectPr>
      </w:pPr>
    </w:p>
    <w:p>
      <w:pPr>
        <w:spacing w:line="240" w:lineRule="auto" w:before="9"/>
        <w:rPr>
          <w:rFonts w:ascii="宋体" w:hAnsi="宋体" w:cs="宋体" w:eastAsia="宋体" w:hint="default"/>
          <w:sz w:val="5"/>
          <w:szCs w:val="5"/>
        </w:rPr>
      </w:pPr>
    </w:p>
    <w:tbl>
      <w:tblPr>
        <w:tblW w:w="0" w:type="auto"/>
        <w:jc w:val="left"/>
        <w:tblInd w:w="539" w:type="dxa"/>
        <w:tblLayout w:type="fixed"/>
        <w:tblCellMar>
          <w:top w:w="0" w:type="dxa"/>
          <w:left w:w="0" w:type="dxa"/>
          <w:bottom w:w="0" w:type="dxa"/>
          <w:right w:w="0" w:type="dxa"/>
        </w:tblCellMar>
        <w:tblLook w:val="01E0"/>
      </w:tblPr>
      <w:tblGrid>
        <w:gridCol w:w="3977"/>
        <w:gridCol w:w="2630"/>
        <w:gridCol w:w="2627"/>
      </w:tblGrid>
      <w:tr>
        <w:trPr>
          <w:trHeight w:val="511"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09"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东莞宝安鸿基房地产开发有限公司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19,935,436.51</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-64,563.49</w:t>
            </w:r>
          </w:p>
        </w:tc>
      </w:tr>
      <w:tr>
        <w:trPr>
          <w:trHeight w:val="511"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湖南宝安鸿基房地产开发有限公司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49,543,667.91</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-456,332.09</w:t>
            </w:r>
            <w:r>
              <w:rPr>
                <w:rFonts w:ascii="Times New Roman"/>
                <w:sz w:val="21"/>
              </w:rPr>
            </w:r>
          </w:p>
        </w:tc>
      </w:tr>
      <w:tr>
        <w:trPr>
          <w:trHeight w:val="509"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惠东县宝安鸿基房地产开发有限公司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9,901,804.56</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-98,195.44</w:t>
            </w:r>
          </w:p>
        </w:tc>
      </w:tr>
      <w:tr>
        <w:trPr>
          <w:trHeight w:val="511"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深圳市宝永发投资发展有限公司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596,997.00</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-3,003.00</w:t>
            </w:r>
          </w:p>
        </w:tc>
      </w:tr>
      <w:tr>
        <w:trPr>
          <w:trHeight w:val="509"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深圳市宝地投资发展有限公司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497,882.00</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w w:val="95"/>
                <w:sz w:val="21"/>
              </w:rPr>
              <w:t>-2,118.00</w:t>
            </w:r>
            <w:r>
              <w:rPr>
                <w:rFonts w:ascii="Times New Roman"/>
                <w:spacing w:val="-1"/>
                <w:sz w:val="21"/>
              </w:rPr>
            </w:r>
          </w:p>
        </w:tc>
      </w:tr>
      <w:tr>
        <w:trPr>
          <w:trHeight w:val="511" w:hRule="exact"/>
        </w:trPr>
        <w:tc>
          <w:tcPr>
            <w:tcW w:w="3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深圳市宝鹏投资发展有限公司</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597,453.90</w:t>
            </w:r>
            <w:r>
              <w:rPr>
                <w:rFonts w:ascii="Times New Roman"/>
                <w:sz w:val="21"/>
              </w:rPr>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-2,546.10</w:t>
            </w:r>
          </w:p>
        </w:tc>
      </w:tr>
    </w:tbl>
    <w:p>
      <w:pPr>
        <w:spacing w:line="240" w:lineRule="auto" w:before="3"/>
        <w:rPr>
          <w:rFonts w:ascii="宋体" w:hAnsi="宋体" w:cs="宋体" w:eastAsia="宋体" w:hint="default"/>
          <w:sz w:val="12"/>
          <w:szCs w:val="12"/>
        </w:rPr>
      </w:pPr>
    </w:p>
    <w:p>
      <w:pPr>
        <w:pStyle w:val="BodyText"/>
        <w:spacing w:line="240" w:lineRule="auto" w:before="34"/>
        <w:ind w:left="539" w:right="108"/>
        <w:jc w:val="left"/>
      </w:pPr>
      <w:r>
        <w:rPr/>
        <w:t>本期新增子公司设立情况详见附注十、</w:t>
      </w:r>
      <w:r>
        <w:rPr>
          <w:rFonts w:ascii="Times New Roman" w:hAnsi="Times New Roman" w:cs="Times New Roman" w:eastAsia="Times New Roman" w:hint="default"/>
        </w:rPr>
        <w:t>2</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539" w:right="108"/>
        <w:jc w:val="left"/>
      </w:pPr>
      <w:r>
        <w:rPr/>
        <w:t>（</w:t>
      </w:r>
      <w:r>
        <w:rPr>
          <w:rFonts w:ascii="Times New Roman" w:hAnsi="Times New Roman" w:cs="Times New Roman" w:eastAsia="Times New Roman" w:hint="default"/>
        </w:rPr>
        <w:t>2</w:t>
      </w:r>
      <w:r>
        <w:rPr/>
        <w:t>）本公司本期持股比例发生变化的合并子公司</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3267"/>
        <w:gridCol w:w="1778"/>
        <w:gridCol w:w="1778"/>
        <w:gridCol w:w="2411"/>
      </w:tblGrid>
      <w:tr>
        <w:trPr>
          <w:trHeight w:val="73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1"/>
              <w:ind w:left="524" w:right="431" w:hanging="92"/>
              <w:jc w:val="left"/>
              <w:rPr>
                <w:rFonts w:ascii="宋体" w:hAnsi="宋体" w:cs="宋体" w:eastAsia="宋体" w:hint="default"/>
                <w:sz w:val="18"/>
                <w:szCs w:val="18"/>
              </w:rPr>
            </w:pPr>
            <w:r>
              <w:rPr>
                <w:rFonts w:ascii="宋体" w:hAnsi="宋体" w:cs="宋体" w:eastAsia="宋体" w:hint="default"/>
                <w:sz w:val="18"/>
                <w:szCs w:val="18"/>
              </w:rPr>
              <w:t>股权转让前</w:t>
            </w:r>
            <w:r>
              <w:rPr>
                <w:rFonts w:ascii="宋体" w:hAnsi="宋体" w:cs="宋体" w:eastAsia="宋体" w:hint="default"/>
                <w:spacing w:val="-88"/>
                <w:sz w:val="18"/>
                <w:szCs w:val="18"/>
              </w:rPr>
              <w:t> </w:t>
            </w:r>
            <w:r>
              <w:rPr>
                <w:rFonts w:ascii="宋体" w:hAnsi="宋体" w:cs="宋体" w:eastAsia="宋体" w:hint="default"/>
                <w:sz w:val="18"/>
                <w:szCs w:val="18"/>
              </w:rPr>
              <w:t>持股比例</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1"/>
              <w:ind w:left="524" w:right="431" w:hanging="92"/>
              <w:jc w:val="left"/>
              <w:rPr>
                <w:rFonts w:ascii="宋体" w:hAnsi="宋体" w:cs="宋体" w:eastAsia="宋体" w:hint="default"/>
                <w:sz w:val="18"/>
                <w:szCs w:val="18"/>
              </w:rPr>
            </w:pPr>
            <w:r>
              <w:rPr>
                <w:rFonts w:ascii="宋体" w:hAnsi="宋体" w:cs="宋体" w:eastAsia="宋体" w:hint="default"/>
                <w:sz w:val="18"/>
                <w:szCs w:val="18"/>
              </w:rPr>
              <w:t>股权转让后</w:t>
            </w:r>
            <w:r>
              <w:rPr>
                <w:rFonts w:ascii="宋体" w:hAnsi="宋体" w:cs="宋体" w:eastAsia="宋体" w:hint="default"/>
                <w:spacing w:val="-88"/>
                <w:sz w:val="18"/>
                <w:szCs w:val="18"/>
              </w:rPr>
              <w:t> </w:t>
            </w:r>
            <w:r>
              <w:rPr>
                <w:rFonts w:ascii="宋体" w:hAnsi="宋体" w:cs="宋体" w:eastAsia="宋体" w:hint="default"/>
                <w:sz w:val="18"/>
                <w:szCs w:val="18"/>
              </w:rPr>
              <w:t>持股比例</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对公司损益的影响</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94.99%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680,009.41</w:t>
            </w:r>
          </w:p>
        </w:tc>
      </w:tr>
      <w:tr>
        <w:trPr>
          <w:trHeight w:val="509"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1,560,326.06</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-102,537.42</w:t>
            </w:r>
          </w:p>
        </w:tc>
      </w:tr>
      <w:tr>
        <w:trPr>
          <w:trHeight w:val="509"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深圳市龙岗鸿基发展有限公司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94.97%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-19,757.27</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深圳市鸿永通国际货运代理有限公司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-33,041.97</w:t>
            </w:r>
          </w:p>
        </w:tc>
      </w:tr>
      <w:tr>
        <w:trPr>
          <w:trHeight w:val="509"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该公司本期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月已注销</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深圳市鸿基华辉运输有限公司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该公司本期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月已出售</w:t>
            </w:r>
          </w:p>
        </w:tc>
      </w:tr>
    </w:tbl>
    <w:p>
      <w:pPr>
        <w:spacing w:line="240" w:lineRule="auto" w:before="3"/>
        <w:rPr>
          <w:rFonts w:ascii="宋体" w:hAnsi="宋体" w:cs="宋体" w:eastAsia="宋体" w:hint="default"/>
          <w:sz w:val="12"/>
          <w:szCs w:val="12"/>
        </w:rPr>
      </w:pPr>
    </w:p>
    <w:p>
      <w:pPr>
        <w:pStyle w:val="BodyText"/>
        <w:spacing w:line="420" w:lineRule="auto" w:before="34"/>
        <w:ind w:right="123" w:firstLine="423"/>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日，公司与深圳市新鸿泰投资发展有限公司（以下简称</w:t>
      </w:r>
      <w:r>
        <w:rPr>
          <w:rFonts w:ascii="Times New Roman" w:hAnsi="Times New Roman" w:cs="Times New Roman" w:eastAsia="Times New Roman" w:hint="default"/>
        </w:rPr>
        <w:t>“</w:t>
      </w:r>
      <w:r>
        <w:rPr/>
        <w:t>新鸿泰公司</w:t>
      </w:r>
      <w:r>
        <w:rPr>
          <w:rFonts w:ascii="Times New Roman" w:hAnsi="Times New Roman" w:cs="Times New Roman" w:eastAsia="Times New Roman" w:hint="default"/>
        </w:rPr>
        <w:t>”</w:t>
      </w:r>
      <w:r>
        <w:rPr/>
        <w:t>）签署《受让深</w:t>
      </w:r>
      <w:r>
        <w:rPr>
          <w:w w:val="99"/>
        </w:rPr>
        <w:t> </w:t>
      </w:r>
      <w:r>
        <w:rPr>
          <w:spacing w:val="1"/>
          <w:w w:val="99"/>
        </w:rPr>
        <w:t>圳市新鸿泰投资发展有限公司持有深圳市龙岗鸿基房地产开发有限公司等七家公司股权意向书</w:t>
      </w:r>
      <w:r>
        <w:rPr>
          <w:spacing w:val="-57"/>
          <w:w w:val="99"/>
        </w:rPr>
        <w:t> </w:t>
      </w:r>
      <w:r>
        <w:rPr>
          <w:spacing w:val="-20"/>
          <w:w w:val="99"/>
        </w:rPr>
        <w:t>》，公司受</w:t>
      </w:r>
      <w:r>
        <w:rPr>
          <w:spacing w:val="-83"/>
          <w:w w:val="99"/>
        </w:rPr>
        <w:t> </w:t>
      </w:r>
      <w:r>
        <w:rPr>
          <w:spacing w:val="-83"/>
          <w:w w:val="99"/>
        </w:rPr>
      </w:r>
      <w:r>
        <w:rPr>
          <w:spacing w:val="2"/>
        </w:rPr>
        <w:t>让新鸿泰公司持有的以下七家公司控股子公司的少数股权：①深圳市龙岗鸿基房地产开发有限公司</w:t>
      </w:r>
      <w:r>
        <w:rPr>
          <w:spacing w:val="-60"/>
        </w:rPr>
        <w:t> </w:t>
      </w:r>
      <w:r>
        <w:rPr>
          <w:rFonts w:ascii="Times New Roman" w:hAnsi="Times New Roman" w:cs="Times New Roman" w:eastAsia="Times New Roman" w:hint="default"/>
        </w:rPr>
        <w:t>5%</w:t>
      </w:r>
      <w:r>
        <w:rPr/>
        <w:t>的</w:t>
      </w:r>
      <w:r>
        <w:rPr>
          <w:w w:val="99"/>
        </w:rPr>
        <w:t> </w:t>
      </w:r>
      <w:r>
        <w:rPr/>
        <w:t>股权；②深圳市鸿基房地产有限公司</w:t>
      </w:r>
      <w:r>
        <w:rPr>
          <w:spacing w:val="-72"/>
        </w:rPr>
        <w:t> </w:t>
      </w:r>
      <w:r>
        <w:rPr>
          <w:rFonts w:ascii="Times New Roman" w:hAnsi="Times New Roman" w:cs="Times New Roman" w:eastAsia="Times New Roman" w:hint="default"/>
        </w:rPr>
        <w:t>10%</w:t>
      </w:r>
      <w:r>
        <w:rPr/>
        <w:t>的股权；③深圳市鸿基物业管理有限公司</w:t>
      </w:r>
      <w:r>
        <w:rPr>
          <w:spacing w:val="-71"/>
        </w:rPr>
        <w:t> </w:t>
      </w:r>
      <w:r>
        <w:rPr>
          <w:rFonts w:ascii="Times New Roman" w:hAnsi="Times New Roman" w:cs="Times New Roman" w:eastAsia="Times New Roman" w:hint="default"/>
        </w:rPr>
        <w:t>20%</w:t>
      </w:r>
      <w:r>
        <w:rPr/>
        <w:t>的股权；④深圳市</w:t>
      </w:r>
      <w:r>
        <w:rPr>
          <w:w w:val="99"/>
        </w:rPr>
        <w:t> </w:t>
      </w:r>
      <w:r>
        <w:rPr/>
        <w:t>龙岗鸿基发展有限公司</w:t>
      </w:r>
      <w:r>
        <w:rPr>
          <w:spacing w:val="-29"/>
        </w:rPr>
        <w:t> </w:t>
      </w:r>
      <w:r>
        <w:rPr>
          <w:rFonts w:ascii="Times New Roman" w:hAnsi="Times New Roman" w:cs="Times New Roman" w:eastAsia="Times New Roman" w:hint="default"/>
        </w:rPr>
        <w:t>5%</w:t>
      </w:r>
      <w:r>
        <w:rPr/>
        <w:t>的股权；⑤深圳市鸿基装饰设计工程有限公司</w:t>
      </w:r>
      <w:r>
        <w:rPr>
          <w:spacing w:val="-29"/>
        </w:rPr>
        <w:t> </w:t>
      </w:r>
      <w:r>
        <w:rPr>
          <w:rFonts w:ascii="Times New Roman" w:hAnsi="Times New Roman" w:cs="Times New Roman" w:eastAsia="Times New Roman" w:hint="default"/>
        </w:rPr>
        <w:t>30%</w:t>
      </w:r>
      <w:r>
        <w:rPr/>
        <w:t>的股权；⑥深圳市鸿基华辉</w:t>
      </w:r>
      <w:r>
        <w:rPr>
          <w:spacing w:val="-96"/>
        </w:rPr>
        <w:t> </w:t>
      </w:r>
      <w:r>
        <w:rPr>
          <w:spacing w:val="-96"/>
        </w:rPr>
      </w:r>
      <w:r>
        <w:rPr>
          <w:spacing w:val="3"/>
        </w:rPr>
        <w:t>运输有限公司</w:t>
      </w:r>
      <w:r>
        <w:rPr>
          <w:spacing w:val="-51"/>
        </w:rPr>
        <w:t> </w:t>
      </w:r>
      <w:r>
        <w:rPr>
          <w:rFonts w:ascii="Times New Roman" w:hAnsi="Times New Roman" w:cs="Times New Roman" w:eastAsia="Times New Roman" w:hint="default"/>
          <w:spacing w:val="3"/>
        </w:rPr>
        <w:t>20%</w:t>
      </w:r>
      <w:r>
        <w:rPr>
          <w:spacing w:val="3"/>
        </w:rPr>
        <w:t>的股权；⑦深圳市鸿永通国际货运代理有限公司</w:t>
      </w:r>
      <w:r>
        <w:rPr>
          <w:spacing w:val="-51"/>
        </w:rPr>
        <w:t> </w:t>
      </w:r>
      <w:r>
        <w:rPr>
          <w:rFonts w:ascii="Times New Roman" w:hAnsi="Times New Roman" w:cs="Times New Roman" w:eastAsia="Times New Roman" w:hint="default"/>
          <w:spacing w:val="3"/>
        </w:rPr>
        <w:t>10%</w:t>
      </w:r>
      <w:r>
        <w:rPr>
          <w:spacing w:val="3"/>
        </w:rPr>
        <w:t>的股权（上述简称为七家目标公</w:t>
      </w:r>
      <w:r>
        <w:rPr>
          <w:w w:val="99"/>
        </w:rPr>
        <w:t> </w:t>
      </w:r>
      <w:r>
        <w:rPr>
          <w:spacing w:val="-1"/>
          <w:w w:val="99"/>
        </w:rPr>
        <w:t>司）。公司受让新鸿泰公司持有的前述七家目标公司少数股权，股权转受让价格以前述七家目标公司经审</w:t>
      </w:r>
      <w:r>
        <w:rPr>
          <w:spacing w:val="-73"/>
          <w:w w:val="99"/>
        </w:rPr>
        <w:t> </w:t>
      </w:r>
      <w:r>
        <w:rPr>
          <w:spacing w:val="-73"/>
          <w:w w:val="99"/>
        </w:rPr>
      </w:r>
      <w:r>
        <w:rPr/>
        <w:t>计、评估后的股东全部权益价值评估值为依据，双方协商确定转受让价格为 </w:t>
      </w:r>
      <w:r>
        <w:rPr>
          <w:rFonts w:ascii="Times New Roman" w:hAnsi="Times New Roman" w:cs="Times New Roman" w:eastAsia="Times New Roman" w:hint="default"/>
        </w:rPr>
        <w:t>2,200</w:t>
      </w:r>
      <w:r>
        <w:rPr>
          <w:rFonts w:ascii="Times New Roman" w:hAnsi="Times New Roman" w:cs="Times New Roman" w:eastAsia="Times New Roman" w:hint="default"/>
          <w:spacing w:val="-13"/>
        </w:rPr>
        <w:t> </w:t>
      </w:r>
      <w:r>
        <w:rPr/>
        <w:t>万元，该股权受让款项</w:t>
      </w:r>
    </w:p>
    <w:p>
      <w:pPr>
        <w:pStyle w:val="BodyText"/>
        <w:spacing w:line="240" w:lineRule="auto" w:before="34"/>
        <w:ind w:right="108"/>
        <w:jc w:val="left"/>
      </w:pPr>
      <w:r>
        <w:rPr/>
        <w:t>公司已于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月全部付清，同时已办理股权工商变更登记过户手续。</w:t>
      </w:r>
    </w:p>
    <w:p>
      <w:pPr>
        <w:spacing w:after="0" w:line="240" w:lineRule="auto"/>
        <w:jc w:val="left"/>
        <w:sectPr>
          <w:pgSz w:w="11910" w:h="16840"/>
          <w:pgMar w:header="0" w:footer="865" w:top="1040" w:bottom="1060" w:left="1020" w:right="980"/>
        </w:sectPr>
      </w:pPr>
    </w:p>
    <w:p>
      <w:pPr>
        <w:pStyle w:val="BodyText"/>
        <w:spacing w:line="412" w:lineRule="auto" w:before="8"/>
        <w:ind w:right="108" w:firstLine="423"/>
        <w:jc w:val="left"/>
      </w:pPr>
      <w:r>
        <w:rPr>
          <w:rFonts w:ascii="Times New Roman" w:hAnsi="Times New Roman" w:cs="Times New Roman" w:eastAsia="Times New Roman" w:hint="default"/>
        </w:rPr>
        <w:t>“</w:t>
      </w:r>
      <w:r>
        <w:rPr/>
        <w:t>深圳市鸿基装饰设计工程有限公司</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深圳市鸿基华辉运输有限公司</w:t>
      </w:r>
      <w:r>
        <w:rPr>
          <w:rFonts w:ascii="Times New Roman" w:hAnsi="Times New Roman" w:cs="Times New Roman" w:eastAsia="Times New Roman" w:hint="default"/>
        </w:rPr>
        <w:t>”</w:t>
      </w:r>
      <w:r>
        <w:rPr/>
        <w:t>已于本期分别注销、出售，具</w:t>
      </w:r>
      <w:r>
        <w:rPr>
          <w:w w:val="99"/>
        </w:rPr>
        <w:t> </w:t>
      </w:r>
      <w:r>
        <w:rPr>
          <w:spacing w:val="-6"/>
          <w:w w:val="99"/>
        </w:rPr>
        <w:t>体情况详见附注四、</w:t>
      </w:r>
      <w:r>
        <w:rPr>
          <w:rFonts w:ascii="Times New Roman" w:hAnsi="Times New Roman" w:cs="Times New Roman" w:eastAsia="Times New Roman" w:hint="default"/>
          <w:spacing w:val="-6"/>
          <w:w w:val="99"/>
        </w:rPr>
        <w:t>6</w:t>
      </w:r>
      <w:r>
        <w:rPr>
          <w:spacing w:val="-6"/>
          <w:w w:val="99"/>
        </w:rPr>
        <w:t>、（</w:t>
      </w:r>
      <w:r>
        <w:rPr>
          <w:rFonts w:ascii="Times New Roman" w:hAnsi="Times New Roman" w:cs="Times New Roman" w:eastAsia="Times New Roman" w:hint="default"/>
          <w:spacing w:val="-6"/>
          <w:w w:val="99"/>
        </w:rPr>
        <w:t>3</w:t>
      </w:r>
      <w:r>
        <w:rPr>
          <w:spacing w:val="-6"/>
          <w:w w:val="99"/>
        </w:rPr>
        <w:t>）。本期仅将其期初至处置日的利润表纳入合并。</w:t>
      </w:r>
      <w:r>
        <w:rPr>
          <w:spacing w:val="-6"/>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BodyText"/>
        <w:spacing w:line="240" w:lineRule="auto"/>
        <w:ind w:left="539" w:right="108"/>
        <w:jc w:val="left"/>
      </w:pPr>
      <w:r>
        <w:rPr/>
        <w:t>（</w:t>
      </w:r>
      <w:r>
        <w:rPr>
          <w:rFonts w:ascii="Times New Roman" w:hAnsi="Times New Roman" w:cs="Times New Roman" w:eastAsia="Times New Roman" w:hint="default"/>
        </w:rPr>
        <w:t>3</w:t>
      </w:r>
      <w:r>
        <w:rPr/>
        <w:t>）本期不再纳入合并范围的子公司。</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3693"/>
        <w:gridCol w:w="2772"/>
        <w:gridCol w:w="2769"/>
      </w:tblGrid>
      <w:tr>
        <w:trPr>
          <w:trHeight w:val="509"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511"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深圳市迅达汽车运输有限公司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128,640,915.04</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深圳市深运工贸企业有限公司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37,260,649.40</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深圳市鸿基酒店管理有限公司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31,206,722.87</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深圳市鸿基装饰设计工程有限公司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5,907,055.16</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-3,731.71</w:t>
            </w:r>
          </w:p>
        </w:tc>
      </w:tr>
      <w:tr>
        <w:trPr>
          <w:trHeight w:val="511"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深圳市鸿基锦源运输有限公司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-5,136,546.46</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-433,220.69</w:t>
            </w:r>
            <w:r>
              <w:rPr>
                <w:rFonts w:ascii="Times New Roman"/>
                <w:sz w:val="21"/>
              </w:rPr>
            </w:r>
          </w:p>
        </w:tc>
      </w:tr>
      <w:tr>
        <w:trPr>
          <w:trHeight w:val="509" w:hRule="exact"/>
        </w:trPr>
        <w:tc>
          <w:tcPr>
            <w:tcW w:w="3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深圳市鸿基华辉运输有限公司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2,397,574.57</w:t>
            </w:r>
            <w:r>
              <w:rPr>
                <w:rFonts w:ascii="Times New Roman"/>
                <w:sz w:val="21"/>
              </w:rPr>
            </w:r>
          </w:p>
        </w:tc>
        <w:tc>
          <w:tcPr>
            <w:tcW w:w="2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-846,563.50</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12" w:lineRule="auto" w:before="34"/>
        <w:ind w:right="123" w:firstLine="423"/>
        <w:jc w:val="both"/>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日，公司与颜淑水、欧新民、陈茂成等三人签署《深圳市迅达汽车运输企业公司</w:t>
      </w:r>
      <w:r>
        <w:rPr>
          <w:w w:val="99"/>
        </w:rPr>
        <w:t> </w:t>
      </w:r>
      <w:r>
        <w:rPr>
          <w:spacing w:val="-3"/>
          <w:w w:val="99"/>
        </w:rPr>
        <w:t>股权转让意向书》，将持有的深圳市迅达汽车运输企业公司（以下简称</w:t>
      </w:r>
      <w:r>
        <w:rPr>
          <w:spacing w:val="-74"/>
          <w:w w:val="99"/>
        </w:rPr>
        <w:t> </w:t>
      </w:r>
      <w:r>
        <w:rPr>
          <w:rFonts w:ascii="Times New Roman" w:hAnsi="Times New Roman" w:cs="Times New Roman" w:eastAsia="Times New Roman" w:hint="default"/>
          <w:spacing w:val="1"/>
          <w:w w:val="99"/>
        </w:rPr>
        <w:t>“</w:t>
      </w:r>
      <w:r>
        <w:rPr>
          <w:spacing w:val="1"/>
          <w:w w:val="99"/>
        </w:rPr>
        <w:t>迅达公司</w:t>
      </w:r>
      <w:r>
        <w:rPr>
          <w:rFonts w:ascii="Times New Roman" w:hAnsi="Times New Roman" w:cs="Times New Roman" w:eastAsia="Times New Roman" w:hint="default"/>
          <w:spacing w:val="1"/>
          <w:w w:val="99"/>
        </w:rPr>
        <w:t>”</w:t>
      </w:r>
      <w:r>
        <w:rPr>
          <w:spacing w:val="1"/>
          <w:w w:val="99"/>
        </w:rPr>
        <w:t>）</w:t>
      </w:r>
      <w:r>
        <w:rPr>
          <w:rFonts w:ascii="Times New Roman" w:hAnsi="Times New Roman" w:cs="Times New Roman" w:eastAsia="Times New Roman" w:hint="default"/>
          <w:spacing w:val="1"/>
          <w:w w:val="99"/>
        </w:rPr>
        <w:t>100%</w:t>
      </w:r>
      <w:r>
        <w:rPr>
          <w:spacing w:val="1"/>
          <w:w w:val="99"/>
        </w:rPr>
        <w:t>的股权转让予颜</w:t>
      </w:r>
      <w:r>
        <w:rPr>
          <w:spacing w:val="-92"/>
          <w:w w:val="99"/>
        </w:rPr>
        <w:t> </w:t>
      </w:r>
      <w:r>
        <w:rPr>
          <w:spacing w:val="-92"/>
          <w:w w:val="99"/>
        </w:rPr>
      </w:r>
      <w:r>
        <w:rPr/>
        <w:t>淑水、欧新民、陈茂成等三人及其所代表的迅达公司其他</w:t>
      </w:r>
      <w:r>
        <w:rPr>
          <w:spacing w:val="-26"/>
        </w:rPr>
        <w:t> </w:t>
      </w:r>
      <w:r>
        <w:rPr>
          <w:rFonts w:ascii="Times New Roman" w:hAnsi="Times New Roman" w:cs="Times New Roman" w:eastAsia="Times New Roman" w:hint="default"/>
        </w:rPr>
        <w:t>99</w:t>
      </w:r>
      <w:r>
        <w:rPr>
          <w:rFonts w:ascii="Times New Roman" w:hAnsi="Times New Roman" w:cs="Times New Roman" w:eastAsia="Times New Roman" w:hint="default"/>
          <w:spacing w:val="14"/>
        </w:rPr>
        <w:t> </w:t>
      </w:r>
      <w:r>
        <w:rPr/>
        <w:t>名员工，其中转让迅达公司</w:t>
      </w:r>
      <w:r>
        <w:rPr>
          <w:spacing w:val="-31"/>
        </w:rPr>
        <w:t> </w:t>
      </w:r>
      <w:r>
        <w:rPr>
          <w:rFonts w:ascii="Times New Roman" w:hAnsi="Times New Roman" w:cs="Times New Roman" w:eastAsia="Times New Roman" w:hint="default"/>
        </w:rPr>
        <w:t>40%</w:t>
      </w:r>
      <w:r>
        <w:rPr/>
        <w:t>股权予颜淑</w:t>
      </w:r>
      <w:r>
        <w:rPr>
          <w:spacing w:val="-98"/>
        </w:rPr>
        <w:t> </w:t>
      </w:r>
      <w:r>
        <w:rPr>
          <w:spacing w:val="-98"/>
        </w:rPr>
      </w:r>
      <w:r>
        <w:rPr/>
        <w:t>水、</w:t>
      </w:r>
      <w:r>
        <w:rPr>
          <w:rFonts w:ascii="Times New Roman" w:hAnsi="Times New Roman" w:cs="Times New Roman" w:eastAsia="Times New Roman" w:hint="default"/>
        </w:rPr>
        <w:t>30%</w:t>
      </w:r>
      <w:r>
        <w:rPr/>
        <w:t>股权转让予欧新民、</w:t>
      </w:r>
      <w:r>
        <w:rPr>
          <w:rFonts w:ascii="Times New Roman" w:hAnsi="Times New Roman" w:cs="Times New Roman" w:eastAsia="Times New Roman" w:hint="default"/>
        </w:rPr>
        <w:t>30%</w:t>
      </w:r>
      <w:r>
        <w:rPr/>
        <w:t>股权予陈茂成。股权转让价格以经审计、评估后的迅达公司股东全部权</w:t>
      </w:r>
      <w:r>
        <w:rPr>
          <w:spacing w:val="-49"/>
        </w:rPr>
        <w:t> </w:t>
      </w:r>
      <w:r>
        <w:rPr>
          <w:spacing w:val="-49"/>
        </w:rPr>
      </w:r>
      <w:r>
        <w:rPr/>
        <w:t>益价值资产评估值为依据，双方协商确定转受让价格为</w:t>
      </w:r>
      <w:r>
        <w:rPr>
          <w:spacing w:val="-85"/>
        </w:rPr>
        <w:t> </w:t>
      </w:r>
      <w:r>
        <w:rPr>
          <w:rFonts w:ascii="Times New Roman" w:hAnsi="Times New Roman" w:cs="Times New Roman" w:eastAsia="Times New Roman" w:hint="default"/>
        </w:rPr>
        <w:t>21,600</w:t>
      </w:r>
      <w:r>
        <w:rPr>
          <w:rFonts w:ascii="Times New Roman" w:hAnsi="Times New Roman" w:cs="Times New Roman" w:eastAsia="Times New Roman" w:hint="default"/>
          <w:spacing w:val="-32"/>
        </w:rPr>
        <w:t> </w:t>
      </w:r>
      <w:r>
        <w:rPr/>
        <w:t>万元。股权转让后，公司不再持有迅达公司</w:t>
      </w:r>
    </w:p>
    <w:p>
      <w:pPr>
        <w:pStyle w:val="BodyText"/>
        <w:spacing w:line="240" w:lineRule="auto" w:before="41"/>
        <w:ind w:right="0"/>
        <w:jc w:val="both"/>
      </w:pPr>
      <w:r>
        <w:rPr/>
        <w:t>股权。公司于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月已全额收到转让价款。此股权转让已办理股权工商变更登记过户手续。</w:t>
      </w:r>
    </w:p>
    <w:p>
      <w:pPr>
        <w:spacing w:line="240" w:lineRule="auto" w:before="12"/>
        <w:rPr>
          <w:rFonts w:ascii="宋体" w:hAnsi="宋体" w:cs="宋体" w:eastAsia="宋体" w:hint="default"/>
          <w:sz w:val="15"/>
          <w:szCs w:val="15"/>
        </w:rPr>
      </w:pPr>
    </w:p>
    <w:p>
      <w:pPr>
        <w:pStyle w:val="BodyText"/>
        <w:spacing w:line="412" w:lineRule="auto"/>
        <w:ind w:right="121" w:firstLine="423"/>
        <w:jc w:val="both"/>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2010 </w:t>
      </w:r>
      <w:r>
        <w:rPr/>
        <w:t>年</w:t>
      </w:r>
      <w:r>
        <w:rPr>
          <w:spacing w:val="-49"/>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日，公司与吴春月、谢瑞宁、刘毅三人签署《深圳市深运工贸企业有限公司、深</w:t>
      </w:r>
      <w:r>
        <w:rPr>
          <w:w w:val="99"/>
        </w:rPr>
        <w:t> </w:t>
      </w:r>
      <w:r>
        <w:rPr>
          <w:spacing w:val="-2"/>
          <w:w w:val="99"/>
        </w:rPr>
        <w:t>圳市鸿基酒店管理有限公司股权转让意向书》，将持有的深圳市深运工贸企业有限公司（以下简称</w:t>
      </w:r>
      <w:r>
        <w:rPr>
          <w:rFonts w:ascii="Times New Roman" w:hAnsi="Times New Roman" w:cs="Times New Roman" w:eastAsia="Times New Roman" w:hint="default"/>
          <w:spacing w:val="-2"/>
          <w:w w:val="99"/>
        </w:rPr>
        <w:t>“</w:t>
      </w:r>
      <w:r>
        <w:rPr>
          <w:spacing w:val="-2"/>
          <w:w w:val="99"/>
        </w:rPr>
        <w:t>工贸公</w:t>
      </w:r>
      <w:r>
        <w:rPr>
          <w:spacing w:val="-81"/>
          <w:w w:val="99"/>
        </w:rPr>
        <w:t> </w:t>
      </w:r>
      <w:r>
        <w:rPr>
          <w:spacing w:val="-81"/>
          <w:w w:val="99"/>
        </w:rPr>
      </w:r>
      <w:r>
        <w:rPr/>
        <w:t>司</w:t>
      </w:r>
      <w:r>
        <w:rPr>
          <w:rFonts w:ascii="Times New Roman" w:hAnsi="Times New Roman" w:cs="Times New Roman" w:eastAsia="Times New Roman" w:hint="default"/>
        </w:rPr>
        <w:t>”</w:t>
      </w:r>
      <w:r>
        <w:rPr/>
        <w:t>）</w:t>
      </w:r>
      <w:r>
        <w:rPr>
          <w:rFonts w:ascii="Times New Roman" w:hAnsi="Times New Roman" w:cs="Times New Roman" w:eastAsia="Times New Roman" w:hint="default"/>
        </w:rPr>
        <w:t>95%</w:t>
      </w:r>
      <w:r>
        <w:rPr/>
        <w:t>股权中的</w:t>
      </w:r>
      <w:r>
        <w:rPr>
          <w:spacing w:val="-64"/>
        </w:rPr>
        <w:t> </w:t>
      </w:r>
      <w:r>
        <w:rPr>
          <w:rFonts w:ascii="Times New Roman" w:hAnsi="Times New Roman" w:cs="Times New Roman" w:eastAsia="Times New Roman" w:hint="default"/>
        </w:rPr>
        <w:t>35%</w:t>
      </w:r>
      <w:r>
        <w:rPr/>
        <w:t>股权转让给谢瑞宁、</w:t>
      </w:r>
      <w:r>
        <w:rPr>
          <w:rFonts w:ascii="Times New Roman" w:hAnsi="Times New Roman" w:cs="Times New Roman" w:eastAsia="Times New Roman" w:hint="default"/>
        </w:rPr>
        <w:t>30%</w:t>
      </w:r>
      <w:r>
        <w:rPr/>
        <w:t>股权转让给吴春月、</w:t>
      </w:r>
      <w:r>
        <w:rPr>
          <w:rFonts w:ascii="Times New Roman" w:hAnsi="Times New Roman" w:cs="Times New Roman" w:eastAsia="Times New Roman" w:hint="default"/>
        </w:rPr>
        <w:t>30%</w:t>
      </w:r>
      <w:r>
        <w:rPr/>
        <w:t>股权转让给刘毅三人及其所代表</w:t>
      </w:r>
      <w:r>
        <w:rPr>
          <w:w w:val="99"/>
        </w:rPr>
        <w:t> </w:t>
      </w:r>
      <w:r>
        <w:rPr/>
        <w:t>的工贸公司、深圳市鸿基酒店管理有限公司（以下简称</w:t>
      </w:r>
      <w:r>
        <w:rPr>
          <w:rFonts w:ascii="Times New Roman" w:hAnsi="Times New Roman" w:cs="Times New Roman" w:eastAsia="Times New Roman" w:hint="default"/>
        </w:rPr>
        <w:t>“</w:t>
      </w:r>
      <w:r>
        <w:rPr/>
        <w:t>鸿基酒店管理公司</w:t>
      </w:r>
      <w:r>
        <w:rPr>
          <w:rFonts w:ascii="Times New Roman" w:hAnsi="Times New Roman" w:cs="Times New Roman" w:eastAsia="Times New Roman" w:hint="default"/>
        </w:rPr>
        <w:t>”</w:t>
      </w:r>
      <w:r>
        <w:rPr/>
        <w:t>）其他</w:t>
      </w:r>
      <w:r>
        <w:rPr>
          <w:spacing w:val="-47"/>
        </w:rPr>
        <w:t> </w:t>
      </w:r>
      <w:r>
        <w:rPr>
          <w:rFonts w:ascii="Times New Roman" w:hAnsi="Times New Roman" w:cs="Times New Roman" w:eastAsia="Times New Roman" w:hint="default"/>
        </w:rPr>
        <w:t>191</w:t>
      </w:r>
      <w:r>
        <w:rPr>
          <w:rFonts w:ascii="Times New Roman" w:hAnsi="Times New Roman" w:cs="Times New Roman" w:eastAsia="Times New Roman" w:hint="default"/>
          <w:spacing w:val="5"/>
        </w:rPr>
        <w:t> </w:t>
      </w:r>
      <w:r>
        <w:rPr/>
        <w:t>名员工；将持有鸿</w:t>
      </w:r>
      <w:r>
        <w:rPr>
          <w:spacing w:val="-103"/>
        </w:rPr>
        <w:t> </w:t>
      </w:r>
      <w:r>
        <w:rPr>
          <w:spacing w:val="-103"/>
        </w:rPr>
      </w:r>
      <w:r>
        <w:rPr/>
        <w:t>基酒店管理公司</w:t>
      </w:r>
      <w:r>
        <w:rPr>
          <w:spacing w:val="-84"/>
        </w:rPr>
        <w:t> </w:t>
      </w:r>
      <w:r>
        <w:rPr>
          <w:rFonts w:ascii="Times New Roman" w:hAnsi="Times New Roman" w:cs="Times New Roman" w:eastAsia="Times New Roman" w:hint="default"/>
        </w:rPr>
        <w:t>10%</w:t>
      </w:r>
      <w:r>
        <w:rPr/>
        <w:t>股权中的</w:t>
      </w:r>
      <w:r>
        <w:rPr>
          <w:spacing w:val="-86"/>
        </w:rPr>
        <w:t> </w:t>
      </w:r>
      <w:r>
        <w:rPr>
          <w:rFonts w:ascii="Times New Roman" w:hAnsi="Times New Roman" w:cs="Times New Roman" w:eastAsia="Times New Roman" w:hint="default"/>
        </w:rPr>
        <w:t>4%</w:t>
      </w:r>
      <w:r>
        <w:rPr/>
        <w:t>股权转让给谢瑞宁、</w:t>
      </w:r>
      <w:r>
        <w:rPr>
          <w:rFonts w:ascii="Times New Roman" w:hAnsi="Times New Roman" w:cs="Times New Roman" w:eastAsia="Times New Roman" w:hint="default"/>
        </w:rPr>
        <w:t>3%</w:t>
      </w:r>
      <w:r>
        <w:rPr/>
        <w:t>股权转让给吴春月、</w:t>
      </w:r>
      <w:r>
        <w:rPr>
          <w:rFonts w:ascii="Times New Roman" w:hAnsi="Times New Roman" w:cs="Times New Roman" w:eastAsia="Times New Roman" w:hint="default"/>
        </w:rPr>
        <w:t>3%</w:t>
      </w:r>
      <w:r>
        <w:rPr/>
        <w:t>股权转让给刘毅三人及其</w:t>
      </w:r>
      <w:r>
        <w:rPr>
          <w:w w:val="99"/>
        </w:rPr>
        <w:t> </w:t>
      </w:r>
      <w:r>
        <w:rPr/>
        <w:t>所代表的工贸公司、鸿基酒店管理公司其他</w:t>
      </w:r>
      <w:r>
        <w:rPr>
          <w:spacing w:val="-55"/>
        </w:rPr>
        <w:t> </w:t>
      </w:r>
      <w:r>
        <w:rPr>
          <w:rFonts w:ascii="Times New Roman" w:hAnsi="Times New Roman" w:cs="Times New Roman" w:eastAsia="Times New Roman" w:hint="default"/>
        </w:rPr>
        <w:t>191</w:t>
      </w:r>
      <w:r>
        <w:rPr>
          <w:rFonts w:ascii="Times New Roman" w:hAnsi="Times New Roman" w:cs="Times New Roman" w:eastAsia="Times New Roman" w:hint="default"/>
          <w:spacing w:val="-6"/>
        </w:rPr>
        <w:t> </w:t>
      </w:r>
      <w:r>
        <w:rPr/>
        <w:t>名员工，股权转让价格以经审计、评估后的工贸公司、鸿</w:t>
      </w:r>
    </w:p>
    <w:p>
      <w:pPr>
        <w:pStyle w:val="BodyText"/>
        <w:spacing w:line="412" w:lineRule="auto" w:before="41"/>
        <w:ind w:right="123"/>
        <w:jc w:val="both"/>
      </w:pPr>
      <w:r>
        <w:rPr/>
        <w:t>基酒店管理公司股东权益价值资产评估值为依据，双方协商确定转受让价格合计为</w:t>
      </w:r>
      <w:r>
        <w:rPr>
          <w:spacing w:val="-19"/>
        </w:rPr>
        <w:t> </w:t>
      </w:r>
      <w:r>
        <w:rPr>
          <w:rFonts w:ascii="Times New Roman" w:hAnsi="Times New Roman" w:cs="Times New Roman" w:eastAsia="Times New Roman" w:hint="default"/>
        </w:rPr>
        <w:t>7,220</w:t>
      </w:r>
      <w:r>
        <w:rPr>
          <w:rFonts w:ascii="Times New Roman" w:hAnsi="Times New Roman" w:cs="Times New Roman" w:eastAsia="Times New Roman" w:hint="default"/>
          <w:spacing w:val="5"/>
        </w:rPr>
        <w:t> </w:t>
      </w:r>
      <w:r>
        <w:rPr/>
        <w:t>万元（其中工贸</w:t>
      </w:r>
      <w:r>
        <w:rPr>
          <w:spacing w:val="-103"/>
        </w:rPr>
        <w:t> </w:t>
      </w:r>
      <w:r>
        <w:rPr>
          <w:spacing w:val="-103"/>
        </w:rPr>
      </w:r>
      <w:r>
        <w:rPr>
          <w:spacing w:val="2"/>
          <w:w w:val="99"/>
        </w:rPr>
        <w:t>公司</w:t>
      </w:r>
      <w:r>
        <w:rPr>
          <w:spacing w:val="-47"/>
          <w:w w:val="99"/>
        </w:rPr>
        <w:t> </w:t>
      </w:r>
      <w:r>
        <w:rPr>
          <w:rFonts w:ascii="Times New Roman" w:hAnsi="Times New Roman" w:cs="Times New Roman" w:eastAsia="Times New Roman" w:hint="default"/>
          <w:spacing w:val="2"/>
          <w:w w:val="99"/>
        </w:rPr>
        <w:t>95%</w:t>
      </w:r>
      <w:r>
        <w:rPr>
          <w:spacing w:val="2"/>
          <w:w w:val="99"/>
        </w:rPr>
        <w:t>股权转让价格为</w:t>
      </w:r>
      <w:r>
        <w:rPr>
          <w:spacing w:val="-45"/>
          <w:w w:val="99"/>
        </w:rPr>
        <w:t> </w:t>
      </w:r>
      <w:r>
        <w:rPr>
          <w:rFonts w:ascii="Times New Roman" w:hAnsi="Times New Roman" w:cs="Times New Roman" w:eastAsia="Times New Roman" w:hint="default"/>
          <w:w w:val="99"/>
        </w:rPr>
        <w:t>6,890</w:t>
      </w:r>
      <w:r>
        <w:rPr>
          <w:rFonts w:ascii="Times New Roman" w:hAnsi="Times New Roman" w:cs="Times New Roman" w:eastAsia="Times New Roman" w:hint="default"/>
          <w:spacing w:val="4"/>
          <w:w w:val="99"/>
        </w:rPr>
        <w:t> </w:t>
      </w:r>
      <w:r>
        <w:rPr>
          <w:spacing w:val="2"/>
          <w:w w:val="99"/>
        </w:rPr>
        <w:t>万元，鸿基酒店管理公司</w:t>
      </w:r>
      <w:r>
        <w:rPr>
          <w:spacing w:val="-45"/>
          <w:w w:val="99"/>
        </w:rPr>
        <w:t> </w:t>
      </w:r>
      <w:r>
        <w:rPr>
          <w:rFonts w:ascii="Times New Roman" w:hAnsi="Times New Roman" w:cs="Times New Roman" w:eastAsia="Times New Roman" w:hint="default"/>
          <w:spacing w:val="2"/>
          <w:w w:val="99"/>
        </w:rPr>
        <w:t>10%</w:t>
      </w:r>
      <w:r>
        <w:rPr>
          <w:spacing w:val="2"/>
          <w:w w:val="99"/>
        </w:rPr>
        <w:t>股权转让价格为</w:t>
      </w:r>
      <w:r>
        <w:rPr>
          <w:spacing w:val="-45"/>
          <w:w w:val="99"/>
        </w:rPr>
        <w:t> </w:t>
      </w:r>
      <w:r>
        <w:rPr>
          <w:rFonts w:ascii="Times New Roman" w:hAnsi="Times New Roman" w:cs="Times New Roman" w:eastAsia="Times New Roman" w:hint="default"/>
          <w:w w:val="99"/>
        </w:rPr>
        <w:t>330</w:t>
      </w:r>
      <w:r>
        <w:rPr>
          <w:rFonts w:ascii="Times New Roman" w:hAnsi="Times New Roman" w:cs="Times New Roman" w:eastAsia="Times New Roman" w:hint="default"/>
          <w:spacing w:val="4"/>
          <w:w w:val="99"/>
        </w:rPr>
        <w:t> </w:t>
      </w:r>
      <w:r>
        <w:rPr>
          <w:spacing w:val="-8"/>
          <w:w w:val="99"/>
        </w:rPr>
        <w:t>万元）。股权转让后，</w:t>
      </w:r>
      <w:r>
        <w:rPr>
          <w:w w:val="99"/>
        </w:rPr>
        <w:t> </w:t>
      </w:r>
      <w:r>
        <w:rPr/>
        <w:t>公司不再直接或间接持有上述两家公司股权。公司于</w:t>
      </w:r>
      <w:r>
        <w:rPr>
          <w:spacing w:val="-1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月已全额收到转让价款。此股权转让已办</w:t>
      </w:r>
      <w:r>
        <w:rPr>
          <w:spacing w:val="-99"/>
        </w:rPr>
        <w:t> </w:t>
      </w:r>
      <w:r>
        <w:rPr>
          <w:spacing w:val="-99"/>
        </w:rPr>
      </w:r>
      <w:r>
        <w:rPr/>
        <w:t>理股权工商变更登记过户手续。</w:t>
      </w:r>
    </w:p>
    <w:p>
      <w:pPr>
        <w:spacing w:after="0" w:line="412" w:lineRule="auto"/>
        <w:jc w:val="both"/>
        <w:sectPr>
          <w:pgSz w:w="11910" w:h="16840"/>
          <w:pgMar w:header="0" w:footer="865" w:top="1300" w:bottom="1060" w:left="1020" w:right="980"/>
        </w:sectPr>
      </w:pPr>
    </w:p>
    <w:p>
      <w:pPr>
        <w:pStyle w:val="BodyText"/>
        <w:spacing w:line="412" w:lineRule="auto" w:before="8"/>
        <w:ind w:right="163" w:firstLine="423"/>
        <w:jc w:val="both"/>
      </w:pPr>
      <w:bookmarkStart w:name="五、合并财务报表项目注释" w:id="87"/>
      <w:bookmarkEnd w:id="87"/>
      <w:r>
        <w:rPr/>
      </w:r>
      <w:bookmarkStart w:name="1、货币资金" w:id="88"/>
      <w:bookmarkEnd w:id="88"/>
      <w:r>
        <w:rPr/>
      </w:r>
      <w:r>
        <w:rPr>
          <w:rFonts w:ascii="Times New Roman" w:hAnsi="Times New Roman" w:cs="Times New Roman" w:eastAsia="Times New Roman" w:hint="default"/>
        </w:rPr>
        <w:t>C</w:t>
      </w:r>
      <w:r>
        <w:rPr/>
        <w:t>、公司控股子公司深圳市鸿基装饰设计工程有限公司，其规定的经营期限已届满，公司也早已停止</w:t>
      </w:r>
      <w:r>
        <w:rPr>
          <w:w w:val="99"/>
        </w:rPr>
        <w:t> </w:t>
      </w:r>
      <w:r>
        <w:rPr>
          <w:spacing w:val="2"/>
        </w:rPr>
        <w:t>所有经营业务，于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2"/>
        </w:rPr>
        <w:t>日取得深圳市金诺税务师事务所有限公司</w:t>
      </w:r>
      <w:r>
        <w:rPr>
          <w:spacing w:val="-45"/>
        </w:rPr>
        <w:t> </w:t>
      </w:r>
      <w:r>
        <w:rPr>
          <w:rFonts w:ascii="Times New Roman" w:hAnsi="Times New Roman" w:cs="Times New Roman" w:eastAsia="Times New Roman" w:hint="default"/>
        </w:rPr>
        <w:t>24122011020002</w:t>
      </w:r>
      <w:r>
        <w:rPr>
          <w:rFonts w:ascii="Times New Roman" w:hAnsi="Times New Roman" w:cs="Times New Roman" w:eastAsia="Times New Roman" w:hint="default"/>
          <w:spacing w:val="-1"/>
        </w:rPr>
        <w:t> </w:t>
      </w:r>
      <w:r>
        <w:rPr>
          <w:spacing w:val="2"/>
        </w:rPr>
        <w:t>号《关于深</w:t>
      </w:r>
    </w:p>
    <w:p>
      <w:pPr>
        <w:pStyle w:val="BodyText"/>
        <w:spacing w:line="412" w:lineRule="auto" w:before="43"/>
        <w:ind w:right="0"/>
        <w:jc w:val="left"/>
      </w:pPr>
      <w:r>
        <w:rPr>
          <w:spacing w:val="-3"/>
          <w:w w:val="99"/>
        </w:rPr>
        <w:t>圳市鸿基装饰设计工程有限公司注销鉴证报告》，</w:t>
      </w:r>
      <w:r>
        <w:rPr>
          <w:rFonts w:ascii="Times New Roman" w:hAnsi="Times New Roman" w:cs="Times New Roman" w:eastAsia="Times New Roman" w:hint="default"/>
          <w:spacing w:val="-3"/>
          <w:w w:val="99"/>
        </w:rPr>
        <w:t>2011</w:t>
      </w:r>
      <w:r>
        <w:rPr>
          <w:rFonts w:ascii="Times New Roman" w:hAnsi="Times New Roman" w:cs="Times New Roman" w:eastAsia="Times New Roman" w:hint="default"/>
          <w:spacing w:val="1"/>
          <w:w w:val="99"/>
        </w:rPr>
        <w:t> </w:t>
      </w:r>
      <w:r>
        <w:rPr>
          <w:w w:val="99"/>
        </w:rPr>
        <w:t>年</w:t>
      </w:r>
      <w:r>
        <w:rPr>
          <w:spacing w:val="-44"/>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6"/>
          <w:w w:val="99"/>
        </w:rPr>
        <w:t> </w:t>
      </w:r>
      <w:r>
        <w:rPr>
          <w:w w:val="99"/>
        </w:rPr>
        <w:t>月</w:t>
      </w:r>
      <w:r>
        <w:rPr>
          <w:spacing w:val="-44"/>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1"/>
          <w:w w:val="99"/>
        </w:rPr>
        <w:t> </w:t>
      </w:r>
      <w:r>
        <w:rPr>
          <w:spacing w:val="1"/>
          <w:w w:val="99"/>
        </w:rPr>
        <w:t>日在深圳市市场监督管理局办理了注销</w:t>
      </w:r>
      <w:r>
        <w:rPr>
          <w:spacing w:val="-102"/>
          <w:w w:val="99"/>
        </w:rPr>
        <w:t> </w:t>
      </w:r>
      <w:r>
        <w:rPr>
          <w:spacing w:val="-102"/>
          <w:w w:val="99"/>
        </w:rPr>
      </w:r>
      <w:r>
        <w:rPr/>
        <w:t>登记手续。</w:t>
      </w:r>
    </w:p>
    <w:p>
      <w:pPr>
        <w:pStyle w:val="BodyText"/>
        <w:spacing w:line="412" w:lineRule="auto" w:before="73"/>
        <w:ind w:right="162" w:firstLine="423"/>
        <w:jc w:val="both"/>
      </w:pPr>
      <w:r>
        <w:rPr>
          <w:rFonts w:ascii="Times New Roman" w:hAnsi="Times New Roman" w:cs="Times New Roman" w:eastAsia="Times New Roman" w:hint="default"/>
          <w:spacing w:val="-7"/>
          <w:w w:val="99"/>
        </w:rPr>
        <w:t>D</w:t>
      </w:r>
      <w:r>
        <w:rPr>
          <w:spacing w:val="-7"/>
          <w:w w:val="99"/>
        </w:rPr>
        <w:t>、</w:t>
      </w:r>
      <w:r>
        <w:rPr>
          <w:rFonts w:ascii="Times New Roman" w:hAnsi="Times New Roman" w:cs="Times New Roman" w:eastAsia="Times New Roman" w:hint="default"/>
          <w:spacing w:val="-7"/>
          <w:w w:val="99"/>
        </w:rPr>
        <w:t>2011</w:t>
      </w:r>
      <w:r>
        <w:rPr>
          <w:rFonts w:ascii="Times New Roman" w:hAnsi="Times New Roman" w:cs="Times New Roman" w:eastAsia="Times New Roman" w:hint="default"/>
          <w:spacing w:val="-3"/>
          <w:w w:val="99"/>
        </w:rPr>
        <w:t> </w:t>
      </w:r>
      <w:r>
        <w:rPr>
          <w:w w:val="99"/>
        </w:rPr>
        <w:t>年</w:t>
      </w:r>
      <w:r>
        <w:rPr>
          <w:spacing w:val="-52"/>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2"/>
          <w:w w:val="99"/>
        </w:rPr>
        <w:t> </w:t>
      </w:r>
      <w:r>
        <w:rPr>
          <w:w w:val="99"/>
        </w:rPr>
        <w:t>月</w:t>
      </w:r>
      <w:r>
        <w:rPr>
          <w:spacing w:val="-52"/>
          <w:w w:val="99"/>
        </w:rPr>
        <w:t> </w:t>
      </w:r>
      <w:r>
        <w:rPr>
          <w:rFonts w:ascii="Times New Roman" w:hAnsi="Times New Roman" w:cs="Times New Roman" w:eastAsia="Times New Roman" w:hint="default"/>
          <w:w w:val="99"/>
        </w:rPr>
        <w:t>28</w:t>
      </w:r>
      <w:r>
        <w:rPr>
          <w:rFonts w:ascii="Times New Roman" w:hAnsi="Times New Roman" w:cs="Times New Roman" w:eastAsia="Times New Roman" w:hint="default"/>
          <w:spacing w:val="2"/>
          <w:w w:val="99"/>
        </w:rPr>
        <w:t> </w:t>
      </w:r>
      <w:r>
        <w:rPr>
          <w:spacing w:val="-4"/>
          <w:w w:val="98"/>
        </w:rPr>
        <w:t>日，本公司与自然人卢木旺签署了《深圳市鸿基锦源运输有限公司股权转让协议》，</w:t>
      </w:r>
      <w:r>
        <w:rPr>
          <w:w w:val="49"/>
        </w:rPr>
        <w:t> </w:t>
      </w:r>
      <w:r>
        <w:rPr>
          <w:spacing w:val="2"/>
        </w:rPr>
        <w:t>协商确定将持有的深圳市鸿基锦源运输有限公司</w:t>
      </w:r>
      <w:r>
        <w:rPr>
          <w:spacing w:val="-39"/>
        </w:rPr>
        <w:t> </w:t>
      </w:r>
      <w:r>
        <w:rPr>
          <w:rFonts w:ascii="Times New Roman" w:hAnsi="Times New Roman" w:cs="Times New Roman" w:eastAsia="Times New Roman" w:hint="default"/>
          <w:spacing w:val="2"/>
        </w:rPr>
        <w:t>80%</w:t>
      </w:r>
      <w:r>
        <w:rPr>
          <w:spacing w:val="2"/>
        </w:rPr>
        <w:t>的股权以转让价格为人民币</w:t>
      </w:r>
      <w:r>
        <w:rPr>
          <w:spacing w:val="-44"/>
        </w:rPr>
        <w:t> </w:t>
      </w:r>
      <w:r>
        <w:rPr>
          <w:rFonts w:ascii="Times New Roman" w:hAnsi="Times New Roman" w:cs="Times New Roman" w:eastAsia="Times New Roman" w:hint="default"/>
        </w:rPr>
        <w:t>0.80</w:t>
      </w:r>
      <w:r>
        <w:rPr>
          <w:rFonts w:ascii="Times New Roman" w:hAnsi="Times New Roman" w:cs="Times New Roman" w:eastAsia="Times New Roman" w:hint="default"/>
          <w:spacing w:val="3"/>
        </w:rPr>
        <w:t> </w:t>
      </w:r>
      <w:r>
        <w:rPr>
          <w:spacing w:val="2"/>
        </w:rPr>
        <w:t>元转让予自然人卢</w:t>
      </w:r>
      <w:r>
        <w:rPr>
          <w:w w:val="99"/>
        </w:rPr>
        <w:t> </w:t>
      </w:r>
      <w:r>
        <w:rPr/>
        <w:t>木旺。公司于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日已全额收到转让价款。此股权转让已办理股权工商变更登记过户手续。</w:t>
      </w:r>
    </w:p>
    <w:p>
      <w:pPr>
        <w:pStyle w:val="BodyText"/>
        <w:spacing w:line="412" w:lineRule="auto" w:before="41"/>
        <w:ind w:right="161" w:firstLine="423"/>
        <w:jc w:val="both"/>
      </w:pPr>
      <w:r>
        <w:rPr>
          <w:rFonts w:ascii="Times New Roman" w:hAnsi="Times New Roman" w:cs="Times New Roman" w:eastAsia="Times New Roman" w:hint="default"/>
          <w:spacing w:val="-5"/>
          <w:w w:val="99"/>
        </w:rPr>
        <w:t>E</w:t>
      </w:r>
      <w:r>
        <w:rPr>
          <w:spacing w:val="-5"/>
          <w:w w:val="99"/>
        </w:rPr>
        <w:t>、</w:t>
      </w:r>
      <w:r>
        <w:rPr>
          <w:rFonts w:ascii="Times New Roman" w:hAnsi="Times New Roman" w:cs="Times New Roman" w:eastAsia="Times New Roman" w:hint="default"/>
          <w:spacing w:val="-5"/>
          <w:w w:val="99"/>
        </w:rPr>
        <w:t>2011</w:t>
      </w:r>
      <w:r>
        <w:rPr>
          <w:rFonts w:ascii="Times New Roman" w:hAnsi="Times New Roman" w:cs="Times New Roman" w:eastAsia="Times New Roman" w:hint="default"/>
          <w:w w:val="99"/>
        </w:rPr>
        <w:t> </w:t>
      </w:r>
      <w:r>
        <w:rPr>
          <w:w w:val="99"/>
        </w:rPr>
        <w:t>年 </w:t>
      </w:r>
      <w:r>
        <w:rPr>
          <w:rFonts w:ascii="Times New Roman" w:hAnsi="Times New Roman" w:cs="Times New Roman" w:eastAsia="Times New Roman" w:hint="default"/>
          <w:w w:val="99"/>
        </w:rPr>
        <w:t>7</w:t>
      </w:r>
      <w:r>
        <w:rPr>
          <w:rFonts w:ascii="Times New Roman" w:hAnsi="Times New Roman" w:cs="Times New Roman" w:eastAsia="Times New Roman" w:hint="default"/>
          <w:spacing w:val="-29"/>
          <w:w w:val="99"/>
        </w:rPr>
        <w:t> </w:t>
      </w:r>
      <w:r>
        <w:rPr>
          <w:spacing w:val="-4"/>
          <w:w w:val="99"/>
        </w:rPr>
        <w:t>月，本公司与自然人谢利君签署了《深圳市鸿基华辉运输有限公司股权转让协议》，协商</w:t>
      </w:r>
      <w:r>
        <w:rPr>
          <w:w w:val="99"/>
        </w:rPr>
        <w:t> </w:t>
      </w:r>
      <w:r>
        <w:rPr>
          <w:spacing w:val="5"/>
        </w:rPr>
        <w:t>确定将持有的深圳市鸿基华辉运输有限公司</w:t>
      </w:r>
      <w:r>
        <w:rPr>
          <w:spacing w:val="-36"/>
        </w:rPr>
        <w:t> </w:t>
      </w:r>
      <w:r>
        <w:rPr>
          <w:rFonts w:ascii="Times New Roman" w:hAnsi="Times New Roman" w:cs="Times New Roman" w:eastAsia="Times New Roman" w:hint="default"/>
          <w:spacing w:val="4"/>
        </w:rPr>
        <w:t>100%</w:t>
      </w:r>
      <w:r>
        <w:rPr>
          <w:spacing w:val="4"/>
        </w:rPr>
        <w:t>的股权以转让价格为人民币</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4"/>
        </w:rPr>
        <w:t>元转让予自然人谢利</w:t>
      </w:r>
      <w:r>
        <w:rPr>
          <w:w w:val="99"/>
        </w:rPr>
        <w:t> </w:t>
      </w:r>
      <w:r>
        <w:rPr/>
        <w:t>君。公司于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16 </w:t>
      </w:r>
      <w:r>
        <w:rPr/>
        <w:t>日已全额收到转让价款。此股权转让已办理股权工商变更登记过户手续。</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BodyText"/>
        <w:spacing w:line="240" w:lineRule="auto"/>
        <w:ind w:left="121" w:right="0"/>
        <w:jc w:val="left"/>
        <w:rPr>
          <w:rFonts w:ascii="宋体" w:hAnsi="宋体" w:cs="宋体" w:eastAsia="宋体" w:hint="default"/>
        </w:rPr>
      </w:pPr>
      <w:r>
        <w:rPr>
          <w:rFonts w:ascii="宋体" w:hAnsi="宋体" w:cs="宋体" w:eastAsia="宋体" w:hint="default"/>
        </w:rPr>
        <w:t>五、合并财务报表项目注释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16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11"/>
        <w:gridCol w:w="1417"/>
        <w:gridCol w:w="953"/>
        <w:gridCol w:w="1593"/>
        <w:gridCol w:w="1434"/>
        <w:gridCol w:w="955"/>
        <w:gridCol w:w="1651"/>
      </w:tblGrid>
      <w:tr>
        <w:trPr>
          <w:trHeight w:val="511" w:hRule="exact"/>
        </w:trPr>
        <w:tc>
          <w:tcPr>
            <w:tcW w:w="171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711"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11"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651" w:val="left" w:leader="none"/>
              </w:tabs>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212,985.27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212,985.27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1,075,648.44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1,075,648.44</w:t>
            </w:r>
          </w:p>
        </w:tc>
      </w:tr>
      <w:tr>
        <w:trPr>
          <w:trHeight w:val="50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360,084,855.12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697,366,686.87</w:t>
            </w:r>
          </w:p>
        </w:tc>
      </w:tr>
      <w:tr>
        <w:trPr>
          <w:trHeight w:val="511"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360,070,236.61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360,070,236.61</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695,682,633.80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695,682,633.80</w:t>
            </w:r>
          </w:p>
        </w:tc>
      </w:tr>
      <w:tr>
        <w:trPr>
          <w:trHeight w:val="50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13,715.64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0.8509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11,670.63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1,968,613.18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0.8509</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1,675,092.95</w:t>
            </w:r>
          </w:p>
        </w:tc>
      </w:tr>
      <w:tr>
        <w:trPr>
          <w:trHeight w:val="511"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445.12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6.6227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2,947.88</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1,352.94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6.6227</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8,960.12</w:t>
            </w:r>
          </w:p>
        </w:tc>
      </w:tr>
      <w:tr>
        <w:trPr>
          <w:trHeight w:val="50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2,106,476.17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3,299,336.44</w:t>
            </w:r>
          </w:p>
        </w:tc>
      </w:tr>
      <w:tr>
        <w:trPr>
          <w:trHeight w:val="511"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按揭保证金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1,707,193.62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1,707,193.62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2,060,371.92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2,060,371.92</w:t>
            </w:r>
          </w:p>
        </w:tc>
      </w:tr>
      <w:tr>
        <w:trPr>
          <w:trHeight w:val="50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399,282.55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399,282.55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1,238,964.52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1,238,964.52</w:t>
            </w:r>
          </w:p>
        </w:tc>
      </w:tr>
      <w:tr>
        <w:trPr>
          <w:trHeight w:val="50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362,404,316.56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701,741,671.75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300" w:bottom="1060" w:left="1020" w:right="940"/>
        </w:sectPr>
      </w:pPr>
    </w:p>
    <w:p>
      <w:pPr>
        <w:pStyle w:val="Heading5"/>
        <w:spacing w:line="307" w:lineRule="exact"/>
        <w:ind w:right="131"/>
        <w:jc w:val="left"/>
        <w:rPr>
          <w:b w:val="0"/>
          <w:bCs w:val="0"/>
        </w:rPr>
      </w:pPr>
      <w:bookmarkStart w:name="2、应收账款" w:id="89"/>
      <w:bookmarkEnd w:id="89"/>
      <w:r>
        <w:rPr>
          <w:b w:val="0"/>
          <w:bCs w:val="0"/>
        </w:rPr>
      </w:r>
      <w:r>
        <w:rPr>
          <w:rFonts w:ascii="Times New Roman" w:hAnsi="Times New Roman" w:cs="Times New Roman" w:eastAsia="Times New Roman" w:hint="default"/>
        </w:rPr>
        <w:t>2</w:t>
      </w:r>
      <w:r>
        <w:rPr/>
        <w:t>、应收账款</w:t>
      </w:r>
      <w:r>
        <w:rPr>
          <w:b w:val="0"/>
          <w:bCs w:val="0"/>
        </w:rPr>
      </w:r>
    </w:p>
    <w:p>
      <w:pPr>
        <w:pStyle w:val="BodyText"/>
        <w:spacing w:line="240" w:lineRule="auto" w:before="171"/>
        <w:ind w:right="131"/>
        <w:jc w:val="left"/>
      </w:pPr>
      <w:r>
        <w:rPr/>
        <w:t>（</w:t>
      </w:r>
      <w:r>
        <w:rPr>
          <w:rFonts w:ascii="Times New Roman" w:hAnsi="Times New Roman" w:cs="Times New Roman" w:eastAsia="Times New Roman" w:hint="default"/>
        </w:rPr>
        <w:t>1</w:t>
      </w:r>
      <w:r>
        <w:rPr/>
        <w:t>）应收账款按种类披露</w:t>
      </w:r>
    </w:p>
    <w:p>
      <w:pPr>
        <w:spacing w:line="240" w:lineRule="auto" w:before="2"/>
        <w:rPr>
          <w:rFonts w:ascii="宋体" w:hAnsi="宋体" w:cs="宋体" w:eastAsia="宋体" w:hint="default"/>
          <w:sz w:val="11"/>
          <w:szCs w:val="11"/>
        </w:rPr>
      </w:pPr>
    </w:p>
    <w:p>
      <w:pPr>
        <w:pStyle w:val="BodyText"/>
        <w:tabs>
          <w:tab w:pos="1051" w:val="left" w:leader="none"/>
        </w:tabs>
        <w:spacing w:line="240" w:lineRule="auto" w:before="34"/>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27"/>
        <w:gridCol w:w="1359"/>
        <w:gridCol w:w="1357"/>
        <w:gridCol w:w="1359"/>
        <w:gridCol w:w="1359"/>
      </w:tblGrid>
      <w:tr>
        <w:trPr>
          <w:trHeight w:val="480" w:hRule="exact"/>
        </w:trPr>
        <w:tc>
          <w:tcPr>
            <w:tcW w:w="42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4227" w:type="dxa"/>
            <w:vMerge/>
            <w:tcBorders>
              <w:left w:val="nil" w:sz="6" w:space="0" w:color="auto"/>
              <w:right w:val="single" w:sz="4" w:space="0" w:color="000000"/>
            </w:tcBorders>
          </w:tcPr>
          <w:p>
            <w:pPr/>
          </w:p>
        </w:tc>
        <w:tc>
          <w:tcPr>
            <w:tcW w:w="2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227" w:type="dxa"/>
            <w:vMerge/>
            <w:tcBorders>
              <w:left w:val="nil" w:sz="6" w:space="0" w:color="auto"/>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1,346,393.00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18.94%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1,346,393.00</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5,649,349.05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1,039,497.79</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5,649,349.05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1,039,497.79</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113,590.23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113,590.23</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7,109,332.28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2,499,481.02</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35.16%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tabs>
          <w:tab w:pos="1051" w:val="left" w:leader="none"/>
        </w:tabs>
        <w:spacing w:line="240" w:lineRule="auto" w:before="34"/>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27"/>
        <w:gridCol w:w="1359"/>
        <w:gridCol w:w="1357"/>
        <w:gridCol w:w="1359"/>
        <w:gridCol w:w="1359"/>
      </w:tblGrid>
      <w:tr>
        <w:trPr>
          <w:trHeight w:val="480" w:hRule="exact"/>
        </w:trPr>
        <w:tc>
          <w:tcPr>
            <w:tcW w:w="42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4227" w:type="dxa"/>
            <w:vMerge/>
            <w:tcBorders>
              <w:left w:val="nil" w:sz="6" w:space="0" w:color="auto"/>
              <w:right w:val="single" w:sz="4" w:space="0" w:color="000000"/>
            </w:tcBorders>
          </w:tcPr>
          <w:p>
            <w:pPr/>
          </w:p>
        </w:tc>
        <w:tc>
          <w:tcPr>
            <w:tcW w:w="2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227" w:type="dxa"/>
            <w:vMerge/>
            <w:tcBorders>
              <w:left w:val="nil" w:sz="6" w:space="0" w:color="auto"/>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3,689,513.00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56.45%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1,358,108.60</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36.81%</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2,732,884.95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41.81%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807,568.58</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29.55%</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1,057,067.90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16.17%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5,285.34</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1,675,817.05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25.64%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802,283.24</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47.87%</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113,590.23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113,590.23</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0" w:hRule="exact"/>
        </w:trPr>
        <w:tc>
          <w:tcPr>
            <w:tcW w:w="4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6,535,988.18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2,279,267.41</w:t>
            </w:r>
          </w:p>
        </w:tc>
        <w:tc>
          <w:tcPr>
            <w:tcW w:w="1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410" w:lineRule="auto" w:before="34"/>
        <w:ind w:right="4961"/>
        <w:jc w:val="left"/>
      </w:pPr>
      <w:r>
        <w:rPr/>
        <w:t>应收账款种类的说明：</w:t>
      </w:r>
      <w:r>
        <w:rPr>
          <w:spacing w:val="-102"/>
        </w:rPr>
        <w:t> </w:t>
      </w:r>
      <w:r>
        <w:rPr>
          <w:spacing w:val="-102"/>
        </w:rPr>
      </w:r>
      <w:r>
        <w:rPr/>
        <w:t>组合中，采用余额百分比法计提坏账准备的应收账款</w:t>
      </w:r>
    </w:p>
    <w:p>
      <w:pPr>
        <w:pStyle w:val="BodyText"/>
        <w:tabs>
          <w:tab w:pos="1051" w:val="left" w:leader="none"/>
        </w:tabs>
        <w:spacing w:line="240" w:lineRule="auto" w:before="46"/>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86"/>
        <w:gridCol w:w="1383"/>
        <w:gridCol w:w="1383"/>
        <w:gridCol w:w="1388"/>
        <w:gridCol w:w="1383"/>
        <w:gridCol w:w="1383"/>
        <w:gridCol w:w="1383"/>
      </w:tblGrid>
      <w:tr>
        <w:trPr>
          <w:trHeight w:val="480" w:hRule="exact"/>
        </w:trPr>
        <w:tc>
          <w:tcPr>
            <w:tcW w:w="13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5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386" w:type="dxa"/>
            <w:vMerge/>
            <w:tcBorders>
              <w:left w:val="nil" w:sz="6" w:space="0" w:color="auto"/>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26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10"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1,057,067.90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29" w:right="0"/>
              <w:jc w:val="left"/>
              <w:rPr>
                <w:rFonts w:ascii="Times New Roman" w:hAnsi="Times New Roman" w:cs="Times New Roman" w:eastAsia="Times New Roman" w:hint="default"/>
                <w:sz w:val="21"/>
                <w:szCs w:val="21"/>
              </w:rPr>
            </w:pPr>
            <w:r>
              <w:rPr>
                <w:rFonts w:ascii="Times New Roman"/>
                <w:sz w:val="21"/>
              </w:rPr>
              <w:t>0.50%</w:t>
            </w:r>
          </w:p>
        </w:tc>
        <w:tc>
          <w:tcPr>
            <w:tcW w:w="1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36" w:right="0"/>
              <w:jc w:val="left"/>
              <w:rPr>
                <w:rFonts w:ascii="Times New Roman" w:hAnsi="Times New Roman" w:cs="Times New Roman" w:eastAsia="Times New Roman" w:hint="default"/>
                <w:sz w:val="21"/>
                <w:szCs w:val="21"/>
              </w:rPr>
            </w:pPr>
            <w:r>
              <w:rPr>
                <w:rFonts w:ascii="Times New Roman"/>
                <w:sz w:val="21"/>
              </w:rPr>
              <w:t>5,285.34</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65" w:top="1300" w:bottom="1060" w:left="1020" w:right="960"/>
        </w:sectPr>
      </w:pPr>
    </w:p>
    <w:p>
      <w:pPr>
        <w:pStyle w:val="BodyText"/>
        <w:spacing w:line="240" w:lineRule="auto" w:before="8"/>
        <w:ind w:right="131"/>
        <w:jc w:val="left"/>
      </w:pPr>
      <w:r>
        <w:rPr/>
        <w:t>组合中，按账龄分析法计提坏账准备的应收账款：</w:t>
      </w:r>
    </w:p>
    <w:p>
      <w:pPr>
        <w:spacing w:line="240" w:lineRule="auto" w:before="7"/>
        <w:rPr>
          <w:rFonts w:ascii="宋体" w:hAnsi="宋体" w:cs="宋体" w:eastAsia="宋体" w:hint="default"/>
          <w:sz w:val="14"/>
          <w:szCs w:val="14"/>
        </w:rPr>
      </w:pPr>
    </w:p>
    <w:p>
      <w:pPr>
        <w:pStyle w:val="BodyText"/>
        <w:tabs>
          <w:tab w:pos="1051" w:val="left" w:leader="none"/>
        </w:tabs>
        <w:spacing w:line="240" w:lineRule="auto" w:before="34"/>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32"/>
        <w:gridCol w:w="1388"/>
        <w:gridCol w:w="1169"/>
        <w:gridCol w:w="1193"/>
        <w:gridCol w:w="1388"/>
        <w:gridCol w:w="1114"/>
        <w:gridCol w:w="1278"/>
      </w:tblGrid>
      <w:tr>
        <w:trPr>
          <w:trHeight w:val="509" w:hRule="exact"/>
        </w:trPr>
        <w:tc>
          <w:tcPr>
            <w:tcW w:w="21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2132" w:type="dxa"/>
            <w:vMerge/>
            <w:tcBorders>
              <w:left w:val="nil" w:sz="6" w:space="0" w:color="auto"/>
              <w:right w:val="single" w:sz="4" w:space="0" w:color="000000"/>
            </w:tcBorders>
          </w:tcPr>
          <w:p>
            <w:pP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2132"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93"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8" w:type="dxa"/>
            <w:vMerge/>
            <w:tcBorders>
              <w:left w:val="single" w:sz="4" w:space="0" w:color="000000"/>
              <w:bottom w:val="single" w:sz="4" w:space="0" w:color="000000"/>
              <w:right w:val="nil" w:sz="6" w:space="0" w:color="auto"/>
            </w:tcBorders>
          </w:tcPr>
          <w:p>
            <w:pPr/>
          </w:p>
        </w:tc>
      </w:tr>
      <w:tr>
        <w:trPr>
          <w:trHeight w:val="511"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4,721,453.09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83.58%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236,072.65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799,147.35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47.69%</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39,957.37</w:t>
            </w:r>
          </w:p>
        </w:tc>
      </w:tr>
      <w:tr>
        <w:trPr>
          <w:trHeight w:val="50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123,226.26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18,483.94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62,257.00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3.71%</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11,177.10</w:t>
            </w:r>
          </w:p>
        </w:tc>
      </w:tr>
      <w:tr>
        <w:trPr>
          <w:trHeight w:val="511"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12,257.00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6,128.50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4.06%</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511"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146,319.63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8.73%</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117,055.70</w:t>
            </w:r>
          </w:p>
        </w:tc>
      </w:tr>
      <w:tr>
        <w:trPr>
          <w:trHeight w:val="50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724,412.70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724,412.70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600,093.07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35.81%</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600,093.07</w:t>
            </w:r>
          </w:p>
        </w:tc>
      </w:tr>
      <w:tr>
        <w:trPr>
          <w:trHeight w:val="511"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5,649,349.05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1,039,497.79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1,675,817.05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802,283.24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31"/>
        <w:jc w:val="left"/>
      </w:pPr>
      <w:r>
        <w:rPr/>
        <w:t>（</w:t>
      </w:r>
      <w:r>
        <w:rPr>
          <w:rFonts w:ascii="Times New Roman" w:hAnsi="Times New Roman" w:cs="Times New Roman" w:eastAsia="Times New Roman" w:hint="default"/>
        </w:rPr>
        <w:t>2</w:t>
      </w:r>
      <w:r>
        <w:rPr/>
        <w:t>）期末单项金额重大或虽不重大但单独进行减值测试的应收账款坏账准备计提：</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74"/>
        <w:gridCol w:w="1848"/>
        <w:gridCol w:w="1848"/>
        <w:gridCol w:w="1848"/>
        <w:gridCol w:w="1845"/>
      </w:tblGrid>
      <w:tr>
        <w:trPr>
          <w:trHeight w:val="511"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深圳昌信实业有限公司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1,346,393.00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1,346,393.00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五年以上，无法收回</w:t>
            </w:r>
          </w:p>
        </w:tc>
      </w:tr>
      <w:tr>
        <w:trPr>
          <w:trHeight w:val="511"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上海曼高涅进出口公司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113,590.23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113,590.23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四至五年，无法收回</w:t>
            </w:r>
          </w:p>
        </w:tc>
      </w:tr>
      <w:tr>
        <w:trPr>
          <w:trHeight w:val="509"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1,459,983.23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1,459,983.23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84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31"/>
        <w:jc w:val="left"/>
      </w:pPr>
      <w:r>
        <w:rPr/>
        <w:t>（</w:t>
      </w:r>
      <w:r>
        <w:rPr>
          <w:rFonts w:ascii="Times New Roman" w:hAnsi="Times New Roman" w:cs="Times New Roman" w:eastAsia="Times New Roman" w:hint="default"/>
        </w:rPr>
        <w:t>3</w:t>
      </w:r>
      <w:r>
        <w:rPr/>
        <w:t>）本期转回或收回情况</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39"/>
        <w:gridCol w:w="1942"/>
        <w:gridCol w:w="1939"/>
        <w:gridCol w:w="1939"/>
        <w:gridCol w:w="1939"/>
      </w:tblGrid>
      <w:tr>
        <w:trPr>
          <w:trHeight w:val="101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应收款内容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收回原因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9"/>
              <w:ind w:left="784" w:right="241" w:hanging="542"/>
              <w:jc w:val="left"/>
              <w:rPr>
                <w:rFonts w:ascii="宋体" w:hAnsi="宋体" w:cs="宋体" w:eastAsia="宋体" w:hint="default"/>
                <w:sz w:val="18"/>
                <w:szCs w:val="18"/>
              </w:rPr>
            </w:pPr>
            <w:r>
              <w:rPr>
                <w:rFonts w:ascii="宋体" w:hAnsi="宋体" w:cs="宋体" w:eastAsia="宋体" w:hint="default"/>
                <w:sz w:val="18"/>
                <w:szCs w:val="18"/>
              </w:rPr>
              <w:t>确定原坏账准备的</w:t>
            </w:r>
            <w:r>
              <w:rPr>
                <w:rFonts w:ascii="宋体" w:hAnsi="宋体" w:cs="宋体" w:eastAsia="宋体" w:hint="default"/>
                <w:spacing w:val="-87"/>
                <w:sz w:val="18"/>
                <w:szCs w:val="18"/>
              </w:rPr>
              <w:t> </w:t>
            </w:r>
            <w:r>
              <w:rPr>
                <w:rFonts w:ascii="宋体" w:hAnsi="宋体" w:cs="宋体" w:eastAsia="宋体" w:hint="default"/>
                <w:sz w:val="18"/>
                <w:szCs w:val="18"/>
              </w:rPr>
              <w:t>依据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9"/>
              <w:ind w:left="423" w:right="241" w:hanging="181"/>
              <w:jc w:val="left"/>
              <w:rPr>
                <w:rFonts w:ascii="宋体" w:hAnsi="宋体" w:cs="宋体" w:eastAsia="宋体" w:hint="default"/>
                <w:sz w:val="18"/>
                <w:szCs w:val="18"/>
              </w:rPr>
            </w:pPr>
            <w:r>
              <w:rPr>
                <w:rFonts w:ascii="宋体" w:hAnsi="宋体" w:cs="宋体" w:eastAsia="宋体" w:hint="default"/>
                <w:sz w:val="18"/>
                <w:szCs w:val="18"/>
              </w:rPr>
              <w:t>收回前累计已计提</w:t>
            </w:r>
            <w:r>
              <w:rPr>
                <w:rFonts w:ascii="宋体" w:hAnsi="宋体" w:cs="宋体" w:eastAsia="宋体" w:hint="default"/>
                <w:spacing w:val="-87"/>
                <w:sz w:val="18"/>
                <w:szCs w:val="18"/>
              </w:rPr>
              <w:t> </w:t>
            </w:r>
            <w:r>
              <w:rPr>
                <w:rFonts w:ascii="宋体" w:hAnsi="宋体" w:cs="宋体" w:eastAsia="宋体" w:hint="default"/>
                <w:sz w:val="18"/>
                <w:szCs w:val="18"/>
              </w:rPr>
              <w:t>坏账准备金额</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收回原值金额</w:t>
            </w:r>
          </w:p>
        </w:tc>
      </w:tr>
      <w:tr>
        <w:trPr>
          <w:trHeight w:val="511"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已支付</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按帐龄</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11" w:right="0"/>
              <w:jc w:val="left"/>
              <w:rPr>
                <w:rFonts w:ascii="Times New Roman" w:hAnsi="Times New Roman" w:cs="Times New Roman" w:eastAsia="Times New Roman" w:hint="default"/>
                <w:sz w:val="18"/>
                <w:szCs w:val="18"/>
              </w:rPr>
            </w:pPr>
            <w:r>
              <w:rPr>
                <w:rFonts w:ascii="Times New Roman"/>
                <w:sz w:val="18"/>
              </w:rPr>
              <w:t>11,715.60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2,343,120.00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31"/>
        <w:jc w:val="left"/>
      </w:pPr>
      <w:r>
        <w:rPr/>
        <w:t>（</w:t>
      </w:r>
      <w:r>
        <w:rPr>
          <w:rFonts w:ascii="Times New Roman" w:hAnsi="Times New Roman" w:cs="Times New Roman" w:eastAsia="Times New Roman" w:hint="default"/>
        </w:rPr>
        <w:t>4</w:t>
      </w:r>
      <w:r>
        <w:rPr/>
        <w:t>）本报告期无实际核销的应收账款。</w:t>
      </w:r>
    </w:p>
    <w:p>
      <w:pPr>
        <w:spacing w:after="0" w:line="240" w:lineRule="auto"/>
        <w:jc w:val="left"/>
        <w:sectPr>
          <w:pgSz w:w="11910" w:h="16840"/>
          <w:pgMar w:header="0" w:footer="865" w:top="1300" w:bottom="1060" w:left="1020" w:right="960"/>
        </w:sectPr>
      </w:pPr>
    </w:p>
    <w:p>
      <w:pPr>
        <w:pStyle w:val="BodyText"/>
        <w:spacing w:line="240" w:lineRule="auto" w:before="8"/>
        <w:ind w:right="108"/>
        <w:jc w:val="left"/>
      </w:pPr>
      <w:bookmarkStart w:name="3、其他应收款" w:id="90"/>
      <w:bookmarkEnd w:id="90"/>
      <w:r>
        <w:rPr/>
      </w:r>
      <w:r>
        <w:rPr/>
        <w:t>（</w:t>
      </w:r>
      <w:r>
        <w:rPr>
          <w:rFonts w:ascii="Times New Roman" w:hAnsi="Times New Roman" w:cs="Times New Roman" w:eastAsia="Times New Roman" w:hint="default"/>
        </w:rPr>
        <w:t>5</w:t>
      </w:r>
      <w:r>
        <w:rPr/>
        <w:t>）本公司无本报告期通过重组等其他方式收回的应收款项。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108"/>
        <w:jc w:val="left"/>
      </w:pPr>
      <w:r>
        <w:rPr/>
        <w:t>（</w:t>
      </w:r>
      <w:r>
        <w:rPr>
          <w:rFonts w:ascii="Times New Roman" w:hAnsi="Times New Roman" w:cs="Times New Roman" w:eastAsia="Times New Roman" w:hint="default"/>
        </w:rPr>
        <w:t>6</w:t>
      </w:r>
      <w:r>
        <w:rPr/>
        <w:t>）本公司无对持有公司</w:t>
      </w:r>
      <w:r>
        <w:rPr>
          <w:spacing w:val="-50"/>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以上表决权股份的股东单位及其他关联方的应收账款。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right="108"/>
        <w:jc w:val="left"/>
      </w:pPr>
      <w:r>
        <w:rPr/>
        <w:t>（</w:t>
      </w:r>
      <w:r>
        <w:rPr>
          <w:rFonts w:ascii="Times New Roman" w:hAnsi="Times New Roman" w:cs="Times New Roman" w:eastAsia="Times New Roman" w:hint="default"/>
        </w:rPr>
        <w:t>7</w:t>
      </w:r>
      <w:r>
        <w:rPr/>
        <w:t>）应收账款金额前五名单位情况</w:t>
      </w:r>
    </w:p>
    <w:p>
      <w:pPr>
        <w:spacing w:line="240" w:lineRule="auto" w:before="2"/>
        <w:rPr>
          <w:rFonts w:ascii="宋体" w:hAnsi="宋体" w:cs="宋体" w:eastAsia="宋体" w:hint="default"/>
          <w:sz w:val="16"/>
          <w:szCs w:val="16"/>
        </w:rPr>
      </w:pPr>
    </w:p>
    <w:p>
      <w:pPr>
        <w:pStyle w:val="BodyText"/>
        <w:tabs>
          <w:tab w:pos="1051" w:val="left" w:leader="none"/>
        </w:tabs>
        <w:spacing w:line="240" w:lineRule="auto"/>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16"/>
        <w:gridCol w:w="1610"/>
        <w:gridCol w:w="1612"/>
        <w:gridCol w:w="1612"/>
        <w:gridCol w:w="2413"/>
      </w:tblGrid>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深圳昌信实业有限公司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1,346,393.00</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18.94%</w:t>
            </w:r>
            <w:r>
              <w:rPr>
                <w:rFonts w:ascii="Times New Roman"/>
                <w:sz w:val="21"/>
              </w:rPr>
            </w: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101,764.60</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1.43%</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睿杰天泽实业有限公司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18,888.73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0.27%</w:t>
            </w: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深圳电信分公司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14,840.90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0.21%</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9,466.80</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0.13%</w:t>
            </w: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1,491,354.03</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20.98%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08"/>
        <w:jc w:val="left"/>
      </w:pPr>
      <w:r>
        <w:rPr/>
        <w:t>（</w:t>
      </w:r>
      <w:r>
        <w:rPr>
          <w:rFonts w:ascii="Times New Roman" w:hAnsi="Times New Roman" w:cs="Times New Roman" w:eastAsia="Times New Roman" w:hint="default"/>
        </w:rPr>
        <w:t>8</w:t>
      </w:r>
      <w:r>
        <w:rPr/>
        <w:t>）本公司无本报告期终止确认的应收款项。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right="108"/>
        <w:jc w:val="left"/>
        <w:rPr>
          <w:b w:val="0"/>
          <w:bCs w:val="0"/>
        </w:rPr>
      </w:pPr>
      <w:r>
        <w:rPr>
          <w:rFonts w:ascii="Times New Roman" w:hAnsi="Times New Roman" w:cs="Times New Roman" w:eastAsia="Times New Roman" w:hint="default"/>
        </w:rPr>
        <w:t>3</w:t>
      </w:r>
      <w:r>
        <w:rPr/>
        <w:t>、其他应收款</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right="108"/>
        <w:jc w:val="left"/>
      </w:pPr>
      <w:r>
        <w:rPr/>
        <w:t>（</w:t>
      </w:r>
      <w:r>
        <w:rPr>
          <w:rFonts w:ascii="Times New Roman" w:hAnsi="Times New Roman" w:cs="Times New Roman" w:eastAsia="Times New Roman" w:hint="default"/>
        </w:rPr>
        <w:t>1</w:t>
      </w:r>
      <w:r>
        <w:rPr/>
        <w:t>）其他应收款按种类披露：</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63"/>
        <w:gridCol w:w="1347"/>
        <w:gridCol w:w="1352"/>
        <w:gridCol w:w="1350"/>
        <w:gridCol w:w="1350"/>
      </w:tblGrid>
      <w:tr>
        <w:trPr>
          <w:trHeight w:val="509"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9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4263"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63" w:type="dxa"/>
            <w:vMerge/>
            <w:tcBorders>
              <w:left w:val="nil" w:sz="6" w:space="0" w:color="auto"/>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259,849,708.89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95.27%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235,156,505.27</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90.50%</w:t>
            </w:r>
          </w:p>
        </w:tc>
      </w:tr>
      <w:tr>
        <w:trPr>
          <w:trHeight w:val="50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12,906,474.16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8,651,808.44</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67.03%</w:t>
            </w:r>
          </w:p>
        </w:tc>
      </w:tr>
      <w:tr>
        <w:trPr>
          <w:trHeight w:val="51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3,515,824.49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17,676.36</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0.50%</w:t>
            </w:r>
          </w:p>
        </w:tc>
      </w:tr>
      <w:tr>
        <w:trPr>
          <w:trHeight w:val="50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9,390,679.67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3.44%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8,634,132.08</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91.94%</w:t>
            </w:r>
          </w:p>
        </w:tc>
      </w:tr>
      <w:tr>
        <w:trPr>
          <w:trHeight w:val="51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272,756,213.05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243,808,313.71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89.39%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300" w:bottom="1060" w:left="1020" w:right="980"/>
        </w:sectPr>
      </w:pPr>
    </w:p>
    <w:p>
      <w:pPr>
        <w:pStyle w:val="BodyText"/>
        <w:tabs>
          <w:tab w:pos="1051" w:val="left" w:leader="none"/>
        </w:tabs>
        <w:spacing w:line="240" w:lineRule="auto" w:before="8"/>
        <w:ind w:left="0" w:right="20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63"/>
        <w:gridCol w:w="1347"/>
        <w:gridCol w:w="1352"/>
        <w:gridCol w:w="1350"/>
        <w:gridCol w:w="1350"/>
      </w:tblGrid>
      <w:tr>
        <w:trPr>
          <w:trHeight w:val="499"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9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9" w:hRule="exact"/>
        </w:trPr>
        <w:tc>
          <w:tcPr>
            <w:tcW w:w="4263"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2" w:hRule="exact"/>
        </w:trPr>
        <w:tc>
          <w:tcPr>
            <w:tcW w:w="4263" w:type="dxa"/>
            <w:vMerge/>
            <w:tcBorders>
              <w:left w:val="nil" w:sz="6" w:space="0" w:color="auto"/>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9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260,391,973.21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236,268,417.85</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90.74%</w:t>
            </w:r>
          </w:p>
        </w:tc>
      </w:tr>
      <w:tr>
        <w:trPr>
          <w:trHeight w:val="49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28,247,389.27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8,667,622.36</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30.68%</w:t>
            </w:r>
          </w:p>
        </w:tc>
      </w:tr>
      <w:tr>
        <w:trPr>
          <w:trHeight w:val="502"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19,036,075.57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6.60%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93,655.87</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0.50%</w:t>
            </w:r>
          </w:p>
        </w:tc>
      </w:tr>
      <w:tr>
        <w:trPr>
          <w:trHeight w:val="49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9,211,313.70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3.19%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8,573,966.49</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93.08%</w:t>
            </w:r>
          </w:p>
        </w:tc>
      </w:tr>
      <w:tr>
        <w:trPr>
          <w:trHeight w:val="499"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2"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288,639,362.48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244,936,040.21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84.86%</w:t>
            </w:r>
          </w:p>
        </w:tc>
      </w:tr>
    </w:tbl>
    <w:p>
      <w:pPr>
        <w:spacing w:line="240" w:lineRule="auto" w:before="4"/>
        <w:rPr>
          <w:rFonts w:ascii="宋体" w:hAnsi="宋体" w:cs="宋体" w:eastAsia="宋体" w:hint="default"/>
          <w:sz w:val="11"/>
          <w:szCs w:val="11"/>
        </w:rPr>
      </w:pPr>
    </w:p>
    <w:p>
      <w:pPr>
        <w:pStyle w:val="BodyText"/>
        <w:spacing w:line="429" w:lineRule="auto" w:before="34"/>
        <w:ind w:right="4811"/>
        <w:jc w:val="left"/>
      </w:pPr>
      <w:r>
        <w:rPr/>
        <w:t>其他应收款种类的说明：</w:t>
      </w:r>
      <w:r>
        <w:rPr>
          <w:spacing w:val="-103"/>
        </w:rPr>
        <w:t> </w:t>
      </w:r>
      <w:r>
        <w:rPr>
          <w:spacing w:val="-103"/>
        </w:rPr>
      </w:r>
      <w:r>
        <w:rPr/>
        <w:t>组合中，采用余额百分比法计提坏账准备的其他应收款</w:t>
      </w:r>
    </w:p>
    <w:p>
      <w:pPr>
        <w:pStyle w:val="BodyText"/>
        <w:tabs>
          <w:tab w:pos="1051" w:val="left" w:leader="none"/>
        </w:tabs>
        <w:spacing w:line="240" w:lineRule="auto" w:before="49"/>
        <w:ind w:left="0" w:right="20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67"/>
        <w:gridCol w:w="1429"/>
        <w:gridCol w:w="1367"/>
        <w:gridCol w:w="1369"/>
        <w:gridCol w:w="1429"/>
        <w:gridCol w:w="1367"/>
        <w:gridCol w:w="1364"/>
      </w:tblGrid>
      <w:tr>
        <w:trPr>
          <w:trHeight w:val="502" w:hRule="exact"/>
        </w:trPr>
        <w:tc>
          <w:tcPr>
            <w:tcW w:w="13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6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1367" w:type="dxa"/>
            <w:vMerge/>
            <w:tcBorders>
              <w:left w:val="nil" w:sz="6" w:space="0" w:color="auto"/>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9"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3,515,824.49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0.</w:t>
            </w:r>
            <w:r>
              <w:rPr>
                <w:rFonts w:ascii="Times New Roman"/>
                <w:spacing w:val="-1"/>
                <w:sz w:val="21"/>
              </w:rPr>
              <w:t> </w:t>
            </w:r>
            <w:r>
              <w:rPr>
                <w:rFonts w:ascii="Times New Roman"/>
                <w:sz w:val="21"/>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6" w:right="0"/>
              <w:jc w:val="left"/>
              <w:rPr>
                <w:rFonts w:ascii="Times New Roman" w:hAnsi="Times New Roman" w:cs="Times New Roman" w:eastAsia="Times New Roman" w:hint="default"/>
                <w:sz w:val="21"/>
                <w:szCs w:val="21"/>
              </w:rPr>
            </w:pPr>
            <w:r>
              <w:rPr>
                <w:rFonts w:ascii="Times New Roman"/>
                <w:sz w:val="21"/>
              </w:rPr>
              <w:t>17,676.36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19,036,075.57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0.</w:t>
            </w:r>
            <w:r>
              <w:rPr>
                <w:rFonts w:ascii="Times New Roman"/>
                <w:spacing w:val="2"/>
                <w:sz w:val="21"/>
              </w:rPr>
              <w:t> </w:t>
            </w:r>
            <w:r>
              <w:rPr>
                <w:rFonts w:ascii="Times New Roman"/>
                <w:sz w:val="21"/>
              </w:rPr>
              <w:t>50%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21"/>
                <w:szCs w:val="21"/>
              </w:rPr>
            </w:pPr>
            <w:r>
              <w:rPr>
                <w:rFonts w:ascii="Times New Roman"/>
                <w:sz w:val="21"/>
              </w:rPr>
              <w:t>93,655.87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right="0"/>
        <w:jc w:val="left"/>
      </w:pPr>
      <w:r>
        <w:rPr/>
        <w:t>组合中，按账龄分析法计提坏账准备的其他应收款：</w:t>
      </w:r>
    </w:p>
    <w:p>
      <w:pPr>
        <w:spacing w:line="240" w:lineRule="auto" w:before="11"/>
        <w:rPr>
          <w:rFonts w:ascii="宋体" w:hAnsi="宋体" w:cs="宋体" w:eastAsia="宋体" w:hint="default"/>
          <w:sz w:val="13"/>
          <w:szCs w:val="13"/>
        </w:rPr>
      </w:pPr>
    </w:p>
    <w:p>
      <w:pPr>
        <w:pStyle w:val="BodyText"/>
        <w:tabs>
          <w:tab w:pos="1051" w:val="left" w:leader="none"/>
        </w:tabs>
        <w:spacing w:line="240" w:lineRule="auto" w:before="34"/>
        <w:ind w:left="0" w:right="20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48"/>
        <w:gridCol w:w="1564"/>
        <w:gridCol w:w="1169"/>
        <w:gridCol w:w="1388"/>
        <w:gridCol w:w="1388"/>
        <w:gridCol w:w="1114"/>
        <w:gridCol w:w="1280"/>
      </w:tblGrid>
      <w:tr>
        <w:trPr>
          <w:trHeight w:val="499" w:hRule="exact"/>
        </w:trPr>
        <w:tc>
          <w:tcPr>
            <w:tcW w:w="18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2" w:hRule="exact"/>
        </w:trPr>
        <w:tc>
          <w:tcPr>
            <w:tcW w:w="1848" w:type="dxa"/>
            <w:vMerge/>
            <w:tcBorders>
              <w:left w:val="nil" w:sz="6" w:space="0" w:color="auto"/>
              <w:right w:val="single" w:sz="4" w:space="0" w:color="000000"/>
            </w:tcBorders>
          </w:tcPr>
          <w:p>
            <w:pPr/>
          </w:p>
        </w:tc>
        <w:tc>
          <w:tcPr>
            <w:tcW w:w="2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1848"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88"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80" w:type="dxa"/>
            <w:vMerge/>
            <w:tcBorders>
              <w:left w:val="single" w:sz="4" w:space="0" w:color="000000"/>
              <w:bottom w:val="single" w:sz="4" w:space="0" w:color="000000"/>
              <w:right w:val="nil" w:sz="6" w:space="0" w:color="auto"/>
            </w:tcBorders>
          </w:tcPr>
          <w:p>
            <w:pPr/>
          </w:p>
        </w:tc>
      </w:tr>
      <w:tr>
        <w:trPr>
          <w:trHeight w:val="49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500,575.53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25,028.77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27,369.61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0.30%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1,368.47</w:t>
            </w:r>
          </w:p>
        </w:tc>
      </w:tr>
      <w:tr>
        <w:trPr>
          <w:trHeight w:val="50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27,123.72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44,668.56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391,068.15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4.25%</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58,660.22</w:t>
            </w:r>
          </w:p>
        </w:tc>
      </w:tr>
      <w:tr>
        <w:trPr>
          <w:trHeight w:val="49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369,458.15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110,837.45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108,408.52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1.18%</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32,522.56</w:t>
            </w:r>
          </w:p>
        </w:tc>
      </w:tr>
      <w:tr>
        <w:trPr>
          <w:trHeight w:val="49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108,408.52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82,204.26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68,603.51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0.74%</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34,301.76</w:t>
            </w:r>
          </w:p>
        </w:tc>
      </w:tr>
      <w:tr>
        <w:trPr>
          <w:trHeight w:val="50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68,603.51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54,882.80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843,752.15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9.16%</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675,001.72</w:t>
            </w:r>
          </w:p>
        </w:tc>
      </w:tr>
      <w:tr>
        <w:trPr>
          <w:trHeight w:val="49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8,316,510.24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88.56%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8,316,510.24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7,772,111.76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84.37%</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7,772,111.76</w:t>
            </w:r>
          </w:p>
        </w:tc>
      </w:tr>
      <w:tr>
        <w:trPr>
          <w:trHeight w:val="49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9,390,679.67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8,634,132.08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9,211,313.70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8,573,966.49</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65" w:top="1300" w:bottom="1060" w:left="1020" w:right="900"/>
        </w:sectPr>
      </w:pPr>
    </w:p>
    <w:p>
      <w:pPr>
        <w:pStyle w:val="BodyText"/>
        <w:spacing w:line="240" w:lineRule="auto" w:before="8"/>
        <w:ind w:right="0"/>
        <w:jc w:val="left"/>
      </w:pPr>
      <w:r>
        <w:rPr/>
        <w:t>（</w:t>
      </w:r>
      <w:r>
        <w:rPr>
          <w:rFonts w:ascii="Times New Roman" w:hAnsi="Times New Roman" w:cs="Times New Roman" w:eastAsia="Times New Roman" w:hint="default"/>
        </w:rPr>
        <w:t>2</w:t>
      </w:r>
      <w:r>
        <w:rPr/>
        <w:t>）本期转回或收回情况</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86"/>
        <w:gridCol w:w="1278"/>
        <w:gridCol w:w="1848"/>
        <w:gridCol w:w="1703"/>
        <w:gridCol w:w="1884"/>
      </w:tblGrid>
      <w:tr>
        <w:trPr>
          <w:trHeight w:val="73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收回原因</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738" w:right="195" w:hanging="542"/>
              <w:jc w:val="left"/>
              <w:rPr>
                <w:rFonts w:ascii="宋体" w:hAnsi="宋体" w:cs="宋体" w:eastAsia="宋体" w:hint="default"/>
                <w:sz w:val="18"/>
                <w:szCs w:val="18"/>
              </w:rPr>
            </w:pPr>
            <w:r>
              <w:rPr>
                <w:rFonts w:ascii="宋体" w:hAnsi="宋体" w:cs="宋体" w:eastAsia="宋体" w:hint="default"/>
                <w:sz w:val="18"/>
                <w:szCs w:val="18"/>
              </w:rPr>
              <w:t>确定原坏账准备的</w:t>
            </w:r>
            <w:r>
              <w:rPr>
                <w:rFonts w:ascii="宋体" w:hAnsi="宋体" w:cs="宋体" w:eastAsia="宋体" w:hint="default"/>
                <w:spacing w:val="-87"/>
                <w:sz w:val="18"/>
                <w:szCs w:val="18"/>
              </w:rPr>
              <w:t> </w:t>
            </w:r>
            <w:r>
              <w:rPr>
                <w:rFonts w:ascii="宋体" w:hAnsi="宋体" w:cs="宋体" w:eastAsia="宋体" w:hint="default"/>
                <w:sz w:val="18"/>
                <w:szCs w:val="18"/>
              </w:rPr>
              <w:t>依据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07" w:right="120" w:hanging="181"/>
              <w:jc w:val="left"/>
              <w:rPr>
                <w:rFonts w:ascii="宋体" w:hAnsi="宋体" w:cs="宋体" w:eastAsia="宋体" w:hint="default"/>
                <w:sz w:val="18"/>
                <w:szCs w:val="18"/>
              </w:rPr>
            </w:pPr>
            <w:r>
              <w:rPr>
                <w:rFonts w:ascii="宋体" w:hAnsi="宋体" w:cs="宋体" w:eastAsia="宋体" w:hint="default"/>
                <w:sz w:val="18"/>
                <w:szCs w:val="18"/>
              </w:rPr>
              <w:t>收回前累计已计提</w:t>
            </w:r>
            <w:r>
              <w:rPr>
                <w:rFonts w:ascii="宋体" w:hAnsi="宋体" w:cs="宋体" w:eastAsia="宋体" w:hint="default"/>
                <w:spacing w:val="-87"/>
                <w:sz w:val="18"/>
                <w:szCs w:val="18"/>
              </w:rPr>
              <w:t> </w:t>
            </w:r>
            <w:r>
              <w:rPr>
                <w:rFonts w:ascii="宋体" w:hAnsi="宋体" w:cs="宋体" w:eastAsia="宋体" w:hint="default"/>
                <w:sz w:val="18"/>
                <w:szCs w:val="18"/>
              </w:rPr>
              <w:t>坏账准备金额</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收回原值金额</w:t>
            </w:r>
          </w:p>
        </w:tc>
      </w:tr>
      <w:tr>
        <w:trPr>
          <w:trHeight w:val="51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深圳市瑞赐实业有限公司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法院执行</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56"/>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5,016,291.90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5,016,291.90</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法院执行</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56"/>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716,247.00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716,247.00</w:t>
            </w:r>
          </w:p>
        </w:tc>
      </w:tr>
      <w:tr>
        <w:trPr>
          <w:trHeight w:val="51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深圳市冠捷东源投资发展有限公司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已支付</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56"/>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1,300,000.00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7,032,538.90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7,032,538.90</w:t>
            </w:r>
          </w:p>
        </w:tc>
      </w:tr>
    </w:tbl>
    <w:p>
      <w:pPr>
        <w:spacing w:line="240" w:lineRule="auto" w:before="3"/>
        <w:rPr>
          <w:rFonts w:ascii="宋体" w:hAnsi="宋体" w:cs="宋体" w:eastAsia="宋体" w:hint="default"/>
          <w:sz w:val="12"/>
          <w:szCs w:val="12"/>
        </w:rPr>
      </w:pPr>
    </w:p>
    <w:p>
      <w:pPr>
        <w:pStyle w:val="BodyText"/>
        <w:spacing w:line="436" w:lineRule="auto" w:before="34"/>
        <w:ind w:right="163" w:firstLine="423"/>
        <w:jc w:val="both"/>
      </w:pPr>
      <w:r>
        <w:rPr/>
        <w:t>本期转回的深圳市瑞赐实业有限公司、广州金宇房地产开发公司款项为法院通过强制执行收回欠款，</w:t>
      </w:r>
      <w:r>
        <w:rPr>
          <w:w w:val="88"/>
        </w:rPr>
        <w:t> </w:t>
      </w:r>
      <w:r>
        <w:rPr/>
        <w:t>其中深圳市瑞赐实业有限公司为原值全额收回，原计提的坏帐准备亦全额转回；广州金宇房地产开发公司</w:t>
      </w:r>
      <w:r>
        <w:rPr>
          <w:w w:val="99"/>
        </w:rPr>
        <w:t> </w:t>
      </w:r>
      <w:r>
        <w:rPr/>
        <w:t>的应收原值为</w:t>
      </w:r>
      <w:r>
        <w:rPr>
          <w:spacing w:val="-68"/>
        </w:rPr>
        <w:t> </w:t>
      </w:r>
      <w:r>
        <w:rPr>
          <w:rFonts w:ascii="Times New Roman" w:hAnsi="Times New Roman" w:cs="Times New Roman" w:eastAsia="Times New Roman" w:hint="default"/>
        </w:rPr>
        <w:t>25,597,688.50</w:t>
      </w:r>
      <w:r>
        <w:rPr>
          <w:rFonts w:ascii="Times New Roman" w:hAnsi="Times New Roman" w:cs="Times New Roman" w:eastAsia="Times New Roman" w:hint="default"/>
          <w:spacing w:val="-17"/>
        </w:rPr>
        <w:t> </w:t>
      </w:r>
      <w:r>
        <w:rPr/>
        <w:t>元，以前年度已全额计提坏帐，本期收回</w:t>
      </w:r>
      <w:r>
        <w:rPr>
          <w:spacing w:val="-70"/>
        </w:rPr>
        <w:t> </w:t>
      </w:r>
      <w:r>
        <w:rPr>
          <w:rFonts w:ascii="Times New Roman" w:hAnsi="Times New Roman" w:cs="Times New Roman" w:eastAsia="Times New Roman" w:hint="default"/>
        </w:rPr>
        <w:t>716,247.00</w:t>
      </w:r>
      <w:r>
        <w:rPr>
          <w:rFonts w:ascii="Times New Roman" w:hAnsi="Times New Roman" w:cs="Times New Roman" w:eastAsia="Times New Roman" w:hint="default"/>
          <w:spacing w:val="-18"/>
        </w:rPr>
        <w:t> </w:t>
      </w:r>
      <w:r>
        <w:rPr/>
        <w:t>元，相应转回其原计提的</w:t>
      </w:r>
    </w:p>
    <w:p>
      <w:pPr>
        <w:pStyle w:val="BodyText"/>
        <w:spacing w:line="240" w:lineRule="auto" w:before="18"/>
        <w:ind w:right="0"/>
        <w:jc w:val="left"/>
      </w:pPr>
      <w:r>
        <w:rPr/>
        <w:t>坏帐准备，本期尚未收回的原值</w:t>
      </w:r>
      <w:r>
        <w:rPr>
          <w:spacing w:val="-50"/>
        </w:rPr>
        <w:t> </w:t>
      </w:r>
      <w:r>
        <w:rPr>
          <w:rFonts w:ascii="Times New Roman" w:hAnsi="Times New Roman" w:cs="Times New Roman" w:eastAsia="Times New Roman" w:hint="default"/>
        </w:rPr>
        <w:t>24,881,442.50</w:t>
      </w:r>
      <w:r>
        <w:rPr>
          <w:rFonts w:ascii="Times New Roman" w:hAnsi="Times New Roman" w:cs="Times New Roman" w:eastAsia="Times New Roman" w:hint="default"/>
          <w:spacing w:val="2"/>
        </w:rPr>
        <w:t> </w:t>
      </w:r>
      <w:r>
        <w:rPr/>
        <w:t>元，亦全额计提坏帐准备。</w:t>
      </w:r>
    </w:p>
    <w:p>
      <w:pPr>
        <w:spacing w:line="240" w:lineRule="auto" w:before="12"/>
        <w:rPr>
          <w:rFonts w:ascii="宋体" w:hAnsi="宋体" w:cs="宋体" w:eastAsia="宋体" w:hint="default"/>
          <w:sz w:val="15"/>
          <w:szCs w:val="15"/>
        </w:rPr>
      </w:pPr>
    </w:p>
    <w:p>
      <w:pPr>
        <w:pStyle w:val="BodyText"/>
        <w:spacing w:line="240" w:lineRule="auto"/>
        <w:ind w:left="0" w:right="177"/>
        <w:jc w:val="right"/>
      </w:pPr>
      <w:r>
        <w:rPr/>
        <w:t>深圳市冠捷东源投资发展有限公司应收回原值为 </w:t>
      </w:r>
      <w:r>
        <w:rPr>
          <w:rFonts w:ascii="Times New Roman" w:hAnsi="Times New Roman" w:cs="Times New Roman" w:eastAsia="Times New Roman" w:hint="default"/>
        </w:rPr>
        <w:t>4,055,030.00</w:t>
      </w:r>
      <w:r>
        <w:rPr>
          <w:rFonts w:ascii="Times New Roman" w:hAnsi="Times New Roman" w:cs="Times New Roman" w:eastAsia="Times New Roman" w:hint="default"/>
          <w:spacing w:val="-27"/>
        </w:rPr>
        <w:t> </w:t>
      </w:r>
      <w:r>
        <w:rPr/>
        <w:t>元，以前年度已全额计提坏帐，本期收</w:t>
      </w:r>
    </w:p>
    <w:p>
      <w:pPr>
        <w:spacing w:line="240" w:lineRule="auto" w:before="2"/>
        <w:rPr>
          <w:rFonts w:ascii="宋体" w:hAnsi="宋体" w:cs="宋体" w:eastAsia="宋体" w:hint="default"/>
          <w:sz w:val="16"/>
          <w:szCs w:val="16"/>
        </w:rPr>
      </w:pPr>
    </w:p>
    <w:p>
      <w:pPr>
        <w:pStyle w:val="BodyText"/>
        <w:spacing w:line="412" w:lineRule="auto"/>
        <w:ind w:right="0"/>
        <w:jc w:val="left"/>
      </w:pPr>
      <w:r>
        <w:rPr/>
        <w:t>回</w:t>
      </w:r>
      <w:r>
        <w:rPr>
          <w:spacing w:val="-48"/>
        </w:rPr>
        <w:t> </w:t>
      </w:r>
      <w:r>
        <w:rPr>
          <w:rFonts w:ascii="Times New Roman" w:hAnsi="Times New Roman" w:cs="Times New Roman" w:eastAsia="Times New Roman" w:hint="default"/>
        </w:rPr>
        <w:t>1,300,000.00</w:t>
      </w:r>
      <w:r>
        <w:rPr>
          <w:rFonts w:ascii="Times New Roman" w:hAnsi="Times New Roman" w:cs="Times New Roman" w:eastAsia="Times New Roman" w:hint="default"/>
          <w:spacing w:val="1"/>
        </w:rPr>
        <w:t> </w:t>
      </w:r>
      <w:r>
        <w:rPr>
          <w:spacing w:val="2"/>
        </w:rPr>
        <w:t>无，相应转回其原计提的坏帐准备，本期尚未收回的原值</w:t>
      </w:r>
      <w:r>
        <w:rPr>
          <w:spacing w:val="-48"/>
        </w:rPr>
        <w:t> </w:t>
      </w:r>
      <w:r>
        <w:rPr>
          <w:rFonts w:ascii="Times New Roman" w:hAnsi="Times New Roman" w:cs="Times New Roman" w:eastAsia="Times New Roman" w:hint="default"/>
        </w:rPr>
        <w:t>2,755,030.00</w:t>
      </w:r>
      <w:r>
        <w:rPr>
          <w:rFonts w:ascii="Times New Roman" w:hAnsi="Times New Roman" w:cs="Times New Roman" w:eastAsia="Times New Roman" w:hint="default"/>
          <w:spacing w:val="4"/>
        </w:rPr>
        <w:t> </w:t>
      </w:r>
      <w:r>
        <w:rPr>
          <w:spacing w:val="2"/>
        </w:rPr>
        <w:t>元，亦全额计提坏</w:t>
      </w:r>
      <w:r>
        <w:rPr>
          <w:w w:val="99"/>
        </w:rPr>
        <w:t> </w:t>
      </w:r>
      <w:r>
        <w:rPr/>
        <w:t>帐准备。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right="0"/>
        <w:jc w:val="left"/>
      </w:pPr>
      <w:r>
        <w:rPr/>
        <w:t>（</w:t>
      </w:r>
      <w:r>
        <w:rPr>
          <w:rFonts w:ascii="Times New Roman" w:hAnsi="Times New Roman" w:cs="Times New Roman" w:eastAsia="Times New Roman" w:hint="default"/>
        </w:rPr>
        <w:t>3</w:t>
      </w:r>
      <w:r>
        <w:rPr/>
        <w:t>）期末单项金额重大或虽不重大但单独进行减值测试的其他应收款坏账准备计提：</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412"/>
        <w:gridCol w:w="1537"/>
        <w:gridCol w:w="1540"/>
        <w:gridCol w:w="1475"/>
        <w:gridCol w:w="1754"/>
      </w:tblGrid>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50,119,685.55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50,119,685.55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应收代持股相关款项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47,236,627.18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47,236,627.18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深圳市赛德隆投资发展投资公司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31,388,461.73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25,110,769.38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按可回收现值</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24,881,441.50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24,881,441.50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应收代持股所得税款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22,021,051.60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22,021,051.60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18,588,821.90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18,588,821.90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广州中联创投资有限公司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18,005,538.96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90,027.69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15,020,889.67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15,020,889.67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3,750,000.00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3,750,000.00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3,260,739.46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3,260,739.46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10" w:h="16840"/>
          <w:pgMar w:header="0" w:footer="865" w:top="1300" w:bottom="1060" w:left="1020" w:right="94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412"/>
        <w:gridCol w:w="1537"/>
        <w:gridCol w:w="1540"/>
        <w:gridCol w:w="1475"/>
        <w:gridCol w:w="1754"/>
      </w:tblGrid>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深圳市韬涛投资发展有限公司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北京广电美讯网络科技有限公司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深圳市冠捷东源投资发展有限公司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2,755,030.00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2,755,030.00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深圳丰华电子公司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2,691,859.01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2,691,859.01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南山综合楼消防工程款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2,401,187.07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2,401,187.07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玉溪灵照福田服务有限公司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深圳市盐田港国际供应链营运有限公司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深圳市竣雄投资有限公司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1,530,000.00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1,530,000.00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龙岗五联村将军帽自然村</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1,386,000.00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1,386,000.00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1,112,375.26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1,112,375.26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珠海市鑫大生物工程有限公司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259,849,708.89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235,156,505.27</w:t>
            </w:r>
          </w:p>
        </w:tc>
        <w:tc>
          <w:tcPr>
            <w:tcW w:w="1475"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pPr>
      <w:r>
        <w:rPr/>
        <w:t>（</w:t>
      </w:r>
      <w:r>
        <w:rPr>
          <w:rFonts w:ascii="Times New Roman" w:hAnsi="Times New Roman" w:cs="Times New Roman" w:eastAsia="Times New Roman" w:hint="default"/>
        </w:rPr>
        <w:t>4</w:t>
      </w:r>
      <w:r>
        <w:rPr/>
        <w:t>）本报告期无实际核销的其他应收款。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0"/>
        <w:jc w:val="left"/>
      </w:pPr>
      <w:r>
        <w:rPr/>
        <w:t>（</w:t>
      </w:r>
      <w:r>
        <w:rPr>
          <w:rFonts w:ascii="Times New Roman" w:hAnsi="Times New Roman" w:cs="Times New Roman" w:eastAsia="Times New Roman" w:hint="default"/>
        </w:rPr>
        <w:t>5</w:t>
      </w:r>
      <w:r>
        <w:rPr/>
        <w:t>）期末其他应收款中无持有本公司</w:t>
      </w:r>
      <w:r>
        <w:rPr>
          <w:spacing w:val="-49"/>
        </w:rPr>
        <w:t> </w:t>
      </w:r>
      <w:r>
        <w:rPr>
          <w:rFonts w:ascii="Times New Roman" w:hAnsi="Times New Roman" w:cs="Times New Roman" w:eastAsia="Times New Roman" w:hint="default"/>
        </w:rPr>
        <w:t>5%(</w:t>
      </w:r>
      <w:r>
        <w:rPr/>
        <w:t>含</w:t>
      </w:r>
      <w:r>
        <w:rPr>
          <w:spacing w:val="-49"/>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0"/>
        <w:jc w:val="left"/>
      </w:pPr>
      <w:r>
        <w:rPr/>
        <w:t>（</w:t>
      </w:r>
      <w:r>
        <w:rPr>
          <w:rFonts w:ascii="Times New Roman" w:hAnsi="Times New Roman" w:cs="Times New Roman" w:eastAsia="Times New Roman" w:hint="default"/>
        </w:rPr>
        <w:t>6</w:t>
      </w:r>
      <w:r>
        <w:rPr/>
        <w:t>）其他应收款金额前五名单位情况</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86"/>
        <w:gridCol w:w="1482"/>
        <w:gridCol w:w="1359"/>
        <w:gridCol w:w="1201"/>
        <w:gridCol w:w="1499"/>
        <w:gridCol w:w="1136"/>
      </w:tblGrid>
      <w:tr>
        <w:trPr>
          <w:trHeight w:val="8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9"/>
              <w:ind w:left="293" w:right="200" w:hanging="90"/>
              <w:jc w:val="left"/>
              <w:rPr>
                <w:rFonts w:ascii="宋体" w:hAnsi="宋体" w:cs="宋体" w:eastAsia="宋体" w:hint="default"/>
                <w:sz w:val="18"/>
                <w:szCs w:val="18"/>
              </w:rPr>
            </w:pPr>
            <w:r>
              <w:rPr>
                <w:rFonts w:ascii="宋体" w:hAnsi="宋体" w:cs="宋体" w:eastAsia="宋体" w:hint="default"/>
                <w:sz w:val="18"/>
                <w:szCs w:val="18"/>
              </w:rPr>
              <w:t>占其他应收款</w:t>
            </w:r>
            <w:r>
              <w:rPr>
                <w:rFonts w:ascii="宋体" w:hAnsi="宋体" w:cs="宋体" w:eastAsia="宋体" w:hint="default"/>
                <w:spacing w:val="-88"/>
                <w:sz w:val="18"/>
                <w:szCs w:val="18"/>
              </w:rPr>
              <w:t> </w:t>
            </w:r>
            <w:r>
              <w:rPr>
                <w:rFonts w:ascii="宋体" w:hAnsi="宋体" w:cs="宋体" w:eastAsia="宋体" w:hint="default"/>
                <w:sz w:val="18"/>
                <w:szCs w:val="18"/>
              </w:rPr>
              <w:t>总额的比例</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经济内容</w:t>
            </w:r>
          </w:p>
        </w:tc>
      </w:tr>
      <w:tr>
        <w:trPr>
          <w:trHeight w:val="51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50,119,685.55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18.38%</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①</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应收代持股相关款项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47,236,627.18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17.32%</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②</w:t>
            </w:r>
          </w:p>
        </w:tc>
      </w:tr>
      <w:tr>
        <w:trPr>
          <w:trHeight w:val="51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深圳市赛德隆投资发展投资公司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31,388,461.73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11.51%</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③</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24,881,441.50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9.12%</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④</w:t>
            </w:r>
          </w:p>
        </w:tc>
      </w:tr>
      <w:tr>
        <w:trPr>
          <w:trHeight w:val="51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应收代持股所得税款</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22,021,051.60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8.07%</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⑤</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175,647,267.56</w:t>
            </w:r>
          </w:p>
        </w:tc>
        <w:tc>
          <w:tcPr>
            <w:tcW w:w="1201"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64.40%</w:t>
            </w:r>
          </w:p>
        </w:tc>
        <w:tc>
          <w:tcPr>
            <w:tcW w:w="113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3"/>
          <w:pgSz w:w="11910" w:h="16840"/>
          <w:pgMar w:footer="865" w:header="0" w:top="1040" w:bottom="1060" w:left="1020" w:right="940"/>
          <w:pgNumType w:start="90"/>
        </w:sectPr>
      </w:pPr>
    </w:p>
    <w:p>
      <w:pPr>
        <w:pStyle w:val="BodyText"/>
        <w:spacing w:line="240" w:lineRule="auto" w:before="8"/>
        <w:ind w:right="202"/>
        <w:jc w:val="left"/>
      </w:pPr>
      <w:r>
        <w:rPr/>
        <w:t>金额较大的其他应收款的性质或内容：</w:t>
      </w:r>
    </w:p>
    <w:p>
      <w:pPr>
        <w:spacing w:line="240" w:lineRule="auto" w:before="2"/>
        <w:rPr>
          <w:rFonts w:ascii="宋体" w:hAnsi="宋体" w:cs="宋体" w:eastAsia="宋体" w:hint="default"/>
          <w:sz w:val="17"/>
          <w:szCs w:val="17"/>
        </w:rPr>
      </w:pPr>
    </w:p>
    <w:p>
      <w:pPr>
        <w:pStyle w:val="BodyText"/>
        <w:spacing w:line="240" w:lineRule="auto"/>
        <w:ind w:left="539" w:right="202"/>
        <w:jc w:val="left"/>
      </w:pPr>
      <w:r>
        <w:rPr>
          <w:spacing w:val="2"/>
        </w:rPr>
        <w:t>①深圳市海龙王房地产开发有限公司款项：系本公司于</w:t>
      </w:r>
      <w:r>
        <w:rPr>
          <w:spacing w:val="-4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月，与深圳市海龙王房地产开发有</w:t>
      </w:r>
    </w:p>
    <w:p>
      <w:pPr>
        <w:spacing w:line="240" w:lineRule="auto" w:before="2"/>
        <w:rPr>
          <w:rFonts w:ascii="宋体" w:hAnsi="宋体" w:cs="宋体" w:eastAsia="宋体" w:hint="default"/>
          <w:sz w:val="16"/>
          <w:szCs w:val="16"/>
        </w:rPr>
      </w:pPr>
    </w:p>
    <w:p>
      <w:pPr>
        <w:pStyle w:val="BodyText"/>
        <w:spacing w:line="240" w:lineRule="auto"/>
        <w:ind w:right="202"/>
        <w:jc w:val="left"/>
        <w:rPr>
          <w:rFonts w:ascii="Times New Roman" w:hAnsi="Times New Roman" w:cs="Times New Roman" w:eastAsia="Times New Roman" w:hint="default"/>
        </w:rPr>
      </w:pPr>
      <w:r>
        <w:rPr/>
        <w:t>限公司签约合作开发</w:t>
      </w:r>
      <w:r>
        <w:rPr>
          <w:rFonts w:ascii="Times New Roman" w:hAnsi="Times New Roman" w:cs="Times New Roman" w:eastAsia="Times New Roman" w:hint="default"/>
        </w:rPr>
        <w:t>“</w:t>
      </w:r>
      <w:r>
        <w:rPr/>
        <w:t>银湖别墅</w:t>
      </w:r>
      <w:r>
        <w:rPr>
          <w:rFonts w:ascii="Times New Roman" w:hAnsi="Times New Roman" w:cs="Times New Roman" w:eastAsia="Times New Roman" w:hint="default"/>
        </w:rPr>
        <w:t>”</w:t>
      </w:r>
      <w:r>
        <w:rPr/>
        <w:t>形成，本公司于</w:t>
      </w:r>
      <w:r>
        <w:rPr>
          <w:spacing w:val="-7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t>年</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月起诉深圳市海龙王房地产开发有限公司，</w:t>
      </w:r>
      <w:r>
        <w:rPr>
          <w:rFonts w:ascii="Times New Roman" w:hAnsi="Times New Roman" w:cs="Times New Roman" w:eastAsia="Times New Roman" w:hint="default"/>
        </w:rPr>
        <w:t>2004</w:t>
      </w:r>
    </w:p>
    <w:p>
      <w:pPr>
        <w:spacing w:line="240" w:lineRule="auto" w:before="2"/>
        <w:rPr>
          <w:rFonts w:ascii="Times New Roman" w:hAnsi="Times New Roman" w:cs="Times New Roman" w:eastAsia="Times New Roman" w:hint="default"/>
          <w:sz w:val="18"/>
          <w:szCs w:val="18"/>
        </w:rPr>
      </w:pPr>
    </w:p>
    <w:p>
      <w:pPr>
        <w:pStyle w:val="BodyText"/>
        <w:spacing w:line="412" w:lineRule="auto"/>
        <w:ind w:right="220"/>
        <w:jc w:val="left"/>
      </w:pP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日已由广东省高院作出终审判决，判令该公司还款。</w:t>
      </w: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月转由广东省汕尾市中级人民法院</w:t>
      </w:r>
      <w:r>
        <w:rPr>
          <w:w w:val="99"/>
        </w:rPr>
        <w:t> </w:t>
      </w:r>
      <w:r>
        <w:rPr/>
        <w:t>立案执行，目前已中止执行。</w:t>
      </w:r>
    </w:p>
    <w:p>
      <w:pPr>
        <w:pStyle w:val="BodyText"/>
        <w:spacing w:line="436" w:lineRule="auto" w:before="75"/>
        <w:ind w:right="225" w:firstLine="423"/>
        <w:jc w:val="both"/>
      </w:pPr>
      <w:r>
        <w:rPr/>
        <w:t>②应收代持股相关款项：系公司对原代持法人股进行清查清收后，已查明的应收回款项，该款项情况</w:t>
      </w:r>
      <w:r>
        <w:rPr>
          <w:w w:val="99"/>
        </w:rPr>
        <w:t> </w:t>
      </w:r>
      <w:r>
        <w:rPr/>
        <w:t>详见附注九、</w:t>
      </w:r>
      <w:r>
        <w:rPr>
          <w:rFonts w:ascii="Times New Roman" w:hAnsi="Times New Roman" w:cs="Times New Roman" w:eastAsia="Times New Roman" w:hint="default"/>
        </w:rPr>
        <w:t>3</w:t>
      </w:r>
      <w:r>
        <w:rPr/>
        <w:t>。</w:t>
      </w:r>
    </w:p>
    <w:p>
      <w:pPr>
        <w:pStyle w:val="BodyText"/>
        <w:spacing w:line="424" w:lineRule="auto" w:before="18"/>
        <w:ind w:right="225" w:firstLine="423"/>
        <w:jc w:val="both"/>
      </w:pPr>
      <w:r>
        <w:rPr/>
        <w:t>③深圳市赛德隆投资发展有限公司款项：该公司为执有本公司控股子公司深圳市凯方实业发展有限公</w:t>
      </w:r>
      <w:r>
        <w:rPr>
          <w:w w:val="99"/>
        </w:rPr>
        <w:t> </w:t>
      </w:r>
      <w:r>
        <w:rPr/>
        <w:t>司</w:t>
      </w:r>
      <w:r>
        <w:rPr>
          <w:spacing w:val="-72"/>
        </w:rPr>
        <w:t> </w:t>
      </w:r>
      <w:r>
        <w:rPr>
          <w:rFonts w:ascii="Times New Roman" w:hAnsi="Times New Roman" w:cs="Times New Roman" w:eastAsia="Times New Roman" w:hint="default"/>
        </w:rPr>
        <w:t>30%</w:t>
      </w:r>
      <w:r>
        <w:rPr/>
        <w:t>股权的关联单位，该款项为与其以前年度合作开发房地产项目时发生的资金往来款项。本期公司向</w:t>
      </w:r>
      <w:r>
        <w:rPr>
          <w:w w:val="99"/>
        </w:rPr>
        <w:t> </w:t>
      </w:r>
      <w:r>
        <w:rPr/>
        <w:t>法院提起诉讼，要求该公司归还所欠款项，详情见附注七、</w:t>
      </w:r>
      <w:r>
        <w:rPr>
          <w:rFonts w:ascii="Times New Roman" w:hAnsi="Times New Roman" w:cs="Times New Roman" w:eastAsia="Times New Roman" w:hint="default"/>
        </w:rPr>
        <w:t>1</w:t>
      </w:r>
      <w:r>
        <w:rPr/>
        <w:t>。</w:t>
      </w:r>
    </w:p>
    <w:p>
      <w:pPr>
        <w:pStyle w:val="BodyText"/>
        <w:spacing w:line="412" w:lineRule="auto" w:before="29"/>
        <w:ind w:right="221" w:firstLine="423"/>
        <w:jc w:val="both"/>
      </w:pPr>
      <w:r>
        <w:rPr>
          <w:spacing w:val="2"/>
        </w:rPr>
        <w:t>④广州金宇房地产开发公司款项：系本公司于</w:t>
      </w:r>
      <w:r>
        <w:rPr>
          <w:spacing w:val="-44"/>
        </w:rPr>
        <w:t> </w:t>
      </w:r>
      <w:r>
        <w:rPr>
          <w:rFonts w:ascii="Times New Roman" w:hAnsi="Times New Roman" w:cs="Times New Roman" w:eastAsia="Times New Roman" w:hint="default"/>
        </w:rPr>
        <w:t>1994</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月，与广州金宇房地产开发公司签约合作开</w:t>
      </w:r>
      <w:r>
        <w:rPr>
          <w:w w:val="99"/>
        </w:rPr>
        <w:t> </w:t>
      </w:r>
      <w:r>
        <w:rPr>
          <w:spacing w:val="3"/>
        </w:rPr>
        <w:t>发广州东沙经济区</w:t>
      </w:r>
      <w:r>
        <w:rPr>
          <w:spacing w:val="-50"/>
        </w:rPr>
        <w:t> </w:t>
      </w:r>
      <w:r>
        <w:rPr>
          <w:rFonts w:ascii="Times New Roman" w:hAnsi="Times New Roman" w:cs="Times New Roman" w:eastAsia="Times New Roman" w:hint="default"/>
        </w:rPr>
        <w:t>B-07</w:t>
      </w:r>
      <w:r>
        <w:rPr>
          <w:rFonts w:ascii="Times New Roman" w:hAnsi="Times New Roman" w:cs="Times New Roman" w:eastAsia="Times New Roman" w:hint="default"/>
          <w:spacing w:val="2"/>
        </w:rPr>
        <w:t> </w:t>
      </w:r>
      <w:r>
        <w:rPr>
          <w:spacing w:val="3"/>
        </w:rPr>
        <w:t>号地商住楼形成，本公司于</w:t>
      </w:r>
      <w:r>
        <w:rPr>
          <w:spacing w:val="-5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spacing w:val="3"/>
        </w:rPr>
        <w:t>年起诉广州金宇房地产开发公司，</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w w:val="99"/>
        </w:rPr>
        <w:t> </w:t>
      </w:r>
      <w:r>
        <w:rPr>
          <w:rFonts w:ascii="Times New Roman" w:hAnsi="Times New Roman" w:cs="Times New Roman" w:eastAsia="Times New Roman" w:hint="default"/>
        </w:rPr>
        <w:t>12 </w:t>
      </w:r>
      <w:r>
        <w:rPr>
          <w:spacing w:val="2"/>
        </w:rPr>
        <w:t>日由广东省高院作出终审判决，判令该公司还款。</w:t>
      </w:r>
      <w:r>
        <w:rPr>
          <w:rFonts w:ascii="Times New Roman" w:hAnsi="Times New Roman" w:cs="Times New Roman" w:eastAsia="Times New Roman" w:hint="default"/>
          <w:spacing w:val="2"/>
        </w:rPr>
        <w:t>2004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月在广州市中级人民法院立案执行，早已</w:t>
      </w:r>
    </w:p>
    <w:p>
      <w:pPr>
        <w:pStyle w:val="BodyText"/>
        <w:spacing w:line="240" w:lineRule="auto" w:before="41"/>
        <w:ind w:right="202"/>
        <w:jc w:val="left"/>
      </w:pPr>
      <w:r>
        <w:rPr/>
        <w:t>中止执行，本期公司通过和法院合作继续催收，执行收回</w:t>
      </w:r>
      <w:r>
        <w:rPr>
          <w:spacing w:val="-47"/>
        </w:rPr>
        <w:t> </w:t>
      </w:r>
      <w:r>
        <w:rPr>
          <w:rFonts w:ascii="Times New Roman" w:hAnsi="Times New Roman" w:cs="Times New Roman" w:eastAsia="Times New Roman" w:hint="default"/>
        </w:rPr>
        <w:t>716,247.00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6"/>
          <w:szCs w:val="16"/>
        </w:rPr>
      </w:pPr>
    </w:p>
    <w:p>
      <w:pPr>
        <w:pStyle w:val="BodyText"/>
        <w:spacing w:line="436" w:lineRule="auto"/>
        <w:ind w:right="225" w:firstLine="423"/>
        <w:jc w:val="both"/>
      </w:pPr>
      <w:r>
        <w:rPr/>
        <w:t>⑤应收代扣代缴的代持股所得税款项：系公司对原代持法人股的出售期收益，应代扣代缴的所得税款</w:t>
      </w:r>
      <w:r>
        <w:rPr>
          <w:w w:val="99"/>
        </w:rPr>
        <w:t> </w:t>
      </w:r>
      <w:r>
        <w:rPr/>
        <w:t>项，该款项情况详见附注九、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BodyText"/>
        <w:spacing w:line="240" w:lineRule="auto"/>
        <w:ind w:right="202"/>
        <w:jc w:val="left"/>
      </w:pPr>
      <w:r>
        <w:rPr/>
        <w:t>（</w:t>
      </w:r>
      <w:r>
        <w:rPr>
          <w:rFonts w:ascii="Times New Roman" w:hAnsi="Times New Roman" w:cs="Times New Roman" w:eastAsia="Times New Roman" w:hint="default"/>
        </w:rPr>
        <w:t>7</w:t>
      </w:r>
      <w:r>
        <w:rPr/>
        <w:t>）应收关联方款项</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77"/>
        <w:gridCol w:w="2774"/>
        <w:gridCol w:w="1843"/>
        <w:gridCol w:w="2377"/>
      </w:tblGrid>
      <w:tr>
        <w:trPr>
          <w:trHeight w:val="50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3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715"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拥有本公司控股子公司深圳市凯</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方实业发展有限公司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31,388,461.73</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11.51%</w:t>
            </w:r>
          </w:p>
        </w:tc>
      </w:tr>
      <w:tr>
        <w:trPr>
          <w:trHeight w:val="718"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子公司深圳市凯方实业发展有限</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公司之联营企业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1.37%</w:t>
            </w:r>
          </w:p>
        </w:tc>
      </w:tr>
      <w:tr>
        <w:trPr>
          <w:trHeight w:val="511"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已进行清算程序的子公司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3,260,739.46</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w:t>
            </w:r>
          </w:p>
        </w:tc>
      </w:tr>
      <w:tr>
        <w:trPr>
          <w:trHeight w:val="50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38,399,201.19</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202"/>
        <w:jc w:val="left"/>
      </w:pPr>
      <w:r>
        <w:rPr/>
        <w:t>（</w:t>
      </w:r>
      <w:r>
        <w:rPr>
          <w:rFonts w:ascii="Times New Roman" w:hAnsi="Times New Roman" w:cs="Times New Roman" w:eastAsia="Times New Roman" w:hint="default"/>
        </w:rPr>
        <w:t>8</w:t>
      </w:r>
      <w:r>
        <w:rPr/>
        <w:t>）本公司无本报告期终止确认的其他应收款项。</w:t>
      </w:r>
    </w:p>
    <w:p>
      <w:pPr>
        <w:spacing w:after="0" w:line="240" w:lineRule="auto"/>
        <w:jc w:val="left"/>
        <w:sectPr>
          <w:pgSz w:w="11910" w:h="16840"/>
          <w:pgMar w:header="0" w:footer="865" w:top="1300" w:bottom="1060" w:left="1020" w:right="880"/>
        </w:sectPr>
      </w:pPr>
    </w:p>
    <w:p>
      <w:pPr>
        <w:pStyle w:val="Heading5"/>
        <w:spacing w:line="317" w:lineRule="exact"/>
        <w:ind w:right="108"/>
        <w:jc w:val="left"/>
        <w:rPr>
          <w:b w:val="0"/>
          <w:bCs w:val="0"/>
        </w:rPr>
      </w:pPr>
      <w:bookmarkStart w:name="4、预付款项" w:id="91"/>
      <w:bookmarkEnd w:id="91"/>
      <w:r>
        <w:rPr>
          <w:b w:val="0"/>
          <w:bCs w:val="0"/>
        </w:rPr>
      </w:r>
      <w:bookmarkStart w:name="5、存货" w:id="92"/>
      <w:bookmarkEnd w:id="92"/>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4"/>
        <w:rPr>
          <w:rFonts w:ascii="Microsoft JhengHei" w:hAnsi="Microsoft JhengHei" w:cs="Microsoft JhengHei" w:eastAsia="Microsoft JhengHei" w:hint="default"/>
          <w:b/>
          <w:bCs/>
          <w:sz w:val="12"/>
          <w:szCs w:val="12"/>
        </w:rPr>
      </w:pPr>
    </w:p>
    <w:p>
      <w:pPr>
        <w:pStyle w:val="BodyText"/>
        <w:spacing w:line="240" w:lineRule="auto"/>
        <w:ind w:right="108"/>
        <w:jc w:val="left"/>
      </w:pPr>
      <w:r>
        <w:rPr/>
        <w:t>（</w:t>
      </w:r>
      <w:r>
        <w:rPr>
          <w:rFonts w:ascii="Times New Roman" w:hAnsi="Times New Roman" w:cs="Times New Roman" w:eastAsia="Times New Roman" w:hint="default"/>
        </w:rPr>
        <w:t>1</w:t>
      </w:r>
      <w:r>
        <w:rPr/>
        <w:t>）预付款项按账龄列示</w:t>
      </w:r>
    </w:p>
    <w:p>
      <w:pPr>
        <w:spacing w:line="240" w:lineRule="auto" w:before="1"/>
        <w:rPr>
          <w:rFonts w:ascii="宋体" w:hAnsi="宋体" w:cs="宋体" w:eastAsia="宋体" w:hint="default"/>
          <w:sz w:val="14"/>
          <w:szCs w:val="14"/>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89"/>
        <w:gridCol w:w="1944"/>
        <w:gridCol w:w="1944"/>
        <w:gridCol w:w="1942"/>
        <w:gridCol w:w="1944"/>
      </w:tblGrid>
      <w:tr>
        <w:trPr>
          <w:trHeight w:val="518" w:hRule="exact"/>
        </w:trPr>
        <w:tc>
          <w:tcPr>
            <w:tcW w:w="18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1" w:hRule="exact"/>
        </w:trPr>
        <w:tc>
          <w:tcPr>
            <w:tcW w:w="1889" w:type="dxa"/>
            <w:vMerge/>
            <w:tcBorders>
              <w:left w:val="nil" w:sz="6" w:space="0" w:color="auto"/>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21"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6,761,794.50</w:t>
            </w:r>
            <w:r>
              <w:rPr>
                <w:rFonts w:ascii="Times New Roman"/>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94.75%</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26,245,054.99</w:t>
            </w:r>
            <w:r>
              <w:rPr>
                <w:rFonts w:ascii="Times New Roman"/>
                <w:sz w:val="21"/>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85.91%</w:t>
            </w:r>
            <w:r>
              <w:rPr>
                <w:rFonts w:ascii="Times New Roman"/>
                <w:sz w:val="21"/>
              </w:rPr>
            </w:r>
          </w:p>
        </w:tc>
      </w:tr>
      <w:tr>
        <w:trPr>
          <w:trHeight w:val="51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75,000.00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1.05%</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4,005,768.86</w:t>
            </w:r>
            <w:r>
              <w:rPr>
                <w:rFonts w:ascii="Times New Roman"/>
                <w:sz w:val="21"/>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w w:val="95"/>
                <w:sz w:val="21"/>
              </w:rPr>
              <w:t>13.11%</w:t>
            </w:r>
            <w:r>
              <w:rPr>
                <w:rFonts w:ascii="Times New Roman"/>
                <w:spacing w:val="-1"/>
                <w:sz w:val="21"/>
              </w:rPr>
            </w:r>
          </w:p>
        </w:tc>
      </w:tr>
      <w:tr>
        <w:trPr>
          <w:trHeight w:val="521"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1"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299,590.04</w:t>
            </w:r>
            <w:r>
              <w:rPr>
                <w:rFonts w:ascii="Times New Roman"/>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4.20%</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299,590.04</w:t>
            </w:r>
            <w:r>
              <w:rPr>
                <w:rFonts w:ascii="Times New Roman"/>
                <w:sz w:val="21"/>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0.98%</w:t>
            </w:r>
          </w:p>
        </w:tc>
      </w:tr>
      <w:tr>
        <w:trPr>
          <w:trHeight w:val="51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7,136,384.54</w:t>
            </w:r>
            <w:r>
              <w:rPr>
                <w:rFonts w:ascii="Times New Roman"/>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30,550,413.89</w:t>
            </w:r>
            <w:r>
              <w:rPr>
                <w:rFonts w:ascii="Times New Roman"/>
                <w:sz w:val="21"/>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BodyText"/>
        <w:spacing w:line="240" w:lineRule="auto" w:before="34"/>
        <w:ind w:left="642" w:right="108"/>
        <w:jc w:val="left"/>
      </w:pPr>
      <w:r>
        <w:rPr/>
        <w:t>期初</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至</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年的预付款项为所开发楼盘预付的工程及材料款，本期已按工程进度计入相应存货及成</w:t>
      </w:r>
    </w:p>
    <w:p>
      <w:pPr>
        <w:spacing w:line="240" w:lineRule="auto" w:before="1"/>
        <w:rPr>
          <w:rFonts w:ascii="宋体" w:hAnsi="宋体" w:cs="宋体" w:eastAsia="宋体" w:hint="default"/>
          <w:sz w:val="14"/>
          <w:szCs w:val="14"/>
        </w:rPr>
      </w:pPr>
    </w:p>
    <w:p>
      <w:pPr>
        <w:pStyle w:val="BodyText"/>
        <w:spacing w:line="240" w:lineRule="auto" w:before="34"/>
        <w:ind w:right="108"/>
        <w:jc w:val="left"/>
      </w:pPr>
      <w:r>
        <w:rPr/>
        <w:t>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right="108"/>
        <w:jc w:val="left"/>
      </w:pPr>
      <w:r>
        <w:rPr/>
        <w:t>（</w:t>
      </w:r>
      <w:r>
        <w:rPr>
          <w:rFonts w:ascii="Times New Roman" w:hAnsi="Times New Roman" w:cs="Times New Roman" w:eastAsia="Times New Roman" w:hint="default"/>
        </w:rPr>
        <w:t>2</w:t>
      </w:r>
      <w:r>
        <w:rPr/>
        <w:t>）预付款项金额前五名单位情况</w:t>
      </w:r>
    </w:p>
    <w:p>
      <w:pPr>
        <w:spacing w:line="240" w:lineRule="auto" w:before="1"/>
        <w:rPr>
          <w:rFonts w:ascii="宋体" w:hAnsi="宋体" w:cs="宋体" w:eastAsia="宋体" w:hint="default"/>
          <w:sz w:val="14"/>
          <w:szCs w:val="14"/>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696"/>
        <w:gridCol w:w="1398"/>
        <w:gridCol w:w="1165"/>
        <w:gridCol w:w="1131"/>
        <w:gridCol w:w="2274"/>
      </w:tblGrid>
      <w:tr>
        <w:trPr>
          <w:trHeight w:val="52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18"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惠州市德纳投资有限公司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6,620,000.00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土地出让金预付款</w:t>
            </w:r>
          </w:p>
        </w:tc>
      </w:tr>
      <w:tr>
        <w:trPr>
          <w:trHeight w:val="52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西安市自来水公司第五水厂安装综合工程部</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西安紫韵水管工程预付款</w:t>
            </w:r>
          </w:p>
        </w:tc>
      </w:tr>
      <w:tr>
        <w:trPr>
          <w:trHeight w:val="52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北京迈豪博思达仪表科技有限公司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33,124.50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518"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湘潭高新区湘大智母电子有限公司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预付评估报告费</w:t>
            </w:r>
          </w:p>
        </w:tc>
      </w:tr>
      <w:tr>
        <w:trPr>
          <w:trHeight w:val="52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5,750.00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预付房租押金</w:t>
            </w:r>
          </w:p>
        </w:tc>
      </w:tr>
      <w:tr>
        <w:trPr>
          <w:trHeight w:val="52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6,743,874.50</w:t>
            </w:r>
          </w:p>
        </w:tc>
        <w:tc>
          <w:tcPr>
            <w:tcW w:w="1131" w:type="dxa"/>
            <w:tcBorders>
              <w:top w:val="single" w:sz="4" w:space="0" w:color="000000"/>
              <w:left w:val="single" w:sz="4" w:space="0" w:color="000000"/>
              <w:bottom w:val="single" w:sz="4" w:space="0" w:color="000000"/>
              <w:right w:val="single" w:sz="4" w:space="0" w:color="000000"/>
            </w:tcBorders>
          </w:tcPr>
          <w:p>
            <w:pPr/>
          </w:p>
        </w:tc>
        <w:tc>
          <w:tcPr>
            <w:tcW w:w="227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9"/>
        <w:ind w:right="108"/>
        <w:jc w:val="left"/>
      </w:pPr>
      <w:r>
        <w:rPr/>
        <w:t>（</w:t>
      </w:r>
      <w:r>
        <w:rPr>
          <w:rFonts w:ascii="Times New Roman" w:hAnsi="Times New Roman" w:cs="Times New Roman" w:eastAsia="Times New Roman" w:hint="default"/>
        </w:rPr>
        <w:t>3</w:t>
      </w:r>
      <w:r>
        <w:rPr/>
        <w:t>）期末预付款项中无持有本公司</w:t>
      </w:r>
      <w:r>
        <w:rPr>
          <w:spacing w:val="-49"/>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以上表决权股份的股东单位及其他关联方的款项。</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5"/>
        <w:spacing w:line="240" w:lineRule="auto"/>
        <w:ind w:right="108"/>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Microsoft JhengHei" w:hAnsi="Microsoft JhengHei" w:cs="Microsoft JhengHei" w:eastAsia="Microsoft JhengHei" w:hint="default"/>
          <w:b/>
          <w:bCs/>
          <w:sz w:val="12"/>
          <w:szCs w:val="12"/>
        </w:rPr>
      </w:pPr>
    </w:p>
    <w:p>
      <w:pPr>
        <w:pStyle w:val="BodyText"/>
        <w:spacing w:line="240" w:lineRule="auto"/>
        <w:ind w:right="108"/>
        <w:jc w:val="left"/>
      </w:pPr>
      <w:r>
        <w:rPr/>
        <w:t>（</w:t>
      </w:r>
      <w:r>
        <w:rPr>
          <w:rFonts w:ascii="Times New Roman" w:hAnsi="Times New Roman" w:cs="Times New Roman" w:eastAsia="Times New Roman" w:hint="default"/>
        </w:rPr>
        <w:t>1</w:t>
      </w:r>
      <w:r>
        <w:rPr/>
        <w:t>）存货分类</w:t>
      </w:r>
    </w:p>
    <w:p>
      <w:pPr>
        <w:spacing w:after="0" w:line="240" w:lineRule="auto"/>
        <w:jc w:val="left"/>
        <w:sectPr>
          <w:pgSz w:w="11910" w:h="16840"/>
          <w:pgMar w:header="0" w:footer="865" w:top="1300" w:bottom="1060" w:left="1020" w:right="980"/>
        </w:sectPr>
      </w:pPr>
    </w:p>
    <w:p>
      <w:pPr>
        <w:pStyle w:val="BodyText"/>
        <w:tabs>
          <w:tab w:pos="1051" w:val="left" w:leader="none"/>
        </w:tabs>
        <w:spacing w:line="240" w:lineRule="auto" w:before="8"/>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66"/>
        <w:gridCol w:w="2408"/>
        <w:gridCol w:w="2406"/>
        <w:gridCol w:w="2406"/>
      </w:tblGrid>
      <w:tr>
        <w:trPr>
          <w:trHeight w:val="509" w:hRule="exact"/>
        </w:trPr>
        <w:tc>
          <w:tcPr>
            <w:tcW w:w="24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11" w:hRule="exact"/>
        </w:trPr>
        <w:tc>
          <w:tcPr>
            <w:tcW w:w="2466" w:type="dxa"/>
            <w:vMerge/>
            <w:tcBorders>
              <w:left w:val="nil" w:sz="6" w:space="0" w:color="auto"/>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2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20,158.50</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20,158.50</w:t>
            </w:r>
          </w:p>
        </w:tc>
      </w:tr>
      <w:tr>
        <w:trPr>
          <w:trHeight w:val="511" w:hRule="exact"/>
        </w:trPr>
        <w:tc>
          <w:tcPr>
            <w:tcW w:w="2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31,541,000.28</w:t>
            </w:r>
            <w:r>
              <w:rPr>
                <w:rFonts w:ascii="Times New Roman"/>
                <w:sz w:val="21"/>
              </w:rPr>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31,541,000.28</w:t>
            </w:r>
            <w:r>
              <w:rPr>
                <w:rFonts w:ascii="Times New Roman"/>
                <w:sz w:val="21"/>
              </w:rPr>
            </w:r>
          </w:p>
        </w:tc>
      </w:tr>
      <w:tr>
        <w:trPr>
          <w:trHeight w:val="509" w:hRule="exact"/>
        </w:trPr>
        <w:tc>
          <w:tcPr>
            <w:tcW w:w="2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884,527,741.30</w:t>
            </w:r>
            <w:r>
              <w:rPr>
                <w:rFonts w:ascii="Times New Roman"/>
                <w:sz w:val="21"/>
              </w:rPr>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880,680,652.30</w:t>
            </w:r>
            <w:r>
              <w:rPr>
                <w:rFonts w:ascii="Times New Roman"/>
                <w:sz w:val="21"/>
              </w:rPr>
            </w:r>
          </w:p>
        </w:tc>
      </w:tr>
      <w:tr>
        <w:trPr>
          <w:trHeight w:val="511" w:hRule="exact"/>
        </w:trPr>
        <w:tc>
          <w:tcPr>
            <w:tcW w:w="2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15,613,613.89</w:t>
            </w:r>
            <w:r>
              <w:rPr>
                <w:rFonts w:ascii="Times New Roman"/>
                <w:sz w:val="21"/>
              </w:rPr>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15,613,613.89</w:t>
            </w:r>
            <w:r>
              <w:rPr>
                <w:rFonts w:ascii="Times New Roman"/>
                <w:sz w:val="21"/>
              </w:rPr>
            </w:r>
          </w:p>
        </w:tc>
      </w:tr>
      <w:tr>
        <w:trPr>
          <w:trHeight w:val="509" w:hRule="exact"/>
        </w:trPr>
        <w:tc>
          <w:tcPr>
            <w:tcW w:w="2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916,088,900.08</w:t>
            </w:r>
            <w:r>
              <w:rPr>
                <w:rFonts w:ascii="Times New Roman"/>
                <w:sz w:val="21"/>
              </w:rPr>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912,241,811.08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69"/>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59"/>
        <w:gridCol w:w="2396"/>
        <w:gridCol w:w="2430"/>
        <w:gridCol w:w="2401"/>
      </w:tblGrid>
      <w:tr>
        <w:trPr>
          <w:trHeight w:val="509" w:hRule="exact"/>
        </w:trPr>
        <w:tc>
          <w:tcPr>
            <w:tcW w:w="245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459" w:type="dxa"/>
            <w:vMerge/>
            <w:tcBorders>
              <w:left w:val="nil" w:sz="6" w:space="0" w:color="auto"/>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2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15,195.00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15,195.00</w:t>
            </w:r>
          </w:p>
        </w:tc>
      </w:tr>
      <w:tr>
        <w:trPr>
          <w:trHeight w:val="511" w:hRule="exact"/>
        </w:trPr>
        <w:tc>
          <w:tcPr>
            <w:tcW w:w="2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35,652,728.86</w:t>
            </w:r>
            <w:r>
              <w:rPr>
                <w:rFonts w:ascii="Times New Roman"/>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630,786.93</w:t>
            </w:r>
            <w:r>
              <w:rPr>
                <w:rFonts w:ascii="Times New Roman"/>
                <w:sz w:val="21"/>
              </w:rPr>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35,021,941.93</w:t>
            </w:r>
            <w:r>
              <w:rPr>
                <w:rFonts w:ascii="Times New Roman"/>
                <w:sz w:val="21"/>
              </w:rPr>
            </w:r>
          </w:p>
        </w:tc>
      </w:tr>
      <w:tr>
        <w:trPr>
          <w:trHeight w:val="509" w:hRule="exact"/>
        </w:trPr>
        <w:tc>
          <w:tcPr>
            <w:tcW w:w="2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607,025,100.01</w:t>
            </w:r>
            <w:r>
              <w:rPr>
                <w:rFonts w:ascii="Times New Roman"/>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603,178,011.01</w:t>
            </w:r>
          </w:p>
        </w:tc>
      </w:tr>
      <w:tr>
        <w:trPr>
          <w:trHeight w:val="511" w:hRule="exact"/>
        </w:trPr>
        <w:tc>
          <w:tcPr>
            <w:tcW w:w="2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12,888,150.00</w:t>
            </w:r>
            <w:r>
              <w:rPr>
                <w:rFonts w:ascii="Times New Roman"/>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12,888,150.00</w:t>
            </w:r>
            <w:r>
              <w:rPr>
                <w:rFonts w:ascii="Times New Roman"/>
                <w:sz w:val="21"/>
              </w:rPr>
            </w:r>
          </w:p>
        </w:tc>
      </w:tr>
      <w:tr>
        <w:trPr>
          <w:trHeight w:val="509" w:hRule="exact"/>
        </w:trPr>
        <w:tc>
          <w:tcPr>
            <w:tcW w:w="2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642,693,023.87</w:t>
            </w:r>
            <w:r>
              <w:rPr>
                <w:rFonts w:ascii="Times New Roman"/>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4,477,875.93</w:t>
            </w:r>
            <w:r>
              <w:rPr>
                <w:rFonts w:ascii="Times New Roman"/>
                <w:sz w:val="21"/>
              </w:rPr>
            </w:r>
          </w:p>
        </w:tc>
        <w:tc>
          <w:tcPr>
            <w:tcW w:w="2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638,215,147.94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①在建开发成本</w:t>
      </w:r>
    </w:p>
    <w:p>
      <w:pPr>
        <w:spacing w:line="240" w:lineRule="auto" w:before="7"/>
        <w:rPr>
          <w:rFonts w:ascii="宋体" w:hAnsi="宋体" w:cs="宋体" w:eastAsia="宋体" w:hint="default"/>
          <w:sz w:val="14"/>
          <w:szCs w:val="14"/>
        </w:rPr>
      </w:pPr>
    </w:p>
    <w:p>
      <w:pPr>
        <w:pStyle w:val="BodyText"/>
        <w:tabs>
          <w:tab w:pos="1051" w:val="left" w:leader="none"/>
        </w:tabs>
        <w:spacing w:line="240" w:lineRule="auto" w:before="34"/>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64"/>
        <w:gridCol w:w="1244"/>
        <w:gridCol w:w="1244"/>
        <w:gridCol w:w="1244"/>
        <w:gridCol w:w="1244"/>
        <w:gridCol w:w="994"/>
        <w:gridCol w:w="854"/>
        <w:gridCol w:w="1331"/>
      </w:tblGrid>
      <w:tr>
        <w:trPr>
          <w:trHeight w:val="509" w:hRule="exact"/>
        </w:trPr>
        <w:tc>
          <w:tcPr>
            <w:tcW w:w="15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1"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2011-12-31</w:t>
            </w: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2010-12-31</w:t>
            </w:r>
          </w:p>
        </w:tc>
        <w:tc>
          <w:tcPr>
            <w:tcW w:w="994" w:type="dxa"/>
            <w:vMerge w:val="restart"/>
            <w:tcBorders>
              <w:top w:val="single" w:sz="4" w:space="0" w:color="000000"/>
              <w:left w:val="single" w:sz="4" w:space="0" w:color="000000"/>
              <w:right w:val="single" w:sz="4" w:space="0" w:color="000000"/>
            </w:tcBorders>
          </w:tcPr>
          <w:p>
            <w:pPr>
              <w:pStyle w:val="TableParagraph"/>
              <w:spacing w:line="500" w:lineRule="exact" w:before="61"/>
              <w:ind w:left="344" w:right="339"/>
              <w:jc w:val="center"/>
              <w:rPr>
                <w:rFonts w:ascii="宋体" w:hAnsi="宋体" w:cs="宋体" w:eastAsia="宋体" w:hint="default"/>
                <w:sz w:val="15"/>
                <w:szCs w:val="15"/>
              </w:rPr>
            </w:pPr>
            <w:r>
              <w:rPr>
                <w:rFonts w:ascii="宋体" w:hAnsi="宋体" w:cs="宋体" w:eastAsia="宋体" w:hint="default"/>
                <w:sz w:val="15"/>
                <w:szCs w:val="15"/>
              </w:rPr>
              <w:t>开工</w:t>
            </w:r>
            <w:r>
              <w:rPr>
                <w:rFonts w:ascii="宋体" w:hAnsi="宋体" w:cs="宋体" w:eastAsia="宋体" w:hint="default"/>
                <w:w w:val="99"/>
                <w:sz w:val="15"/>
                <w:szCs w:val="15"/>
              </w:rPr>
              <w:t> </w:t>
            </w:r>
            <w:r>
              <w:rPr>
                <w:rFonts w:ascii="宋体" w:hAnsi="宋体" w:cs="宋体" w:eastAsia="宋体" w:hint="default"/>
                <w:sz w:val="15"/>
                <w:szCs w:val="15"/>
              </w:rPr>
              <w:t>时间</w:t>
            </w:r>
          </w:p>
        </w:tc>
        <w:tc>
          <w:tcPr>
            <w:tcW w:w="854" w:type="dxa"/>
            <w:vMerge w:val="restart"/>
            <w:tcBorders>
              <w:top w:val="single" w:sz="4" w:space="0" w:color="000000"/>
              <w:left w:val="single" w:sz="4" w:space="0" w:color="000000"/>
              <w:right w:val="single" w:sz="4" w:space="0" w:color="000000"/>
            </w:tcBorders>
          </w:tcPr>
          <w:p>
            <w:pPr>
              <w:pStyle w:val="TableParagraph"/>
              <w:spacing w:line="500" w:lineRule="exact" w:before="61"/>
              <w:ind w:left="315" w:right="79" w:hanging="152"/>
              <w:jc w:val="left"/>
              <w:rPr>
                <w:rFonts w:ascii="宋体" w:hAnsi="宋体" w:cs="宋体" w:eastAsia="宋体" w:hint="default"/>
                <w:sz w:val="15"/>
                <w:szCs w:val="15"/>
              </w:rPr>
            </w:pPr>
            <w:r>
              <w:rPr>
                <w:rFonts w:ascii="宋体" w:hAnsi="宋体" w:cs="宋体" w:eastAsia="宋体" w:hint="default"/>
                <w:sz w:val="15"/>
                <w:szCs w:val="15"/>
              </w:rPr>
              <w:t>预计竣工</w:t>
            </w:r>
            <w:r>
              <w:rPr>
                <w:rFonts w:ascii="宋体" w:hAnsi="宋体" w:cs="宋体" w:eastAsia="宋体" w:hint="default"/>
                <w:w w:val="99"/>
                <w:sz w:val="15"/>
                <w:szCs w:val="15"/>
              </w:rPr>
              <w:t> </w:t>
            </w:r>
            <w:r>
              <w:rPr>
                <w:rFonts w:ascii="宋体" w:hAnsi="宋体" w:cs="宋体" w:eastAsia="宋体" w:hint="default"/>
                <w:sz w:val="15"/>
                <w:szCs w:val="15"/>
              </w:rPr>
              <w:t>时间</w:t>
            </w:r>
          </w:p>
        </w:tc>
        <w:tc>
          <w:tcPr>
            <w:tcW w:w="1331" w:type="dxa"/>
            <w:vMerge w:val="restart"/>
            <w:tcBorders>
              <w:top w:val="single" w:sz="4" w:space="0" w:color="000000"/>
              <w:left w:val="single" w:sz="4" w:space="0" w:color="000000"/>
              <w:right w:val="nil" w:sz="6" w:space="0" w:color="auto"/>
            </w:tcBorders>
          </w:tcPr>
          <w:p>
            <w:pPr>
              <w:pStyle w:val="TableParagraph"/>
              <w:spacing w:line="500" w:lineRule="exact" w:before="61"/>
              <w:ind w:left="435" w:right="438" w:firstLine="74"/>
              <w:jc w:val="left"/>
              <w:rPr>
                <w:rFonts w:ascii="宋体" w:hAnsi="宋体" w:cs="宋体" w:eastAsia="宋体" w:hint="default"/>
                <w:sz w:val="15"/>
                <w:szCs w:val="15"/>
              </w:rPr>
            </w:pPr>
            <w:r>
              <w:rPr>
                <w:rFonts w:ascii="宋体" w:hAnsi="宋体" w:cs="宋体" w:eastAsia="宋体" w:hint="default"/>
                <w:sz w:val="15"/>
                <w:szCs w:val="15"/>
              </w:rPr>
              <w:t>预计</w:t>
            </w:r>
            <w:r>
              <w:rPr>
                <w:rFonts w:ascii="宋体" w:hAnsi="宋体" w:cs="宋体" w:eastAsia="宋体" w:hint="default"/>
                <w:w w:val="99"/>
                <w:sz w:val="15"/>
                <w:szCs w:val="15"/>
              </w:rPr>
              <w:t> </w:t>
            </w:r>
            <w:r>
              <w:rPr>
                <w:rFonts w:ascii="宋体" w:hAnsi="宋体" w:cs="宋体" w:eastAsia="宋体" w:hint="default"/>
                <w:sz w:val="15"/>
                <w:szCs w:val="15"/>
              </w:rPr>
              <w:t>总投资</w:t>
            </w:r>
          </w:p>
        </w:tc>
      </w:tr>
      <w:tr>
        <w:trPr>
          <w:trHeight w:val="511" w:hRule="exact"/>
        </w:trPr>
        <w:tc>
          <w:tcPr>
            <w:tcW w:w="1564" w:type="dxa"/>
            <w:vMerge/>
            <w:tcBorders>
              <w:left w:val="nil" w:sz="6" w:space="0" w:color="auto"/>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15"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17"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994"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nil" w:sz="6" w:space="0" w:color="auto"/>
            </w:tcBorders>
          </w:tcPr>
          <w:p>
            <w:pPr/>
          </w:p>
        </w:tc>
      </w:tr>
      <w:tr>
        <w:trPr>
          <w:trHeight w:val="509"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农贸市场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1996 </w:t>
            </w:r>
            <w:r>
              <w:rPr>
                <w:rFonts w:ascii="宋体" w:hAnsi="宋体" w:cs="宋体" w:eastAsia="宋体" w:hint="default"/>
                <w:sz w:val="15"/>
                <w:szCs w:val="15"/>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已停工</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西安鸿基紫韵</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393,706,337.51</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601,698,739.01</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 </w:t>
            </w:r>
            <w:r>
              <w:rPr>
                <w:rFonts w:ascii="宋体" w:hAnsi="宋体" w:cs="宋体" w:eastAsia="宋体" w:hint="default"/>
                <w:sz w:val="15"/>
                <w:szCs w:val="15"/>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140,000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r>
      <w:tr>
        <w:trPr>
          <w:trHeight w:val="509"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东莞宝安</w:t>
            </w:r>
            <w:r>
              <w:rPr>
                <w:rFonts w:ascii="Times New Roman" w:hAnsi="Times New Roman" w:cs="Times New Roman" w:eastAsia="Times New Roman" w:hint="default"/>
                <w:sz w:val="15"/>
                <w:szCs w:val="15"/>
              </w:rPr>
              <w:t>•</w:t>
            </w:r>
            <w:r>
              <w:rPr>
                <w:rFonts w:ascii="宋体" w:hAnsi="宋体" w:cs="宋体" w:eastAsia="宋体" w:hint="default"/>
                <w:sz w:val="15"/>
                <w:szCs w:val="15"/>
              </w:rPr>
              <w:t>山水江南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279,310,407.89</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143,203.06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r>
      <w:tr>
        <w:trPr>
          <w:trHeight w:val="511"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湘潭宝安</w:t>
            </w:r>
            <w:r>
              <w:rPr>
                <w:rFonts w:ascii="Times New Roman" w:hAnsi="Times New Roman" w:cs="Times New Roman" w:eastAsia="Times New Roman" w:hint="default"/>
                <w:sz w:val="15"/>
                <w:szCs w:val="15"/>
              </w:rPr>
              <w:t>•</w:t>
            </w:r>
            <w:r>
              <w:rPr>
                <w:rFonts w:ascii="宋体" w:hAnsi="宋体" w:cs="宋体" w:eastAsia="宋体" w:hint="default"/>
                <w:sz w:val="15"/>
                <w:szCs w:val="15"/>
              </w:rPr>
              <w:t>江南城</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204,570,274.90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86,291.28 </w:t>
            </w:r>
            <w:r>
              <w:rPr>
                <w:rFonts w:ascii="宋体" w:hAnsi="宋体" w:cs="宋体" w:eastAsia="宋体" w:hint="default"/>
                <w:sz w:val="15"/>
                <w:szCs w:val="15"/>
              </w:rPr>
              <w:t>万元</w:t>
            </w:r>
          </w:p>
        </w:tc>
      </w:tr>
      <w:tr>
        <w:trPr>
          <w:trHeight w:val="509"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3,093,632.00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1,479,272.00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4"/>
                <w:sz w:val="15"/>
                <w:szCs w:val="15"/>
              </w:rPr>
              <w:t> </w:t>
            </w:r>
            <w:r>
              <w:rPr>
                <w:rFonts w:ascii="宋体" w:hAnsi="宋体" w:cs="宋体" w:eastAsia="宋体" w:hint="default"/>
                <w:sz w:val="15"/>
                <w:szCs w:val="15"/>
              </w:rPr>
              <w:t>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884,527,741.30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607,025,100.01</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3,847,089.00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865" w:top="1300" w:bottom="1060" w:left="1020" w:right="940"/>
        </w:sectPr>
      </w:pPr>
    </w:p>
    <w:p>
      <w:pPr>
        <w:spacing w:line="240" w:lineRule="auto" w:before="12"/>
        <w:rPr>
          <w:rFonts w:ascii="宋体" w:hAnsi="宋体" w:cs="宋体" w:eastAsia="宋体" w:hint="default"/>
          <w:sz w:val="17"/>
          <w:szCs w:val="17"/>
        </w:rPr>
      </w:pPr>
    </w:p>
    <w:p>
      <w:pPr>
        <w:pStyle w:val="BodyText"/>
        <w:spacing w:line="240" w:lineRule="auto" w:before="34"/>
        <w:ind w:right="202"/>
        <w:jc w:val="left"/>
      </w:pPr>
      <w:bookmarkStart w:name="6、可供出售金融资产" w:id="93"/>
      <w:bookmarkEnd w:id="93"/>
      <w:r>
        <w:rPr/>
      </w:r>
      <w:r>
        <w:rPr/>
        <w:t>（</w:t>
      </w:r>
      <w:r>
        <w:rPr>
          <w:rFonts w:ascii="Times New Roman" w:hAnsi="Times New Roman" w:cs="Times New Roman" w:eastAsia="Times New Roman" w:hint="default"/>
        </w:rPr>
        <w:t>2</w:t>
      </w:r>
      <w:r>
        <w:rPr/>
        <w:t>）存货跌价准备</w:t>
      </w:r>
    </w:p>
    <w:p>
      <w:pPr>
        <w:spacing w:line="240" w:lineRule="auto" w:before="13"/>
        <w:rPr>
          <w:rFonts w:ascii="宋体" w:hAnsi="宋体" w:cs="宋体" w:eastAsia="宋体" w:hint="default"/>
          <w:sz w:val="14"/>
          <w:szCs w:val="14"/>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89"/>
        <w:gridCol w:w="1759"/>
        <w:gridCol w:w="1581"/>
        <w:gridCol w:w="1456"/>
        <w:gridCol w:w="1456"/>
        <w:gridCol w:w="1523"/>
      </w:tblGrid>
      <w:tr>
        <w:trPr>
          <w:trHeight w:val="530" w:hRule="exact"/>
        </w:trPr>
        <w:tc>
          <w:tcPr>
            <w:tcW w:w="18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2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30" w:hRule="exact"/>
        </w:trPr>
        <w:tc>
          <w:tcPr>
            <w:tcW w:w="1889" w:type="dxa"/>
            <w:vMerge/>
            <w:tcBorders>
              <w:left w:val="nil" w:sz="6" w:space="0" w:color="auto"/>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581" w:type="dxa"/>
            <w:vMerge/>
            <w:tcBorders>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23" w:type="dxa"/>
            <w:vMerge/>
            <w:tcBorders>
              <w:left w:val="single" w:sz="4" w:space="0" w:color="000000"/>
              <w:bottom w:val="single" w:sz="4" w:space="0" w:color="000000"/>
              <w:right w:val="nil" w:sz="6" w:space="0" w:color="auto"/>
            </w:tcBorders>
          </w:tcPr>
          <w:p>
            <w:pPr/>
          </w:p>
        </w:tc>
      </w:tr>
      <w:tr>
        <w:trPr>
          <w:trHeight w:val="53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630,786.93</w:t>
            </w:r>
            <w:r>
              <w:rPr>
                <w:rFonts w:ascii="Times New Roman"/>
                <w:sz w:val="21"/>
              </w:rPr>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630,786.93</w:t>
            </w:r>
            <w:r>
              <w:rPr>
                <w:rFonts w:ascii="Times New Roman"/>
                <w:sz w:val="21"/>
              </w:rPr>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在建开发成本</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r>
      <w:tr>
        <w:trPr>
          <w:trHeight w:val="52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4,477,875.93</w:t>
            </w:r>
            <w:r>
              <w:rPr>
                <w:rFonts w:ascii="Times New Roman"/>
                <w:sz w:val="21"/>
              </w:rPr>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630,786.93</w:t>
            </w:r>
            <w:r>
              <w:rPr>
                <w:rFonts w:ascii="Times New Roman"/>
                <w:sz w:val="21"/>
              </w:rPr>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3,847,089.00</w:t>
            </w:r>
            <w:r>
              <w:rPr>
                <w:rFonts w:ascii="Times New Roman"/>
                <w:sz w:val="21"/>
              </w:rPr>
            </w:r>
          </w:p>
        </w:tc>
      </w:tr>
    </w:tbl>
    <w:p>
      <w:pPr>
        <w:spacing w:line="240" w:lineRule="auto" w:before="11"/>
        <w:rPr>
          <w:rFonts w:ascii="宋体" w:hAnsi="宋体" w:cs="宋体" w:eastAsia="宋体" w:hint="default"/>
          <w:sz w:val="13"/>
          <w:szCs w:val="13"/>
        </w:rPr>
      </w:pPr>
    </w:p>
    <w:p>
      <w:pPr>
        <w:pStyle w:val="BodyText"/>
        <w:spacing w:line="453" w:lineRule="auto" w:before="34"/>
        <w:ind w:right="225" w:firstLine="423"/>
        <w:jc w:val="both"/>
      </w:pPr>
      <w:r>
        <w:rPr/>
        <w:t>库存积压过期商品按预计的可回收金额与账面价值的差额计提存货跌价准备；在建开发成本中的农贸</w:t>
      </w:r>
      <w:r>
        <w:rPr>
          <w:w w:val="99"/>
        </w:rPr>
        <w:t> </w:t>
      </w:r>
      <w:r>
        <w:rPr/>
        <w:t>市场项目多年前已停工，全额计提存货跌价准备；本年转销为本期出售子公司原所计提的存货跌价准备转</w:t>
      </w:r>
      <w:r>
        <w:rPr>
          <w:w w:val="99"/>
        </w:rPr>
        <w:t> </w:t>
      </w:r>
      <w:r>
        <w:rPr/>
        <w:t>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right="202"/>
        <w:jc w:val="left"/>
      </w:pPr>
      <w:r>
        <w:rPr/>
        <w:t>（</w:t>
      </w:r>
      <w:r>
        <w:rPr>
          <w:rFonts w:ascii="Times New Roman" w:hAnsi="Times New Roman" w:cs="Times New Roman" w:eastAsia="Times New Roman" w:hint="default"/>
        </w:rPr>
        <w:t>3</w:t>
      </w:r>
      <w:r>
        <w:rPr/>
        <w:t>）本期期末无所有权受限的存货。</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Heading5"/>
        <w:spacing w:line="240" w:lineRule="auto"/>
        <w:ind w:right="202"/>
        <w:jc w:val="left"/>
        <w:rPr>
          <w:b w:val="0"/>
          <w:bCs w:val="0"/>
        </w:rPr>
      </w:pPr>
      <w:r>
        <w:rPr>
          <w:rFonts w:ascii="Times New Roman" w:hAnsi="Times New Roman" w:cs="Times New Roman" w:eastAsia="Times New Roman" w:hint="default"/>
        </w:rPr>
        <w:t>6</w:t>
      </w:r>
      <w:r>
        <w:rPr/>
        <w:t>、可供出售金融资产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691"/>
        <w:gridCol w:w="3041"/>
        <w:gridCol w:w="3039"/>
      </w:tblGrid>
      <w:tr>
        <w:trPr>
          <w:trHeight w:val="530"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530"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20" w:right="0"/>
              <w:jc w:val="left"/>
              <w:rPr>
                <w:rFonts w:ascii="Times New Roman" w:hAnsi="Times New Roman" w:cs="Times New Roman" w:eastAsia="Times New Roman" w:hint="default"/>
                <w:sz w:val="21"/>
                <w:szCs w:val="21"/>
              </w:rPr>
            </w:pPr>
            <w:r>
              <w:rPr>
                <w:rFonts w:ascii="Times New Roman"/>
                <w:sz w:val="21"/>
              </w:rPr>
              <w:t>33,437,762.52</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17" w:right="0"/>
              <w:jc w:val="left"/>
              <w:rPr>
                <w:rFonts w:ascii="Times New Roman" w:hAnsi="Times New Roman" w:cs="Times New Roman" w:eastAsia="Times New Roman" w:hint="default"/>
                <w:sz w:val="21"/>
                <w:szCs w:val="21"/>
              </w:rPr>
            </w:pPr>
            <w:r>
              <w:rPr>
                <w:rFonts w:ascii="Times New Roman"/>
                <w:sz w:val="21"/>
              </w:rPr>
              <w:t>41,578,330.24</w:t>
            </w:r>
          </w:p>
        </w:tc>
      </w:tr>
    </w:tbl>
    <w:p>
      <w:pPr>
        <w:spacing w:line="240" w:lineRule="auto" w:before="9"/>
        <w:rPr>
          <w:rFonts w:ascii="宋体" w:hAnsi="宋体" w:cs="宋体" w:eastAsia="宋体" w:hint="default"/>
          <w:sz w:val="13"/>
          <w:szCs w:val="13"/>
        </w:rPr>
      </w:pPr>
    </w:p>
    <w:p>
      <w:pPr>
        <w:pStyle w:val="BodyText"/>
        <w:spacing w:line="456" w:lineRule="auto" w:before="34"/>
        <w:ind w:right="202" w:firstLine="526"/>
        <w:jc w:val="left"/>
      </w:pPr>
      <w:r>
        <w:rPr/>
        <w:t>本公司可供出售金融资产均是持有的已经股改上市公司股份，以公允价值入账，按期末收市价确定</w:t>
      </w:r>
      <w:r>
        <w:rPr>
          <w:w w:val="99"/>
        </w:rPr>
        <w:t> </w:t>
      </w:r>
      <w:r>
        <w:rPr/>
        <w:t>其公允价值。</w:t>
      </w:r>
    </w:p>
    <w:p>
      <w:pPr>
        <w:spacing w:after="0" w:line="456" w:lineRule="auto"/>
        <w:jc w:val="left"/>
        <w:sectPr>
          <w:pgSz w:w="11910" w:h="16840"/>
          <w:pgMar w:header="0" w:footer="865" w:top="1580" w:bottom="1060" w:left="1020" w:right="880"/>
        </w:sectPr>
      </w:pPr>
    </w:p>
    <w:p>
      <w:pPr>
        <w:spacing w:line="240" w:lineRule="auto" w:before="3"/>
        <w:rPr>
          <w:rFonts w:ascii="宋体" w:hAnsi="宋体" w:cs="宋体" w:eastAsia="宋体" w:hint="default"/>
          <w:sz w:val="14"/>
          <w:szCs w:val="14"/>
        </w:rPr>
      </w:pPr>
    </w:p>
    <w:p>
      <w:pPr>
        <w:pStyle w:val="Heading5"/>
        <w:spacing w:line="333" w:lineRule="exact"/>
        <w:ind w:left="221" w:right="0"/>
        <w:jc w:val="left"/>
        <w:rPr>
          <w:b w:val="0"/>
          <w:bCs w:val="0"/>
        </w:rPr>
      </w:pPr>
      <w:bookmarkStart w:name="7、长期股权投资" w:id="94"/>
      <w:bookmarkEnd w:id="94"/>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9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45"/>
        <w:gridCol w:w="979"/>
        <w:gridCol w:w="1345"/>
        <w:gridCol w:w="1345"/>
        <w:gridCol w:w="1314"/>
        <w:gridCol w:w="1345"/>
        <w:gridCol w:w="1133"/>
        <w:gridCol w:w="1133"/>
        <w:gridCol w:w="1254"/>
        <w:gridCol w:w="1165"/>
        <w:gridCol w:w="1030"/>
      </w:tblGrid>
      <w:tr>
        <w:trPr>
          <w:trHeight w:val="91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99" w:right="200"/>
              <w:jc w:val="center"/>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w w:val="100"/>
                <w:sz w:val="18"/>
                <w:szCs w:val="18"/>
              </w:rPr>
              <w:t> </w:t>
            </w:r>
            <w:r>
              <w:rPr>
                <w:rFonts w:ascii="宋体" w:hAnsi="宋体" w:cs="宋体" w:eastAsia="宋体" w:hint="default"/>
                <w:sz w:val="18"/>
                <w:szCs w:val="18"/>
              </w:rPr>
              <w:t>单位持股</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10" w:right="108"/>
              <w:jc w:val="center"/>
              <w:rPr>
                <w:rFonts w:ascii="宋体" w:hAnsi="宋体" w:cs="宋体" w:eastAsia="宋体" w:hint="default"/>
                <w:sz w:val="18"/>
                <w:szCs w:val="18"/>
              </w:rPr>
            </w:pPr>
            <w:r>
              <w:rPr>
                <w:rFonts w:ascii="宋体" w:hAnsi="宋体" w:cs="宋体" w:eastAsia="宋体" w:hint="default"/>
                <w:sz w:val="18"/>
                <w:szCs w:val="18"/>
              </w:rPr>
              <w:t>在被投资单</w:t>
            </w:r>
            <w:r>
              <w:rPr>
                <w:rFonts w:ascii="宋体" w:hAnsi="宋体" w:cs="宋体" w:eastAsia="宋体" w:hint="default"/>
                <w:w w:val="100"/>
                <w:sz w:val="18"/>
                <w:szCs w:val="18"/>
              </w:rPr>
              <w:t> </w:t>
            </w:r>
            <w:r>
              <w:rPr>
                <w:rFonts w:ascii="宋体" w:hAnsi="宋体" w:cs="宋体" w:eastAsia="宋体" w:hint="default"/>
                <w:sz w:val="18"/>
                <w:szCs w:val="18"/>
              </w:rPr>
              <w:t>位表决权</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307" w:right="123" w:hanging="181"/>
              <w:jc w:val="left"/>
              <w:rPr>
                <w:rFonts w:ascii="宋体" w:hAnsi="宋体" w:cs="宋体" w:eastAsia="宋体" w:hint="default"/>
                <w:sz w:val="18"/>
                <w:szCs w:val="18"/>
              </w:rPr>
            </w:pPr>
            <w:r>
              <w:rPr>
                <w:rFonts w:ascii="宋体" w:hAnsi="宋体" w:cs="宋体" w:eastAsia="宋体" w:hint="default"/>
                <w:sz w:val="18"/>
                <w:szCs w:val="18"/>
              </w:rPr>
              <w:t>本期计提减</w:t>
            </w:r>
            <w:r>
              <w:rPr>
                <w:rFonts w:ascii="宋体" w:hAnsi="宋体" w:cs="宋体" w:eastAsia="宋体" w:hint="default"/>
                <w:spacing w:val="-88"/>
                <w:sz w:val="18"/>
                <w:szCs w:val="18"/>
              </w:rPr>
              <w:t> </w:t>
            </w:r>
            <w:r>
              <w:rPr>
                <w:rFonts w:ascii="宋体" w:hAnsi="宋体" w:cs="宋体" w:eastAsia="宋体" w:hint="default"/>
                <w:sz w:val="18"/>
                <w:szCs w:val="18"/>
              </w:rPr>
              <w:t>值准备</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329" w:right="153" w:hanging="181"/>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w w:val="100"/>
                <w:sz w:val="18"/>
                <w:szCs w:val="18"/>
              </w:rPr>
              <w:t> </w:t>
            </w:r>
            <w:r>
              <w:rPr>
                <w:rFonts w:ascii="宋体" w:hAnsi="宋体" w:cs="宋体" w:eastAsia="宋体" w:hint="default"/>
                <w:sz w:val="18"/>
                <w:szCs w:val="18"/>
              </w:rPr>
              <w:t>红利</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一、联营企业</w:t>
            </w:r>
            <w:r>
              <w:rPr>
                <w:rFonts w:ascii="Microsoft JhengHei" w:hAnsi="Microsoft JhengHei" w:cs="Microsoft JhengHei" w:eastAsia="Microsoft JhengHei"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6,612,318.66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-718,170.65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5,894,148.01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2"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深圳市雅喆电梯有限公司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569,188.86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28,033.73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597,222.59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14,364,258.18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-431,530.70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13,932,727.48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10,733,989.28</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34,762,048.47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-34,762,048.47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75,290,750.00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51,492,216.08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-8,529,833.28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42,962,382.80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121,290,750.00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107,800,030.25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-44,413,549.38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63,386,480.87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10,733,989.28</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二、其他长期股权投资</w:t>
            </w:r>
            <w:r>
              <w:rPr>
                <w:rFonts w:ascii="Microsoft JhengHei" w:hAnsi="Microsoft JhengHei" w:cs="Microsoft JhengHei" w:eastAsia="Microsoft JhengHei"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832,000.00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四川通产物业股份有限公司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8" w:right="103"/>
              <w:jc w:val="left"/>
              <w:rPr>
                <w:rFonts w:ascii="宋体" w:hAnsi="宋体" w:cs="宋体" w:eastAsia="宋体" w:hint="default"/>
                <w:sz w:val="18"/>
                <w:szCs w:val="18"/>
              </w:rPr>
            </w:pPr>
            <w:r>
              <w:rPr>
                <w:rFonts w:ascii="宋体" w:hAnsi="宋体" w:cs="宋体" w:eastAsia="宋体" w:hint="default"/>
                <w:sz w:val="18"/>
                <w:szCs w:val="18"/>
              </w:rPr>
              <w:t>长春高斯达生物科技集团股份有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8,724,000.00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785,377.30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785,377.30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785,377.30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10,556,000.00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2" w:hRule="exact"/>
        </w:trPr>
        <w:tc>
          <w:tcPr>
            <w:tcW w:w="2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131,846,750.00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118,641,407.55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-44,413,549.38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74,227,858.17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0"/>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21,575,366.58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3"/>
        <w:rPr>
          <w:rFonts w:ascii="宋体" w:hAnsi="宋体" w:cs="宋体" w:eastAsia="宋体" w:hint="default"/>
          <w:sz w:val="12"/>
          <w:szCs w:val="12"/>
        </w:rPr>
      </w:pPr>
    </w:p>
    <w:p>
      <w:pPr>
        <w:pStyle w:val="BodyText"/>
        <w:spacing w:line="240" w:lineRule="auto" w:before="34"/>
        <w:ind w:left="215" w:right="0"/>
        <w:jc w:val="left"/>
      </w:pPr>
      <w:r>
        <w:rPr/>
        <w:t>深圳市鸿丰酒店管理有限公司为本期已出售子公司</w:t>
      </w:r>
      <w:r>
        <w:rPr>
          <w:rFonts w:ascii="Times New Roman" w:hAnsi="Times New Roman" w:cs="Times New Roman" w:eastAsia="Times New Roman" w:hint="default"/>
        </w:rPr>
        <w:t>“</w:t>
      </w:r>
      <w:r>
        <w:rPr/>
        <w:t>深圳市鸿基酒店管理有限公司</w:t>
      </w:r>
      <w:r>
        <w:rPr>
          <w:rFonts w:ascii="Times New Roman" w:hAnsi="Times New Roman" w:cs="Times New Roman" w:eastAsia="Times New Roman" w:hint="default"/>
        </w:rPr>
        <w:t>”</w:t>
      </w:r>
      <w:r>
        <w:rPr/>
        <w:t>持有的联营企业，因此本期已不再持有其股权。</w:t>
      </w:r>
    </w:p>
    <w:p>
      <w:pPr>
        <w:spacing w:after="0" w:line="240" w:lineRule="auto"/>
        <w:jc w:val="left"/>
        <w:sectPr>
          <w:footerReference w:type="default" r:id="rId44"/>
          <w:pgSz w:w="16840" w:h="11910" w:orient="landscape"/>
          <w:pgMar w:footer="865" w:header="0" w:top="1100" w:bottom="1060" w:left="920" w:right="900"/>
          <w:pgNumType w:start="9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333" w:lineRule="exact"/>
        <w:ind w:right="0"/>
        <w:jc w:val="left"/>
        <w:rPr>
          <w:b w:val="0"/>
          <w:bCs w:val="0"/>
        </w:rPr>
      </w:pPr>
      <w:bookmarkStart w:name="8、对联营企业投资" w:id="95"/>
      <w:bookmarkEnd w:id="95"/>
      <w:r>
        <w:rPr>
          <w:b w:val="0"/>
          <w:bCs w:val="0"/>
        </w:rPr>
      </w:r>
      <w:r>
        <w:rPr>
          <w:rFonts w:ascii="Times New Roman" w:hAnsi="Times New Roman" w:cs="Times New Roman" w:eastAsia="Times New Roman" w:hint="default"/>
        </w:rPr>
        <w:t>8</w:t>
      </w:r>
      <w:r>
        <w:rPr/>
        <w:t>、对联营企业投资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1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02"/>
        <w:gridCol w:w="1571"/>
        <w:gridCol w:w="2038"/>
        <w:gridCol w:w="1660"/>
        <w:gridCol w:w="1658"/>
        <w:gridCol w:w="1660"/>
        <w:gridCol w:w="1658"/>
        <w:gridCol w:w="1660"/>
      </w:tblGrid>
      <w:tr>
        <w:trPr>
          <w:trHeight w:val="101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1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45"/>
              <w:ind w:left="421" w:right="416" w:firstLine="91"/>
              <w:jc w:val="left"/>
              <w:rPr>
                <w:rFonts w:ascii="宋体" w:hAnsi="宋体" w:cs="宋体" w:eastAsia="宋体" w:hint="default"/>
                <w:sz w:val="18"/>
                <w:szCs w:val="18"/>
              </w:rPr>
            </w:pPr>
            <w:r>
              <w:rPr>
                <w:rFonts w:ascii="宋体" w:hAnsi="宋体" w:cs="宋体" w:eastAsia="宋体" w:hint="default"/>
                <w:sz w:val="18"/>
                <w:szCs w:val="18"/>
              </w:rPr>
              <w:t>本企业</w:t>
            </w:r>
            <w:r>
              <w:rPr>
                <w:rFonts w:ascii="宋体" w:hAnsi="宋体" w:cs="宋体" w:eastAsia="宋体" w:hint="default"/>
                <w:w w:val="100"/>
                <w:sz w:val="18"/>
                <w:szCs w:val="18"/>
              </w:rPr>
              <w:t> </w:t>
            </w:r>
            <w:r>
              <w:rPr>
                <w:rFonts w:ascii="宋体" w:hAnsi="宋体" w:cs="宋体" w:eastAsia="宋体" w:hint="default"/>
                <w:sz w:val="18"/>
                <w:szCs w:val="18"/>
              </w:rPr>
              <w:t>持股比例</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45"/>
              <w:ind w:left="563" w:right="200" w:hanging="361"/>
              <w:jc w:val="left"/>
              <w:rPr>
                <w:rFonts w:ascii="宋体" w:hAnsi="宋体" w:cs="宋体" w:eastAsia="宋体" w:hint="default"/>
                <w:sz w:val="18"/>
                <w:szCs w:val="18"/>
              </w:rPr>
            </w:pPr>
            <w:r>
              <w:rPr>
                <w:rFonts w:ascii="宋体" w:hAnsi="宋体" w:cs="宋体" w:eastAsia="宋体" w:hint="default"/>
                <w:sz w:val="18"/>
                <w:szCs w:val="18"/>
              </w:rPr>
              <w:t>本企业在被投资单位</w:t>
            </w:r>
            <w:r>
              <w:rPr>
                <w:rFonts w:ascii="宋体" w:hAnsi="宋体" w:cs="宋体" w:eastAsia="宋体" w:hint="default"/>
                <w:spacing w:val="-86"/>
                <w:sz w:val="18"/>
                <w:szCs w:val="18"/>
              </w:rPr>
              <w:t> </w:t>
            </w:r>
            <w:r>
              <w:rPr>
                <w:rFonts w:ascii="宋体" w:hAnsi="宋体" w:cs="宋体" w:eastAsia="宋体" w:hint="default"/>
                <w:sz w:val="18"/>
                <w:szCs w:val="18"/>
              </w:rPr>
              <w:t>表决权比例</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09"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13,264,137.29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166,030.60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13,098,106.69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12,495,116.00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-1,595,934.77</w:t>
            </w:r>
          </w:p>
        </w:tc>
      </w:tr>
      <w:tr>
        <w:trPr>
          <w:trHeight w:val="511"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深圳市雅喆电梯有限公司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1,726,624.57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233,568.11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1,493,056.46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2,054,127.93</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70,084.33</w:t>
            </w:r>
          </w:p>
        </w:tc>
      </w:tr>
      <w:tr>
        <w:trPr>
          <w:trHeight w:val="509"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12,980,893.01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6,084,161.30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6,896,731.71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-863,061.41</w:t>
            </w:r>
          </w:p>
        </w:tc>
      </w:tr>
      <w:tr>
        <w:trPr>
          <w:trHeight w:val="511"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38.69%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146,558,384.59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96,251,211.58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50,307,173.01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48,585,240.94</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-12,976,370.21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0" w:footer="865" w:top="1100" w:bottom="1060" w:left="1020" w:right="980"/>
        </w:sectPr>
      </w:pPr>
    </w:p>
    <w:p>
      <w:pPr>
        <w:pStyle w:val="Heading5"/>
        <w:spacing w:line="307" w:lineRule="exact"/>
        <w:ind w:left="221" w:right="0"/>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15" w:right="0"/>
        <w:jc w:val="left"/>
      </w:pPr>
      <w:r>
        <w:rPr/>
        <w:t>（</w:t>
      </w:r>
      <w:r>
        <w:rPr>
          <w:rFonts w:ascii="Times New Roman" w:hAnsi="Times New Roman" w:cs="Times New Roman" w:eastAsia="Times New Roman" w:hint="default"/>
        </w:rPr>
        <w:t>1</w:t>
      </w:r>
      <w:r>
        <w:rPr/>
        <w:t>）按成本计量的投资性房地产</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61"/>
        <w:gridCol w:w="1679"/>
        <w:gridCol w:w="1679"/>
        <w:gridCol w:w="1679"/>
        <w:gridCol w:w="1679"/>
      </w:tblGrid>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459" w:val="left" w:leader="none"/>
              </w:tabs>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605,118,620.00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1,668,501.70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97,910,518.88</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508,876,602.82</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605,118,620.00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1,668,501.70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97,910,518.88</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508,876,602.82</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124,746,333.81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13,785,004.76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18,176,674.79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120,354,663.78</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124,746,333.81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13,785,004.76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18,176,674.79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120,354,663.78</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三、投资性房地产账面净值</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480,372,286.19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-12,116,503.06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79,733,844.09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388,521,939.04</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480,372,286.19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-12,116,503.06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79,733,844.09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388,521,939.04</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四、投资性房地产减值准备</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21,480,000.00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21,480,000.00</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21,480,000.00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21,480,000.00</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五、投资性房地产账面价值</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458,892,286.19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-12,116,503.06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79,733,844.09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367,041,939.04</w:t>
            </w:r>
          </w:p>
        </w:tc>
      </w:tr>
      <w:tr>
        <w:trPr>
          <w:trHeight w:val="511"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458,892,286.19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-12,116,503.06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79,733,844.09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367,041,939.04</w:t>
            </w:r>
          </w:p>
        </w:tc>
      </w:tr>
      <w:tr>
        <w:trPr>
          <w:trHeight w:val="509"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3"/>
        <w:rPr>
          <w:rFonts w:ascii="宋体" w:hAnsi="宋体" w:cs="宋体" w:eastAsia="宋体" w:hint="default"/>
          <w:sz w:val="12"/>
          <w:szCs w:val="12"/>
        </w:rPr>
      </w:pPr>
    </w:p>
    <w:p>
      <w:pPr>
        <w:pStyle w:val="BodyText"/>
        <w:spacing w:line="415" w:lineRule="auto" w:before="34"/>
        <w:ind w:left="639" w:right="990"/>
        <w:jc w:val="left"/>
      </w:pPr>
      <w:r>
        <w:rPr/>
        <w:t>投资性房地产本期计提折旧</w:t>
      </w:r>
      <w:r>
        <w:rPr>
          <w:spacing w:val="-51"/>
        </w:rPr>
        <w:t> </w:t>
      </w:r>
      <w:r>
        <w:rPr>
          <w:rFonts w:ascii="Times New Roman" w:hAnsi="Times New Roman" w:cs="Times New Roman" w:eastAsia="Times New Roman" w:hint="default"/>
        </w:rPr>
        <w:t>13,785,004.76</w:t>
      </w:r>
      <w:r>
        <w:rPr>
          <w:rFonts w:ascii="Times New Roman" w:hAnsi="Times New Roman" w:cs="Times New Roman" w:eastAsia="Times New Roman" w:hint="default"/>
          <w:spacing w:val="3"/>
        </w:rPr>
        <w:t> </w:t>
      </w:r>
      <w:r>
        <w:rPr/>
        <w:t>元，本期未出现计提投资性房地产减值准备情况。</w:t>
      </w:r>
      <w:r>
        <w:rPr>
          <w:w w:val="99"/>
        </w:rPr>
        <w:t> </w:t>
      </w:r>
      <w:r>
        <w:rPr/>
        <w:t>本期投资性房地产的减少主要是本期公司出售部分投资性房地产所致。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172" w:right="0"/>
        <w:jc w:val="left"/>
      </w:pPr>
      <w:r>
        <w:rPr/>
        <w:t>（</w:t>
      </w:r>
      <w:r>
        <w:rPr>
          <w:rFonts w:ascii="Times New Roman" w:hAnsi="Times New Roman" w:cs="Times New Roman" w:eastAsia="Times New Roman" w:hint="default"/>
        </w:rPr>
        <w:t>2</w:t>
      </w:r>
      <w:r>
        <w:rPr/>
        <w:t>）所有权受限的投资性房地产</w:t>
      </w:r>
    </w:p>
    <w:p>
      <w:pPr>
        <w:spacing w:line="240" w:lineRule="auto" w:before="2"/>
        <w:rPr>
          <w:rFonts w:ascii="宋体" w:hAnsi="宋体" w:cs="宋体" w:eastAsia="宋体" w:hint="default"/>
          <w:sz w:val="16"/>
          <w:szCs w:val="16"/>
        </w:rPr>
      </w:pPr>
    </w:p>
    <w:p>
      <w:pPr>
        <w:pStyle w:val="BodyText"/>
        <w:spacing w:line="240" w:lineRule="auto"/>
        <w:ind w:left="639" w:right="0"/>
        <w:jc w:val="left"/>
      </w:pPr>
      <w:r>
        <w:rPr/>
        <w:t>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日，本公司用于银行贷款抵押的投资性房地产原值为</w:t>
      </w:r>
      <w:r>
        <w:rPr>
          <w:spacing w:val="-50"/>
        </w:rPr>
        <w:t> </w:t>
      </w:r>
      <w:r>
        <w:rPr>
          <w:rFonts w:ascii="Times New Roman" w:hAnsi="Times New Roman" w:cs="Times New Roman" w:eastAsia="Times New Roman" w:hint="default"/>
        </w:rPr>
        <w:t>60,601,902.88</w:t>
      </w:r>
      <w:r>
        <w:rPr>
          <w:rFonts w:ascii="Times New Roman" w:hAnsi="Times New Roman" w:cs="Times New Roman" w:eastAsia="Times New Roman" w:hint="default"/>
          <w:spacing w:val="1"/>
        </w:rPr>
        <w:t> </w:t>
      </w:r>
      <w:r>
        <w:rPr/>
        <w:t>元，净值为</w:t>
      </w:r>
    </w:p>
    <w:p>
      <w:pPr>
        <w:spacing w:line="240" w:lineRule="auto" w:before="12"/>
        <w:rPr>
          <w:rFonts w:ascii="宋体" w:hAnsi="宋体" w:cs="宋体" w:eastAsia="宋体" w:hint="default"/>
          <w:sz w:val="15"/>
          <w:szCs w:val="15"/>
        </w:rPr>
      </w:pPr>
    </w:p>
    <w:p>
      <w:pPr>
        <w:pStyle w:val="BodyText"/>
        <w:spacing w:line="240" w:lineRule="auto"/>
        <w:ind w:left="215" w:right="0"/>
        <w:jc w:val="left"/>
      </w:pPr>
      <w:r>
        <w:rPr>
          <w:rFonts w:ascii="Times New Roman" w:hAnsi="Times New Roman" w:cs="Times New Roman" w:eastAsia="Times New Roman" w:hint="default"/>
        </w:rPr>
        <w:t>42,168,242.98</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left="221"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15" w:right="0"/>
        <w:jc w:val="left"/>
      </w:pPr>
      <w:r>
        <w:rPr/>
        <w:t>（</w:t>
      </w:r>
      <w:r>
        <w:rPr>
          <w:rFonts w:ascii="Times New Roman" w:hAnsi="Times New Roman" w:cs="Times New Roman" w:eastAsia="Times New Roman" w:hint="default"/>
        </w:rPr>
        <w:t>1</w:t>
      </w:r>
      <w:r>
        <w:rPr/>
        <w:t>）固定资产情况</w:t>
      </w:r>
    </w:p>
    <w:p>
      <w:pPr>
        <w:spacing w:after="0" w:line="240" w:lineRule="auto"/>
        <w:jc w:val="left"/>
        <w:sectPr>
          <w:footerReference w:type="default" r:id="rId45"/>
          <w:pgSz w:w="11910" w:h="16840"/>
          <w:pgMar w:footer="865" w:header="0" w:top="1300" w:bottom="1060" w:left="920" w:right="880"/>
          <w:pgNumType w:start="97"/>
        </w:sectPr>
      </w:pPr>
    </w:p>
    <w:p>
      <w:pPr>
        <w:pStyle w:val="BodyText"/>
        <w:tabs>
          <w:tab w:pos="1051" w:val="left" w:leader="none"/>
        </w:tabs>
        <w:spacing w:line="240" w:lineRule="auto" w:before="8"/>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22"/>
        <w:gridCol w:w="1665"/>
        <w:gridCol w:w="1667"/>
        <w:gridCol w:w="1665"/>
        <w:gridCol w:w="1660"/>
      </w:tblGrid>
      <w:tr>
        <w:trPr>
          <w:trHeight w:val="528"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206,607,599.77</w:t>
            </w:r>
            <w:r>
              <w:rPr>
                <w:rFonts w:ascii="Times New Roman"/>
                <w:spacing w:val="-1"/>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2,073,323.00</w:t>
            </w:r>
            <w:r>
              <w:rPr>
                <w:rFonts w:ascii="Times New Roman"/>
                <w:spacing w:val="-1"/>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53,643,832.04</w:t>
            </w:r>
            <w:r>
              <w:rPr>
                <w:rFonts w:ascii="Times New Roman"/>
                <w:spacing w:val="-1"/>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155,037,090.73</w:t>
            </w:r>
            <w:r>
              <w:rPr>
                <w:rFonts w:ascii="Times New Roman"/>
                <w:spacing w:val="-1"/>
                <w:sz w:val="18"/>
              </w:rPr>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122,825,861.58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122,825,861.58</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931,612.50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97,500.00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834,112.50</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62,916,614.35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1,544,331.00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51,199,155.00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13,261,790.35</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19,933,511.34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528,992.00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2,347,177.04</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18,115,326.30</w:t>
            </w:r>
          </w:p>
        </w:tc>
      </w:tr>
      <w:tr>
        <w:trPr>
          <w:trHeight w:val="492"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87,322,143.27</w:t>
            </w:r>
            <w:r>
              <w:rPr>
                <w:rFonts w:ascii="Times New Roman"/>
                <w:spacing w:val="-1"/>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5,928,281.47</w:t>
            </w:r>
            <w:r>
              <w:rPr>
                <w:rFonts w:ascii="Times New Roman"/>
                <w:spacing w:val="-1"/>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28,032,993.60</w:t>
            </w:r>
            <w:r>
              <w:rPr>
                <w:rFonts w:ascii="Times New Roman"/>
                <w:spacing w:val="-1"/>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65,217,431.14</w:t>
            </w:r>
            <w:r>
              <w:rPr>
                <w:rFonts w:ascii="Times New Roman"/>
                <w:spacing w:val="-1"/>
                <w:sz w:val="18"/>
              </w:rPr>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42,205,345.86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3,661,674.89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45,867,020.75</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691,283.21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113,797.50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74,196.78</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730,883.93</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35,031,402.20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1,882,951.79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26,588,306.02</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10,326,047.97</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9,394,112.00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269,857.29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1,370,490.80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8,293,478.49</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三、固定资产账面净值合计：</w:t>
            </w:r>
            <w:r>
              <w:rPr>
                <w:rFonts w:ascii="Microsoft JhengHei" w:hAnsi="Microsoft JhengHei" w:cs="Microsoft JhengHei" w:eastAsia="Microsoft JhengHei" w:hint="default"/>
                <w:sz w:val="18"/>
                <w:szCs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2"/>
                <w:sz w:val="18"/>
              </w:rPr>
              <w:t>119,285,456.50</w:t>
            </w:r>
            <w:r>
              <w:rPr>
                <w:rFonts w:ascii="Times New Roman"/>
                <w:spacing w:val="-2"/>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-3,854,958.47</w:t>
            </w:r>
            <w:r>
              <w:rPr>
                <w:rFonts w:ascii="Times New Roman"/>
                <w:spacing w:val="-1"/>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25,610,838.44</w:t>
            </w:r>
            <w:r>
              <w:rPr>
                <w:rFonts w:ascii="Times New Roman"/>
                <w:spacing w:val="-1"/>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89,819,659.59</w:t>
            </w:r>
            <w:r>
              <w:rPr>
                <w:rFonts w:ascii="Times New Roman"/>
                <w:spacing w:val="-1"/>
                <w:sz w:val="18"/>
              </w:rPr>
            </w:r>
          </w:p>
        </w:tc>
      </w:tr>
      <w:tr>
        <w:trPr>
          <w:trHeight w:val="492"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80,620,515.72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-3,661,674.89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76,958,840.83</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240,329.29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-113,797.50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23,303.22</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103,228.57</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27,885,212.15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-338,620.79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24,610,848.98</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2,935,742.38</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10,539,399.34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259,134.71</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976,686.24</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9,821,847.81</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14,374,294.93</w:t>
            </w:r>
            <w:r>
              <w:rPr>
                <w:rFonts w:ascii="Times New Roman"/>
                <w:spacing w:val="-1"/>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14,374,294.93</w:t>
            </w:r>
            <w:r>
              <w:rPr>
                <w:rFonts w:ascii="Times New Roman"/>
                <w:spacing w:val="-1"/>
                <w:sz w:val="18"/>
              </w:rPr>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6,100,000.00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6,100,000.00</w:t>
            </w:r>
          </w:p>
        </w:tc>
      </w:tr>
      <w:tr>
        <w:trPr>
          <w:trHeight w:val="492"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274,294.93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274,294.93</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五、固定资产账面价值合计：</w:t>
            </w:r>
            <w:r>
              <w:rPr>
                <w:rFonts w:ascii="Microsoft JhengHei" w:hAnsi="Microsoft JhengHei" w:cs="Microsoft JhengHei" w:eastAsia="Microsoft JhengHei" w:hint="default"/>
                <w:sz w:val="18"/>
                <w:szCs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104,911,161.57</w:t>
            </w:r>
            <w:r>
              <w:rPr>
                <w:rFonts w:ascii="Times New Roman"/>
                <w:spacing w:val="-1"/>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-3,854,958.47</w:t>
            </w:r>
            <w:r>
              <w:rPr>
                <w:rFonts w:ascii="Times New Roman"/>
                <w:spacing w:val="-1"/>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25,610,838.44</w:t>
            </w:r>
            <w:r>
              <w:rPr>
                <w:rFonts w:ascii="Times New Roman"/>
                <w:spacing w:val="-1"/>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75,445,364.66</w:t>
            </w:r>
            <w:r>
              <w:rPr>
                <w:rFonts w:ascii="Times New Roman"/>
                <w:spacing w:val="-1"/>
                <w:sz w:val="18"/>
              </w:rPr>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74,520,515.72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-3,661,674.89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70,858,840.83</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240,329.29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-113,797.50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23,303.22</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103,228.57</w:t>
            </w:r>
          </w:p>
        </w:tc>
      </w:tr>
      <w:tr>
        <w:trPr>
          <w:trHeight w:val="492"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27,610,917.22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-338,620.79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24,610,848.98</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2,661,447.45</w:t>
            </w:r>
          </w:p>
        </w:tc>
      </w:tr>
      <w:tr>
        <w:trPr>
          <w:trHeight w:val="49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2,539,399.34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259,134.71</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976,686.24</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1,821,847.81</w:t>
            </w:r>
          </w:p>
        </w:tc>
      </w:tr>
    </w:tbl>
    <w:p>
      <w:pPr>
        <w:spacing w:line="240" w:lineRule="auto" w:before="7"/>
        <w:rPr>
          <w:rFonts w:ascii="宋体" w:hAnsi="宋体" w:cs="宋体" w:eastAsia="宋体" w:hint="default"/>
          <w:sz w:val="10"/>
          <w:szCs w:val="10"/>
        </w:rPr>
      </w:pPr>
    </w:p>
    <w:p>
      <w:pPr>
        <w:pStyle w:val="BodyText"/>
        <w:spacing w:line="396" w:lineRule="auto" w:before="34"/>
        <w:ind w:left="639" w:right="2149"/>
        <w:jc w:val="left"/>
      </w:pPr>
      <w:r>
        <w:rPr/>
        <w:t>固定资产本期计提折旧</w:t>
      </w:r>
      <w:r>
        <w:rPr>
          <w:spacing w:val="-53"/>
        </w:rPr>
        <w:t> </w:t>
      </w:r>
      <w:r>
        <w:rPr>
          <w:rFonts w:ascii="Times New Roman" w:hAnsi="Times New Roman" w:cs="Times New Roman" w:eastAsia="Times New Roman" w:hint="default"/>
        </w:rPr>
        <w:t>5,928,281.47</w:t>
      </w:r>
      <w:r>
        <w:rPr>
          <w:rFonts w:ascii="Times New Roman" w:hAnsi="Times New Roman" w:cs="Times New Roman" w:eastAsia="Times New Roman" w:hint="default"/>
          <w:spacing w:val="1"/>
        </w:rPr>
        <w:t> </w:t>
      </w:r>
      <w:r>
        <w:rPr/>
        <w:t>元，本期无在建工程转入固定资产的情况。</w:t>
      </w:r>
      <w:r>
        <w:rPr>
          <w:w w:val="99"/>
        </w:rPr>
        <w:t> </w:t>
      </w:r>
      <w:r>
        <w:rPr/>
        <w:t>本期固定资产的减少主要是本期已出售子公司的固定资产减少所致。</w:t>
      </w:r>
    </w:p>
    <w:p>
      <w:pPr>
        <w:spacing w:after="0" w:line="396" w:lineRule="auto"/>
        <w:jc w:val="left"/>
        <w:sectPr>
          <w:pgSz w:w="11910" w:h="16840"/>
          <w:pgMar w:header="0" w:footer="865" w:top="1300" w:bottom="1060" w:left="920" w:right="880"/>
        </w:sectPr>
      </w:pPr>
    </w:p>
    <w:p>
      <w:pPr>
        <w:pStyle w:val="BodyText"/>
        <w:spacing w:line="240" w:lineRule="auto" w:before="8"/>
        <w:ind w:left="215" w:right="0"/>
        <w:jc w:val="left"/>
      </w:pPr>
      <w:bookmarkStart w:name="11、在建工程" w:id="96"/>
      <w:bookmarkEnd w:id="96"/>
      <w:r>
        <w:rPr/>
      </w:r>
      <w:bookmarkStart w:name="12、无形资产" w:id="97"/>
      <w:bookmarkEnd w:id="97"/>
      <w:r>
        <w:rPr/>
      </w:r>
      <w:r>
        <w:rPr/>
        <w:t>（</w:t>
      </w:r>
      <w:r>
        <w:rPr>
          <w:rFonts w:ascii="Times New Roman" w:hAnsi="Times New Roman" w:cs="Times New Roman" w:eastAsia="Times New Roman" w:hint="default"/>
        </w:rPr>
        <w:t>2</w:t>
      </w:r>
      <w:r>
        <w:rPr/>
        <w:t>）暂时闲置的固定资产情况</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30"/>
        <w:gridCol w:w="1865"/>
        <w:gridCol w:w="1862"/>
        <w:gridCol w:w="1862"/>
        <w:gridCol w:w="1860"/>
      </w:tblGrid>
      <w:tr>
        <w:trPr>
          <w:trHeight w:val="509"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511"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43" w:right="0"/>
              <w:jc w:val="left"/>
              <w:rPr>
                <w:rFonts w:ascii="Times New Roman" w:hAnsi="Times New Roman" w:cs="Times New Roman" w:eastAsia="Times New Roman" w:hint="default"/>
                <w:sz w:val="21"/>
                <w:szCs w:val="21"/>
              </w:rPr>
            </w:pPr>
            <w:r>
              <w:rPr>
                <w:rFonts w:ascii="Times New Roman"/>
                <w:sz w:val="21"/>
              </w:rPr>
              <w:t>13,047,861.00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47" w:right="0"/>
              <w:jc w:val="left"/>
              <w:rPr>
                <w:rFonts w:ascii="Times New Roman" w:hAnsi="Times New Roman" w:cs="Times New Roman" w:eastAsia="Times New Roman" w:hint="default"/>
                <w:sz w:val="21"/>
                <w:szCs w:val="21"/>
              </w:rPr>
            </w:pPr>
            <w:r>
              <w:rPr>
                <w:rFonts w:ascii="Times New Roman"/>
                <w:sz w:val="21"/>
              </w:rPr>
              <w:t>4,525,946.56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47" w:right="0"/>
              <w:jc w:val="left"/>
              <w:rPr>
                <w:rFonts w:ascii="Times New Roman" w:hAnsi="Times New Roman" w:cs="Times New Roman" w:eastAsia="Times New Roman" w:hint="default"/>
                <w:sz w:val="21"/>
                <w:szCs w:val="21"/>
              </w:rPr>
            </w:pPr>
            <w:r>
              <w:rPr>
                <w:rFonts w:ascii="Times New Roman"/>
                <w:sz w:val="21"/>
              </w:rPr>
              <w:t>8,000,000.00</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521,914.44</w:t>
            </w:r>
          </w:p>
        </w:tc>
      </w:tr>
    </w:tbl>
    <w:p>
      <w:pPr>
        <w:spacing w:line="240" w:lineRule="auto" w:before="3"/>
        <w:rPr>
          <w:rFonts w:ascii="宋体" w:hAnsi="宋体" w:cs="宋体" w:eastAsia="宋体" w:hint="default"/>
          <w:sz w:val="12"/>
          <w:szCs w:val="12"/>
        </w:rPr>
      </w:pPr>
    </w:p>
    <w:p>
      <w:pPr>
        <w:pStyle w:val="BodyText"/>
        <w:spacing w:line="240" w:lineRule="auto" w:before="34"/>
        <w:ind w:left="639" w:right="0"/>
        <w:jc w:val="left"/>
      </w:pPr>
      <w:r>
        <w:rPr/>
        <w:t>以上闲置的固定资产为子公司福建升通网络传媒有限公司设备资产，长期闲置。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15" w:lineRule="auto"/>
        <w:ind w:left="639" w:right="0" w:hanging="424"/>
        <w:jc w:val="left"/>
      </w:pPr>
      <w:r>
        <w:rPr/>
        <w:t>（</w:t>
      </w:r>
      <w:r>
        <w:rPr>
          <w:rFonts w:ascii="Times New Roman" w:hAnsi="Times New Roman" w:cs="Times New Roman" w:eastAsia="Times New Roman" w:hint="default"/>
        </w:rPr>
        <w:t>3</w:t>
      </w:r>
      <w:r>
        <w:rPr/>
        <w:t>）未办妥产权证书的固定资产情况</w:t>
      </w:r>
      <w:r>
        <w:rPr>
          <w:spacing w:val="-100"/>
        </w:rPr>
        <w:t> </w:t>
      </w:r>
      <w:r>
        <w:rPr>
          <w:spacing w:val="-100"/>
        </w:rPr>
      </w:r>
      <w:r>
        <w:rPr>
          <w:w w:val="95"/>
        </w:rPr>
        <w:t>本公司之子公司深圳市鸿基物流有限公司在经营租入的土地上所建的房屋建筑物，无法办理房产证；</w:t>
      </w:r>
      <w:r>
        <w:rPr/>
      </w:r>
    </w:p>
    <w:p>
      <w:pPr>
        <w:pStyle w:val="BodyText"/>
        <w:spacing w:line="240" w:lineRule="auto" w:before="71"/>
        <w:ind w:left="215" w:right="0"/>
        <w:jc w:val="left"/>
      </w:pPr>
      <w:r>
        <w:rPr/>
        <w:t>截止</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日该等房屋建筑物期末原值为</w:t>
      </w:r>
      <w:r>
        <w:rPr>
          <w:spacing w:val="-54"/>
        </w:rPr>
        <w:t> </w:t>
      </w:r>
      <w:r>
        <w:rPr>
          <w:rFonts w:ascii="Times New Roman" w:hAnsi="Times New Roman" w:cs="Times New Roman" w:eastAsia="Times New Roman" w:hint="default"/>
        </w:rPr>
        <w:t>12,490,940.77 </w:t>
      </w:r>
      <w:r>
        <w:rPr/>
        <w:t>元，净值为</w:t>
      </w:r>
      <w:r>
        <w:rPr>
          <w:spacing w:val="-54"/>
        </w:rPr>
        <w:t> </w:t>
      </w:r>
      <w:r>
        <w:rPr>
          <w:rFonts w:ascii="Times New Roman" w:hAnsi="Times New Roman" w:cs="Times New Roman" w:eastAsia="Times New Roman" w:hint="default"/>
        </w:rPr>
        <w:t>7,827,656.21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215" w:right="0"/>
        <w:jc w:val="left"/>
      </w:pPr>
      <w:r>
        <w:rPr/>
        <w:t>（</w:t>
      </w:r>
      <w:r>
        <w:rPr>
          <w:rFonts w:ascii="Times New Roman" w:hAnsi="Times New Roman" w:cs="Times New Roman" w:eastAsia="Times New Roman" w:hint="default"/>
        </w:rPr>
        <w:t>4</w:t>
      </w:r>
      <w:r>
        <w:rPr/>
        <w:t>）所有权受限的固定资产</w:t>
      </w:r>
    </w:p>
    <w:p>
      <w:pPr>
        <w:spacing w:line="240" w:lineRule="auto" w:before="12"/>
        <w:rPr>
          <w:rFonts w:ascii="宋体" w:hAnsi="宋体" w:cs="宋体" w:eastAsia="宋体" w:hint="default"/>
          <w:sz w:val="15"/>
          <w:szCs w:val="15"/>
        </w:rPr>
      </w:pPr>
    </w:p>
    <w:p>
      <w:pPr>
        <w:pStyle w:val="BodyText"/>
        <w:spacing w:line="240" w:lineRule="auto"/>
        <w:ind w:left="639" w:right="0"/>
        <w:jc w:val="left"/>
      </w:pPr>
      <w:r>
        <w:rPr/>
        <w:t>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日，本公司无所有权受限的固定资产。</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left="221"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3" w:val="left" w:leader="none"/>
        </w:tabs>
        <w:spacing w:line="240" w:lineRule="auto"/>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209"/>
        <w:gridCol w:w="1256"/>
        <w:gridCol w:w="1256"/>
        <w:gridCol w:w="1189"/>
        <w:gridCol w:w="1306"/>
        <w:gridCol w:w="1249"/>
        <w:gridCol w:w="1306"/>
      </w:tblGrid>
      <w:tr>
        <w:trPr>
          <w:trHeight w:val="509" w:hRule="exact"/>
        </w:trPr>
        <w:tc>
          <w:tcPr>
            <w:tcW w:w="22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209" w:type="dxa"/>
            <w:vMerge/>
            <w:tcBorders>
              <w:left w:val="nil" w:sz="6" w:space="0" w:color="auto"/>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509"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北山大道综合用地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130,000.00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130,000.00</w:t>
            </w:r>
            <w:r>
              <w:rPr>
                <w:rFonts w:ascii="Times New Roman"/>
                <w:sz w:val="21"/>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号地二期仓库</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21"/>
                <w:szCs w:val="21"/>
              </w:rPr>
            </w:pPr>
            <w:r>
              <w:rPr>
                <w:rFonts w:ascii="Times New Roman"/>
                <w:sz w:val="21"/>
              </w:rPr>
              <w:t>35,800.00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35,800.00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35,800.00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35,800.00</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165,800.00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165,800.00</w:t>
            </w:r>
            <w:r>
              <w:rPr>
                <w:rFonts w:ascii="Times New Roman"/>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165,800.00</w:t>
            </w:r>
            <w:r>
              <w:rPr>
                <w:rFonts w:ascii="Times New Roman"/>
                <w:sz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165,800.00</w:t>
            </w:r>
            <w:r>
              <w:rPr>
                <w:rFonts w:ascii="Times New Roman"/>
                <w:sz w:val="21"/>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215" w:right="0"/>
        <w:jc w:val="left"/>
      </w:pPr>
      <w:r>
        <w:rPr/>
        <w:t>北山大道综合用地和</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号地二期仓库工程长期停工，上期已全额计提减值准备。</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left="221"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082"/>
        <w:gridCol w:w="1672"/>
        <w:gridCol w:w="1675"/>
        <w:gridCol w:w="1670"/>
        <w:gridCol w:w="1672"/>
      </w:tblGrid>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b/>
                <w:spacing w:val="-1"/>
                <w:sz w:val="21"/>
              </w:rPr>
              <w:t>154,969,078.11</w:t>
            </w:r>
            <w:r>
              <w:rPr>
                <w:rFonts w:ascii="Times New Roman"/>
                <w:spacing w:val="-1"/>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spacing w:val="-1"/>
                <w:w w:val="95"/>
                <w:sz w:val="21"/>
              </w:rPr>
              <w:t>112,130.00</w:t>
            </w:r>
            <w:r>
              <w:rPr>
                <w:rFonts w:ascii="Times New Roman"/>
                <w:spacing w:val="-1"/>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spacing w:val="-1"/>
                <w:sz w:val="21"/>
              </w:rPr>
              <w:t>117,291,847.90</w:t>
            </w:r>
            <w:r>
              <w:rPr>
                <w:rFonts w:ascii="Times New Roman"/>
                <w:spacing w:val="-1"/>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w w:val="95"/>
                <w:sz w:val="21"/>
              </w:rPr>
              <w:t>37,789,360.21</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37,169,930.21</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37,169,930.21</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117,291,847.90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117,291,847.90</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300" w:bottom="1060" w:left="920" w:right="880"/>
        </w:sectPr>
      </w:pPr>
    </w:p>
    <w:p>
      <w:pPr>
        <w:spacing w:line="240" w:lineRule="auto" w:before="9"/>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3082"/>
        <w:gridCol w:w="1672"/>
        <w:gridCol w:w="1675"/>
        <w:gridCol w:w="1670"/>
        <w:gridCol w:w="1672"/>
      </w:tblGrid>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bookmarkStart w:name="13、商誉" w:id="98"/>
            <w:bookmarkEnd w:id="98"/>
            <w:r>
              <w:rPr/>
            </w:r>
            <w:r>
              <w:rPr>
                <w:rFonts w:ascii="宋体" w:hAnsi="宋体" w:cs="宋体" w:eastAsia="宋体" w:hint="default"/>
                <w:sz w:val="21"/>
                <w:szCs w:val="21"/>
              </w:rPr>
              <w:t>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507,300.00</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112,130.00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619,430.00</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二、累计摊销合计</w:t>
            </w:r>
            <w:r>
              <w:rPr>
                <w:rFonts w:ascii="Microsoft JhengHei" w:hAnsi="Microsoft JhengHei" w:cs="Microsoft JhengHei" w:eastAsia="Microsoft JhengHei"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42,383,528.27</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b/>
                <w:w w:val="95"/>
                <w:sz w:val="21"/>
              </w:rPr>
              <w:t>1,567,714.68</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34,794,272.44</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w w:val="95"/>
                <w:sz w:val="21"/>
              </w:rPr>
              <w:t>9,156,970.51</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7,114,469.71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1,523,619.96</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8,638,089.67</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34,794,272.44</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34,794,272.44</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474,786.12</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44,094.72</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518,880.84</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三、无形资产账面净值合计</w:t>
            </w:r>
            <w:r>
              <w:rPr>
                <w:rFonts w:ascii="Microsoft JhengHei" w:hAnsi="Microsoft JhengHei" w:cs="Microsoft JhengHei" w:eastAsia="Microsoft JhengHei"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spacing w:val="-1"/>
                <w:sz w:val="21"/>
              </w:rPr>
              <w:t>112,585,549.84</w:t>
            </w:r>
            <w:r>
              <w:rPr>
                <w:rFonts w:ascii="Times New Roman"/>
                <w:spacing w:val="-1"/>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-1,455,584.68</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82,497,575.46</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w w:val="95"/>
                <w:sz w:val="21"/>
              </w:rPr>
              <w:t>28,632,389.70</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30,055,460.50</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-1,523,619.96</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28,531,840.54</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82,497,575.46</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82,497,575.46</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32,513.88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68,035.28</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100,549.16</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无形资产账面价值合计</w:t>
            </w:r>
            <w:r>
              <w:rPr>
                <w:rFonts w:ascii="Microsoft JhengHei" w:hAnsi="Microsoft JhengHei" w:cs="Microsoft JhengHei" w:eastAsia="Microsoft JhengHei"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spacing w:val="-1"/>
                <w:sz w:val="21"/>
              </w:rPr>
              <w:t>112,585,549.84</w:t>
            </w:r>
            <w:r>
              <w:rPr>
                <w:rFonts w:ascii="Times New Roman"/>
                <w:spacing w:val="-1"/>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-1,455,584.68</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b/>
                <w:w w:val="95"/>
                <w:sz w:val="21"/>
              </w:rPr>
              <w:t>82,497,575.46</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w w:val="95"/>
                <w:sz w:val="21"/>
              </w:rPr>
              <w:t>28,632,389.70</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30,055,460.50</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-1,523,619.96</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28,531,840.54</w:t>
            </w:r>
            <w:r>
              <w:rPr>
                <w:rFonts w:ascii="Times New Roman"/>
                <w:sz w:val="21"/>
              </w:rPr>
            </w:r>
          </w:p>
        </w:tc>
      </w:tr>
      <w:tr>
        <w:trPr>
          <w:trHeight w:val="511"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82,497,575.46</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82,497,575.46</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32,513.88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68,035.28</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100,549.16</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15" w:lineRule="auto" w:before="34"/>
        <w:ind w:left="639" w:right="0"/>
        <w:jc w:val="left"/>
      </w:pPr>
      <w:r>
        <w:rPr/>
        <w:t>无形资产本期摊销额为</w:t>
      </w:r>
      <w:r>
        <w:rPr>
          <w:spacing w:val="-55"/>
        </w:rPr>
        <w:t> </w:t>
      </w:r>
      <w:r>
        <w:rPr>
          <w:rFonts w:ascii="Times New Roman" w:hAnsi="Times New Roman" w:cs="Times New Roman" w:eastAsia="Times New Roman" w:hint="default"/>
        </w:rPr>
        <w:t>1,567,714.68</w:t>
      </w:r>
      <w:r>
        <w:rPr>
          <w:rFonts w:ascii="Times New Roman" w:hAnsi="Times New Roman" w:cs="Times New Roman" w:eastAsia="Times New Roman" w:hint="default"/>
          <w:spacing w:val="-1"/>
        </w:rPr>
        <w:t> </w:t>
      </w:r>
      <w:r>
        <w:rPr/>
        <w:t>元。</w:t>
      </w:r>
      <w:r>
        <w:rPr>
          <w:spacing w:val="-103"/>
        </w:rPr>
        <w:t> </w:t>
      </w:r>
      <w:r>
        <w:rPr>
          <w:spacing w:val="-103"/>
        </w:rPr>
      </w:r>
      <w:r>
        <w:rPr>
          <w:spacing w:val="3"/>
        </w:rPr>
        <w:t>本期出租汽车营运车牌的减少为本期资产负债表不纳入合并范围内的子公司深圳市迅达汽车运输有</w:t>
      </w:r>
    </w:p>
    <w:p>
      <w:pPr>
        <w:pStyle w:val="BodyText"/>
        <w:spacing w:line="240" w:lineRule="auto" w:before="71"/>
        <w:ind w:left="215" w:right="0"/>
        <w:jc w:val="left"/>
      </w:pPr>
      <w:r>
        <w:rPr/>
        <w:t>限公司的出租汽车经营权。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221"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58"/>
        <w:gridCol w:w="1427"/>
        <w:gridCol w:w="1268"/>
        <w:gridCol w:w="1270"/>
        <w:gridCol w:w="1429"/>
        <w:gridCol w:w="1427"/>
      </w:tblGrid>
      <w:tr>
        <w:trPr>
          <w:trHeight w:val="732"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4"/>
              <w:ind w:left="793" w:right="678"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形成商誉的事项</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4"/>
              <w:ind w:left="288" w:right="289" w:firstLine="20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99"/>
                <w:sz w:val="21"/>
                <w:szCs w:val="21"/>
              </w:rPr>
              <w:t> </w:t>
            </w:r>
            <w:r>
              <w:rPr>
                <w:rFonts w:ascii="宋体" w:hAnsi="宋体" w:cs="宋体" w:eastAsia="宋体" w:hint="default"/>
                <w:sz w:val="21"/>
                <w:szCs w:val="21"/>
              </w:rPr>
              <w:t>减值准备</w:t>
            </w:r>
          </w:p>
        </w:tc>
      </w:tr>
      <w:tr>
        <w:trPr>
          <w:trHeight w:val="509"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收购子公司形成的商誉</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31,838,360.93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31,838,360.93</w:t>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31,838,360.93</w:t>
            </w:r>
          </w:p>
        </w:tc>
      </w:tr>
    </w:tbl>
    <w:p>
      <w:pPr>
        <w:spacing w:line="240" w:lineRule="auto" w:before="3"/>
        <w:rPr>
          <w:rFonts w:ascii="宋体" w:hAnsi="宋体" w:cs="宋体" w:eastAsia="宋体" w:hint="default"/>
          <w:sz w:val="12"/>
          <w:szCs w:val="12"/>
        </w:rPr>
      </w:pPr>
    </w:p>
    <w:p>
      <w:pPr>
        <w:pStyle w:val="BodyText"/>
        <w:spacing w:line="436" w:lineRule="auto" w:before="34"/>
        <w:ind w:left="215" w:right="0" w:firstLine="437"/>
        <w:jc w:val="left"/>
      </w:pPr>
      <w:r>
        <w:rPr>
          <w:w w:val="95"/>
        </w:rPr>
        <w:t>原对收购子公司深圳市鸿基物流有限公司计提的商誉，提取减值准备的原因是本公司拟处置深圳市鸿</w:t>
      </w:r>
      <w:r>
        <w:rPr>
          <w:w w:val="99"/>
        </w:rPr>
        <w:t> </w:t>
      </w:r>
      <w:r>
        <w:rPr/>
        <w:t>基物流有限公司，按预计处置能收回的现金与投资成本进行比较测试，对该商誉提取减值准备。</w:t>
      </w:r>
    </w:p>
    <w:p>
      <w:pPr>
        <w:spacing w:after="0" w:line="436" w:lineRule="auto"/>
        <w:jc w:val="left"/>
        <w:sectPr>
          <w:footerReference w:type="default" r:id="rId46"/>
          <w:pgSz w:w="11910" w:h="16840"/>
          <w:pgMar w:footer="865" w:header="0" w:top="1040" w:bottom="1060" w:left="920" w:right="880"/>
          <w:pgNumType w:start="100"/>
        </w:sectPr>
      </w:pPr>
    </w:p>
    <w:p>
      <w:pPr>
        <w:pStyle w:val="Heading5"/>
        <w:spacing w:line="307" w:lineRule="exact"/>
        <w:ind w:left="221" w:right="0"/>
        <w:jc w:val="left"/>
        <w:rPr>
          <w:b w:val="0"/>
          <w:bCs w:val="0"/>
        </w:rPr>
      </w:pPr>
      <w:bookmarkStart w:name="14、长期待摊费用" w:id="99"/>
      <w:bookmarkEnd w:id="99"/>
      <w:r>
        <w:rPr>
          <w:b w:val="0"/>
          <w:bCs w:val="0"/>
        </w:rPr>
      </w:r>
      <w:bookmarkStart w:name="15、递延所得税资产/递延所得税负债" w:id="100"/>
      <w:bookmarkEnd w:id="10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1992"/>
        <w:gridCol w:w="1251"/>
        <w:gridCol w:w="1249"/>
        <w:gridCol w:w="1246"/>
        <w:gridCol w:w="1196"/>
        <w:gridCol w:w="1249"/>
        <w:gridCol w:w="1576"/>
      </w:tblGrid>
      <w:tr>
        <w:trPr>
          <w:trHeight w:val="509"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511"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8,209,832.99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23,124.96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8,163,583.00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23,125.04</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出售子公司减少</w:t>
            </w:r>
          </w:p>
        </w:tc>
      </w:tr>
      <w:tr>
        <w:trPr>
          <w:trHeight w:val="509"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221,231.46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132,738.96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88,492.50</w:t>
            </w:r>
          </w:p>
        </w:tc>
        <w:tc>
          <w:tcPr>
            <w:tcW w:w="157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8,431,064.45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155,863.92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8,163,583.00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111,617.54</w:t>
            </w:r>
          </w:p>
        </w:tc>
        <w:tc>
          <w:tcPr>
            <w:tcW w:w="15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21"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15" w:right="0"/>
        <w:jc w:val="left"/>
      </w:pPr>
      <w:r>
        <w:rPr/>
        <w:t>（</w:t>
      </w:r>
      <w:r>
        <w:rPr>
          <w:rFonts w:ascii="Times New Roman" w:hAnsi="Times New Roman" w:cs="Times New Roman" w:eastAsia="Times New Roman" w:hint="default"/>
        </w:rPr>
        <w:t>1</w:t>
      </w:r>
      <w:r>
        <w:rPr/>
        <w:t>）已确认的递延所得税资产和递延所得税负债</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23"/>
        <w:gridCol w:w="2327"/>
        <w:gridCol w:w="2329"/>
      </w:tblGrid>
      <w:tr>
        <w:trPr>
          <w:trHeight w:val="511"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232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15,479,767.27</w:t>
            </w:r>
            <w:r>
              <w:rPr>
                <w:rFonts w:ascii="Times New Roman"/>
                <w:sz w:val="21"/>
              </w:rPr>
            </w:r>
          </w:p>
        </w:tc>
        <w:tc>
          <w:tcPr>
            <w:tcW w:w="2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41,484,641.18</w:t>
            </w:r>
            <w:r>
              <w:rPr>
                <w:rFonts w:ascii="Times New Roman"/>
                <w:sz w:val="21"/>
              </w:rPr>
            </w:r>
          </w:p>
        </w:tc>
      </w:tr>
      <w:tr>
        <w:trPr>
          <w:trHeight w:val="509"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w w:val="95"/>
                <w:sz w:val="21"/>
                <w:szCs w:val="21"/>
              </w:rPr>
              <w:t>小</w:t>
              <w:tab/>
            </w:r>
            <w:r>
              <w:rPr>
                <w:rFonts w:ascii="宋体" w:hAnsi="宋体" w:cs="宋体" w:eastAsia="宋体" w:hint="default"/>
                <w:sz w:val="21"/>
                <w:szCs w:val="21"/>
              </w:rPr>
              <w:t>计</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15,479,767.27</w:t>
            </w:r>
            <w:r>
              <w:rPr>
                <w:rFonts w:ascii="Times New Roman"/>
                <w:sz w:val="21"/>
              </w:rPr>
            </w:r>
          </w:p>
        </w:tc>
        <w:tc>
          <w:tcPr>
            <w:tcW w:w="2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41,484,641.18</w:t>
            </w:r>
            <w:r>
              <w:rPr>
                <w:rFonts w:ascii="Times New Roman"/>
                <w:sz w:val="21"/>
              </w:rPr>
            </w:r>
          </w:p>
        </w:tc>
      </w:tr>
      <w:tr>
        <w:trPr>
          <w:trHeight w:val="511"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c>
          <w:tcPr>
            <w:tcW w:w="232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7,499,877.76</w:t>
            </w:r>
            <w:r>
              <w:rPr>
                <w:rFonts w:ascii="Times New Roman"/>
                <w:sz w:val="21"/>
              </w:rPr>
            </w:r>
          </w:p>
        </w:tc>
        <w:tc>
          <w:tcPr>
            <w:tcW w:w="2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9,153,618.90</w:t>
            </w:r>
            <w:r>
              <w:rPr>
                <w:rFonts w:ascii="Times New Roman"/>
                <w:sz w:val="21"/>
              </w:rPr>
            </w:r>
          </w:p>
        </w:tc>
      </w:tr>
      <w:tr>
        <w:trPr>
          <w:trHeight w:val="511" w:hRule="exact"/>
        </w:trPr>
        <w:tc>
          <w:tcPr>
            <w:tcW w:w="5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w w:val="95"/>
                <w:sz w:val="21"/>
                <w:szCs w:val="21"/>
              </w:rPr>
              <w:t>小</w:t>
              <w:tab/>
            </w:r>
            <w:r>
              <w:rPr>
                <w:rFonts w:ascii="宋体" w:hAnsi="宋体" w:cs="宋体" w:eastAsia="宋体" w:hint="default"/>
                <w:sz w:val="21"/>
                <w:szCs w:val="21"/>
              </w:rPr>
              <w:t>计</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7,499,877.76</w:t>
            </w:r>
            <w:r>
              <w:rPr>
                <w:rFonts w:ascii="Times New Roman"/>
                <w:sz w:val="21"/>
              </w:rPr>
            </w:r>
          </w:p>
        </w:tc>
        <w:tc>
          <w:tcPr>
            <w:tcW w:w="2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9,153,618.90</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36" w:lineRule="auto" w:before="34"/>
        <w:ind w:left="215" w:right="208" w:firstLine="423"/>
        <w:jc w:val="left"/>
      </w:pPr>
      <w:r>
        <w:rPr/>
        <w:t>本期对原已计提坏账准备的部分资产损失在所得税汇算清缴时已向税务机关申报扣除，此部分本期不</w:t>
      </w:r>
      <w:r>
        <w:rPr>
          <w:w w:val="99"/>
        </w:rPr>
        <w:t> </w:t>
      </w:r>
      <w:r>
        <w:rPr/>
        <w:t>再计算递延所得税资产。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15" w:right="0"/>
        <w:jc w:val="left"/>
      </w:pPr>
      <w:r>
        <w:rPr/>
        <w:t>（</w:t>
      </w:r>
      <w:r>
        <w:rPr>
          <w:rFonts w:ascii="Times New Roman" w:hAnsi="Times New Roman" w:cs="Times New Roman" w:eastAsia="Times New Roman" w:hint="default"/>
        </w:rPr>
        <w:t>2</w:t>
      </w:r>
      <w:r>
        <w:rPr/>
        <w:t>）未确认递延所得税资产明细</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76"/>
        <w:gridCol w:w="3489"/>
        <w:gridCol w:w="3414"/>
      </w:tblGrid>
      <w:tr>
        <w:trPr>
          <w:trHeight w:val="50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11,597,262.82</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15,484,235.61</w:t>
            </w:r>
            <w:r>
              <w:rPr>
                <w:rFonts w:ascii="Times New Roman"/>
                <w:sz w:val="21"/>
              </w:rPr>
            </w:r>
          </w:p>
        </w:tc>
      </w:tr>
      <w:tr>
        <w:trPr>
          <w:trHeight w:val="50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35,666,557.91</w:t>
            </w:r>
            <w:r>
              <w:rPr>
                <w:rFonts w:ascii="Times New Roman"/>
                <w:sz w:val="21"/>
              </w:rPr>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47,757,770.48</w:t>
            </w:r>
            <w:r>
              <w:rPr>
                <w:rFonts w:ascii="Times New Roman"/>
                <w:sz w:val="21"/>
              </w:rPr>
            </w:r>
          </w:p>
        </w:tc>
      </w:tr>
      <w:tr>
        <w:trPr>
          <w:trHeight w:val="511"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47,263,820.73</w:t>
            </w:r>
            <w:r>
              <w:rPr>
                <w:rFonts w:ascii="Times New Roman"/>
                <w:sz w:val="21"/>
              </w:rPr>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63,242,006.09</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36" w:lineRule="auto" w:before="34"/>
        <w:ind w:left="215" w:right="0" w:firstLine="317"/>
        <w:jc w:val="left"/>
      </w:pPr>
      <w:r>
        <w:rPr/>
        <w:t>可抵扣暂时性差异及可抵扣亏损系本公司之子公司发生，该等子公司连续亏损且未来经营前景不明，</w:t>
      </w:r>
      <w:r>
        <w:rPr>
          <w:w w:val="99"/>
        </w:rPr>
        <w:t> </w:t>
      </w:r>
      <w:r>
        <w:rPr/>
        <w:t>其未来能否获得足够的应纳税所得额具有不确定性，因此没有确认为递延所得税资产。</w:t>
      </w:r>
    </w:p>
    <w:p>
      <w:pPr>
        <w:spacing w:after="0" w:line="436" w:lineRule="auto"/>
        <w:jc w:val="left"/>
        <w:sectPr>
          <w:pgSz w:w="11910" w:h="16840"/>
          <w:pgMar w:header="0" w:footer="865" w:top="1300" w:bottom="1060" w:left="920" w:right="880"/>
        </w:sectPr>
      </w:pPr>
    </w:p>
    <w:p>
      <w:pPr>
        <w:pStyle w:val="BodyText"/>
        <w:spacing w:line="240" w:lineRule="auto" w:before="8"/>
        <w:ind w:right="0"/>
        <w:jc w:val="left"/>
      </w:pPr>
      <w:bookmarkStart w:name="16、资产减值准备明细" w:id="101"/>
      <w:bookmarkEnd w:id="101"/>
      <w:r>
        <w:rPr/>
      </w: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55"/>
        <w:gridCol w:w="3258"/>
        <w:gridCol w:w="3258"/>
      </w:tblGrid>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年份</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11,566,877.99</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26,835,058.64</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83,155,749.26</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86,490,237.02</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10,654,592.03</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11,538,965.83</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33,722,103.46</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37,330,538.45</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3,566,908.92</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142,666,231.66</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162,194,799.94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Times New Roman" w:hAnsi="Times New Roman" w:cs="Times New Roman" w:eastAsia="Times New Roman" w:hint="default"/>
        </w:rPr>
        <w:t>4</w:t>
      </w:r>
      <w:r>
        <w:rPr/>
        <w:t>）应纳税差异和可抵扣差异项目明细</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401"/>
        <w:gridCol w:w="4405"/>
      </w:tblGrid>
      <w:tr>
        <w:trPr>
          <w:trHeight w:val="50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可抵扣差异项目</w:t>
            </w:r>
            <w:r>
              <w:rPr>
                <w:rFonts w:ascii="Microsoft JhengHei" w:hAnsi="Microsoft JhengHei" w:cs="Microsoft JhengHei" w:eastAsia="Microsoft JhengHei" w:hint="default"/>
                <w:sz w:val="21"/>
                <w:szCs w:val="21"/>
              </w:rPr>
            </w:r>
          </w:p>
        </w:tc>
        <w:tc>
          <w:tcPr>
            <w:tcW w:w="440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61,919,069.08</w:t>
            </w:r>
            <w:r>
              <w:rPr>
                <w:rFonts w:ascii="Times New Roman"/>
                <w:sz w:val="21"/>
              </w:rPr>
            </w:r>
          </w:p>
        </w:tc>
      </w:tr>
      <w:tr>
        <w:trPr>
          <w:trHeight w:val="51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应纳税差异项目</w:t>
            </w:r>
            <w:r>
              <w:rPr>
                <w:rFonts w:ascii="Microsoft JhengHei" w:hAnsi="Microsoft JhengHei" w:cs="Microsoft JhengHei" w:eastAsia="Microsoft JhengHei" w:hint="default"/>
                <w:sz w:val="21"/>
                <w:szCs w:val="21"/>
              </w:rPr>
            </w:r>
          </w:p>
        </w:tc>
        <w:tc>
          <w:tcPr>
            <w:tcW w:w="4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4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29,999,511.02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right="0"/>
        <w:jc w:val="left"/>
        <w:rPr>
          <w:b w:val="0"/>
          <w:bCs w:val="0"/>
        </w:rPr>
      </w:pPr>
      <w:r>
        <w:rPr>
          <w:rFonts w:ascii="Times New Roman" w:hAnsi="Times New Roman" w:cs="Times New Roman" w:eastAsia="Times New Roman" w:hint="default"/>
        </w:rPr>
        <w:t>16</w:t>
      </w:r>
      <w:r>
        <w:rPr/>
        <w:t>、资产减值准备明细</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3" w:val="left" w:leader="none"/>
        </w:tabs>
        <w:spacing w:line="240" w:lineRule="auto" w:before="34"/>
        <w:ind w:left="0" w:right="47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16"/>
        <w:gridCol w:w="1350"/>
        <w:gridCol w:w="1350"/>
        <w:gridCol w:w="1511"/>
        <w:gridCol w:w="1513"/>
        <w:gridCol w:w="1533"/>
      </w:tblGrid>
      <w:tr>
        <w:trPr>
          <w:trHeight w:val="511" w:hRule="exact"/>
        </w:trPr>
        <w:tc>
          <w:tcPr>
            <w:tcW w:w="2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3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09" w:hRule="exact"/>
        </w:trPr>
        <w:tc>
          <w:tcPr>
            <w:tcW w:w="2416" w:type="dxa"/>
            <w:vMerge/>
            <w:tcBorders>
              <w:left w:val="nil" w:sz="6" w:space="0" w:color="auto"/>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33" w:type="dxa"/>
            <w:vMerge/>
            <w:tcBorders>
              <w:left w:val="single" w:sz="4" w:space="0" w:color="000000"/>
              <w:bottom w:val="single" w:sz="4" w:space="0" w:color="000000"/>
              <w:right w:val="nil" w:sz="6" w:space="0" w:color="auto"/>
            </w:tcBorders>
          </w:tcPr>
          <w:p>
            <w:pP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247,215,307.62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12,345,656.22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7,044,254.50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6,208,914.61</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246,307,794.73</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4,477,875.93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630,786.93</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3,847,089.00</w:t>
            </w: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21,575,366.58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21,575,366.58</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四、投资性房地产减值准备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21,480,000.00</w:t>
            </w: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五、固定资产减值准备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14,374,294.93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14,374,294.93</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六、在建工程减值准备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165,800.00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165,800.00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300" w:bottom="1060" w:left="1020" w:right="840"/>
        </w:sectPr>
      </w:pPr>
    </w:p>
    <w:p>
      <w:pPr>
        <w:spacing w:line="240" w:lineRule="auto" w:before="9"/>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2416"/>
        <w:gridCol w:w="1350"/>
        <w:gridCol w:w="1350"/>
        <w:gridCol w:w="1511"/>
        <w:gridCol w:w="1513"/>
        <w:gridCol w:w="1533"/>
      </w:tblGrid>
      <w:tr>
        <w:trPr>
          <w:trHeight w:val="511" w:hRule="exact"/>
        </w:trPr>
        <w:tc>
          <w:tcPr>
            <w:tcW w:w="2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bookmarkStart w:name="17、短期借款" w:id="102"/>
            <w:bookmarkEnd w:id="102"/>
            <w:r>
              <w:rPr/>
            </w:r>
            <w:bookmarkStart w:name="18、应付账款" w:id="103"/>
            <w:bookmarkEnd w:id="103"/>
            <w:r>
              <w:rPr/>
            </w:r>
            <w:r>
              <w:rPr>
                <w:rFonts w:ascii="宋体" w:hAnsi="宋体" w:cs="宋体" w:eastAsia="宋体" w:hint="default"/>
                <w:sz w:val="18"/>
                <w:szCs w:val="18"/>
              </w:rPr>
              <w:t>项目</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3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09" w:hRule="exact"/>
        </w:trPr>
        <w:tc>
          <w:tcPr>
            <w:tcW w:w="2416" w:type="dxa"/>
            <w:vMerge/>
            <w:tcBorders>
              <w:left w:val="nil" w:sz="6" w:space="0" w:color="auto"/>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33" w:type="dxa"/>
            <w:vMerge/>
            <w:tcBorders>
              <w:left w:val="single" w:sz="4" w:space="0" w:color="000000"/>
              <w:bottom w:val="single" w:sz="4" w:space="0" w:color="000000"/>
              <w:right w:val="nil" w:sz="6" w:space="0" w:color="auto"/>
            </w:tcBorders>
          </w:tcPr>
          <w:p>
            <w:pPr/>
          </w:p>
        </w:tc>
      </w:tr>
      <w:tr>
        <w:trPr>
          <w:trHeight w:val="511"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七、商誉减值准备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31,838,360.93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31,838,360.93</w:t>
            </w:r>
          </w:p>
        </w:tc>
      </w:tr>
      <w:tr>
        <w:trPr>
          <w:trHeight w:val="50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341,127,005.99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12,345,656.22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7,044,254.50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6,839,701.54</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339,588,706.17</w:t>
            </w:r>
          </w:p>
        </w:tc>
      </w:tr>
    </w:tbl>
    <w:p>
      <w:pPr>
        <w:spacing w:line="240" w:lineRule="auto" w:before="3"/>
        <w:rPr>
          <w:rFonts w:ascii="宋体" w:hAnsi="宋体" w:cs="宋体" w:eastAsia="宋体" w:hint="default"/>
          <w:sz w:val="12"/>
          <w:szCs w:val="12"/>
        </w:rPr>
      </w:pPr>
    </w:p>
    <w:p>
      <w:pPr>
        <w:pStyle w:val="BodyText"/>
        <w:spacing w:line="412" w:lineRule="auto" w:before="34"/>
        <w:ind w:left="135" w:right="202" w:firstLine="483"/>
        <w:jc w:val="left"/>
      </w:pPr>
      <w:r>
        <w:rPr/>
        <w:t>本期坏帐准备转销的</w:t>
      </w:r>
      <w:r>
        <w:rPr>
          <w:spacing w:val="-59"/>
        </w:rPr>
        <w:t> </w:t>
      </w:r>
      <w:r>
        <w:rPr>
          <w:rFonts w:ascii="Times New Roman" w:hAnsi="Times New Roman" w:cs="Times New Roman" w:eastAsia="Times New Roman" w:hint="default"/>
        </w:rPr>
        <w:t>6,208,914.61</w:t>
      </w:r>
      <w:r>
        <w:rPr>
          <w:rFonts w:ascii="Times New Roman" w:hAnsi="Times New Roman" w:cs="Times New Roman" w:eastAsia="Times New Roman" w:hint="default"/>
          <w:spacing w:val="-7"/>
        </w:rPr>
        <w:t> </w:t>
      </w:r>
      <w:r>
        <w:rPr/>
        <w:t>元及存货跌价准备转销的</w:t>
      </w:r>
      <w:r>
        <w:rPr>
          <w:spacing w:val="-54"/>
        </w:rPr>
        <w:t> </w:t>
      </w:r>
      <w:r>
        <w:rPr>
          <w:rFonts w:ascii="Times New Roman" w:hAnsi="Times New Roman" w:cs="Times New Roman" w:eastAsia="Times New Roman" w:hint="default"/>
        </w:rPr>
        <w:t>630,786.93</w:t>
      </w:r>
      <w:r>
        <w:rPr>
          <w:rFonts w:ascii="Times New Roman" w:hAnsi="Times New Roman" w:cs="Times New Roman" w:eastAsia="Times New Roman" w:hint="default"/>
          <w:spacing w:val="-7"/>
        </w:rPr>
        <w:t> </w:t>
      </w:r>
      <w:r>
        <w:rPr/>
        <w:t>元，为本期出售子公司原所计</w:t>
      </w:r>
      <w:r>
        <w:rPr>
          <w:w w:val="99"/>
        </w:rPr>
        <w:t> </w:t>
      </w:r>
      <w:r>
        <w:rPr/>
        <w:t>提的坏帐准备及存货跌价准备转出。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5"/>
        <w:spacing w:line="240" w:lineRule="auto"/>
        <w:ind w:left="141" w:right="202"/>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20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38"/>
        <w:gridCol w:w="2943"/>
        <w:gridCol w:w="2943"/>
      </w:tblGrid>
      <w:tr>
        <w:trPr>
          <w:trHeight w:val="511" w:hRule="exact"/>
        </w:trPr>
        <w:tc>
          <w:tcPr>
            <w:tcW w:w="3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98" w:right="0"/>
              <w:jc w:val="left"/>
              <w:rPr>
                <w:rFonts w:ascii="Times New Roman" w:hAnsi="Times New Roman" w:cs="Times New Roman" w:eastAsia="Times New Roman" w:hint="default"/>
                <w:sz w:val="21"/>
                <w:szCs w:val="21"/>
              </w:rPr>
            </w:pPr>
            <w:r>
              <w:rPr>
                <w:rFonts w:ascii="Times New Roman"/>
                <w:sz w:val="21"/>
              </w:rPr>
              <w:t>75,000,000.00</w:t>
            </w:r>
          </w:p>
        </w:tc>
      </w:tr>
    </w:tbl>
    <w:p>
      <w:pPr>
        <w:spacing w:line="240" w:lineRule="auto" w:before="3"/>
        <w:rPr>
          <w:rFonts w:ascii="宋体" w:hAnsi="宋体" w:cs="宋体" w:eastAsia="宋体" w:hint="default"/>
          <w:sz w:val="12"/>
          <w:szCs w:val="12"/>
        </w:rPr>
      </w:pPr>
    </w:p>
    <w:p>
      <w:pPr>
        <w:pStyle w:val="BodyText"/>
        <w:spacing w:line="240" w:lineRule="auto" w:before="34"/>
        <w:ind w:left="559" w:right="202"/>
        <w:jc w:val="left"/>
      </w:pPr>
      <w:r>
        <w:rPr/>
        <w:t>期初短期借款为本期已出售子公司深圳市迅达汽车运输有限公司所欠借款。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141" w:right="202"/>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135" w:right="202"/>
        <w:jc w:val="left"/>
      </w:pPr>
      <w:r>
        <w:rPr/>
        <w:t>（</w:t>
      </w:r>
      <w:r>
        <w:rPr>
          <w:rFonts w:ascii="Times New Roman" w:hAnsi="Times New Roman" w:cs="Times New Roman" w:eastAsia="Times New Roman" w:hint="default"/>
        </w:rPr>
        <w:t>1</w:t>
      </w:r>
      <w:r>
        <w:rPr/>
        <w:t>）应付账款分类明细表</w:t>
      </w:r>
    </w:p>
    <w:p>
      <w:pPr>
        <w:spacing w:line="240" w:lineRule="auto" w:before="2"/>
        <w:rPr>
          <w:rFonts w:ascii="宋体" w:hAnsi="宋体" w:cs="宋体" w:eastAsia="宋体" w:hint="default"/>
          <w:sz w:val="16"/>
          <w:szCs w:val="16"/>
        </w:rPr>
      </w:pPr>
    </w:p>
    <w:p>
      <w:pPr>
        <w:pStyle w:val="BodyText"/>
        <w:tabs>
          <w:tab w:pos="1051" w:val="left" w:leader="none"/>
        </w:tabs>
        <w:spacing w:line="240" w:lineRule="auto"/>
        <w:ind w:left="0" w:right="20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222"/>
        <w:gridCol w:w="3222"/>
        <w:gridCol w:w="3219"/>
      </w:tblGrid>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3"/>
              <w:jc w:val="right"/>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应付及暂估工程款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94,197,935.96</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91,911,934.04</w:t>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应付采购款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113,073.53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w w:val="95"/>
                <w:sz w:val="21"/>
              </w:rPr>
              <w:t>118,602.37</w:t>
            </w:r>
            <w:r>
              <w:rPr>
                <w:rFonts w:ascii="Times New Roman"/>
                <w:spacing w:val="-1"/>
                <w:sz w:val="21"/>
              </w:rPr>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应付地价款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75,142,311.00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234,405.48</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271,405.48</w:t>
            </w:r>
            <w:r>
              <w:rPr>
                <w:rFonts w:ascii="Times New Roman"/>
                <w:sz w:val="21"/>
              </w:rPr>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3"/>
              <w:jc w:val="right"/>
              <w:rPr>
                <w:rFonts w:ascii="宋体" w:hAnsi="宋体" w:cs="宋体" w:eastAsia="宋体" w:hint="default"/>
                <w:sz w:val="21"/>
                <w:szCs w:val="21"/>
              </w:rPr>
            </w:pPr>
            <w:r>
              <w:rPr>
                <w:rFonts w:ascii="宋体" w:hAnsi="宋体" w:cs="宋体" w:eastAsia="宋体" w:hint="default"/>
                <w:sz w:val="21"/>
                <w:szCs w:val="21"/>
              </w:rPr>
              <w:t>合计</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169,687,725.97</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92,301,941.89</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559" w:right="0"/>
        <w:jc w:val="left"/>
      </w:pPr>
      <w:r>
        <w:rPr/>
        <w:t>本期应付地价款为应付湖南湘潭市岳塘区双马工业园宗地编号为</w:t>
      </w:r>
      <w:r>
        <w:rPr>
          <w:spacing w:val="-31"/>
        </w:rPr>
        <w:t> </w:t>
      </w:r>
      <w:r>
        <w:rPr>
          <w:rFonts w:ascii="Times New Roman" w:hAnsi="Times New Roman" w:cs="Times New Roman" w:eastAsia="Times New Roman" w:hint="default"/>
        </w:rPr>
        <w:t>2-9-5-53-1</w:t>
      </w:r>
      <w:r>
        <w:rPr>
          <w:rFonts w:ascii="Times New Roman" w:hAnsi="Times New Roman" w:cs="Times New Roman" w:eastAsia="Times New Roman" w:hint="default"/>
          <w:spacing w:val="12"/>
        </w:rPr>
        <w:t> </w:t>
      </w:r>
      <w:r>
        <w:rPr/>
        <w:t>和</w:t>
      </w:r>
      <w:r>
        <w:rPr>
          <w:spacing w:val="-42"/>
        </w:rPr>
        <w:t> </w:t>
      </w:r>
      <w:r>
        <w:rPr>
          <w:rFonts w:ascii="Times New Roman" w:hAnsi="Times New Roman" w:cs="Times New Roman" w:eastAsia="Times New Roman" w:hint="default"/>
        </w:rPr>
        <w:t>2-9-5-53-2</w:t>
      </w:r>
      <w:r>
        <w:rPr>
          <w:rFonts w:ascii="Times New Roman" w:hAnsi="Times New Roman" w:cs="Times New Roman" w:eastAsia="Times New Roman" w:hint="default"/>
          <w:spacing w:val="12"/>
        </w:rPr>
        <w:t> </w:t>
      </w:r>
      <w:r>
        <w:rPr/>
        <w:t>的国有土地</w:t>
      </w:r>
    </w:p>
    <w:p>
      <w:pPr>
        <w:spacing w:line="240" w:lineRule="auto" w:before="2"/>
        <w:rPr>
          <w:rFonts w:ascii="宋体" w:hAnsi="宋体" w:cs="宋体" w:eastAsia="宋体" w:hint="default"/>
          <w:sz w:val="16"/>
          <w:szCs w:val="16"/>
        </w:rPr>
      </w:pPr>
    </w:p>
    <w:p>
      <w:pPr>
        <w:pStyle w:val="BodyText"/>
        <w:spacing w:line="240" w:lineRule="auto"/>
        <w:ind w:left="135" w:right="202"/>
        <w:jc w:val="left"/>
      </w:pPr>
      <w:r>
        <w:rPr/>
        <w:t>使用权的地价款，该地价总价款为</w:t>
      </w:r>
      <w:r>
        <w:rPr>
          <w:spacing w:val="-52"/>
        </w:rPr>
        <w:t> </w:t>
      </w:r>
      <w:r>
        <w:rPr>
          <w:rFonts w:ascii="Times New Roman" w:hAnsi="Times New Roman" w:cs="Times New Roman" w:eastAsia="Times New Roman" w:hint="default"/>
        </w:rPr>
        <w:t>194,850,000.00</w:t>
      </w:r>
      <w:r>
        <w:rPr>
          <w:rFonts w:ascii="Times New Roman" w:hAnsi="Times New Roman" w:cs="Times New Roman" w:eastAsia="Times New Roman" w:hint="default"/>
          <w:spacing w:val="-3"/>
        </w:rPr>
        <w:t> </w:t>
      </w:r>
      <w:r>
        <w:rPr/>
        <w:t>元，截止期末已支付</w:t>
      </w:r>
      <w:r>
        <w:rPr>
          <w:spacing w:val="-52"/>
        </w:rPr>
        <w:t> </w:t>
      </w:r>
      <w:r>
        <w:rPr>
          <w:rFonts w:ascii="Times New Roman" w:hAnsi="Times New Roman" w:cs="Times New Roman" w:eastAsia="Times New Roman" w:hint="default"/>
        </w:rPr>
        <w:t>119,707,689.00</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559" w:right="0"/>
        <w:jc w:val="left"/>
      </w:pPr>
      <w:r>
        <w:rPr/>
        <w:t>（</w:t>
      </w:r>
      <w:r>
        <w:rPr>
          <w:rFonts w:ascii="Times New Roman" w:hAnsi="Times New Roman" w:cs="Times New Roman" w:eastAsia="Times New Roman" w:hint="default"/>
        </w:rPr>
        <w:t>2</w:t>
      </w:r>
      <w:r>
        <w:rPr/>
        <w:t>）期末应付账款余额中，无应付持有公司</w:t>
      </w:r>
      <w:r>
        <w:rPr>
          <w:spacing w:val="-50"/>
        </w:rPr>
        <w:t> </w:t>
      </w:r>
      <w:r>
        <w:rPr>
          <w:rFonts w:ascii="Times New Roman" w:hAnsi="Times New Roman" w:cs="Times New Roman" w:eastAsia="Times New Roman" w:hint="default"/>
        </w:rPr>
        <w:t>5%(</w:t>
      </w:r>
      <w:r>
        <w:rPr/>
        <w:t>含</w:t>
      </w:r>
      <w:r>
        <w:rPr>
          <w:spacing w:val="-48"/>
        </w:rPr>
        <w:t> </w:t>
      </w:r>
      <w:r>
        <w:rPr>
          <w:rFonts w:ascii="Times New Roman" w:hAnsi="Times New Roman" w:cs="Times New Roman" w:eastAsia="Times New Roman" w:hint="default"/>
        </w:rPr>
        <w:t>5%)</w:t>
      </w:r>
      <w:r>
        <w:rPr/>
        <w:t>以上表决权股份的股东单位及关联方的款项。</w:t>
      </w:r>
    </w:p>
    <w:p>
      <w:pPr>
        <w:spacing w:after="0" w:line="240" w:lineRule="auto"/>
        <w:jc w:val="left"/>
        <w:sectPr>
          <w:pgSz w:w="11910" w:h="16840"/>
          <w:pgMar w:header="0" w:footer="865" w:top="1040" w:bottom="1060" w:left="1000" w:right="900"/>
        </w:sectPr>
      </w:pPr>
    </w:p>
    <w:p>
      <w:pPr>
        <w:pStyle w:val="Heading5"/>
        <w:spacing w:line="307" w:lineRule="exact"/>
        <w:ind w:left="221" w:right="202"/>
        <w:jc w:val="left"/>
        <w:rPr>
          <w:b w:val="0"/>
          <w:bCs w:val="0"/>
        </w:rPr>
      </w:pPr>
      <w:bookmarkStart w:name="19、预收款项" w:id="104"/>
      <w:bookmarkEnd w:id="104"/>
      <w:r>
        <w:rPr>
          <w:b w:val="0"/>
          <w:bCs w:val="0"/>
        </w:rPr>
      </w:r>
      <w:bookmarkStart w:name="20、应付职工薪酬" w:id="105"/>
      <w:bookmarkEnd w:id="105"/>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15" w:right="202"/>
        <w:jc w:val="left"/>
      </w:pPr>
      <w:r>
        <w:rPr/>
        <w:t>（</w:t>
      </w:r>
      <w:r>
        <w:rPr>
          <w:rFonts w:ascii="Times New Roman" w:hAnsi="Times New Roman" w:cs="Times New Roman" w:eastAsia="Times New Roman" w:hint="default"/>
        </w:rPr>
        <w:t>1</w:t>
      </w:r>
      <w:r>
        <w:rPr/>
        <w:t>）预收款项明细</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222"/>
        <w:gridCol w:w="3222"/>
        <w:gridCol w:w="3219"/>
      </w:tblGrid>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西安鸿基紫韵预收楼款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356,992,493.00</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668,216,648.00</w:t>
            </w:r>
            <w:r>
              <w:rPr>
                <w:rFonts w:ascii="Times New Roman"/>
                <w:sz w:val="21"/>
              </w:rPr>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其他预收楼款及订金</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1,471,900.00</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7,754,203.00</w:t>
            </w:r>
            <w:r>
              <w:rPr>
                <w:rFonts w:ascii="Times New Roman"/>
                <w:sz w:val="21"/>
              </w:rPr>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463,705.63</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1,042,649.50</w:t>
            </w:r>
            <w:r>
              <w:rPr>
                <w:rFonts w:ascii="Times New Roman"/>
                <w:sz w:val="21"/>
              </w:rPr>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预收合作开发保证金</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75,000,000.00</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42,500,000.00</w:t>
            </w:r>
            <w:r>
              <w:rPr>
                <w:rFonts w:ascii="Times New Roman"/>
                <w:sz w:val="21"/>
              </w:rPr>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500,789.58</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3,101,826.58</w:t>
            </w:r>
            <w:r>
              <w:rPr>
                <w:rFonts w:ascii="Times New Roman"/>
                <w:sz w:val="21"/>
              </w:rPr>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434,428,888.21</w:t>
            </w:r>
            <w:r>
              <w:rPr>
                <w:rFonts w:ascii="Times New Roman"/>
                <w:sz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722,615,327.08</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24" w:lineRule="auto" w:before="34"/>
        <w:ind w:left="215" w:right="123" w:firstLine="423"/>
        <w:jc w:val="both"/>
        <w:rPr>
          <w:rFonts w:ascii="Times New Roman" w:hAnsi="Times New Roman" w:cs="Times New Roman" w:eastAsia="Times New Roman" w:hint="default"/>
        </w:rPr>
      </w:pPr>
      <w:r>
        <w:rPr/>
        <w:t>预收的合作开发款为本公司与深圳市永浩房地产开发有限公司（以下称：永浩公司）共同成立联营公</w:t>
      </w:r>
      <w:r>
        <w:rPr>
          <w:w w:val="99"/>
        </w:rPr>
        <w:t> </w:t>
      </w:r>
      <w:r>
        <w:rPr/>
        <w:t>司</w:t>
      </w:r>
      <w:r>
        <w:rPr>
          <w:rFonts w:ascii="Times New Roman" w:hAnsi="Times New Roman" w:cs="Times New Roman" w:eastAsia="Times New Roman" w:hint="default"/>
        </w:rPr>
        <w:t>“</w:t>
      </w:r>
      <w:r>
        <w:rPr/>
        <w:t>深圳市颂德房地产开发有限公司</w:t>
      </w:r>
      <w:r>
        <w:rPr>
          <w:rFonts w:ascii="Times New Roman" w:hAnsi="Times New Roman" w:cs="Times New Roman" w:eastAsia="Times New Roman" w:hint="default"/>
        </w:rPr>
        <w:t>”</w:t>
      </w:r>
      <w:r>
        <w:rPr/>
        <w:t>，根据合作协议，本公司持股</w:t>
      </w:r>
      <w:r>
        <w:rPr>
          <w:spacing w:val="-54"/>
        </w:rPr>
        <w:t> </w:t>
      </w:r>
      <w:r>
        <w:rPr>
          <w:rFonts w:ascii="Times New Roman" w:hAnsi="Times New Roman" w:cs="Times New Roman" w:eastAsia="Times New Roman" w:hint="default"/>
        </w:rPr>
        <w:t>49%</w:t>
      </w:r>
      <w:r>
        <w:rPr/>
        <w:t>，联营公司成立后由永浩公司负责</w:t>
      </w:r>
      <w:r>
        <w:rPr>
          <w:w w:val="99"/>
        </w:rPr>
        <w:t> </w:t>
      </w:r>
      <w:r>
        <w:rPr>
          <w:spacing w:val="3"/>
        </w:rPr>
        <w:t>具体经营管理，永浩公司需先行支付本公司项目开发保证金。深圳市颂德房地产开发有限公司已于</w:t>
      </w:r>
      <w:r>
        <w:rPr>
          <w:spacing w:val="-57"/>
        </w:rPr>
        <w:t> </w:t>
      </w:r>
      <w:r>
        <w:rPr>
          <w:rFonts w:ascii="Times New Roman" w:hAnsi="Times New Roman" w:cs="Times New Roman" w:eastAsia="Times New Roman" w:hint="default"/>
        </w:rPr>
        <w:t>2011</w:t>
      </w:r>
    </w:p>
    <w:p>
      <w:pPr>
        <w:pStyle w:val="BodyText"/>
        <w:spacing w:line="240" w:lineRule="auto" w:before="32"/>
        <w:ind w:left="215" w:right="202"/>
        <w:jc w:val="left"/>
      </w:pPr>
      <w:r>
        <w:rPr/>
        <w:t>年</w:t>
      </w:r>
      <w:r>
        <w:rPr>
          <w:spacing w:val="-51"/>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日正式成立，截止</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日，本公司尚未实际出资。</w:t>
      </w:r>
    </w:p>
    <w:p>
      <w:pPr>
        <w:spacing w:line="240" w:lineRule="auto" w:before="12"/>
        <w:rPr>
          <w:rFonts w:ascii="宋体" w:hAnsi="宋体" w:cs="宋体" w:eastAsia="宋体" w:hint="default"/>
          <w:sz w:val="15"/>
          <w:szCs w:val="15"/>
        </w:rPr>
      </w:pPr>
    </w:p>
    <w:p>
      <w:pPr>
        <w:pStyle w:val="BodyText"/>
        <w:spacing w:line="240" w:lineRule="auto"/>
        <w:ind w:left="215" w:right="202"/>
        <w:jc w:val="left"/>
      </w:pPr>
      <w:r>
        <w:rPr/>
        <w:t>（</w:t>
      </w:r>
      <w:r>
        <w:rPr>
          <w:rFonts w:ascii="Times New Roman" w:hAnsi="Times New Roman" w:cs="Times New Roman" w:eastAsia="Times New Roman" w:hint="default"/>
        </w:rPr>
        <w:t>2</w:t>
      </w:r>
      <w:r>
        <w:rPr/>
        <w:t>）期末预收款项余额中，无预收持有公司</w:t>
      </w:r>
      <w:r>
        <w:rPr>
          <w:spacing w:val="-49"/>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以上表决权股份的股东单位及关联方的款项。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left="221" w:right="202"/>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37"/>
        <w:gridCol w:w="1660"/>
        <w:gridCol w:w="1660"/>
        <w:gridCol w:w="1655"/>
        <w:gridCol w:w="1660"/>
      </w:tblGrid>
      <w:tr>
        <w:trPr>
          <w:trHeight w:val="50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6,527,228.62</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59,034,835.38</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61,389,960.82</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4,172,103.18</w:t>
            </w:r>
            <w:r>
              <w:rPr>
                <w:rFonts w:ascii="Times New Roman"/>
                <w:sz w:val="21"/>
              </w:rPr>
            </w:r>
          </w:p>
        </w:tc>
      </w:tr>
      <w:tr>
        <w:trPr>
          <w:trHeight w:val="50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1,143,711.13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1,143,711.13</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5,360,651.30</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5,360,651.30</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1,947,514.73</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1,947,514.73</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3,001,937.18</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3,001,937.18</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181,405.03</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181,405.03</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115,119.90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115,119.90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w w:val="95"/>
                <w:sz w:val="21"/>
              </w:rPr>
              <w:t>114,674.46</w:t>
            </w:r>
            <w:r>
              <w:rPr>
                <w:rFonts w:ascii="Times New Roman"/>
                <w:spacing w:val="-1"/>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114,674.46</w:t>
            </w:r>
            <w:r>
              <w:rPr>
                <w:rFonts w:ascii="Times New Roman"/>
                <w:spacing w:val="-1"/>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1,833,133.51</w:t>
            </w:r>
            <w:r>
              <w:rPr>
                <w:rFonts w:ascii="Times New Roman"/>
                <w:sz w:val="21"/>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1,829,005.51</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4,128.00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300" w:bottom="1060" w:left="920" w:right="980"/>
        </w:sectPr>
      </w:pPr>
    </w:p>
    <w:p>
      <w:pPr>
        <w:spacing w:line="240" w:lineRule="auto" w:before="9"/>
        <w:rPr>
          <w:rFonts w:ascii="宋体" w:hAnsi="宋体" w:cs="宋体" w:eastAsia="宋体" w:hint="default"/>
          <w:sz w:val="5"/>
          <w:szCs w:val="5"/>
        </w:rPr>
      </w:pPr>
    </w:p>
    <w:tbl>
      <w:tblPr>
        <w:tblW w:w="0" w:type="auto"/>
        <w:jc w:val="left"/>
        <w:tblInd w:w="142" w:type="dxa"/>
        <w:tblLayout w:type="fixed"/>
        <w:tblCellMar>
          <w:top w:w="0" w:type="dxa"/>
          <w:left w:w="0" w:type="dxa"/>
          <w:bottom w:w="0" w:type="dxa"/>
          <w:right w:w="0" w:type="dxa"/>
        </w:tblCellMar>
        <w:tblLook w:val="01E0"/>
      </w:tblPr>
      <w:tblGrid>
        <w:gridCol w:w="3137"/>
        <w:gridCol w:w="1658"/>
        <w:gridCol w:w="1660"/>
        <w:gridCol w:w="1658"/>
        <w:gridCol w:w="1660"/>
      </w:tblGrid>
      <w:tr>
        <w:trPr>
          <w:trHeight w:val="51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21、应交税费" w:id="106"/>
            <w:bookmarkEnd w:id="106"/>
            <w:r>
              <w:rPr/>
            </w:r>
            <w:bookmarkStart w:name="22、应付利息" w:id="107"/>
            <w:bookmarkEnd w:id="107"/>
            <w:r>
              <w:rPr/>
            </w:r>
            <w:bookmarkStart w:name="23、应付股利" w:id="108"/>
            <w:bookmarkEnd w:id="108"/>
            <w:r>
              <w:rPr/>
            </w:r>
            <w:r>
              <w:rPr>
                <w:rFonts w:ascii="宋体" w:hAnsi="宋体" w:cs="宋体" w:eastAsia="宋体" w:hint="default"/>
                <w:sz w:val="21"/>
                <w:szCs w:val="21"/>
              </w:rPr>
              <w:t>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9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1,147,537.98</w:t>
            </w:r>
            <w:r>
              <w:rPr>
                <w:rFonts w:ascii="Times New Roman"/>
                <w:sz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1,147,537.98</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六、因解除劳动关系给予的补偿</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1,866,542.58</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468,300.00</w:t>
            </w:r>
            <w:r>
              <w:rPr>
                <w:rFonts w:ascii="Times New Roman"/>
                <w:sz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795,319.28</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1,539,523.30</w:t>
            </w:r>
            <w:r>
              <w:rPr>
                <w:rFonts w:ascii="Times New Roman"/>
                <w:sz w:val="21"/>
              </w:rPr>
            </w:r>
          </w:p>
        </w:tc>
      </w:tr>
      <w:tr>
        <w:trPr>
          <w:trHeight w:val="502"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79,650.10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79,650.10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9"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8,393,771.20</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69,067,819.40</w:t>
            </w:r>
            <w:r>
              <w:rPr>
                <w:rFonts w:ascii="Times New Roman"/>
                <w:sz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71,745,836.12</w:t>
            </w:r>
            <w:r>
              <w:rPr>
                <w:rFonts w:ascii="Times New Roman"/>
                <w:sz w:val="21"/>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5,715,754.48</w:t>
            </w:r>
            <w:r>
              <w:rPr>
                <w:rFonts w:ascii="Times New Roman"/>
                <w:sz w:val="21"/>
              </w:rPr>
            </w:r>
          </w:p>
        </w:tc>
      </w:tr>
    </w:tbl>
    <w:p>
      <w:pPr>
        <w:spacing w:line="240" w:lineRule="auto" w:before="6"/>
        <w:rPr>
          <w:rFonts w:ascii="宋体" w:hAnsi="宋体" w:cs="宋体" w:eastAsia="宋体" w:hint="default"/>
          <w:sz w:val="11"/>
          <w:szCs w:val="11"/>
        </w:rPr>
      </w:pPr>
    </w:p>
    <w:p>
      <w:pPr>
        <w:pStyle w:val="BodyText"/>
        <w:spacing w:line="240" w:lineRule="auto" w:before="34"/>
        <w:ind w:left="255" w:right="0"/>
        <w:jc w:val="left"/>
      </w:pPr>
      <w:r>
        <w:rPr/>
        <w:t>应付职工薪酬中无属于拖欠性质的金额。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261"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82"/>
        <w:gridCol w:w="3284"/>
        <w:gridCol w:w="3282"/>
      </w:tblGrid>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22"/>
              <w:jc w:val="right"/>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2"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-7,389.73</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-8,855.64</w:t>
            </w:r>
          </w:p>
        </w:tc>
      </w:tr>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-12,141,240.04</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-14,230,332.66</w:t>
            </w:r>
            <w:r>
              <w:rPr>
                <w:rFonts w:ascii="Times New Roman"/>
                <w:sz w:val="21"/>
              </w:rPr>
            </w:r>
          </w:p>
        </w:tc>
      </w:tr>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51,582,983.38</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41,517,149.92</w:t>
            </w:r>
            <w:r>
              <w:rPr>
                <w:rFonts w:ascii="Times New Roman"/>
                <w:sz w:val="21"/>
              </w:rPr>
            </w:r>
          </w:p>
        </w:tc>
      </w:tr>
      <w:tr>
        <w:trPr>
          <w:trHeight w:val="502"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61,854,746.08</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57,961,454.62</w:t>
            </w:r>
            <w:r>
              <w:rPr>
                <w:rFonts w:ascii="Times New Roman"/>
                <w:sz w:val="21"/>
              </w:rPr>
            </w:r>
          </w:p>
        </w:tc>
      </w:tr>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-1,085,184.17</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-1,469,095.66</w:t>
            </w:r>
            <w:r>
              <w:rPr>
                <w:rFonts w:ascii="Times New Roman"/>
                <w:sz w:val="21"/>
              </w:rPr>
            </w:r>
          </w:p>
        </w:tc>
      </w:tr>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1,191,665.56</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1,558,845.42</w:t>
            </w:r>
            <w:r>
              <w:rPr>
                <w:rFonts w:ascii="Times New Roman"/>
                <w:sz w:val="21"/>
              </w:rPr>
            </w:r>
          </w:p>
        </w:tc>
      </w:tr>
      <w:tr>
        <w:trPr>
          <w:trHeight w:val="502"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143,887.51</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17,706.50</w:t>
            </w:r>
          </w:p>
        </w:tc>
      </w:tr>
      <w:tr>
        <w:trPr>
          <w:trHeight w:val="499" w:hRule="exact"/>
        </w:trPr>
        <w:tc>
          <w:tcPr>
            <w:tcW w:w="3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22"/>
              <w:jc w:val="righ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101,539,468.59</w:t>
            </w:r>
            <w:r>
              <w:rPr>
                <w:rFonts w:ascii="Times New Roman"/>
                <w:sz w:val="21"/>
              </w:rPr>
            </w:r>
          </w:p>
        </w:tc>
        <w:tc>
          <w:tcPr>
            <w:tcW w:w="3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85,346,872.50</w:t>
            </w:r>
            <w:r>
              <w:rPr>
                <w:rFonts w:ascii="Times New Roman"/>
                <w:sz w:val="21"/>
              </w:rPr>
            </w:r>
          </w:p>
        </w:tc>
      </w:tr>
    </w:tbl>
    <w:p>
      <w:pPr>
        <w:spacing w:line="240" w:lineRule="auto" w:before="6"/>
        <w:rPr>
          <w:rFonts w:ascii="宋体" w:hAnsi="宋体" w:cs="宋体" w:eastAsia="宋体" w:hint="default"/>
          <w:sz w:val="11"/>
          <w:szCs w:val="11"/>
        </w:rPr>
      </w:pPr>
    </w:p>
    <w:p>
      <w:pPr>
        <w:pStyle w:val="BodyText"/>
        <w:spacing w:line="240" w:lineRule="auto" w:before="34"/>
        <w:ind w:left="693" w:right="0"/>
        <w:jc w:val="left"/>
      </w:pPr>
      <w:r>
        <w:rPr/>
        <w:t>预缴的营业税及附加主要是西安鸿基紫韵项目本期预收售房款项所预缴的税金。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261" w:right="0"/>
        <w:jc w:val="left"/>
        <w:rPr>
          <w:b w:val="0"/>
          <w:bCs w:val="0"/>
        </w:rPr>
      </w:pPr>
      <w:r>
        <w:rPr>
          <w:rFonts w:ascii="Times New Roman" w:hAnsi="Times New Roman" w:cs="Times New Roman" w:eastAsia="Times New Roman" w:hint="default"/>
        </w:rPr>
        <w:t>22</w:t>
      </w:r>
      <w:r>
        <w:rPr/>
        <w:t>、应付利息</w:t>
      </w:r>
      <w:r>
        <w:rPr>
          <w:b w:val="0"/>
          <w:bCs w:val="0"/>
        </w:rPr>
      </w:r>
    </w:p>
    <w:p>
      <w:pPr>
        <w:pStyle w:val="BodyText"/>
        <w:tabs>
          <w:tab w:pos="1051" w:val="left" w:leader="none"/>
        </w:tabs>
        <w:spacing w:line="240" w:lineRule="auto" w:before="191"/>
        <w:ind w:left="0" w:right="2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3768"/>
        <w:gridCol w:w="3012"/>
        <w:gridCol w:w="3099"/>
      </w:tblGrid>
      <w:tr>
        <w:trPr>
          <w:trHeight w:val="499"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420" w:val="left" w:leader="none"/>
              </w:tabs>
              <w:spacing w:line="240" w:lineRule="auto"/>
              <w:ind w:right="12"/>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借款应付利息</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3" w:right="0"/>
              <w:jc w:val="left"/>
              <w:rPr>
                <w:rFonts w:ascii="Times New Roman" w:hAnsi="Times New Roman" w:cs="Times New Roman" w:eastAsia="Times New Roman" w:hint="default"/>
                <w:sz w:val="21"/>
                <w:szCs w:val="21"/>
              </w:rPr>
            </w:pPr>
            <w:r>
              <w:rPr>
                <w:rFonts w:ascii="Times New Roman"/>
                <w:sz w:val="21"/>
              </w:rPr>
              <w:t>178,256.94</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0" w:right="0"/>
              <w:jc w:val="left"/>
              <w:rPr>
                <w:rFonts w:ascii="Times New Roman" w:hAnsi="Times New Roman" w:cs="Times New Roman" w:eastAsia="Times New Roman" w:hint="default"/>
                <w:sz w:val="21"/>
                <w:szCs w:val="21"/>
              </w:rPr>
            </w:pPr>
            <w:r>
              <w:rPr>
                <w:rFonts w:ascii="Times New Roman"/>
                <w:sz w:val="21"/>
              </w:rPr>
              <w:t>440,097.43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61" w:right="0"/>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6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3691"/>
        <w:gridCol w:w="3020"/>
        <w:gridCol w:w="3128"/>
      </w:tblGrid>
      <w:tr>
        <w:trPr>
          <w:trHeight w:val="499"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2"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原募集法人股东未领取的股利</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9" w:right="0"/>
              <w:jc w:val="left"/>
              <w:rPr>
                <w:rFonts w:ascii="Times New Roman" w:hAnsi="Times New Roman" w:cs="Times New Roman" w:eastAsia="Times New Roman" w:hint="default"/>
                <w:sz w:val="21"/>
                <w:szCs w:val="21"/>
              </w:rPr>
            </w:pPr>
            <w:r>
              <w:rPr>
                <w:rFonts w:ascii="Times New Roman"/>
                <w:sz w:val="21"/>
              </w:rPr>
              <w:t>1,786,039.81</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21"/>
                <w:szCs w:val="21"/>
              </w:rPr>
            </w:pPr>
            <w:r>
              <w:rPr>
                <w:rFonts w:ascii="Times New Roman"/>
                <w:sz w:val="21"/>
              </w:rPr>
              <w:t>1,786,039.81</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65" w:top="1040" w:bottom="1060" w:left="880" w:right="840"/>
        </w:sectPr>
      </w:pPr>
    </w:p>
    <w:p>
      <w:pPr>
        <w:pStyle w:val="Heading5"/>
        <w:spacing w:line="307" w:lineRule="exact"/>
        <w:ind w:left="221" w:right="107"/>
        <w:jc w:val="left"/>
        <w:rPr>
          <w:b w:val="0"/>
          <w:bCs w:val="0"/>
        </w:rPr>
      </w:pPr>
      <w:bookmarkStart w:name="24、其他应付款" w:id="109"/>
      <w:bookmarkEnd w:id="109"/>
      <w:r>
        <w:rPr>
          <w:b w:val="0"/>
          <w:bCs w:val="0"/>
        </w:rPr>
      </w:r>
      <w:bookmarkStart w:name="25、1年内到期的非流动负债" w:id="110"/>
      <w:bookmarkEnd w:id="110"/>
      <w:r>
        <w:rPr>
          <w:b w:val="0"/>
          <w:bCs w:val="0"/>
        </w:rPr>
      </w:r>
      <w:bookmarkStart w:name="单位：元币种：人民币" w:id="111"/>
      <w:bookmarkEnd w:id="111"/>
      <w:r>
        <w:rPr>
          <w:b w:val="0"/>
          <w:bCs w:val="0"/>
        </w:rPr>
      </w:r>
      <w:r>
        <w:rPr>
          <w:rFonts w:ascii="Times New Roman" w:hAnsi="Times New Roman" w:cs="Times New Roman" w:eastAsia="Times New Roman" w:hint="default"/>
        </w:rPr>
        <w:t>24</w:t>
      </w:r>
      <w:r>
        <w:rPr/>
        <w:t>、其他应付款</w:t>
      </w:r>
      <w:r>
        <w:rPr>
          <w:b w:val="0"/>
          <w:bCs w:val="0"/>
        </w:rPr>
      </w:r>
    </w:p>
    <w:p>
      <w:pPr>
        <w:pStyle w:val="BodyText"/>
        <w:spacing w:line="240" w:lineRule="auto" w:before="162"/>
        <w:ind w:left="215" w:right="107"/>
        <w:jc w:val="left"/>
      </w:pPr>
      <w:r>
        <w:rPr/>
        <w:t>（</w:t>
      </w:r>
      <w:r>
        <w:rPr>
          <w:rFonts w:ascii="Times New Roman" w:hAnsi="Times New Roman" w:cs="Times New Roman" w:eastAsia="Times New Roman" w:hint="default"/>
        </w:rPr>
        <w:t>1</w:t>
      </w:r>
      <w:r>
        <w:rPr/>
        <w:t>）其他应付款</w:t>
      </w:r>
    </w:p>
    <w:p>
      <w:pPr>
        <w:spacing w:line="240" w:lineRule="auto" w:before="3"/>
        <w:rPr>
          <w:rFonts w:ascii="宋体" w:hAnsi="宋体" w:cs="宋体" w:eastAsia="宋体" w:hint="default"/>
          <w:sz w:val="10"/>
          <w:szCs w:val="10"/>
        </w:rPr>
      </w:pPr>
    </w:p>
    <w:p>
      <w:pPr>
        <w:pStyle w:val="BodyText"/>
        <w:tabs>
          <w:tab w:pos="1051" w:val="left" w:leader="none"/>
        </w:tabs>
        <w:spacing w:line="240" w:lineRule="auto" w:before="34"/>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68"/>
        <w:gridCol w:w="3012"/>
        <w:gridCol w:w="3012"/>
      </w:tblGrid>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6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27,927,399.54</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20,636,946.05</w:t>
            </w:r>
            <w:r>
              <w:rPr>
                <w:rFonts w:ascii="Times New Roman"/>
                <w:sz w:val="21"/>
              </w:rPr>
            </w:r>
          </w:p>
        </w:tc>
      </w:tr>
      <w:tr>
        <w:trPr>
          <w:trHeight w:val="468"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6,232,943.02</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39,744,286.68</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预提税费</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15,762,769.58</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10,380,270.47</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购房意向金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16,771,884.00</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6,751,884.00</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5,044,405.67</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16,158,435.83</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代收出租司机月杂费</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12,785,245.93</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维修基金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12,988,384.90</w:t>
            </w:r>
            <w:r>
              <w:rPr>
                <w:rFonts w:ascii="Times New Roman"/>
                <w:sz w:val="21"/>
              </w:rPr>
            </w:r>
          </w:p>
        </w:tc>
      </w:tr>
      <w:tr>
        <w:trPr>
          <w:trHeight w:val="468"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2,020,996.25</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1,959,845.94</w:t>
            </w:r>
            <w:r>
              <w:rPr>
                <w:rFonts w:ascii="Times New Roman"/>
                <w:sz w:val="21"/>
              </w:rPr>
            </w:r>
          </w:p>
        </w:tc>
      </w:tr>
      <w:tr>
        <w:trPr>
          <w:trHeight w:val="470" w:hRule="exact"/>
        </w:trPr>
        <w:tc>
          <w:tcPr>
            <w:tcW w:w="3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6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74,320,398.06</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121,405,299.80</w:t>
            </w:r>
            <w:r>
              <w:rPr>
                <w:rFonts w:ascii="Times New Roman"/>
                <w:sz w:val="21"/>
              </w:rPr>
            </w:r>
          </w:p>
        </w:tc>
      </w:tr>
    </w:tbl>
    <w:p>
      <w:pPr>
        <w:spacing w:line="240" w:lineRule="auto" w:before="1"/>
        <w:rPr>
          <w:rFonts w:ascii="宋体" w:hAnsi="宋体" w:cs="宋体" w:eastAsia="宋体" w:hint="default"/>
          <w:sz w:val="9"/>
          <w:szCs w:val="9"/>
        </w:rPr>
      </w:pPr>
    </w:p>
    <w:p>
      <w:pPr>
        <w:pStyle w:val="BodyText"/>
        <w:spacing w:line="240" w:lineRule="auto" w:before="34"/>
        <w:ind w:left="834" w:right="5371"/>
        <w:jc w:val="center"/>
      </w:pPr>
      <w:r>
        <w:rPr/>
        <w:t>本期维修基金计入其他非流动负债核算。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215" w:right="107"/>
        <w:jc w:val="left"/>
      </w:pPr>
      <w:r>
        <w:rPr/>
        <w:t>（</w:t>
      </w:r>
      <w:r>
        <w:rPr>
          <w:rFonts w:ascii="Times New Roman" w:hAnsi="Times New Roman" w:cs="Times New Roman" w:eastAsia="Times New Roman" w:hint="default"/>
        </w:rPr>
        <w:t>2</w:t>
      </w:r>
      <w:r>
        <w:rPr/>
        <w:t>）期末其他应付款中无应付持有公司</w:t>
      </w:r>
      <w:r>
        <w:rPr>
          <w:spacing w:val="-51"/>
        </w:rPr>
        <w:t> </w:t>
      </w:r>
      <w:r>
        <w:rPr>
          <w:rFonts w:ascii="Times New Roman" w:hAnsi="Times New Roman" w:cs="Times New Roman" w:eastAsia="Times New Roman" w:hint="default"/>
        </w:rPr>
        <w:t>5%(</w:t>
      </w:r>
      <w:r>
        <w:rPr/>
        <w:t>含</w:t>
      </w:r>
      <w:r>
        <w:rPr>
          <w:spacing w:val="-48"/>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215" w:right="107"/>
        <w:jc w:val="left"/>
      </w:pPr>
      <w:r>
        <w:rPr/>
        <w:t>（</w:t>
      </w:r>
      <w:r>
        <w:rPr>
          <w:rFonts w:ascii="Times New Roman" w:hAnsi="Times New Roman" w:cs="Times New Roman" w:eastAsia="Times New Roman" w:hint="default"/>
        </w:rPr>
        <w:t>3</w:t>
      </w:r>
      <w:r>
        <w:rPr/>
        <w:t>）本公司本期无账龄超过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年的大额其他应付款。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5"/>
        <w:spacing w:line="240" w:lineRule="auto"/>
        <w:ind w:left="221" w:right="107"/>
        <w:jc w:val="left"/>
        <w:rPr>
          <w:b w:val="0"/>
          <w:bCs w:val="0"/>
        </w:rPr>
      </w:pPr>
      <w:r>
        <w:rPr>
          <w:rFonts w:ascii="Times New Roman" w:hAnsi="Times New Roman" w:cs="Times New Roman" w:eastAsia="Times New Roman" w:hint="default"/>
        </w:rPr>
        <w:t>25</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年内到期的非流动负债</w:t>
      </w:r>
      <w:r>
        <w:rPr>
          <w:b w:val="0"/>
          <w:bCs w:val="0"/>
        </w:rPr>
      </w:r>
    </w:p>
    <w:p>
      <w:pPr>
        <w:pStyle w:val="BodyText"/>
        <w:spacing w:line="240" w:lineRule="auto" w:before="159"/>
        <w:ind w:left="215" w:right="10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年内到期的非流动负债分类</w:t>
      </w:r>
    </w:p>
    <w:p>
      <w:pPr>
        <w:pStyle w:val="BodyText"/>
        <w:tabs>
          <w:tab w:pos="1051" w:val="left" w:leader="none"/>
        </w:tabs>
        <w:spacing w:line="240" w:lineRule="auto" w:before="170"/>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412"/>
        <w:gridCol w:w="3125"/>
        <w:gridCol w:w="3125"/>
      </w:tblGrid>
      <w:tr>
        <w:trPr>
          <w:trHeight w:val="470"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04" w:right="0"/>
              <w:jc w:val="left"/>
              <w:rPr>
                <w:rFonts w:ascii="Times New Roman" w:hAnsi="Times New Roman" w:cs="Times New Roman" w:eastAsia="Times New Roman" w:hint="default"/>
                <w:sz w:val="21"/>
                <w:szCs w:val="21"/>
              </w:rPr>
            </w:pPr>
            <w:r>
              <w:rPr>
                <w:rFonts w:ascii="Times New Roman"/>
                <w:sz w:val="21"/>
              </w:rPr>
              <w:t>93,340,000.00</w:t>
            </w:r>
          </w:p>
        </w:tc>
        <w:tc>
          <w:tcPr>
            <w:tcW w:w="31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4"/>
        <w:ind w:left="215" w:right="107"/>
        <w:jc w:val="left"/>
      </w:pPr>
      <w:r>
        <w:rPr/>
        <w:t>（</w:t>
      </w:r>
      <w:r>
        <w:rPr>
          <w:rFonts w:ascii="Times New Roman" w:hAnsi="Times New Roman" w:cs="Times New Roman" w:eastAsia="Times New Roman" w:hint="default"/>
        </w:rPr>
        <w:t>2</w:t>
      </w:r>
      <w:r>
        <w:rPr/>
        <w:t>）金额前五名的</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年内到期的非流动负债</w:t>
      </w:r>
    </w:p>
    <w:p>
      <w:pPr>
        <w:spacing w:line="240" w:lineRule="auto" w:before="5"/>
        <w:rPr>
          <w:rFonts w:ascii="宋体" w:hAnsi="宋体" w:cs="宋体" w:eastAsia="宋体" w:hint="default"/>
          <w:sz w:val="10"/>
          <w:szCs w:val="10"/>
        </w:rPr>
      </w:pPr>
    </w:p>
    <w:p>
      <w:pPr>
        <w:pStyle w:val="BodyText"/>
        <w:tabs>
          <w:tab w:pos="1051" w:val="left" w:leader="none"/>
        </w:tabs>
        <w:spacing w:line="240" w:lineRule="auto" w:before="34"/>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1593"/>
        <w:gridCol w:w="1073"/>
        <w:gridCol w:w="955"/>
        <w:gridCol w:w="662"/>
        <w:gridCol w:w="926"/>
        <w:gridCol w:w="1075"/>
        <w:gridCol w:w="1208"/>
        <w:gridCol w:w="907"/>
        <w:gridCol w:w="1314"/>
      </w:tblGrid>
      <w:tr>
        <w:trPr>
          <w:trHeight w:val="511" w:hRule="exact"/>
        </w:trPr>
        <w:tc>
          <w:tcPr>
            <w:tcW w:w="15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55" w:type="dxa"/>
            <w:vMerge w:val="restart"/>
            <w:tcBorders>
              <w:top w:val="single" w:sz="4" w:space="0" w:color="000000"/>
              <w:left w:val="single" w:sz="4" w:space="0" w:color="000000"/>
              <w:right w:val="single" w:sz="4" w:space="0" w:color="000000"/>
            </w:tcBorders>
          </w:tcPr>
          <w:p>
            <w:pPr>
              <w:pStyle w:val="TableParagraph"/>
              <w:spacing w:line="500" w:lineRule="exact" w:before="53"/>
              <w:ind w:left="204" w:right="197" w:firstLine="89"/>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w w:val="100"/>
                <w:sz w:val="18"/>
                <w:szCs w:val="18"/>
              </w:rPr>
              <w:t> </w:t>
            </w:r>
            <w:r>
              <w:rPr>
                <w:rFonts w:ascii="宋体" w:hAnsi="宋体" w:cs="宋体" w:eastAsia="宋体" w:hint="default"/>
                <w:sz w:val="18"/>
                <w:szCs w:val="18"/>
              </w:rPr>
              <w:t>终止日</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593" w:type="dxa"/>
            <w:vMerge/>
            <w:tcBorders>
              <w:left w:val="nil" w:sz="6" w:space="0" w:color="auto"/>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8" w:hRule="exact"/>
        </w:trPr>
        <w:tc>
          <w:tcPr>
            <w:tcW w:w="1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8" w:right="29"/>
              <w:jc w:val="left"/>
              <w:rPr>
                <w:rFonts w:ascii="宋体" w:hAnsi="宋体" w:cs="宋体" w:eastAsia="宋体" w:hint="default"/>
                <w:sz w:val="18"/>
                <w:szCs w:val="18"/>
              </w:rPr>
            </w:pPr>
            <w:r>
              <w:rPr>
                <w:rFonts w:ascii="宋体" w:hAnsi="宋体" w:cs="宋体" w:eastAsia="宋体" w:hint="default"/>
                <w:spacing w:val="9"/>
                <w:sz w:val="18"/>
                <w:szCs w:val="18"/>
              </w:rPr>
              <w:t>交通银行深圳八卦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岭支行</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2010.02.03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2012.02.03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RMB</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33,340,000.00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300" w:bottom="1060" w:left="920" w:right="960"/>
        </w:sectPr>
      </w:pPr>
    </w:p>
    <w:p>
      <w:pPr>
        <w:spacing w:line="240" w:lineRule="auto" w:before="9"/>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1593"/>
        <w:gridCol w:w="1073"/>
        <w:gridCol w:w="955"/>
        <w:gridCol w:w="662"/>
        <w:gridCol w:w="926"/>
        <w:gridCol w:w="1075"/>
        <w:gridCol w:w="1208"/>
        <w:gridCol w:w="907"/>
        <w:gridCol w:w="1314"/>
      </w:tblGrid>
      <w:tr>
        <w:trPr>
          <w:trHeight w:val="511" w:hRule="exact"/>
        </w:trPr>
        <w:tc>
          <w:tcPr>
            <w:tcW w:w="15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bookmarkStart w:name="26、长期借款" w:id="112"/>
            <w:bookmarkEnd w:id="112"/>
            <w:r>
              <w:rPr/>
            </w:r>
            <w:bookmarkStart w:name="27、长期应付款" w:id="113"/>
            <w:bookmarkEnd w:id="113"/>
            <w:r>
              <w:rPr/>
            </w:r>
            <w:bookmarkStart w:name="28、其他非流动负债" w:id="114"/>
            <w:bookmarkEnd w:id="114"/>
            <w:r>
              <w:rPr/>
            </w:r>
            <w:bookmarkStart w:name="29、股本" w:id="115"/>
            <w:bookmarkEnd w:id="115"/>
            <w:r>
              <w:rPr/>
            </w:r>
            <w:r>
              <w:rPr>
                <w:rFonts w:ascii="宋体" w:hAnsi="宋体" w:cs="宋体" w:eastAsia="宋体" w:hint="default"/>
                <w:sz w:val="18"/>
                <w:szCs w:val="18"/>
              </w:rPr>
              <w:t>贷款单位</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55" w:type="dxa"/>
            <w:vMerge w:val="restart"/>
            <w:tcBorders>
              <w:top w:val="single" w:sz="4" w:space="0" w:color="000000"/>
              <w:left w:val="single" w:sz="4" w:space="0" w:color="000000"/>
              <w:right w:val="single" w:sz="4" w:space="0" w:color="000000"/>
            </w:tcBorders>
          </w:tcPr>
          <w:p>
            <w:pPr>
              <w:pStyle w:val="TableParagraph"/>
              <w:spacing w:line="500" w:lineRule="exact" w:before="53"/>
              <w:ind w:left="204" w:right="197" w:firstLine="89"/>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w w:val="100"/>
                <w:sz w:val="18"/>
                <w:szCs w:val="18"/>
              </w:rPr>
              <w:t> </w:t>
            </w:r>
            <w:r>
              <w:rPr>
                <w:rFonts w:ascii="宋体" w:hAnsi="宋体" w:cs="宋体" w:eastAsia="宋体" w:hint="default"/>
                <w:sz w:val="18"/>
                <w:szCs w:val="18"/>
              </w:rPr>
              <w:t>终止日</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593" w:type="dxa"/>
            <w:vMerge/>
            <w:tcBorders>
              <w:left w:val="nil" w:sz="6" w:space="0" w:color="auto"/>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8" w:hRule="exact"/>
        </w:trPr>
        <w:tc>
          <w:tcPr>
            <w:tcW w:w="1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8" w:right="29"/>
              <w:jc w:val="left"/>
              <w:rPr>
                <w:rFonts w:ascii="宋体" w:hAnsi="宋体" w:cs="宋体" w:eastAsia="宋体" w:hint="default"/>
                <w:sz w:val="18"/>
                <w:szCs w:val="18"/>
              </w:rPr>
            </w:pPr>
            <w:r>
              <w:rPr>
                <w:rFonts w:ascii="宋体" w:hAnsi="宋体" w:cs="宋体" w:eastAsia="宋体" w:hint="default"/>
                <w:spacing w:val="9"/>
                <w:sz w:val="18"/>
                <w:szCs w:val="18"/>
              </w:rPr>
              <w:t>上海浦发银行深圳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分行</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2010.08.25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2012.08.15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RMB</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29"/>
              <w:jc w:val="left"/>
              <w:rPr>
                <w:rFonts w:ascii="宋体" w:hAnsi="宋体" w:cs="宋体" w:eastAsia="宋体" w:hint="default"/>
                <w:sz w:val="18"/>
                <w:szCs w:val="18"/>
              </w:rPr>
            </w:pPr>
            <w:r>
              <w:rPr>
                <w:rFonts w:ascii="宋体" w:hAnsi="宋体" w:cs="宋体" w:eastAsia="宋体" w:hint="default"/>
                <w:spacing w:val="9"/>
                <w:sz w:val="18"/>
                <w:szCs w:val="18"/>
              </w:rPr>
              <w:t>上海浦发银行深圳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分行</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2010.08.25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2012.08.25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RMB</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24"/>
        <w:ind w:left="261" w:right="229"/>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4"/>
        <w:rPr>
          <w:rFonts w:ascii="Microsoft JhengHei" w:hAnsi="Microsoft JhengHei" w:cs="Microsoft JhengHei" w:eastAsia="Microsoft JhengHei" w:hint="default"/>
          <w:b/>
          <w:bCs/>
          <w:sz w:val="10"/>
          <w:szCs w:val="10"/>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3441"/>
        <w:gridCol w:w="3140"/>
        <w:gridCol w:w="3142"/>
      </w:tblGrid>
      <w:tr>
        <w:trPr>
          <w:trHeight w:val="530"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0"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92" w:right="0"/>
              <w:jc w:val="left"/>
              <w:rPr>
                <w:rFonts w:ascii="Times New Roman" w:hAnsi="Times New Roman" w:cs="Times New Roman" w:eastAsia="Times New Roman" w:hint="default"/>
                <w:sz w:val="21"/>
                <w:szCs w:val="21"/>
              </w:rPr>
            </w:pPr>
            <w:r>
              <w:rPr>
                <w:rFonts w:ascii="Times New Roman"/>
                <w:sz w:val="21"/>
              </w:rPr>
              <w:t>221,500,000.00</w:t>
            </w:r>
          </w:p>
        </w:tc>
      </w:tr>
    </w:tbl>
    <w:p>
      <w:pPr>
        <w:spacing w:line="240" w:lineRule="auto" w:before="9"/>
        <w:rPr>
          <w:rFonts w:ascii="宋体" w:hAnsi="宋体" w:cs="宋体" w:eastAsia="宋体" w:hint="default"/>
          <w:sz w:val="13"/>
          <w:szCs w:val="13"/>
        </w:rPr>
      </w:pPr>
    </w:p>
    <w:p>
      <w:pPr>
        <w:pStyle w:val="BodyText"/>
        <w:spacing w:line="240" w:lineRule="auto" w:before="34"/>
        <w:ind w:left="782" w:right="229"/>
        <w:jc w:val="left"/>
      </w:pPr>
      <w:r>
        <w:rPr/>
        <w:t>期末转入</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年内到期的非流动负债核算。</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BodyText"/>
        <w:spacing w:line="386" w:lineRule="auto"/>
        <w:ind w:left="693" w:right="229" w:hanging="432"/>
        <w:jc w:val="left"/>
      </w:pPr>
      <w:r>
        <w:rPr>
          <w:rFonts w:ascii="Times New Roman" w:hAnsi="Times New Roman" w:cs="Times New Roman" w:eastAsia="Times New Roman" w:hint="default"/>
          <w:b/>
          <w:bCs/>
        </w:rPr>
        <w:t>27</w:t>
      </w:r>
      <w:r>
        <w:rPr>
          <w:rFonts w:ascii="Microsoft JhengHei" w:hAnsi="Microsoft JhengHei" w:cs="Microsoft JhengHei" w:eastAsia="Microsoft JhengHei" w:hint="default"/>
          <w:b/>
          <w:bCs/>
        </w:rPr>
        <w:t>、长期应付款</w:t>
      </w:r>
      <w:r>
        <w:rPr>
          <w:rFonts w:ascii="Microsoft JhengHei" w:hAnsi="Microsoft JhengHei" w:cs="Microsoft JhengHei" w:eastAsia="Microsoft JhengHei" w:hint="default"/>
          <w:b/>
          <w:bCs/>
          <w:w w:val="99"/>
        </w:rPr>
        <w:t> </w:t>
      </w:r>
      <w:r>
        <w:rPr>
          <w:w w:val="95"/>
        </w:rPr>
        <w:t>长期应付款系本期已出售子公司迅达运输公司按租车合同规定向承包出租车司机收取的保证金，期末</w:t>
      </w:r>
      <w:r>
        <w:rPr/>
      </w:r>
    </w:p>
    <w:p>
      <w:pPr>
        <w:pStyle w:val="BodyText"/>
        <w:spacing w:line="240" w:lineRule="auto" w:before="118"/>
        <w:ind w:left="255" w:right="229"/>
        <w:jc w:val="left"/>
      </w:pPr>
      <w:r>
        <w:rPr/>
        <w:t>余额已减计为零。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left="261" w:right="229"/>
        <w:jc w:val="left"/>
        <w:rPr>
          <w:b w:val="0"/>
          <w:bCs w:val="0"/>
        </w:rPr>
      </w:pPr>
      <w:r>
        <w:rPr>
          <w:rFonts w:ascii="Times New Roman" w:hAnsi="Times New Roman" w:cs="Times New Roman" w:eastAsia="Times New Roman" w:hint="default"/>
        </w:rPr>
        <w:t>28</w:t>
      </w:r>
      <w:r>
        <w:rPr/>
        <w:t>、其他非流动负债</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tabs>
          <w:tab w:pos="1051" w:val="left" w:leader="none"/>
        </w:tabs>
        <w:spacing w:line="240" w:lineRule="auto"/>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67"/>
        <w:gridCol w:w="3270"/>
        <w:gridCol w:w="3267"/>
      </w:tblGrid>
      <w:tr>
        <w:trPr>
          <w:trHeight w:val="53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531"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3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本体维修基金</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48" w:right="0"/>
              <w:jc w:val="left"/>
              <w:rPr>
                <w:rFonts w:ascii="Times New Roman" w:hAnsi="Times New Roman" w:cs="Times New Roman" w:eastAsia="Times New Roman" w:hint="default"/>
                <w:sz w:val="21"/>
                <w:szCs w:val="21"/>
              </w:rPr>
            </w:pPr>
            <w:r>
              <w:rPr>
                <w:rFonts w:ascii="Times New Roman"/>
                <w:sz w:val="21"/>
              </w:rPr>
              <w:t>14,001,533.98</w:t>
            </w:r>
          </w:p>
        </w:tc>
        <w:tc>
          <w:tcPr>
            <w:tcW w:w="3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9"/>
        <w:rPr>
          <w:rFonts w:ascii="宋体" w:hAnsi="宋体" w:cs="宋体" w:eastAsia="宋体" w:hint="default"/>
          <w:sz w:val="13"/>
          <w:szCs w:val="13"/>
        </w:rPr>
      </w:pPr>
    </w:p>
    <w:p>
      <w:pPr>
        <w:pStyle w:val="BodyText"/>
        <w:spacing w:line="240" w:lineRule="auto" w:before="34"/>
        <w:ind w:left="693" w:right="229"/>
        <w:jc w:val="left"/>
      </w:pPr>
      <w:r>
        <w:rPr/>
        <w:t>系公司物业管理公司收取的本体维修基金，本期公司从其他应付款科目转入其他非流动负债核算。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left="261" w:right="229"/>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1061"/>
        <w:gridCol w:w="1963"/>
        <w:gridCol w:w="1068"/>
        <w:gridCol w:w="893"/>
        <w:gridCol w:w="1280"/>
        <w:gridCol w:w="905"/>
        <w:gridCol w:w="905"/>
        <w:gridCol w:w="1805"/>
      </w:tblGrid>
      <w:tr>
        <w:trPr>
          <w:trHeight w:val="530" w:hRule="exact"/>
        </w:trPr>
        <w:tc>
          <w:tcPr>
            <w:tcW w:w="1061" w:type="dxa"/>
            <w:vMerge w:val="restart"/>
            <w:tcBorders>
              <w:top w:val="single" w:sz="4" w:space="0" w:color="000000"/>
              <w:left w:val="nil" w:sz="6" w:space="0" w:color="auto"/>
              <w:right w:val="single" w:sz="4" w:space="0" w:color="000000"/>
            </w:tcBorders>
          </w:tcPr>
          <w:p>
            <w:pPr/>
          </w:p>
        </w:tc>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5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80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28" w:hRule="exact"/>
        </w:trPr>
        <w:tc>
          <w:tcPr>
            <w:tcW w:w="1061" w:type="dxa"/>
            <w:vMerge/>
            <w:tcBorders>
              <w:left w:val="nil" w:sz="6" w:space="0" w:color="auto"/>
              <w:bottom w:val="single" w:sz="4" w:space="0" w:color="000000"/>
              <w:right w:val="single" w:sz="4" w:space="0" w:color="000000"/>
            </w:tcBorders>
          </w:tcPr>
          <w:p>
            <w:pPr/>
          </w:p>
        </w:tc>
        <w:tc>
          <w:tcPr>
            <w:tcW w:w="1963"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5" w:type="dxa"/>
            <w:vMerge/>
            <w:tcBorders>
              <w:left w:val="single" w:sz="4" w:space="0" w:color="000000"/>
              <w:bottom w:val="single" w:sz="4" w:space="0" w:color="000000"/>
              <w:right w:val="nil" w:sz="6" w:space="0" w:color="auto"/>
            </w:tcBorders>
          </w:tcPr>
          <w:p>
            <w:pPr/>
          </w:p>
        </w:tc>
      </w:tr>
      <w:tr>
        <w:trPr>
          <w:trHeight w:val="530"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36" w:right="0"/>
              <w:jc w:val="left"/>
              <w:rPr>
                <w:rFonts w:ascii="Times New Roman" w:hAnsi="Times New Roman" w:cs="Times New Roman" w:eastAsia="Times New Roman" w:hint="default"/>
                <w:sz w:val="21"/>
                <w:szCs w:val="21"/>
              </w:rPr>
            </w:pPr>
            <w:r>
              <w:rPr>
                <w:rFonts w:ascii="Times New Roman"/>
                <w:sz w:val="21"/>
              </w:rPr>
              <w:t>469,593,364.00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469,593,364.00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65" w:top="1040" w:bottom="1060" w:left="880" w:right="880"/>
        </w:sectPr>
      </w:pPr>
    </w:p>
    <w:p>
      <w:pPr>
        <w:pStyle w:val="Heading5"/>
        <w:spacing w:line="307" w:lineRule="exact"/>
        <w:ind w:left="261" w:right="229"/>
        <w:jc w:val="left"/>
        <w:rPr>
          <w:b w:val="0"/>
          <w:bCs w:val="0"/>
        </w:rPr>
      </w:pPr>
      <w:bookmarkStart w:name="30、资本公积" w:id="116"/>
      <w:bookmarkEnd w:id="116"/>
      <w:r>
        <w:rPr>
          <w:b w:val="0"/>
          <w:bCs w:val="0"/>
        </w:rPr>
      </w:r>
      <w:bookmarkStart w:name="31、盈余公积" w:id="117"/>
      <w:bookmarkEnd w:id="117"/>
      <w:r>
        <w:rPr>
          <w:b w:val="0"/>
          <w:bCs w:val="0"/>
        </w:rPr>
      </w:r>
      <w:bookmarkStart w:name="32、未分配利润" w:id="118"/>
      <w:bookmarkEnd w:id="118"/>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20"/>
        <w:gridCol w:w="1708"/>
        <w:gridCol w:w="1706"/>
        <w:gridCol w:w="1708"/>
        <w:gridCol w:w="1706"/>
      </w:tblGrid>
      <w:tr>
        <w:trPr>
          <w:trHeight w:val="509"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11"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123,967,225.67</w:t>
            </w:r>
            <w:r>
              <w:rPr>
                <w:rFonts w:ascii="Times New Roman"/>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8,812,098.89</w:t>
            </w:r>
            <w:r>
              <w:rPr>
                <w:rFonts w:ascii="Times New Roman"/>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115,155,126.78</w:t>
            </w:r>
          </w:p>
        </w:tc>
      </w:tr>
      <w:tr>
        <w:trPr>
          <w:trHeight w:val="509"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新准则前资本公积转入</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176,817,628.11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176,817,628.11</w:t>
            </w:r>
          </w:p>
        </w:tc>
      </w:tr>
      <w:tr>
        <w:trPr>
          <w:trHeight w:val="511"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28,986,459.84</w:t>
            </w:r>
            <w:r>
              <w:rPr>
                <w:rFonts w:ascii="Times New Roman"/>
                <w:sz w:val="21"/>
              </w:rPr>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6,486,826.58</w:t>
            </w:r>
            <w:r>
              <w:rPr>
                <w:rFonts w:ascii="Times New Roman"/>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22,499,633.26</w:t>
            </w:r>
            <w:r>
              <w:rPr>
                <w:rFonts w:ascii="Times New Roman"/>
                <w:sz w:val="21"/>
              </w:rPr>
            </w:r>
          </w:p>
        </w:tc>
      </w:tr>
      <w:tr>
        <w:trPr>
          <w:trHeight w:val="509"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231,821.14</w:t>
            </w:r>
            <w:r>
              <w:rPr>
                <w:rFonts w:ascii="Times New Roman"/>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231,821.14</w:t>
            </w:r>
            <w:r>
              <w:rPr>
                <w:rFonts w:ascii="Times New Roman"/>
                <w:sz w:val="21"/>
              </w:rPr>
            </w:r>
          </w:p>
        </w:tc>
      </w:tr>
      <w:tr>
        <w:trPr>
          <w:trHeight w:val="511"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330,003,134.76</w:t>
            </w:r>
            <w:r>
              <w:rPr>
                <w:rFonts w:ascii="Times New Roman"/>
                <w:sz w:val="21"/>
              </w:rPr>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15,298,925.47</w:t>
            </w:r>
            <w:r>
              <w:rPr>
                <w:rFonts w:ascii="Times New Roman"/>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314,704,209.29</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679" w:right="0"/>
        <w:jc w:val="left"/>
      </w:pPr>
      <w:r>
        <w:rPr/>
        <w:t>本期股本溢价的减少为购买七家子公司少数股权的成本与购买日取得的帐面净资产份额之间的差额。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261" w:right="229"/>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1942"/>
        <w:gridCol w:w="1942"/>
        <w:gridCol w:w="1942"/>
        <w:gridCol w:w="1942"/>
        <w:gridCol w:w="1939"/>
      </w:tblGrid>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161,148,975.93</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27,452,309.39</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102,383,764.96</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86,217,520.36</w:t>
            </w:r>
            <w:r>
              <w:rPr>
                <w:rFonts w:ascii="Times New Roman"/>
                <w:sz w:val="21"/>
              </w:rPr>
            </w:r>
          </w:p>
        </w:tc>
      </w:tr>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51,281,363.57</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51,281,363.57</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212,430,339.50</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27,452,309.39</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153,665,128.53</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86,217,520.36</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0" w:right="245"/>
        <w:jc w:val="right"/>
      </w:pPr>
      <w:r>
        <w:rPr/>
        <w:t>本期盈余公积减少为按公司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年度第一次临时股东大会决议，以任意盈余公积、法定盈余公积按</w:t>
      </w:r>
    </w:p>
    <w:p>
      <w:pPr>
        <w:spacing w:line="240" w:lineRule="auto" w:before="2"/>
        <w:rPr>
          <w:rFonts w:ascii="宋体" w:hAnsi="宋体" w:cs="宋体" w:eastAsia="宋体" w:hint="default"/>
          <w:sz w:val="16"/>
          <w:szCs w:val="16"/>
        </w:rPr>
      </w:pPr>
    </w:p>
    <w:p>
      <w:pPr>
        <w:pStyle w:val="BodyText"/>
        <w:spacing w:line="412" w:lineRule="auto"/>
        <w:ind w:left="693" w:right="229" w:hanging="438"/>
        <w:jc w:val="left"/>
      </w:pPr>
      <w:r>
        <w:rPr/>
        <w:t>顺序依次弥补截止</w:t>
      </w:r>
      <w:r>
        <w:rPr>
          <w:spacing w:val="-52"/>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日公司累计可供股东分配利润人民币</w:t>
      </w:r>
      <w:r>
        <w:rPr>
          <w:rFonts w:ascii="Times New Roman" w:hAnsi="Times New Roman" w:cs="Times New Roman" w:eastAsia="Times New Roman" w:hint="default"/>
        </w:rPr>
        <w:t>-153,665,128.53</w:t>
      </w:r>
      <w:r>
        <w:rPr>
          <w:rFonts w:ascii="Times New Roman" w:hAnsi="Times New Roman" w:cs="Times New Roman" w:eastAsia="Times New Roman" w:hint="default"/>
          <w:spacing w:val="-3"/>
        </w:rPr>
        <w:t> </w:t>
      </w:r>
      <w:r>
        <w:rPr/>
        <w:t>元。</w:t>
      </w:r>
      <w:r>
        <w:rPr>
          <w:w w:val="99"/>
        </w:rPr>
        <w:t> </w:t>
      </w:r>
      <w:r>
        <w:rPr/>
        <w:t>本期增加的法定盈余公积为公司本期按公司章程计提的法定盈余公积。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5"/>
        <w:spacing w:line="240" w:lineRule="auto"/>
        <w:ind w:left="261" w:right="229"/>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4843"/>
        <w:gridCol w:w="2603"/>
        <w:gridCol w:w="2324"/>
      </w:tblGrid>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-153,665,128.53</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12,674,364.39</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-140,990,764.14</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加：盈余公积弥补亏损</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153,665,128.53</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按股东会决议弥补</w:t>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本期归属于母公司所有者的净利润</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140,080,654.63</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865" w:top="1300" w:bottom="1060" w:left="880" w:right="88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843"/>
        <w:gridCol w:w="2603"/>
        <w:gridCol w:w="2324"/>
      </w:tblGrid>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bookmarkStart w:name="33、营业收入、营业成本" w:id="119"/>
            <w:bookmarkEnd w:id="119"/>
            <w:r>
              <w:rPr/>
            </w:r>
            <w:r>
              <w:rPr>
                <w:rFonts w:ascii="宋体" w:hAnsi="宋体" w:cs="宋体" w:eastAsia="宋体" w:hint="default"/>
                <w:sz w:val="21"/>
                <w:szCs w:val="21"/>
              </w:rPr>
              <w:t>项目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27,452,309.39</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125,302,709.63</w:t>
            </w:r>
            <w:r>
              <w:rPr>
                <w:rFonts w:ascii="Times New Roman"/>
                <w:sz w:val="21"/>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29" w:lineRule="auto" w:before="34"/>
        <w:ind w:right="225" w:firstLine="437"/>
        <w:jc w:val="both"/>
      </w:pPr>
      <w:r>
        <w:rPr>
          <w:spacing w:val="-1"/>
        </w:rPr>
        <w:t>本期公司根据《企业会计准则讲解</w:t>
      </w:r>
      <w:r>
        <w:rPr>
          <w:spacing w:val="-54"/>
        </w:rPr>
        <w:t> </w:t>
      </w:r>
      <w:r>
        <w:rPr>
          <w:rFonts w:ascii="Times New Roman" w:hAnsi="Times New Roman" w:cs="Times New Roman" w:eastAsia="Times New Roman" w:hint="default"/>
          <w:spacing w:val="-2"/>
        </w:rPr>
        <w:t>2010</w:t>
      </w:r>
      <w:r>
        <w:rPr>
          <w:spacing w:val="-2"/>
        </w:rPr>
        <w:t>》合并财务报表中关于“子公司发生超额亏损在合并资产负债</w:t>
      </w:r>
      <w:r>
        <w:rPr>
          <w:w w:val="99"/>
        </w:rPr>
        <w:t> </w:t>
      </w:r>
      <w:r>
        <w:rPr>
          <w:spacing w:val="3"/>
        </w:rPr>
        <w:t>表中的反映：子公司少数股东分担的当期亏损超过了少数股东在该子公司期初所有者权益中所享有的份</w:t>
      </w:r>
      <w:r>
        <w:rPr>
          <w:spacing w:val="-96"/>
        </w:rPr>
        <w:t> </w:t>
      </w:r>
      <w:r>
        <w:rPr>
          <w:spacing w:val="-96"/>
        </w:rPr>
      </w:r>
      <w:r>
        <w:rPr>
          <w:spacing w:val="1"/>
          <w:w w:val="99"/>
        </w:rPr>
        <w:t>额，其余额仍应当冲减少数股东权益，即少数股东权益可以出现负数</w:t>
      </w:r>
      <w:r>
        <w:rPr>
          <w:spacing w:val="-67"/>
          <w:w w:val="99"/>
        </w:rPr>
        <w:t> </w:t>
      </w:r>
      <w:r>
        <w:rPr>
          <w:spacing w:val="-5"/>
          <w:w w:val="99"/>
        </w:rPr>
        <w:t>”，进行会计政策变更，调增年初未</w:t>
      </w:r>
      <w:r>
        <w:rPr>
          <w:spacing w:val="-81"/>
          <w:w w:val="99"/>
        </w:rPr>
        <w:t> </w:t>
      </w:r>
      <w:r>
        <w:rPr>
          <w:spacing w:val="-81"/>
          <w:w w:val="99"/>
        </w:rPr>
      </w:r>
      <w:r>
        <w:rPr/>
        <w:t>分配利润</w:t>
      </w:r>
      <w:r>
        <w:rPr>
          <w:spacing w:val="-53"/>
        </w:rPr>
        <w:t> </w:t>
      </w:r>
      <w:r>
        <w:rPr>
          <w:rFonts w:ascii="Times New Roman" w:hAnsi="Times New Roman" w:cs="Times New Roman" w:eastAsia="Times New Roman" w:hint="default"/>
        </w:rPr>
        <w:t>12,674,364.39</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pStyle w:val="Heading5"/>
        <w:spacing w:line="240" w:lineRule="auto" w:before="169"/>
        <w:ind w:right="202"/>
        <w:jc w:val="left"/>
        <w:rPr>
          <w:b w:val="0"/>
          <w:bCs w:val="0"/>
        </w:rPr>
      </w:pPr>
      <w:r>
        <w:rPr>
          <w:rFonts w:ascii="Times New Roman" w:hAnsi="Times New Roman" w:cs="Times New Roman" w:eastAsia="Times New Roman" w:hint="default"/>
        </w:rPr>
        <w:t>33</w:t>
      </w:r>
      <w:r>
        <w:rPr/>
        <w:t>、营业收入、营业成本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202"/>
        <w:jc w:val="left"/>
      </w:pPr>
      <w:r>
        <w:rPr/>
        <w:t>（</w:t>
      </w:r>
      <w:r>
        <w:rPr>
          <w:rFonts w:ascii="Times New Roman" w:hAnsi="Times New Roman" w:cs="Times New Roman" w:eastAsia="Times New Roman" w:hint="default"/>
        </w:rPr>
        <w:t>1</w:t>
      </w:r>
      <w:r>
        <w:rPr/>
        <w:t>）营业收入、营业成本</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46"/>
        <w:gridCol w:w="3246"/>
        <w:gridCol w:w="3246"/>
      </w:tblGrid>
      <w:tr>
        <w:trPr>
          <w:trHeight w:val="50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754,016,436.40</w:t>
            </w:r>
            <w:r>
              <w:rPr>
                <w:rFonts w:ascii="Times New Roman"/>
                <w:sz w:val="21"/>
              </w:rPr>
            </w:r>
          </w:p>
        </w:tc>
        <w:tc>
          <w:tcPr>
            <w:tcW w:w="3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704,329,327.65</w:t>
            </w:r>
            <w:r>
              <w:rPr>
                <w:rFonts w:ascii="Times New Roman"/>
                <w:sz w:val="21"/>
              </w:rPr>
            </w:r>
          </w:p>
        </w:tc>
      </w:tr>
      <w:tr>
        <w:trPr>
          <w:trHeight w:val="50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63,353,165.05</w:t>
            </w:r>
            <w:r>
              <w:rPr>
                <w:rFonts w:ascii="Times New Roman"/>
                <w:sz w:val="21"/>
              </w:rPr>
            </w:r>
          </w:p>
        </w:tc>
        <w:tc>
          <w:tcPr>
            <w:tcW w:w="3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72,882,378.30</w:t>
            </w:r>
            <w:r>
              <w:rPr>
                <w:rFonts w:ascii="Times New Roman"/>
                <w:sz w:val="21"/>
              </w:rPr>
            </w:r>
          </w:p>
        </w:tc>
      </w:tr>
      <w:tr>
        <w:trPr>
          <w:trHeight w:val="511"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541,275,221.19</w:t>
            </w:r>
            <w:r>
              <w:rPr>
                <w:rFonts w:ascii="Times New Roman"/>
                <w:sz w:val="21"/>
              </w:rPr>
            </w:r>
          </w:p>
        </w:tc>
        <w:tc>
          <w:tcPr>
            <w:tcW w:w="3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457,897,991.87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202"/>
        <w:jc w:val="left"/>
      </w:pPr>
      <w:r>
        <w:rPr/>
        <w:t>（</w:t>
      </w:r>
      <w:r>
        <w:rPr>
          <w:rFonts w:ascii="Times New Roman" w:hAnsi="Times New Roman" w:cs="Times New Roman" w:eastAsia="Times New Roman" w:hint="default"/>
        </w:rPr>
        <w:t>2</w:t>
      </w:r>
      <w:r>
        <w:rPr/>
        <w:t>）营业收入（分行业）</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06"/>
        <w:gridCol w:w="1826"/>
        <w:gridCol w:w="1826"/>
        <w:gridCol w:w="1826"/>
        <w:gridCol w:w="1824"/>
      </w:tblGrid>
      <w:tr>
        <w:trPr>
          <w:trHeight w:val="509" w:hRule="exact"/>
        </w:trPr>
        <w:tc>
          <w:tcPr>
            <w:tcW w:w="24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81"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2406"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房地产开发及物业管理</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811,419,222.62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538,842,080.19</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614,585,033.14</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352,816,881.35</w:t>
            </w:r>
            <w:r>
              <w:rPr>
                <w:rFonts w:ascii="Times New Roman"/>
                <w:sz w:val="21"/>
              </w:rPr>
            </w:r>
          </w:p>
        </w:tc>
      </w:tr>
      <w:tr>
        <w:trPr>
          <w:trHeight w:val="511"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出租车运输</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72,423,115.91</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34,006,101.48</w:t>
            </w:r>
            <w:r>
              <w:rPr>
                <w:rFonts w:ascii="Times New Roman"/>
                <w:sz w:val="21"/>
              </w:rPr>
            </w:r>
          </w:p>
        </w:tc>
      </w:tr>
      <w:tr>
        <w:trPr>
          <w:trHeight w:val="50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酒店及餐饮</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28,523,665.60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18,218,857.79</w:t>
            </w:r>
            <w:r>
              <w:rPr>
                <w:rFonts w:ascii="Times New Roman"/>
                <w:sz w:val="21"/>
              </w:rPr>
            </w:r>
          </w:p>
        </w:tc>
      </w:tr>
      <w:tr>
        <w:trPr>
          <w:trHeight w:val="511"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物流及运输</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13,405,746.39</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8,311,051.16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51,717,619.20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38,635,714.20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040" w:bottom="1060" w:left="1020" w:right="880"/>
        </w:sectPr>
      </w:pPr>
    </w:p>
    <w:p>
      <w:pPr>
        <w:spacing w:line="240" w:lineRule="auto" w:before="9"/>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2406"/>
        <w:gridCol w:w="1826"/>
        <w:gridCol w:w="1826"/>
        <w:gridCol w:w="1826"/>
        <w:gridCol w:w="1824"/>
      </w:tblGrid>
      <w:tr>
        <w:trPr>
          <w:trHeight w:val="511" w:hRule="exact"/>
        </w:trPr>
        <w:tc>
          <w:tcPr>
            <w:tcW w:w="24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81" w:right="0"/>
              <w:jc w:val="left"/>
              <w:rPr>
                <w:rFonts w:ascii="宋体" w:hAnsi="宋体" w:cs="宋体" w:eastAsia="宋体" w:hint="default"/>
                <w:sz w:val="21"/>
                <w:szCs w:val="21"/>
              </w:rPr>
            </w:pPr>
            <w:bookmarkStart w:name="34、营业税金及附加" w:id="120"/>
            <w:bookmarkEnd w:id="120"/>
            <w:r>
              <w:rPr/>
            </w:r>
            <w:r>
              <w:rPr>
                <w:rFonts w:ascii="宋体" w:hAnsi="宋体" w:cs="宋体" w:eastAsia="宋体" w:hint="default"/>
                <w:sz w:val="21"/>
                <w:szCs w:val="21"/>
              </w:rPr>
              <w:t>行业名称</w:t>
            </w:r>
          </w:p>
        </w:tc>
        <w:tc>
          <w:tcPr>
            <w:tcW w:w="3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2406"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2"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12,887,852.10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13,070,668.35</w:t>
            </w:r>
            <w:r>
              <w:rPr>
                <w:rFonts w:ascii="Times New Roman"/>
                <w:sz w:val="21"/>
              </w:rPr>
            </w:r>
          </w:p>
        </w:tc>
      </w:tr>
      <w:tr>
        <w:trPr>
          <w:trHeight w:val="49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业务间抵销</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-7,455,367.56</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-5,877,910.16</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-2,925,580.00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1,149,768.70</w:t>
            </w:r>
            <w:r>
              <w:rPr>
                <w:rFonts w:ascii="Times New Roman"/>
                <w:sz w:val="21"/>
              </w:rPr>
            </w:r>
          </w:p>
        </w:tc>
      </w:tr>
      <w:tr>
        <w:trPr>
          <w:trHeight w:val="49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合计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817,369,601.45</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541,275,221.19</w:t>
            </w:r>
            <w:r>
              <w:rPr>
                <w:rFonts w:ascii="Times New Roman"/>
                <w:sz w:val="21"/>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777,211,705.95</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457,897,991.87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3</w:t>
      </w:r>
      <w:r>
        <w:rPr/>
        <w:t>）营业收入（分地区）</w:t>
      </w:r>
    </w:p>
    <w:p>
      <w:pPr>
        <w:spacing w:line="240" w:lineRule="auto" w:before="8"/>
        <w:rPr>
          <w:rFonts w:ascii="宋体" w:hAnsi="宋体" w:cs="宋体" w:eastAsia="宋体" w:hint="default"/>
          <w:sz w:val="12"/>
          <w:szCs w:val="12"/>
        </w:rPr>
      </w:pPr>
    </w:p>
    <w:p>
      <w:pPr>
        <w:pStyle w:val="BodyText"/>
        <w:tabs>
          <w:tab w:pos="1053" w:val="left" w:leader="none"/>
        </w:tabs>
        <w:spacing w:line="240" w:lineRule="auto" w:before="34"/>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416"/>
        <w:gridCol w:w="1824"/>
        <w:gridCol w:w="1824"/>
        <w:gridCol w:w="1821"/>
        <w:gridCol w:w="1824"/>
      </w:tblGrid>
      <w:tr>
        <w:trPr>
          <w:trHeight w:val="499" w:hRule="exact"/>
        </w:trPr>
        <w:tc>
          <w:tcPr>
            <w:tcW w:w="24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78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4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2416" w:type="dxa"/>
            <w:vMerge/>
            <w:tcBorders>
              <w:left w:val="nil" w:sz="6" w:space="0" w:color="auto"/>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212,689,576.45</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127,205,211.44</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233,276,275.60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148,612,882.24</w:t>
            </w:r>
            <w:r>
              <w:rPr>
                <w:rFonts w:ascii="Times New Roman"/>
                <w:sz w:val="21"/>
              </w:rPr>
            </w:r>
          </w:p>
        </w:tc>
      </w:tr>
      <w:tr>
        <w:trPr>
          <w:trHeight w:val="49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西安地区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604,680,025.00</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414,070,009.75</w:t>
            </w:r>
            <w:r>
              <w:rPr>
                <w:rFonts w:ascii="Times New Roman"/>
                <w:sz w:val="21"/>
              </w:rPr>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531,047,578.25</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296,214,441.28</w:t>
            </w:r>
            <w:r>
              <w:rPr>
                <w:rFonts w:ascii="Times New Roman"/>
                <w:sz w:val="21"/>
              </w:rPr>
            </w:r>
          </w:p>
        </w:tc>
      </w:tr>
      <w:tr>
        <w:trPr>
          <w:trHeight w:val="502"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12,887,852.10</w:t>
            </w:r>
            <w:r>
              <w:rPr>
                <w:rFonts w:ascii="Times New Roman"/>
                <w:sz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13,070,668.35</w:t>
            </w:r>
            <w:r>
              <w:rPr>
                <w:rFonts w:ascii="Times New Roman"/>
                <w:sz w:val="21"/>
              </w:rPr>
            </w:r>
          </w:p>
        </w:tc>
      </w:tr>
      <w:tr>
        <w:trPr>
          <w:trHeight w:val="49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817,369,601.45</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541,275,221.19</w:t>
            </w:r>
            <w:r>
              <w:rPr>
                <w:rFonts w:ascii="Times New Roman"/>
                <w:sz w:val="21"/>
              </w:rPr>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777,211,705.95</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457,897,991.87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4</w:t>
      </w:r>
      <w:r>
        <w:rPr/>
        <w:t>）公司前五名客户的营业收入情况</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8"/>
        <w:gridCol w:w="2998"/>
        <w:gridCol w:w="3258"/>
      </w:tblGrid>
      <w:tr>
        <w:trPr>
          <w:trHeight w:val="49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9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深圳市中新博缆电线电缆有限公司</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91,186,944.00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11.15%</w:t>
            </w:r>
          </w:p>
        </w:tc>
      </w:tr>
      <w:tr>
        <w:trPr>
          <w:trHeight w:val="502"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14,470,089.00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1.77%</w:t>
            </w:r>
          </w:p>
        </w:tc>
      </w:tr>
      <w:tr>
        <w:trPr>
          <w:trHeight w:val="49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14,378,099.00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1.76%</w:t>
            </w:r>
          </w:p>
        </w:tc>
      </w:tr>
      <w:tr>
        <w:trPr>
          <w:trHeight w:val="49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13,342,381.00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1.63%</w:t>
            </w:r>
          </w:p>
        </w:tc>
      </w:tr>
      <w:tr>
        <w:trPr>
          <w:trHeight w:val="502"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10,764,518.00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1.32%</w:t>
            </w:r>
          </w:p>
        </w:tc>
      </w:tr>
      <w:tr>
        <w:trPr>
          <w:trHeight w:val="49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144,142,031.00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17.63%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21" w:right="0"/>
        <w:jc w:val="left"/>
        <w:rPr>
          <w:b w:val="0"/>
          <w:bCs w:val="0"/>
        </w:rPr>
      </w:pPr>
      <w:r>
        <w:rPr>
          <w:rFonts w:ascii="Times New Roman" w:hAnsi="Times New Roman" w:cs="Times New Roman" w:eastAsia="Times New Roman" w:hint="default"/>
        </w:rPr>
        <w:t>34</w:t>
      </w:r>
      <w:r>
        <w:rPr/>
        <w:t>、营业税金及附加</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6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238"/>
        <w:gridCol w:w="3241"/>
        <w:gridCol w:w="3243"/>
      </w:tblGrid>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9" w:right="0"/>
              <w:jc w:val="left"/>
              <w:rPr>
                <w:rFonts w:ascii="Times New Roman" w:hAnsi="Times New Roman" w:cs="Times New Roman" w:eastAsia="Times New Roman" w:hint="default"/>
                <w:sz w:val="21"/>
                <w:szCs w:val="21"/>
              </w:rPr>
            </w:pPr>
            <w:r>
              <w:rPr>
                <w:rFonts w:ascii="Times New Roman"/>
                <w:sz w:val="21"/>
              </w:rPr>
              <w:t>40,359,752.75</w:t>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9" w:right="0"/>
              <w:jc w:val="left"/>
              <w:rPr>
                <w:rFonts w:ascii="Times New Roman" w:hAnsi="Times New Roman" w:cs="Times New Roman" w:eastAsia="Times New Roman" w:hint="default"/>
                <w:sz w:val="21"/>
                <w:szCs w:val="21"/>
              </w:rPr>
            </w:pPr>
            <w:r>
              <w:rPr>
                <w:rFonts w:ascii="Times New Roman"/>
                <w:sz w:val="21"/>
              </w:rPr>
              <w:t>35,760,614.40</w:t>
            </w:r>
          </w:p>
        </w:tc>
      </w:tr>
    </w:tbl>
    <w:p>
      <w:pPr>
        <w:spacing w:after="0" w:line="240" w:lineRule="auto"/>
        <w:jc w:val="left"/>
        <w:rPr>
          <w:rFonts w:ascii="Times New Roman" w:hAnsi="Times New Roman" w:cs="Times New Roman" w:eastAsia="Times New Roman" w:hint="default"/>
          <w:sz w:val="21"/>
          <w:szCs w:val="21"/>
        </w:rPr>
        <w:sectPr>
          <w:footerReference w:type="default" r:id="rId47"/>
          <w:pgSz w:w="11910" w:h="16840"/>
          <w:pgMar w:footer="865" w:header="0" w:top="1040" w:bottom="1060" w:left="920" w:right="940"/>
          <w:pgNumType w:start="110"/>
        </w:sectPr>
      </w:pPr>
    </w:p>
    <w:p>
      <w:pPr>
        <w:spacing w:line="240" w:lineRule="auto" w:before="9"/>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38"/>
        <w:gridCol w:w="3241"/>
        <w:gridCol w:w="3243"/>
      </w:tblGrid>
      <w:tr>
        <w:trPr>
          <w:trHeight w:val="502"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0"/>
              <w:jc w:val="right"/>
              <w:rPr>
                <w:rFonts w:ascii="宋体" w:hAnsi="宋体" w:cs="宋体" w:eastAsia="宋体" w:hint="default"/>
                <w:sz w:val="21"/>
                <w:szCs w:val="21"/>
              </w:rPr>
            </w:pPr>
            <w:bookmarkStart w:name="35、销售费用" w:id="121"/>
            <w:bookmarkEnd w:id="121"/>
            <w:r>
              <w:rPr/>
            </w:r>
            <w:r>
              <w:rPr>
                <w:rFonts w:ascii="宋体" w:hAnsi="宋体" w:cs="宋体" w:eastAsia="宋体" w:hint="default"/>
                <w:sz w:val="21"/>
                <w:szCs w:val="21"/>
              </w:rPr>
              <w:t>项目</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2,846,622.09</w:t>
            </w:r>
            <w:r>
              <w:rPr>
                <w:rFonts w:ascii="Times New Roman"/>
                <w:sz w:val="21"/>
              </w:rPr>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2,045,659.10</w:t>
            </w:r>
            <w:r>
              <w:rPr>
                <w:rFonts w:ascii="Times New Roman"/>
                <w:sz w:val="21"/>
              </w:rPr>
            </w:r>
          </w:p>
        </w:tc>
      </w:tr>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2,040,933.57</w:t>
            </w:r>
            <w:r>
              <w:rPr>
                <w:rFonts w:ascii="Times New Roman"/>
                <w:sz w:val="21"/>
              </w:rPr>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1,089,388.50</w:t>
            </w:r>
            <w:r>
              <w:rPr>
                <w:rFonts w:ascii="Times New Roman"/>
                <w:sz w:val="21"/>
              </w:rPr>
            </w:r>
          </w:p>
        </w:tc>
      </w:tr>
      <w:tr>
        <w:trPr>
          <w:trHeight w:val="502"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21,083,251.37</w:t>
            </w:r>
            <w:r>
              <w:rPr>
                <w:rFonts w:ascii="Times New Roman"/>
                <w:sz w:val="21"/>
              </w:rPr>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39,814,275.95</w:t>
            </w:r>
            <w:r>
              <w:rPr>
                <w:rFonts w:ascii="Times New Roman"/>
                <w:sz w:val="21"/>
              </w:rPr>
            </w:r>
          </w:p>
        </w:tc>
      </w:tr>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434,584.52</w:t>
            </w:r>
            <w:r>
              <w:rPr>
                <w:rFonts w:ascii="Times New Roman"/>
                <w:sz w:val="21"/>
              </w:rPr>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944,434.77</w:t>
            </w:r>
            <w:r>
              <w:rPr>
                <w:rFonts w:ascii="Times New Roman"/>
                <w:sz w:val="21"/>
              </w:rPr>
            </w:r>
          </w:p>
        </w:tc>
      </w:tr>
      <w:tr>
        <w:trPr>
          <w:trHeight w:val="49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0"/>
              <w:jc w:val="right"/>
              <w:rPr>
                <w:rFonts w:ascii="宋体" w:hAnsi="宋体" w:cs="宋体" w:eastAsia="宋体" w:hint="default"/>
                <w:sz w:val="21"/>
                <w:szCs w:val="21"/>
              </w:rPr>
            </w:pPr>
            <w:r>
              <w:rPr>
                <w:rFonts w:ascii="宋体" w:hAnsi="宋体" w:cs="宋体" w:eastAsia="宋体" w:hint="default"/>
                <w:sz w:val="21"/>
                <w:szCs w:val="21"/>
              </w:rPr>
              <w:t>合计</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66,765,144.30</w:t>
            </w:r>
            <w:r>
              <w:rPr>
                <w:rFonts w:ascii="Times New Roman"/>
                <w:sz w:val="21"/>
              </w:rPr>
            </w:r>
          </w:p>
        </w:tc>
        <w:tc>
          <w:tcPr>
            <w:tcW w:w="3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79,654,372.72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141" w:right="107"/>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186"/>
        <w:gridCol w:w="3291"/>
        <w:gridCol w:w="3294"/>
      </w:tblGrid>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74"/>
              <w:jc w:val="right"/>
              <w:rPr>
                <w:rFonts w:ascii="宋体" w:hAnsi="宋体" w:cs="宋体" w:eastAsia="宋体" w:hint="default"/>
                <w:sz w:val="21"/>
                <w:szCs w:val="21"/>
              </w:rPr>
            </w:pPr>
            <w:r>
              <w:rPr>
                <w:rFonts w:ascii="宋体" w:hAnsi="宋体" w:cs="宋体" w:eastAsia="宋体" w:hint="default"/>
                <w:sz w:val="21"/>
                <w:szCs w:val="21"/>
              </w:rPr>
              <w:t>项目</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工资性薪酬</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44,242.53</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1,079,895.58</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353,927.41</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497.42</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22,663.12</w:t>
            </w:r>
            <w:r>
              <w:rPr>
                <w:rFonts w:ascii="Times New Roman"/>
                <w:sz w:val="21"/>
              </w:rPr>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183,337.43</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1,229,502.99</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产权登记费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149,108.75</w:t>
            </w:r>
            <w:r>
              <w:rPr>
                <w:rFonts w:ascii="Times New Roman"/>
                <w:sz w:val="21"/>
              </w:rPr>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46,617.30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825,689.83</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64,841.00</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116,696.00</w:t>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2,028,266.15</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零星工程支出</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280,112.00</w:t>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3,294,839.00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6,140,247.88</w:t>
            </w:r>
            <w:r>
              <w:rPr>
                <w:rFonts w:ascii="Times New Roman"/>
                <w:sz w:val="21"/>
              </w:rPr>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17,000.00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105,717.00</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2,960,369.20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8,814,187.00</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25,603.55</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2"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94,482.20</w:t>
            </w:r>
            <w:r>
              <w:rPr>
                <w:rFonts w:ascii="Times New Roman"/>
                <w:sz w:val="21"/>
              </w:rPr>
            </w:r>
          </w:p>
        </w:tc>
      </w:tr>
      <w:tr>
        <w:trPr>
          <w:trHeight w:val="499" w:hRule="exact"/>
        </w:trPr>
        <w:tc>
          <w:tcPr>
            <w:tcW w:w="3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74"/>
              <w:jc w:val="right"/>
              <w:rPr>
                <w:rFonts w:ascii="宋体" w:hAnsi="宋体" w:cs="宋体" w:eastAsia="宋体" w:hint="default"/>
                <w:sz w:val="21"/>
                <w:szCs w:val="21"/>
              </w:rPr>
            </w:pPr>
            <w:r>
              <w:rPr>
                <w:rFonts w:ascii="宋体" w:hAnsi="宋体" w:cs="宋体" w:eastAsia="宋体" w:hint="default"/>
                <w:sz w:val="21"/>
                <w:szCs w:val="21"/>
              </w:rPr>
              <w:t>合计</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6,389,169.00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21,488,674.34</w:t>
            </w:r>
            <w:r>
              <w:rPr>
                <w:rFonts w:ascii="Times New Roman"/>
                <w:sz w:val="21"/>
              </w:rPr>
            </w:r>
          </w:p>
        </w:tc>
      </w:tr>
    </w:tbl>
    <w:p>
      <w:pPr>
        <w:spacing w:line="240" w:lineRule="auto" w:before="6"/>
        <w:rPr>
          <w:rFonts w:ascii="宋体" w:hAnsi="宋体" w:cs="宋体" w:eastAsia="宋体" w:hint="default"/>
          <w:sz w:val="11"/>
          <w:szCs w:val="11"/>
        </w:rPr>
      </w:pPr>
    </w:p>
    <w:p>
      <w:pPr>
        <w:pStyle w:val="BodyText"/>
        <w:spacing w:line="403" w:lineRule="auto" w:before="34"/>
        <w:ind w:left="135" w:right="222" w:firstLine="423"/>
        <w:jc w:val="left"/>
      </w:pPr>
      <w:r>
        <w:rPr/>
        <w:t>本期销售费用减少主要是</w:t>
      </w:r>
      <w:r>
        <w:rPr>
          <w:spacing w:val="6"/>
        </w:rPr>
        <w:t> </w:t>
      </w:r>
      <w:r>
        <w:rPr>
          <w:rFonts w:ascii="Times New Roman" w:hAnsi="Times New Roman" w:cs="Times New Roman" w:eastAsia="Times New Roman" w:hint="default"/>
          <w:spacing w:val="-3"/>
        </w:rPr>
        <w:t>“</w:t>
      </w:r>
      <w:r>
        <w:rPr>
          <w:spacing w:val="-3"/>
        </w:rPr>
        <w:t>鸿基紫韵</w:t>
      </w:r>
      <w:r>
        <w:rPr>
          <w:rFonts w:ascii="Times New Roman" w:hAnsi="Times New Roman" w:cs="Times New Roman" w:eastAsia="Times New Roman" w:hint="default"/>
          <w:spacing w:val="-3"/>
        </w:rPr>
        <w:t>”</w:t>
      </w:r>
      <w:r>
        <w:rPr>
          <w:spacing w:val="-3"/>
        </w:rPr>
        <w:t>项目本期未推出新的楼盘预售，广告费减少，本年度结算的销售</w:t>
      </w:r>
      <w:r>
        <w:rPr>
          <w:w w:val="99"/>
        </w:rPr>
        <w:t> </w:t>
      </w:r>
      <w:r>
        <w:rPr/>
        <w:t>代理费也相应减少，本期结转的销售收入主要是上期预售本期完工的楼盘。</w:t>
      </w:r>
    </w:p>
    <w:p>
      <w:pPr>
        <w:spacing w:after="0" w:line="403" w:lineRule="auto"/>
        <w:jc w:val="left"/>
        <w:sectPr>
          <w:pgSz w:w="11910" w:h="16840"/>
          <w:pgMar w:header="0" w:footer="865" w:top="1040" w:bottom="1060" w:left="1000" w:right="880"/>
        </w:sectPr>
      </w:pPr>
    </w:p>
    <w:p>
      <w:pPr>
        <w:pStyle w:val="Heading5"/>
        <w:spacing w:line="318" w:lineRule="exact"/>
        <w:ind w:right="202"/>
        <w:jc w:val="left"/>
        <w:rPr>
          <w:b w:val="0"/>
          <w:bCs w:val="0"/>
        </w:rPr>
      </w:pPr>
      <w:bookmarkStart w:name="37、财务费用" w:id="122"/>
      <w:bookmarkEnd w:id="122"/>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58"/>
        <w:gridCol w:w="3255"/>
        <w:gridCol w:w="3258"/>
      </w:tblGrid>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工资性薪酬</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31,968,526.29</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39,576,959.57</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1,137,975.53</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5,602,603.62</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5,539,521.16</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8,903,436.23</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工会及职工教育经费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885,225.60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249,289.33</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4,351,672.71</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6,451,038.70</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1,567,714.68</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1,591,624.19</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155,863.92</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1,881,431.69</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2,727,611.22</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10,214,543.00</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121,910.25</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2,567,415.92</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4,189,900.97</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5,020,444.74</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3,154,721.89</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4,173,746.77</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1,217,230.67</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1,771,076.27</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7,058,595.20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10,785,079.37</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361,063.03</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438,061.71</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1,811,814.10</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1,068,201.97</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中介及咨询设计费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3,816,043.55</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2,851,183.02</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806,452.10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2,102,832.17</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环卫绿化费</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1,620.00</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535,297.81</w:t>
            </w:r>
            <w:r>
              <w:rPr>
                <w:rFonts w:ascii="Times New Roman"/>
                <w:sz w:val="21"/>
              </w:rPr>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2,277,653.19</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7,335,969.43</w:t>
            </w:r>
            <w:r>
              <w:rPr>
                <w:rFonts w:ascii="Times New Roman"/>
                <w:sz w:val="21"/>
              </w:rPr>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73,151,116.06</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113,120,235.51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right="202"/>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58"/>
        <w:gridCol w:w="3255"/>
        <w:gridCol w:w="3258"/>
      </w:tblGrid>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40" w:right="0"/>
              <w:jc w:val="left"/>
              <w:rPr>
                <w:rFonts w:ascii="Times New Roman" w:hAnsi="Times New Roman" w:cs="Times New Roman" w:eastAsia="Times New Roman" w:hint="default"/>
                <w:sz w:val="21"/>
                <w:szCs w:val="21"/>
              </w:rPr>
            </w:pPr>
            <w:r>
              <w:rPr>
                <w:rFonts w:ascii="Times New Roman"/>
                <w:sz w:val="21"/>
              </w:rPr>
              <w:t>6,478,595.25</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36" w:right="0"/>
              <w:jc w:val="left"/>
              <w:rPr>
                <w:rFonts w:ascii="Times New Roman" w:hAnsi="Times New Roman" w:cs="Times New Roman" w:eastAsia="Times New Roman" w:hint="default"/>
                <w:sz w:val="21"/>
                <w:szCs w:val="21"/>
              </w:rPr>
            </w:pPr>
            <w:r>
              <w:rPr>
                <w:rFonts w:ascii="Times New Roman"/>
                <w:sz w:val="21"/>
              </w:rPr>
              <w:t>25,896,515.44</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65" w:top="1280" w:bottom="1060" w:left="1020" w:right="88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255"/>
        <w:gridCol w:w="3258"/>
        <w:gridCol w:w="3258"/>
      </w:tblGrid>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bookmarkStart w:name="38、投资收益" w:id="123"/>
            <w:bookmarkEnd w:id="123"/>
            <w:r>
              <w:rPr/>
            </w:r>
            <w:bookmarkStart w:name="39、资产减值损失" w:id="124"/>
            <w:bookmarkEnd w:id="124"/>
            <w:r>
              <w:rPr/>
            </w:r>
            <w:r>
              <w:rPr>
                <w:rFonts w:ascii="宋体" w:hAnsi="宋体" w:cs="宋体" w:eastAsia="宋体" w:hint="default"/>
                <w:sz w:val="21"/>
                <w:szCs w:val="21"/>
              </w:rPr>
              <w:t>项目</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-4,956,073.64</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-3,366,951.55</w:t>
            </w:r>
            <w:r>
              <w:rPr>
                <w:rFonts w:ascii="Times New Roman"/>
                <w:sz w:val="21"/>
              </w:rPr>
            </w:r>
          </w:p>
        </w:tc>
      </w:tr>
      <w:tr>
        <w:trPr>
          <w:trHeight w:val="49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19,826.68</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72,377.34</w:t>
            </w:r>
            <w:r>
              <w:rPr>
                <w:rFonts w:ascii="Times New Roman"/>
                <w:sz w:val="21"/>
              </w:rPr>
            </w:r>
          </w:p>
        </w:tc>
      </w:tr>
      <w:tr>
        <w:trPr>
          <w:trHeight w:val="50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148,780.28</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592,738.55</w:t>
            </w:r>
            <w:r>
              <w:rPr>
                <w:rFonts w:ascii="Times New Roman"/>
                <w:sz w:val="21"/>
              </w:rPr>
            </w:r>
          </w:p>
        </w:tc>
      </w:tr>
      <w:tr>
        <w:trPr>
          <w:trHeight w:val="49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1,691,128.57</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23,194,679.78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right="202"/>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546"/>
        <w:gridCol w:w="2112"/>
        <w:gridCol w:w="2112"/>
      </w:tblGrid>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8,645.62</w:t>
            </w:r>
          </w:p>
        </w:tc>
      </w:tr>
      <w:tr>
        <w:trPr>
          <w:trHeight w:val="5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-9,651,500.90</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-3,276,720.19</w:t>
            </w:r>
            <w:r>
              <w:rPr>
                <w:rFonts w:ascii="Times New Roman"/>
                <w:sz w:val="21"/>
              </w:rPr>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其中：深圳市深威驳运有限公司</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-718,170.65</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30,384.57</w:t>
            </w:r>
            <w:r>
              <w:rPr>
                <w:rFonts w:ascii="Times New Roman"/>
                <w:sz w:val="21"/>
              </w:rPr>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深圳市鸿丰酒店管理有限公司</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4,866,539.30</w:t>
            </w:r>
            <w:r>
              <w:rPr>
                <w:rFonts w:ascii="Times New Roman"/>
                <w:sz w:val="21"/>
              </w:rPr>
            </w:r>
          </w:p>
        </w:tc>
      </w:tr>
      <w:tr>
        <w:trPr>
          <w:trHeight w:val="5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-8,529,833.28</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-7,507,783.92</w:t>
            </w:r>
            <w:r>
              <w:rPr>
                <w:rFonts w:ascii="Times New Roman"/>
                <w:sz w:val="21"/>
              </w:rPr>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-403,496.97</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-665,860.14</w:t>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105,444,201.93</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79,373,850.19</w:t>
            </w:r>
            <w:r>
              <w:rPr>
                <w:rFonts w:ascii="Times New Roman"/>
                <w:sz w:val="21"/>
              </w:rPr>
            </w:r>
          </w:p>
        </w:tc>
      </w:tr>
      <w:tr>
        <w:trPr>
          <w:trHeight w:val="5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398,446.50</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664,077.50</w:t>
            </w:r>
            <w:r>
              <w:rPr>
                <w:rFonts w:ascii="Times New Roman"/>
                <w:sz w:val="21"/>
              </w:rPr>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其他非流动资产摊销（原制度下长期股权投资差额摊销）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-189,534.44</w:t>
            </w:r>
          </w:p>
        </w:tc>
      </w:tr>
      <w:tr>
        <w:trPr>
          <w:trHeight w:val="499"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已售子公司分回以前年度利润</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9,918,708.42</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2"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106,109,855.95</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76,580,318.68</w:t>
            </w:r>
            <w:r>
              <w:rPr>
                <w:rFonts w:ascii="Times New Roman"/>
                <w:sz w:val="21"/>
              </w:rPr>
            </w:r>
          </w:p>
        </w:tc>
      </w:tr>
    </w:tbl>
    <w:p>
      <w:pPr>
        <w:spacing w:line="240" w:lineRule="auto" w:before="6"/>
        <w:rPr>
          <w:rFonts w:ascii="宋体" w:hAnsi="宋体" w:cs="宋体" w:eastAsia="宋体" w:hint="default"/>
          <w:sz w:val="11"/>
          <w:szCs w:val="11"/>
        </w:rPr>
      </w:pPr>
    </w:p>
    <w:p>
      <w:pPr>
        <w:pStyle w:val="BodyText"/>
        <w:spacing w:line="403" w:lineRule="auto" w:before="34"/>
        <w:ind w:right="202" w:firstLine="526"/>
        <w:jc w:val="left"/>
      </w:pPr>
      <w:r>
        <w:rPr>
          <w:rFonts w:ascii="Times New Roman" w:hAnsi="Times New Roman" w:cs="Times New Roman" w:eastAsia="Times New Roman" w:hint="default"/>
        </w:rPr>
        <w:t>“</w:t>
      </w:r>
      <w:r>
        <w:rPr/>
        <w:t>已售子公司分回以前年度利润</w:t>
      </w:r>
      <w:r>
        <w:rPr>
          <w:rFonts w:ascii="Times New Roman" w:hAnsi="Times New Roman" w:cs="Times New Roman" w:eastAsia="Times New Roman" w:hint="default"/>
        </w:rPr>
        <w:t>”</w:t>
      </w:r>
      <w:r>
        <w:rPr/>
        <w:t>主要是本期已出售的子公司</w:t>
      </w:r>
      <w:r>
        <w:rPr>
          <w:rFonts w:ascii="Times New Roman" w:hAnsi="Times New Roman" w:cs="Times New Roman" w:eastAsia="Times New Roman" w:hint="default"/>
        </w:rPr>
        <w:t>“</w:t>
      </w:r>
      <w:r>
        <w:rPr/>
        <w:t>深圳市迅达汽车运输有限公司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w:t>
      </w:r>
      <w:r>
        <w:rPr>
          <w:w w:val="99"/>
        </w:rPr>
        <w:t> </w:t>
      </w:r>
      <w:r>
        <w:rPr/>
        <w:t>市深运工贸企业有限公司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深圳市鸿基酒店管理有限公司</w:t>
      </w:r>
      <w:r>
        <w:rPr>
          <w:rFonts w:ascii="Times New Roman" w:hAnsi="Times New Roman" w:cs="Times New Roman" w:eastAsia="Times New Roman" w:hint="default"/>
        </w:rPr>
        <w:t>”</w:t>
      </w:r>
      <w:r>
        <w:rPr/>
        <w:t>分回</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w:t>
      </w:r>
    </w:p>
    <w:p>
      <w:pPr>
        <w:spacing w:line="240" w:lineRule="auto" w:before="0"/>
        <w:rPr>
          <w:rFonts w:ascii="宋体" w:hAnsi="宋体" w:cs="宋体" w:eastAsia="宋体" w:hint="default"/>
          <w:sz w:val="22"/>
          <w:szCs w:val="22"/>
        </w:rPr>
      </w:pPr>
    </w:p>
    <w:p>
      <w:pPr>
        <w:pStyle w:val="Heading5"/>
        <w:spacing w:line="240" w:lineRule="auto" w:before="175"/>
        <w:ind w:right="202"/>
        <w:jc w:val="left"/>
        <w:rPr>
          <w:b w:val="0"/>
          <w:bCs w:val="0"/>
        </w:rPr>
      </w:pPr>
      <w:r>
        <w:rPr>
          <w:rFonts w:ascii="Times New Roman" w:hAnsi="Times New Roman" w:cs="Times New Roman" w:eastAsia="Times New Roman" w:hint="default"/>
        </w:rPr>
        <w:t>39</w:t>
      </w:r>
      <w:r>
        <w:rPr/>
        <w:t>、资产减值损失</w:t>
      </w:r>
      <w:r>
        <w:rPr>
          <w:b w:val="0"/>
          <w:bCs w:val="0"/>
        </w:rPr>
      </w:r>
    </w:p>
    <w:p>
      <w:pPr>
        <w:pStyle w:val="BodyText"/>
        <w:tabs>
          <w:tab w:pos="1051" w:val="left" w:leader="none"/>
        </w:tabs>
        <w:spacing w:line="240" w:lineRule="auto" w:before="191"/>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58"/>
        <w:gridCol w:w="3255"/>
        <w:gridCol w:w="3258"/>
      </w:tblGrid>
      <w:tr>
        <w:trPr>
          <w:trHeight w:val="49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5,301,401.72</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1,411,079.69</w:t>
            </w:r>
          </w:p>
        </w:tc>
      </w:tr>
      <w:tr>
        <w:trPr>
          <w:trHeight w:val="502"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二、长期股权投资减值损失</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3,231,576.25</w:t>
            </w:r>
            <w:r>
              <w:rPr>
                <w:rFonts w:ascii="Times New Roman"/>
                <w:sz w:val="21"/>
              </w:rPr>
            </w:r>
          </w:p>
        </w:tc>
      </w:tr>
      <w:tr>
        <w:trPr>
          <w:trHeight w:val="49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5,301,401.72</w:t>
            </w:r>
            <w:r>
              <w:rPr>
                <w:rFonts w:ascii="Times New Roman"/>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4,642,655.94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040" w:bottom="1060" w:left="1020" w:right="880"/>
        </w:sectPr>
      </w:pPr>
    </w:p>
    <w:p>
      <w:pPr>
        <w:pStyle w:val="Heading5"/>
        <w:spacing w:line="307" w:lineRule="exact"/>
        <w:ind w:left="161" w:right="0"/>
        <w:jc w:val="left"/>
        <w:rPr>
          <w:b w:val="0"/>
          <w:bCs w:val="0"/>
        </w:rPr>
      </w:pPr>
      <w:bookmarkStart w:name="40、营业外收入" w:id="125"/>
      <w:bookmarkEnd w:id="125"/>
      <w:r>
        <w:rPr>
          <w:b w:val="0"/>
          <w:bCs w:val="0"/>
        </w:rPr>
      </w:r>
      <w:bookmarkStart w:name="41、营业外支出" w:id="126"/>
      <w:bookmarkEnd w:id="126"/>
      <w:r>
        <w:rPr>
          <w:b w:val="0"/>
          <w:bCs w:val="0"/>
        </w:rPr>
      </w:r>
      <w:bookmarkStart w:name="42、所得税费用" w:id="127"/>
      <w:bookmarkEnd w:id="127"/>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702"/>
        <w:gridCol w:w="2358"/>
        <w:gridCol w:w="2355"/>
        <w:gridCol w:w="2355"/>
      </w:tblGrid>
      <w:tr>
        <w:trPr>
          <w:trHeight w:val="809"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18"/>
              <w:ind w:left="647" w:right="332" w:hanging="316"/>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损益的金额</w:t>
            </w:r>
          </w:p>
        </w:tc>
      </w:tr>
      <w:tr>
        <w:trPr>
          <w:trHeight w:val="492"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9,806,459.05</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9,000.00</w:t>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9,806,459.05</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9,000.00</w:t>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756,919.72</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30,379.00</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756,919.72</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1,103,598.85</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355,092.62</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409,718.20</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355,092.62</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1,121,012.34</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11,350,155.10</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1,121,012.34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161"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702"/>
        <w:gridCol w:w="2358"/>
        <w:gridCol w:w="2355"/>
        <w:gridCol w:w="2355"/>
      </w:tblGrid>
      <w:tr>
        <w:trPr>
          <w:trHeight w:val="809"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398" w:lineRule="exact" w:before="20"/>
              <w:ind w:left="647" w:right="332" w:hanging="316"/>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损益的金额</w:t>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26,452,538.48</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26,452,538.48</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380,000.00</w:t>
            </w:r>
            <w:r>
              <w:rPr>
                <w:rFonts w:ascii="Times New Roman"/>
                <w:sz w:val="21"/>
              </w:rPr>
            </w:r>
          </w:p>
        </w:tc>
      </w:tr>
      <w:tr>
        <w:trPr>
          <w:trHeight w:val="492"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300,220.19</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311,000.00</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违约金支出</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7,662,415.80</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2,831,732.50</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835,887.15</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2,831,732.50</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103,470.56</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1,246,988.03</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103,470.56</w:t>
            </w:r>
            <w:r>
              <w:rPr>
                <w:rFonts w:ascii="Times New Roman"/>
                <w:sz w:val="21"/>
              </w:rPr>
            </w:r>
          </w:p>
        </w:tc>
      </w:tr>
      <w:tr>
        <w:trPr>
          <w:trHeight w:val="49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3,315,203.06</w:t>
            </w:r>
            <w:r>
              <w:rPr>
                <w:rFonts w:ascii="Times New Roman"/>
                <w:sz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36,809,049.65</w:t>
            </w:r>
            <w:r>
              <w:rPr>
                <w:rFonts w:ascii="Times New Roman"/>
                <w:sz w:val="21"/>
              </w:rPr>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3,315,203.06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161"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48"/>
        <w:gridCol w:w="2805"/>
        <w:gridCol w:w="2971"/>
      </w:tblGrid>
      <w:tr>
        <w:trPr>
          <w:trHeight w:val="490" w:hRule="exact"/>
        </w:trPr>
        <w:tc>
          <w:tcPr>
            <w:tcW w:w="3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8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9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60,228,747.76</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35,265,519.44</w:t>
            </w:r>
            <w:r>
              <w:rPr>
                <w:rFonts w:ascii="Times New Roman"/>
                <w:sz w:val="21"/>
              </w:rPr>
            </w:r>
          </w:p>
        </w:tc>
      </w:tr>
      <w:tr>
        <w:trPr>
          <w:trHeight w:val="490" w:hRule="exact"/>
        </w:trPr>
        <w:tc>
          <w:tcPr>
            <w:tcW w:w="3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26,004,873.90</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682,230.06</w:t>
            </w:r>
            <w:r>
              <w:rPr>
                <w:rFonts w:ascii="Times New Roman"/>
                <w:sz w:val="21"/>
              </w:rPr>
            </w:r>
          </w:p>
        </w:tc>
      </w:tr>
      <w:tr>
        <w:trPr>
          <w:trHeight w:val="490" w:hRule="exact"/>
        </w:trPr>
        <w:tc>
          <w:tcPr>
            <w:tcW w:w="3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86,233,621.66</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35,947,749.50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300" w:bottom="1060" w:left="980" w:right="880"/>
        </w:sectPr>
      </w:pPr>
    </w:p>
    <w:p>
      <w:pPr>
        <w:pStyle w:val="Heading5"/>
        <w:spacing w:line="307" w:lineRule="exact"/>
        <w:ind w:left="221" w:right="202"/>
        <w:jc w:val="left"/>
        <w:rPr>
          <w:b w:val="0"/>
          <w:bCs w:val="0"/>
        </w:rPr>
      </w:pPr>
      <w:bookmarkStart w:name="43、基本每股收益和稀释每股收益的计算过程" w:id="128"/>
      <w:bookmarkEnd w:id="128"/>
      <w:r>
        <w:rPr>
          <w:b w:val="0"/>
          <w:bCs w:val="0"/>
        </w:rPr>
      </w:r>
      <w:r>
        <w:rPr>
          <w:rFonts w:ascii="Times New Roman" w:hAnsi="Times New Roman" w:cs="Times New Roman" w:eastAsia="Times New Roman" w:hint="default"/>
        </w:rPr>
        <w:t>43</w:t>
      </w:r>
      <w:r>
        <w:rPr/>
        <w:t>、基本每股收益和稀释每股收益的计算过程</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41"/>
        <w:gridCol w:w="1897"/>
        <w:gridCol w:w="1465"/>
        <w:gridCol w:w="1468"/>
      </w:tblGrid>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140,080,654.63</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96,276,320.09</w:t>
            </w:r>
          </w:p>
        </w:tc>
      </w:tr>
      <w:tr>
        <w:trPr>
          <w:trHeight w:val="468"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F</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49,546,369.95</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61,796,077.10</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P0'=P0-F</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90,534,284.68</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34,480,242.99</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100"/>
                <w:sz w:val="18"/>
              </w:rPr>
              <w:t>V</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667"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08" w:right="-4"/>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归属于公司普通股股东的净利润，并考虑稀释性潜在普通股对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其影响，按《企业会计准则》及有关规定进行调整。</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P1=P0+V</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140,080,654.63</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96,276,320.09</w:t>
            </w:r>
          </w:p>
        </w:tc>
      </w:tr>
      <w:tr>
        <w:trPr>
          <w:trHeight w:val="6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08" w:right="13"/>
              <w:jc w:val="left"/>
              <w:rPr>
                <w:rFonts w:ascii="宋体" w:hAnsi="宋体" w:cs="宋体" w:eastAsia="宋体" w:hint="default"/>
                <w:sz w:val="18"/>
                <w:szCs w:val="18"/>
              </w:rPr>
            </w:pPr>
            <w:r>
              <w:rPr>
                <w:rFonts w:ascii="宋体" w:hAnsi="宋体" w:cs="宋体" w:eastAsia="宋体" w:hint="default"/>
                <w:spacing w:val="2"/>
                <w:sz w:val="18"/>
                <w:szCs w:val="18"/>
              </w:rPr>
              <w:t>稀释事项对扣除非经常性损益后归属于公司普通股股东的净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利润的影响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V'</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902"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08" w:right="-4"/>
              <w:jc w:val="both"/>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稀释性潜在普通股对其影响，按《企业会计准则》及有关规定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进行调整</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P1'=P0'+V'</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90,534,284.68</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34,480,242.99</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469,593,364.00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Si</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Sj</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Sk</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68"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M0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12.00</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716"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1"/>
              <w:ind w:left="1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469,593,364.00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668"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2" w:lineRule="exact"/>
              <w:ind w:left="108" w:right="-4"/>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股加权平均数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X1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X2=S+X1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469,593,364.00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89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89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68"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89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0.21</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0.07</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0.21</w:t>
            </w:r>
          </w:p>
        </w:tc>
      </w:tr>
      <w:tr>
        <w:trPr>
          <w:trHeight w:val="470" w:hRule="exact"/>
        </w:trPr>
        <w:tc>
          <w:tcPr>
            <w:tcW w:w="4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300" w:bottom="1060" w:left="920" w:right="980"/>
        </w:sectPr>
      </w:pPr>
    </w:p>
    <w:p>
      <w:pPr>
        <w:pStyle w:val="Heading5"/>
        <w:spacing w:line="307" w:lineRule="exact"/>
        <w:ind w:left="261" w:right="229"/>
        <w:jc w:val="left"/>
        <w:rPr>
          <w:b w:val="0"/>
          <w:bCs w:val="0"/>
        </w:rPr>
      </w:pPr>
      <w:bookmarkStart w:name="44、其他综合收益" w:id="129"/>
      <w:bookmarkEnd w:id="129"/>
      <w:r>
        <w:rPr>
          <w:b w:val="0"/>
          <w:bCs w:val="0"/>
        </w:rPr>
      </w:r>
      <w:bookmarkStart w:name="45、现金流量表项目注释" w:id="130"/>
      <w:bookmarkEnd w:id="130"/>
      <w:r>
        <w:rPr>
          <w:b w:val="0"/>
          <w:bCs w:val="0"/>
        </w:rPr>
      </w:r>
      <w:r>
        <w:rPr>
          <w:rFonts w:ascii="Times New Roman" w:hAnsi="Times New Roman" w:cs="Times New Roman" w:eastAsia="Times New Roman" w:hint="default"/>
        </w:rPr>
        <w:t>44</w:t>
      </w:r>
      <w:r>
        <w:rPr/>
        <w:t>、其他综合收益</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6220"/>
        <w:gridCol w:w="1831"/>
        <w:gridCol w:w="1829"/>
      </w:tblGrid>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38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-8,140,567.72</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1,043,854.79</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9"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-1,653,741.14</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992,449.63</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741"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-6,486,826.58</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51,405.16</w:t>
            </w:r>
            <w:r>
              <w:rPr>
                <w:rFonts w:ascii="Times New Roman"/>
                <w:sz w:val="21"/>
              </w:rPr>
            </w:r>
          </w:p>
        </w:tc>
      </w:tr>
      <w:tr>
        <w:trPr>
          <w:trHeight w:val="492"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按照权益法核算的在被投资单位其他综合收益中所享有的份额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72"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3"/>
              <w:ind w:left="108" w:right="103" w:firstLine="317"/>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减：按照权益法核算的在被投资单位其他综合收益中所享有的</w:t>
            </w:r>
            <w:r>
              <w:rPr>
                <w:rFonts w:ascii="宋体" w:hAnsi="宋体" w:cs="宋体" w:eastAsia="宋体" w:hint="default"/>
                <w:w w:val="99"/>
                <w:sz w:val="21"/>
                <w:szCs w:val="21"/>
              </w:rPr>
              <w:t> </w:t>
            </w:r>
            <w:r>
              <w:rPr>
                <w:rFonts w:ascii="宋体" w:hAnsi="宋体" w:cs="宋体" w:eastAsia="宋体" w:hint="default"/>
                <w:sz w:val="21"/>
                <w:szCs w:val="21"/>
              </w:rPr>
              <w:t>份额产生的所得税影响</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2"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84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74"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3"/>
              <w:ind w:left="108" w:right="1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在合并报表中冲减的购买子公司少数股权的成本与购买日取得</w:t>
            </w:r>
            <w:r>
              <w:rPr>
                <w:rFonts w:ascii="宋体" w:hAnsi="宋体" w:cs="宋体" w:eastAsia="宋体" w:hint="default"/>
                <w:w w:val="99"/>
                <w:sz w:val="21"/>
                <w:szCs w:val="21"/>
              </w:rPr>
              <w:t> </w:t>
            </w:r>
            <w:r>
              <w:rPr>
                <w:rFonts w:ascii="宋体" w:hAnsi="宋体" w:cs="宋体" w:eastAsia="宋体" w:hint="default"/>
                <w:sz w:val="21"/>
                <w:szCs w:val="21"/>
              </w:rPr>
              <w:t>的帐面净资产份额之间的差额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-8,812,098.89</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-168,656,473.39</w:t>
            </w:r>
            <w:r>
              <w:rPr>
                <w:rFonts w:ascii="Times New Roman"/>
                <w:sz w:val="21"/>
              </w:rPr>
            </w:r>
          </w:p>
        </w:tc>
      </w:tr>
      <w:tr>
        <w:trPr>
          <w:trHeight w:val="490"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-15,298,925.47</w:t>
            </w:r>
            <w:r>
              <w:rPr>
                <w:rFonts w:ascii="Times New Roman"/>
                <w:sz w:val="21"/>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-168,605,068.23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261" w:right="229"/>
        <w:jc w:val="left"/>
        <w:rPr>
          <w:b w:val="0"/>
          <w:bCs w:val="0"/>
        </w:rPr>
      </w:pPr>
      <w:r>
        <w:rPr>
          <w:rFonts w:ascii="Times New Roman" w:hAnsi="Times New Roman" w:cs="Times New Roman" w:eastAsia="Times New Roman" w:hint="default"/>
        </w:rPr>
        <w:t>45</w:t>
      </w:r>
      <w:r>
        <w:rPr/>
        <w:t>、现金流量表项目注释</w:t>
      </w:r>
      <w:r>
        <w:rPr>
          <w:b w:val="0"/>
          <w:bCs w:val="0"/>
        </w:rPr>
      </w:r>
    </w:p>
    <w:p>
      <w:pPr>
        <w:pStyle w:val="BodyText"/>
        <w:spacing w:line="240" w:lineRule="auto" w:before="181"/>
        <w:ind w:left="255" w:right="229"/>
        <w:jc w:val="left"/>
      </w:pPr>
      <w:r>
        <w:rPr/>
        <w:t>（</w:t>
      </w:r>
      <w:r>
        <w:rPr>
          <w:rFonts w:ascii="Times New Roman" w:hAnsi="Times New Roman" w:cs="Times New Roman" w:eastAsia="Times New Roman" w:hint="default"/>
        </w:rPr>
        <w:t>1</w:t>
      </w:r>
      <w:r>
        <w:rPr/>
        <w:t>）收到的其他与经营活动有关的现金</w:t>
      </w:r>
    </w:p>
    <w:p>
      <w:pPr>
        <w:spacing w:line="240" w:lineRule="auto" w:before="11"/>
        <w:rPr>
          <w:rFonts w:ascii="宋体" w:hAnsi="宋体" w:cs="宋体" w:eastAsia="宋体" w:hint="default"/>
          <w:sz w:val="11"/>
          <w:szCs w:val="11"/>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988"/>
        <w:gridCol w:w="4860"/>
      </w:tblGrid>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right="2276"/>
              <w:jc w:val="right"/>
              <w:rPr>
                <w:rFonts w:ascii="宋体" w:hAnsi="宋体" w:cs="宋体" w:eastAsia="宋体" w:hint="default"/>
                <w:sz w:val="21"/>
                <w:szCs w:val="21"/>
              </w:rPr>
            </w:pPr>
            <w:r>
              <w:rPr>
                <w:rFonts w:ascii="宋体" w:hAnsi="宋体" w:cs="宋体" w:eastAsia="宋体" w:hint="default"/>
                <w:sz w:val="21"/>
                <w:szCs w:val="21"/>
              </w:rPr>
              <w:t>项目</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本期收回上期其他应收款项</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4,374,825.82</w:t>
            </w:r>
            <w:r>
              <w:rPr>
                <w:rFonts w:ascii="Times New Roman"/>
                <w:sz w:val="21"/>
              </w:rPr>
            </w:r>
          </w:p>
        </w:tc>
      </w:tr>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罚款等支出</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1,121,012.34</w:t>
            </w:r>
            <w:r>
              <w:rPr>
                <w:rFonts w:ascii="Times New Roman"/>
                <w:sz w:val="21"/>
              </w:rPr>
            </w:r>
          </w:p>
        </w:tc>
      </w:tr>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4,956,073.64</w:t>
            </w:r>
            <w:r>
              <w:rPr>
                <w:rFonts w:ascii="Times New Roman"/>
                <w:sz w:val="21"/>
              </w:rPr>
            </w:r>
          </w:p>
        </w:tc>
      </w:tr>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276"/>
              <w:jc w:val="right"/>
              <w:rPr>
                <w:rFonts w:ascii="宋体" w:hAnsi="宋体" w:cs="宋体" w:eastAsia="宋体" w:hint="default"/>
                <w:sz w:val="21"/>
                <w:szCs w:val="21"/>
              </w:rPr>
            </w:pPr>
            <w:r>
              <w:rPr>
                <w:rFonts w:ascii="宋体" w:hAnsi="宋体" w:cs="宋体" w:eastAsia="宋体" w:hint="default"/>
                <w:sz w:val="21"/>
                <w:szCs w:val="21"/>
              </w:rPr>
              <w:t>合计</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10,451,911.80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4"/>
        <w:ind w:left="255" w:right="229"/>
        <w:jc w:val="left"/>
      </w:pPr>
      <w:r>
        <w:rPr/>
        <w:t>（</w:t>
      </w:r>
      <w:r>
        <w:rPr>
          <w:rFonts w:ascii="Times New Roman" w:hAnsi="Times New Roman" w:cs="Times New Roman" w:eastAsia="Times New Roman" w:hint="default"/>
        </w:rPr>
        <w:t>2</w:t>
      </w:r>
      <w:r>
        <w:rPr/>
        <w:t>）支付的其他与经营活动有关的现金</w:t>
      </w:r>
    </w:p>
    <w:p>
      <w:pPr>
        <w:spacing w:line="240" w:lineRule="auto" w:before="11"/>
        <w:rPr>
          <w:rFonts w:ascii="宋体" w:hAnsi="宋体" w:cs="宋体" w:eastAsia="宋体" w:hint="default"/>
          <w:sz w:val="11"/>
          <w:szCs w:val="11"/>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988"/>
        <w:gridCol w:w="4860"/>
      </w:tblGrid>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本期支付上期其他应付款项</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69,039,275.09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300" w:bottom="1060" w:left="880" w:right="880"/>
        </w:sectPr>
      </w:pPr>
    </w:p>
    <w:p>
      <w:pPr>
        <w:spacing w:line="240" w:lineRule="auto" w:before="9"/>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988"/>
        <w:gridCol w:w="4860"/>
      </w:tblGrid>
      <w:tr>
        <w:trPr>
          <w:trHeight w:val="49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276"/>
              <w:jc w:val="right"/>
              <w:rPr>
                <w:rFonts w:ascii="宋体" w:hAnsi="宋体" w:cs="宋体" w:eastAsia="宋体" w:hint="default"/>
                <w:sz w:val="21"/>
                <w:szCs w:val="21"/>
              </w:rPr>
            </w:pPr>
            <w:bookmarkStart w:name="46、现金流量表补充资料" w:id="131"/>
            <w:bookmarkEnd w:id="131"/>
            <w:r>
              <w:rPr/>
            </w:r>
            <w:r>
              <w:rPr>
                <w:rFonts w:ascii="宋体" w:hAnsi="宋体" w:cs="宋体" w:eastAsia="宋体" w:hint="default"/>
                <w:sz w:val="21"/>
                <w:szCs w:val="21"/>
              </w:rPr>
              <w:t>项目</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2"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管理费办公等支出</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14,488,396.98</w:t>
            </w:r>
            <w:r>
              <w:rPr>
                <w:rFonts w:ascii="Times New Roman"/>
                <w:sz w:val="21"/>
              </w:rPr>
            </w:r>
          </w:p>
        </w:tc>
      </w:tr>
      <w:tr>
        <w:trPr>
          <w:trHeight w:val="499"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销售费广告、代理等支出</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6,344,429.05</w:t>
            </w:r>
            <w:r>
              <w:rPr>
                <w:rFonts w:ascii="Times New Roman"/>
                <w:sz w:val="21"/>
              </w:rPr>
            </w:r>
          </w:p>
        </w:tc>
      </w:tr>
      <w:tr>
        <w:trPr>
          <w:trHeight w:val="499"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银行手续费支出</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157,268.53</w:t>
            </w:r>
            <w:r>
              <w:rPr>
                <w:rFonts w:ascii="Times New Roman"/>
                <w:sz w:val="21"/>
              </w:rPr>
            </w:r>
          </w:p>
        </w:tc>
      </w:tr>
      <w:tr>
        <w:trPr>
          <w:trHeight w:val="502"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罚款滞纳金等支出</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2,935,203.06</w:t>
            </w:r>
            <w:r>
              <w:rPr>
                <w:rFonts w:ascii="Times New Roman"/>
                <w:sz w:val="21"/>
              </w:rPr>
            </w:r>
          </w:p>
        </w:tc>
      </w:tr>
      <w:tr>
        <w:trPr>
          <w:trHeight w:val="499"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76"/>
              <w:jc w:val="right"/>
              <w:rPr>
                <w:rFonts w:ascii="宋体" w:hAnsi="宋体" w:cs="宋体" w:eastAsia="宋体" w:hint="default"/>
                <w:sz w:val="21"/>
                <w:szCs w:val="21"/>
              </w:rPr>
            </w:pPr>
            <w:r>
              <w:rPr>
                <w:rFonts w:ascii="宋体" w:hAnsi="宋体" w:cs="宋体" w:eastAsia="宋体" w:hint="default"/>
                <w:sz w:val="21"/>
                <w:szCs w:val="21"/>
              </w:rPr>
              <w:t>合计</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92,964,572.71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61" w:right="190"/>
        <w:jc w:val="left"/>
        <w:rPr>
          <w:b w:val="0"/>
          <w:bCs w:val="0"/>
        </w:rPr>
      </w:pPr>
      <w:r>
        <w:rPr>
          <w:rFonts w:ascii="Times New Roman" w:hAnsi="Times New Roman" w:cs="Times New Roman" w:eastAsia="Times New Roman" w:hint="default"/>
        </w:rPr>
        <w:t>46</w:t>
      </w:r>
      <w:r>
        <w:rPr/>
        <w:t>、现金流量表补充资料</w:t>
      </w:r>
      <w:r>
        <w:rPr>
          <w:b w:val="0"/>
          <w:bCs w:val="0"/>
        </w:rPr>
      </w:r>
    </w:p>
    <w:p>
      <w:pPr>
        <w:pStyle w:val="BodyText"/>
        <w:spacing w:line="240" w:lineRule="auto" w:before="191"/>
        <w:ind w:left="255" w:right="190"/>
        <w:jc w:val="left"/>
      </w:pPr>
      <w:r>
        <w:rPr/>
        <w:t>（</w:t>
      </w:r>
      <w:r>
        <w:rPr>
          <w:rFonts w:ascii="Times New Roman" w:hAnsi="Times New Roman" w:cs="Times New Roman" w:eastAsia="Times New Roman" w:hint="default"/>
        </w:rPr>
        <w:t>1</w:t>
      </w:r>
      <w:r>
        <w:rPr/>
        <w:t>）现金流量表补充资料</w:t>
      </w:r>
    </w:p>
    <w:p>
      <w:pPr>
        <w:spacing w:line="240" w:lineRule="auto" w:before="8"/>
        <w:rPr>
          <w:rFonts w:ascii="宋体" w:hAnsi="宋体" w:cs="宋体" w:eastAsia="宋体" w:hint="default"/>
          <w:sz w:val="12"/>
          <w:szCs w:val="12"/>
        </w:rPr>
      </w:pPr>
    </w:p>
    <w:p>
      <w:pPr>
        <w:pStyle w:val="BodyText"/>
        <w:tabs>
          <w:tab w:pos="1053" w:val="left" w:leader="none"/>
        </w:tabs>
        <w:spacing w:line="240" w:lineRule="auto" w:before="34"/>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6467"/>
        <w:gridCol w:w="1533"/>
        <w:gridCol w:w="1663"/>
      </w:tblGrid>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140,478,464.18</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92,386,770.42</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5,301,401.72</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4,642,655.94</w:t>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固定资产折旧、投资性房地产摊销</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19,713,286.23</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36,504,032.12</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1,567,714.68</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8,216,880.89</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155,863.92</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3,938,430.36</w:t>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-371,000.00</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15,992,511.80</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653,567.63</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6,478,595.25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20,492,844.11</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-106,109,855.95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-76,580,318.68</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26,004,873.90</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11,574,076.25</w:t>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-1,653,741.14</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992,449.63</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-271,301,199.25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71,471,584.29</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20,979,510.70</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263,292,400.30</w:t>
            </w:r>
          </w:p>
        </w:tc>
      </w:tr>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-266,146,936.03</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83,680,417.23</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9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-424,903,021.79</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537,258,302.29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65" w:top="1040" w:bottom="1060" w:left="880" w:right="94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6467"/>
        <w:gridCol w:w="1533"/>
        <w:gridCol w:w="1663"/>
      </w:tblGrid>
      <w:tr>
        <w:trPr>
          <w:trHeight w:val="502"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50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360,697,122.94</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698,442,335.31</w:t>
            </w:r>
          </w:p>
        </w:tc>
      </w:tr>
      <w:tr>
        <w:trPr>
          <w:trHeight w:val="50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698,442,335.31</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280,272,407.64</w:t>
            </w:r>
          </w:p>
        </w:tc>
      </w:tr>
      <w:tr>
        <w:trPr>
          <w:trHeight w:val="511"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6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-337,745,212.37</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418,169,927.67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202"/>
        <w:jc w:val="left"/>
      </w:pPr>
      <w:r>
        <w:rPr/>
        <w:t>（</w:t>
      </w:r>
      <w:r>
        <w:rPr>
          <w:rFonts w:ascii="Times New Roman" w:hAnsi="Times New Roman" w:cs="Times New Roman" w:eastAsia="Times New Roman" w:hint="default"/>
        </w:rPr>
        <w:t>2</w:t>
      </w:r>
      <w:r>
        <w:rPr/>
        <w:t>）本期取得或处置子公司及其他营业单位的相关信息</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6272"/>
        <w:gridCol w:w="1749"/>
        <w:gridCol w:w="1749"/>
      </w:tblGrid>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49"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104,700,000.00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356,940,000.00</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104,700,000.00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356,940,000.00</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104,700,000.00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356,940,000.00</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91,579,400.83</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244,208,816.53</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553,663,481.82</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1,253,679,701.23</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16,253,215.79</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479,779.86</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476,353,539.90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884,950,664.56</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1,983,756.88</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125,000,000.00</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749"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288,200,001.80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186,195,369.94</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288,200,001.80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186,195,369.94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040" w:bottom="1060" w:left="1020" w:right="88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6272"/>
        <w:gridCol w:w="1749"/>
        <w:gridCol w:w="1749"/>
      </w:tblGrid>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48,460,288.37</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6,472,800.43</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239,739,713.43</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179,722,569.51</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194,369,315.42</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154,755,855.01</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210,721,809.62</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816,266,185.29</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165,305,924.27</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63,172,093.71</w:t>
            </w:r>
            <w:r>
              <w:rPr>
                <w:rFonts w:ascii="Times New Roman"/>
                <w:sz w:val="21"/>
              </w:rPr>
            </w:r>
          </w:p>
        </w:tc>
      </w:tr>
      <w:tr>
        <w:trPr>
          <w:trHeight w:val="511"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119,658,418.47</w:t>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541,723,143.09</w:t>
            </w:r>
            <w:r>
              <w:rPr>
                <w:rFonts w:ascii="Times New Roman"/>
                <w:sz w:val="21"/>
              </w:rPr>
            </w:r>
          </w:p>
        </w:tc>
      </w:tr>
      <w:tr>
        <w:trPr>
          <w:trHeight w:val="509" w:hRule="exact"/>
        </w:trPr>
        <w:tc>
          <w:tcPr>
            <w:tcW w:w="6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62,000,000.00</w:t>
            </w:r>
            <w:r>
              <w:rPr>
                <w:rFonts w:ascii="Times New Roman"/>
                <w:sz w:val="21"/>
              </w:rPr>
            </w:r>
          </w:p>
        </w:tc>
        <w:tc>
          <w:tcPr>
            <w:tcW w:w="1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182,959,280.90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202"/>
        <w:jc w:val="left"/>
      </w:pPr>
      <w:r>
        <w:rPr/>
        <w:t>（</w:t>
      </w:r>
      <w:r>
        <w:rPr>
          <w:rFonts w:ascii="Times New Roman" w:hAnsi="Times New Roman" w:cs="Times New Roman" w:eastAsia="Times New Roman" w:hint="default"/>
        </w:rPr>
        <w:t>3</w:t>
      </w:r>
      <w:r>
        <w:rPr/>
        <w:t>）现金和现金等价物的构成</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940"/>
        <w:gridCol w:w="2416"/>
        <w:gridCol w:w="2416"/>
      </w:tblGrid>
      <w:tr>
        <w:trPr>
          <w:trHeight w:val="511"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212,985.27</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1,075,648.44</w:t>
            </w:r>
            <w:r>
              <w:rPr>
                <w:rFonts w:ascii="Times New Roman"/>
                <w:sz w:val="21"/>
              </w:rPr>
            </w:r>
          </w:p>
        </w:tc>
      </w:tr>
      <w:tr>
        <w:trPr>
          <w:trHeight w:val="509"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360,484,137.67</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697,366,686.87</w:t>
            </w:r>
            <w:r>
              <w:rPr>
                <w:rFonts w:ascii="Times New Roman"/>
                <w:sz w:val="21"/>
              </w:rPr>
            </w:r>
          </w:p>
        </w:tc>
      </w:tr>
      <w:tr>
        <w:trPr>
          <w:trHeight w:val="511"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360,697,122.94</w:t>
            </w:r>
            <w:r>
              <w:rPr>
                <w:rFonts w:ascii="Times New Roman"/>
                <w:sz w:val="21"/>
              </w:rPr>
            </w:r>
          </w:p>
        </w:tc>
        <w:tc>
          <w:tcPr>
            <w:tcW w:w="2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698,442,335.31</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221" w:right="202"/>
        <w:jc w:val="left"/>
      </w:pPr>
      <w:r>
        <w:rPr/>
        <w:t>注：现金和现金等价物不含母公司或集团内子公司使用受限制的现金和现金等价物。</w:t>
      </w:r>
    </w:p>
    <w:p>
      <w:pPr>
        <w:spacing w:after="0" w:line="240" w:lineRule="auto"/>
        <w:jc w:val="left"/>
        <w:sectPr>
          <w:pgSz w:w="11910" w:h="16840"/>
          <w:pgMar w:header="0" w:footer="865" w:top="1040" w:bottom="1060" w:left="1020" w:right="880"/>
        </w:sectPr>
      </w:pPr>
    </w:p>
    <w:p>
      <w:pPr>
        <w:spacing w:line="240" w:lineRule="auto" w:before="3"/>
        <w:rPr>
          <w:rFonts w:ascii="宋体" w:hAnsi="宋体" w:cs="宋体" w:eastAsia="宋体" w:hint="default"/>
          <w:sz w:val="14"/>
          <w:szCs w:val="14"/>
        </w:rPr>
      </w:pPr>
    </w:p>
    <w:p>
      <w:pPr>
        <w:pStyle w:val="BodyText"/>
        <w:spacing w:line="240" w:lineRule="auto" w:before="34"/>
        <w:ind w:left="221" w:right="0"/>
        <w:jc w:val="left"/>
        <w:rPr>
          <w:rFonts w:ascii="宋体" w:hAnsi="宋体" w:cs="宋体" w:eastAsia="宋体" w:hint="default"/>
        </w:rPr>
      </w:pPr>
      <w:bookmarkStart w:name="六、关联方及关联交易" w:id="132"/>
      <w:bookmarkEnd w:id="132"/>
      <w:r>
        <w:rPr/>
      </w:r>
      <w:bookmarkStart w:name="1、本企业的大股东情况" w:id="133"/>
      <w:bookmarkEnd w:id="133"/>
      <w:r>
        <w:rPr/>
      </w:r>
      <w:bookmarkStart w:name="2、本企业的子公司情况" w:id="134"/>
      <w:bookmarkEnd w:id="134"/>
      <w:r>
        <w:rPr/>
      </w:r>
      <w:r>
        <w:rPr>
          <w:rFonts w:ascii="宋体" w:hAnsi="宋体" w:cs="宋体" w:eastAsia="宋体" w:hint="default"/>
        </w:rPr>
        <w:t>六、关联方及关联交易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221" w:right="0"/>
        <w:jc w:val="left"/>
        <w:rPr>
          <w:b w:val="0"/>
          <w:bCs w:val="0"/>
        </w:rPr>
      </w:pPr>
      <w:r>
        <w:rPr>
          <w:rFonts w:ascii="Times New Roman" w:hAnsi="Times New Roman" w:cs="Times New Roman" w:eastAsia="Times New Roman" w:hint="default"/>
        </w:rPr>
        <w:t>1</w:t>
      </w:r>
      <w:r>
        <w:rPr/>
        <w:t>、本企业的大股东情况</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263" w:val="left" w:leader="none"/>
        </w:tabs>
        <w:spacing w:line="240" w:lineRule="auto" w:before="34"/>
        <w:ind w:left="0" w:right="233"/>
        <w:jc w:val="right"/>
      </w:pPr>
      <w:r>
        <w:rPr/>
        <w:t>单位：万元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44"/>
        <w:gridCol w:w="1275"/>
        <w:gridCol w:w="1602"/>
        <w:gridCol w:w="989"/>
        <w:gridCol w:w="1071"/>
        <w:gridCol w:w="1624"/>
        <w:gridCol w:w="938"/>
        <w:gridCol w:w="1605"/>
        <w:gridCol w:w="1605"/>
        <w:gridCol w:w="1193"/>
      </w:tblGrid>
      <w:tr>
        <w:trPr>
          <w:trHeight w:val="648" w:hRule="exact"/>
        </w:trPr>
        <w:tc>
          <w:tcPr>
            <w:tcW w:w="2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6"/>
              <w:ind w:left="447" w:right="354" w:hanging="92"/>
              <w:jc w:val="left"/>
              <w:rPr>
                <w:rFonts w:ascii="宋体" w:hAnsi="宋体" w:cs="宋体" w:eastAsia="宋体" w:hint="default"/>
                <w:sz w:val="18"/>
                <w:szCs w:val="18"/>
              </w:rPr>
            </w:pPr>
            <w:r>
              <w:rPr>
                <w:rFonts w:ascii="宋体" w:hAnsi="宋体" w:cs="宋体" w:eastAsia="宋体" w:hint="default"/>
                <w:sz w:val="18"/>
                <w:szCs w:val="18"/>
              </w:rPr>
              <w:t>业务性质及</w:t>
            </w:r>
            <w:r>
              <w:rPr>
                <w:rFonts w:ascii="宋体" w:hAnsi="宋体" w:cs="宋体" w:eastAsia="宋体" w:hint="default"/>
                <w:spacing w:val="-88"/>
                <w:sz w:val="18"/>
                <w:szCs w:val="18"/>
              </w:rPr>
              <w:t> </w:t>
            </w:r>
            <w:r>
              <w:rPr>
                <w:rFonts w:ascii="宋体" w:hAnsi="宋体" w:cs="宋体" w:eastAsia="宋体" w:hint="default"/>
                <w:sz w:val="18"/>
                <w:szCs w:val="18"/>
              </w:rPr>
              <w:t>经营范围</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9"/>
              <w:ind w:left="214" w:right="16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w:t>
            </w:r>
            <w:r>
              <w:rPr>
                <w:rFonts w:ascii="宋体" w:hAnsi="宋体" w:cs="宋体" w:eastAsia="宋体" w:hint="default"/>
                <w:spacing w:val="-87"/>
                <w:sz w:val="18"/>
                <w:szCs w:val="18"/>
              </w:rPr>
              <w:t> </w:t>
            </w:r>
            <w:r>
              <w:rPr>
                <w:rFonts w:ascii="宋体" w:hAnsi="宋体" w:cs="宋体" w:eastAsia="宋体" w:hint="default"/>
                <w:sz w:val="18"/>
                <w:szCs w:val="18"/>
              </w:rPr>
              <w:t>的持股比例</w:t>
            </w:r>
            <w:r>
              <w:rPr>
                <w:rFonts w:ascii="Times New Roman" w:hAnsi="Times New Roman" w:cs="Times New Roman" w:eastAsia="Times New Roman" w:hint="default"/>
                <w:sz w:val="18"/>
                <w:szCs w:val="18"/>
              </w:rPr>
              <w:t>(%)</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9"/>
              <w:ind w:left="122" w:right="118"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w:t>
            </w:r>
            <w:r>
              <w:rPr>
                <w:rFonts w:ascii="宋体" w:hAnsi="宋体" w:cs="宋体" w:eastAsia="宋体" w:hint="default"/>
                <w:w w:val="100"/>
                <w:sz w:val="18"/>
                <w:szCs w:val="18"/>
              </w:rPr>
              <w:t> </w:t>
            </w:r>
            <w:r>
              <w:rPr>
                <w:rFonts w:ascii="宋体" w:hAnsi="宋体" w:cs="宋体" w:eastAsia="宋体" w:hint="default"/>
                <w:sz w:val="18"/>
                <w:szCs w:val="18"/>
              </w:rPr>
              <w:t>的表决权比例</w:t>
            </w:r>
            <w:r>
              <w:rPr>
                <w:rFonts w:ascii="Times New Roman" w:hAnsi="Times New Roman" w:cs="Times New Roman" w:eastAsia="Times New Roman" w:hint="default"/>
                <w:sz w:val="18"/>
                <w:szCs w:val="18"/>
              </w:rPr>
              <w:t>(%)</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328" w:lineRule="auto" w:before="56"/>
              <w:ind w:left="411" w:right="233" w:hanging="181"/>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w w:val="100"/>
                <w:sz w:val="18"/>
                <w:szCs w:val="18"/>
              </w:rPr>
              <w:t> </w:t>
            </w:r>
            <w:r>
              <w:rPr>
                <w:rFonts w:ascii="宋体" w:hAnsi="宋体" w:cs="宋体" w:eastAsia="宋体" w:hint="default"/>
                <w:sz w:val="18"/>
                <w:szCs w:val="18"/>
              </w:rPr>
              <w:t>代码</w:t>
            </w:r>
          </w:p>
        </w:tc>
      </w:tr>
      <w:tr>
        <w:trPr>
          <w:trHeight w:val="718" w:hRule="exact"/>
        </w:trPr>
        <w:tc>
          <w:tcPr>
            <w:tcW w:w="2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第一大股东</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钟征宇</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5" w:right="106"/>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5"/>
                <w:sz w:val="18"/>
                <w:szCs w:val="18"/>
              </w:rPr>
              <w:t> </w:t>
            </w:r>
            <w:r>
              <w:rPr>
                <w:rFonts w:ascii="宋体" w:hAnsi="宋体" w:cs="宋体" w:eastAsia="宋体" w:hint="default"/>
                <w:spacing w:val="10"/>
                <w:sz w:val="18"/>
                <w:szCs w:val="18"/>
              </w:rPr>
              <w:t>技项</w:t>
            </w:r>
            <w:r>
              <w:rPr>
                <w:rFonts w:ascii="宋体" w:hAnsi="宋体" w:cs="宋体" w:eastAsia="宋体" w:hint="default"/>
                <w:spacing w:val="-65"/>
                <w:sz w:val="18"/>
                <w:szCs w:val="18"/>
              </w:rPr>
              <w:t> </w:t>
            </w:r>
            <w:r>
              <w:rPr>
                <w:rFonts w:ascii="宋体" w:hAnsi="宋体" w:cs="宋体" w:eastAsia="宋体" w:hint="default"/>
                <w:spacing w:val="10"/>
                <w:sz w:val="18"/>
                <w:szCs w:val="18"/>
              </w:rPr>
              <w:t>目投</w:t>
            </w:r>
            <w:r>
              <w:rPr>
                <w:rFonts w:ascii="宋体" w:hAnsi="宋体" w:cs="宋体" w:eastAsia="宋体" w:hint="default"/>
                <w:spacing w:val="-65"/>
                <w:sz w:val="18"/>
                <w:szCs w:val="18"/>
              </w:rPr>
              <w:t> </w:t>
            </w:r>
            <w:r>
              <w:rPr>
                <w:rFonts w:ascii="宋体" w:hAnsi="宋体" w:cs="宋体" w:eastAsia="宋体" w:hint="default"/>
                <w:spacing w:val="10"/>
                <w:sz w:val="18"/>
                <w:szCs w:val="18"/>
              </w:rPr>
              <w:t>资及</w:t>
            </w:r>
            <w:r>
              <w:rPr>
                <w:rFonts w:ascii="宋体" w:hAnsi="宋体" w:cs="宋体" w:eastAsia="宋体" w:hint="default"/>
                <w:w w:val="100"/>
                <w:sz w:val="18"/>
                <w:szCs w:val="18"/>
              </w:rPr>
              <w:t> </w:t>
            </w:r>
            <w:r>
              <w:rPr>
                <w:rFonts w:ascii="宋体" w:hAnsi="宋体" w:cs="宋体" w:eastAsia="宋体" w:hint="default"/>
                <w:sz w:val="18"/>
                <w:szCs w:val="18"/>
              </w:rPr>
              <w:t>开发等</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2000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91"/>
              <w:jc w:val="right"/>
              <w:rPr>
                <w:rFonts w:ascii="Times New Roman" w:hAnsi="Times New Roman" w:cs="Times New Roman" w:eastAsia="Times New Roman" w:hint="default"/>
                <w:sz w:val="18"/>
                <w:szCs w:val="18"/>
              </w:rPr>
            </w:pPr>
            <w:r>
              <w:rPr>
                <w:rFonts w:ascii="Times New Roman"/>
                <w:sz w:val="18"/>
              </w:rPr>
              <w:t>19.80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91"/>
              <w:jc w:val="right"/>
              <w:rPr>
                <w:rFonts w:ascii="Times New Roman" w:hAnsi="Times New Roman" w:cs="Times New Roman" w:eastAsia="Times New Roman" w:hint="default"/>
                <w:sz w:val="18"/>
                <w:szCs w:val="18"/>
              </w:rPr>
            </w:pPr>
            <w:r>
              <w:rPr>
                <w:rFonts w:ascii="Times New Roman"/>
                <w:sz w:val="18"/>
              </w:rPr>
              <w:t>19.80</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22056854-6</w:t>
            </w:r>
          </w:p>
        </w:tc>
      </w:tr>
      <w:tr>
        <w:trPr>
          <w:trHeight w:val="509" w:hRule="exact"/>
        </w:trPr>
        <w:tc>
          <w:tcPr>
            <w:tcW w:w="2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第二大股东</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1000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591"/>
              <w:jc w:val="right"/>
              <w:rPr>
                <w:rFonts w:ascii="Times New Roman" w:hAnsi="Times New Roman" w:cs="Times New Roman" w:eastAsia="Times New Roman" w:hint="default"/>
                <w:sz w:val="18"/>
                <w:szCs w:val="18"/>
              </w:rPr>
            </w:pPr>
            <w:r>
              <w:rPr>
                <w:rFonts w:ascii="Times New Roman"/>
                <w:sz w:val="18"/>
              </w:rPr>
              <w:t>14.89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591"/>
              <w:jc w:val="right"/>
              <w:rPr>
                <w:rFonts w:ascii="Times New Roman" w:hAnsi="Times New Roman" w:cs="Times New Roman" w:eastAsia="Times New Roman" w:hint="default"/>
                <w:sz w:val="18"/>
                <w:szCs w:val="18"/>
              </w:rPr>
            </w:pPr>
            <w:r>
              <w:rPr>
                <w:rFonts w:ascii="Times New Roman"/>
                <w:sz w:val="18"/>
              </w:rPr>
              <w:t>14.89</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71522062-1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221"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263" w:val="left" w:leader="none"/>
        </w:tabs>
        <w:spacing w:line="240" w:lineRule="auto" w:before="34"/>
        <w:ind w:left="0" w:right="233"/>
        <w:jc w:val="right"/>
      </w:pPr>
      <w:r>
        <w:rPr/>
        <w:t>单位：万元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8"/>
        <w:gridCol w:w="1280"/>
        <w:gridCol w:w="1420"/>
        <w:gridCol w:w="854"/>
        <w:gridCol w:w="1136"/>
        <w:gridCol w:w="1641"/>
        <w:gridCol w:w="1140"/>
        <w:gridCol w:w="849"/>
        <w:gridCol w:w="991"/>
        <w:gridCol w:w="2134"/>
      </w:tblGrid>
      <w:tr>
        <w:trPr>
          <w:trHeight w:val="65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8"/>
              <w:ind w:left="454" w:right="361" w:hanging="90"/>
              <w:jc w:val="left"/>
              <w:rPr>
                <w:rFonts w:ascii="宋体" w:hAnsi="宋体" w:cs="宋体" w:eastAsia="宋体" w:hint="default"/>
                <w:sz w:val="18"/>
                <w:szCs w:val="18"/>
              </w:rPr>
            </w:pPr>
            <w:r>
              <w:rPr>
                <w:rFonts w:ascii="宋体" w:hAnsi="宋体" w:cs="宋体" w:eastAsia="宋体" w:hint="default"/>
                <w:sz w:val="18"/>
                <w:szCs w:val="18"/>
              </w:rPr>
              <w:t>业务性质及</w:t>
            </w:r>
            <w:r>
              <w:rPr>
                <w:rFonts w:ascii="宋体" w:hAnsi="宋体" w:cs="宋体" w:eastAsia="宋体" w:hint="default"/>
                <w:spacing w:val="-88"/>
                <w:sz w:val="18"/>
                <w:szCs w:val="18"/>
              </w:rPr>
              <w:t> </w:t>
            </w:r>
            <w:r>
              <w:rPr>
                <w:rFonts w:ascii="宋体" w:hAnsi="宋体" w:cs="宋体" w:eastAsia="宋体" w:hint="default"/>
                <w:sz w:val="18"/>
                <w:szCs w:val="18"/>
              </w:rPr>
              <w:t>经营范围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197" w:right="147" w:hanging="49"/>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267" w:right="127" w:hanging="138"/>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罗伟光</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19245882-4</w:t>
            </w:r>
          </w:p>
        </w:tc>
      </w:tr>
      <w:tr>
        <w:trPr>
          <w:trHeight w:val="743"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262"/>
              <w:jc w:val="left"/>
              <w:rPr>
                <w:rFonts w:ascii="宋体" w:hAnsi="宋体" w:cs="宋体" w:eastAsia="宋体" w:hint="default"/>
                <w:sz w:val="18"/>
                <w:szCs w:val="18"/>
              </w:rPr>
            </w:pPr>
            <w:r>
              <w:rPr>
                <w:rFonts w:ascii="宋体" w:hAnsi="宋体" w:cs="宋体" w:eastAsia="宋体" w:hint="default"/>
                <w:sz w:val="18"/>
                <w:szCs w:val="18"/>
              </w:rPr>
              <w:t>物资供销、兴办</w:t>
            </w:r>
            <w:r>
              <w:rPr>
                <w:rFonts w:ascii="宋体" w:hAnsi="宋体" w:cs="宋体" w:eastAsia="宋体" w:hint="default"/>
                <w:spacing w:val="-87"/>
                <w:sz w:val="18"/>
                <w:szCs w:val="18"/>
              </w:rPr>
              <w:t> </w:t>
            </w:r>
            <w:r>
              <w:rPr>
                <w:rFonts w:ascii="宋体" w:hAnsi="宋体" w:cs="宋体" w:eastAsia="宋体" w:hint="default"/>
                <w:sz w:val="18"/>
                <w:szCs w:val="18"/>
              </w:rPr>
              <w:t>实业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19238441-5</w:t>
            </w:r>
          </w:p>
        </w:tc>
      </w:tr>
      <w:tr>
        <w:trPr>
          <w:trHeight w:val="716"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深圳市凯方房地产开发有限公司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关振芳</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pacing w:val="-3"/>
                <w:sz w:val="18"/>
                <w:szCs w:val="18"/>
              </w:rPr>
              <w:t>房地产开发、物业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72854727-9</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27933402-3</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周非</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27952356-1</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周非</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物业出租及管理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19247875-3</w:t>
            </w:r>
          </w:p>
        </w:tc>
      </w:tr>
    </w:tbl>
    <w:p>
      <w:pPr>
        <w:spacing w:after="0" w:line="240" w:lineRule="auto"/>
        <w:jc w:val="center"/>
        <w:rPr>
          <w:rFonts w:ascii="Times New Roman" w:hAnsi="Times New Roman" w:cs="Times New Roman" w:eastAsia="Times New Roman" w:hint="default"/>
          <w:sz w:val="18"/>
          <w:szCs w:val="18"/>
        </w:rPr>
        <w:sectPr>
          <w:footerReference w:type="default" r:id="rId48"/>
          <w:pgSz w:w="16840" w:h="11910" w:orient="landscape"/>
          <w:pgMar w:footer="845" w:header="0" w:top="1100" w:bottom="1040" w:left="920" w:right="860"/>
          <w:pgNumType w:start="120"/>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3378"/>
        <w:gridCol w:w="1280"/>
        <w:gridCol w:w="1420"/>
        <w:gridCol w:w="854"/>
        <w:gridCol w:w="1136"/>
        <w:gridCol w:w="1641"/>
        <w:gridCol w:w="1140"/>
        <w:gridCol w:w="849"/>
        <w:gridCol w:w="991"/>
        <w:gridCol w:w="2134"/>
      </w:tblGrid>
      <w:tr>
        <w:trPr>
          <w:trHeight w:val="65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8"/>
              <w:ind w:left="454" w:right="361" w:hanging="90"/>
              <w:jc w:val="left"/>
              <w:rPr>
                <w:rFonts w:ascii="宋体" w:hAnsi="宋体" w:cs="宋体" w:eastAsia="宋体" w:hint="default"/>
                <w:sz w:val="18"/>
                <w:szCs w:val="18"/>
              </w:rPr>
            </w:pPr>
            <w:r>
              <w:rPr>
                <w:rFonts w:ascii="宋体" w:hAnsi="宋体" w:cs="宋体" w:eastAsia="宋体" w:hint="default"/>
                <w:sz w:val="18"/>
                <w:szCs w:val="18"/>
              </w:rPr>
              <w:t>业务性质及</w:t>
            </w:r>
            <w:r>
              <w:rPr>
                <w:rFonts w:ascii="宋体" w:hAnsi="宋体" w:cs="宋体" w:eastAsia="宋体" w:hint="default"/>
                <w:spacing w:val="-88"/>
                <w:sz w:val="18"/>
                <w:szCs w:val="18"/>
              </w:rPr>
              <w:t> </w:t>
            </w:r>
            <w:r>
              <w:rPr>
                <w:rFonts w:ascii="宋体" w:hAnsi="宋体" w:cs="宋体" w:eastAsia="宋体" w:hint="default"/>
                <w:sz w:val="18"/>
                <w:szCs w:val="18"/>
              </w:rPr>
              <w:t>经营范围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197" w:right="147" w:hanging="49"/>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267" w:right="127" w:hanging="138"/>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胡海峰</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7502164-1</w:t>
            </w:r>
          </w:p>
        </w:tc>
      </w:tr>
      <w:tr>
        <w:trPr>
          <w:trHeight w:val="715"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陕西宝安鸿基房地产开发有限公司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胡海峰</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1"/>
              <w:jc w:val="left"/>
              <w:rPr>
                <w:rFonts w:ascii="宋体" w:hAnsi="宋体" w:cs="宋体" w:eastAsia="宋体" w:hint="default"/>
                <w:sz w:val="18"/>
                <w:szCs w:val="18"/>
              </w:rPr>
            </w:pPr>
            <w:r>
              <w:rPr>
                <w:rFonts w:ascii="宋体" w:hAnsi="宋体" w:cs="宋体" w:eastAsia="宋体" w:hint="default"/>
                <w:spacing w:val="9"/>
                <w:sz w:val="18"/>
                <w:szCs w:val="18"/>
              </w:rPr>
              <w:t>房地产开发销售、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物业管理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55230683-3</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安徽宝安鸿基房地产开发有限公司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池洲</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周非</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56068089-2</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陈峰伟</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69972271-9</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东莞宝安鸿基房地产开发有限公司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徐舒晖</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58292981-2</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湘潭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陈峰伟</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58091599-4</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惠东县宝安鸿基房地产开发有限公司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惠东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徐舒晖</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58826971-2</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深圳市宝鹏物流有限公司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物流、货运代理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55866507-9</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11250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73881286-5</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深圳市鸿基集装箱运输有限公司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郭磊</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集装箱运输</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19220419-7</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深圳市鸿永通国际货运代理有限公司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黄旭辉</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货运代理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73628923-0</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运输、贸易</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 w:right="-32"/>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601558</w:t>
            </w:r>
            <w:r>
              <w:rPr>
                <w:rFonts w:ascii="宋体" w:hAnsi="宋体" w:cs="宋体" w:eastAsia="宋体" w:hint="default"/>
                <w:spacing w:val="-1"/>
                <w:sz w:val="18"/>
                <w:szCs w:val="18"/>
              </w:rPr>
              <w:t>（香港公司注册号）</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福建升通网络传媒有限公司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增值电信服务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76617330-0</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深圳市宝永发投资发展有限公司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58158031-3</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深圳市宝地投资发展有限公司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58274171-3</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深圳市宝鹏投资发展有限公司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58271860-1</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100"/>
                <w:sz w:val="18"/>
              </w:rPr>
              <w:t>-</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生物制药</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19222892-2</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0" w:footer="845" w:top="1040" w:bottom="1040" w:left="920" w:right="860"/>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3378"/>
        <w:gridCol w:w="1280"/>
        <w:gridCol w:w="1420"/>
        <w:gridCol w:w="854"/>
        <w:gridCol w:w="1136"/>
        <w:gridCol w:w="1641"/>
        <w:gridCol w:w="1140"/>
        <w:gridCol w:w="849"/>
        <w:gridCol w:w="991"/>
        <w:gridCol w:w="2134"/>
      </w:tblGrid>
      <w:tr>
        <w:trPr>
          <w:trHeight w:val="65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7" w:right="0"/>
              <w:jc w:val="center"/>
              <w:rPr>
                <w:rFonts w:ascii="宋体" w:hAnsi="宋体" w:cs="宋体" w:eastAsia="宋体" w:hint="default"/>
                <w:sz w:val="18"/>
                <w:szCs w:val="18"/>
              </w:rPr>
            </w:pPr>
            <w:bookmarkStart w:name="3、联营企业情况" w:id="135"/>
            <w:bookmarkEnd w:id="135"/>
            <w:r>
              <w:rPr/>
            </w:r>
            <w:bookmarkStart w:name="4、本企业的其他关联方情况" w:id="136"/>
            <w:bookmarkEnd w:id="136"/>
            <w:r>
              <w:rPr/>
            </w:r>
            <w:r>
              <w:rPr>
                <w:rFonts w:ascii="宋体" w:hAnsi="宋体" w:cs="宋体" w:eastAsia="宋体" w:hint="default"/>
                <w:sz w:val="18"/>
                <w:szCs w:val="18"/>
              </w:rPr>
              <w:t>子公司全称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8"/>
              <w:ind w:left="454" w:right="361" w:hanging="90"/>
              <w:jc w:val="left"/>
              <w:rPr>
                <w:rFonts w:ascii="宋体" w:hAnsi="宋体" w:cs="宋体" w:eastAsia="宋体" w:hint="default"/>
                <w:sz w:val="18"/>
                <w:szCs w:val="18"/>
              </w:rPr>
            </w:pPr>
            <w:r>
              <w:rPr>
                <w:rFonts w:ascii="宋体" w:hAnsi="宋体" w:cs="宋体" w:eastAsia="宋体" w:hint="default"/>
                <w:sz w:val="18"/>
                <w:szCs w:val="18"/>
              </w:rPr>
              <w:t>业务性质及</w:t>
            </w:r>
            <w:r>
              <w:rPr>
                <w:rFonts w:ascii="宋体" w:hAnsi="宋体" w:cs="宋体" w:eastAsia="宋体" w:hint="default"/>
                <w:spacing w:val="-88"/>
                <w:sz w:val="18"/>
                <w:szCs w:val="18"/>
              </w:rPr>
              <w:t> </w:t>
            </w:r>
            <w:r>
              <w:rPr>
                <w:rFonts w:ascii="宋体" w:hAnsi="宋体" w:cs="宋体" w:eastAsia="宋体" w:hint="default"/>
                <w:sz w:val="18"/>
                <w:szCs w:val="18"/>
              </w:rPr>
              <w:t>经营范围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197" w:right="147" w:hanging="49"/>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267" w:right="127" w:hanging="138"/>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w:t>
            </w:r>
            <w:r>
              <w:rPr>
                <w:rFonts w:ascii="宋体" w:hAnsi="宋体" w:cs="宋体" w:eastAsia="宋体" w:hint="default"/>
                <w:w w:val="100"/>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郑建安</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机械生产销售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48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分支机构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冯燕丽</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旅店、服务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48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吕晓艳</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进出口及代理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27926017-5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06"/>
        <w:ind w:left="221" w:right="0"/>
        <w:jc w:val="left"/>
        <w:rPr>
          <w:b w:val="0"/>
          <w:bCs w:val="0"/>
        </w:rPr>
      </w:pPr>
      <w:r>
        <w:rPr>
          <w:rFonts w:ascii="Times New Roman" w:hAnsi="Times New Roman" w:cs="Times New Roman" w:eastAsia="Times New Roman" w:hint="default"/>
        </w:rPr>
        <w:t>3</w:t>
      </w:r>
      <w:r>
        <w:rPr/>
        <w:t>、联营企业情况</w:t>
      </w:r>
      <w:r>
        <w:rPr>
          <w:b w:val="0"/>
          <w:bCs w:val="0"/>
        </w:rPr>
      </w:r>
    </w:p>
    <w:p>
      <w:pPr>
        <w:spacing w:line="240" w:lineRule="auto" w:before="16"/>
        <w:rPr>
          <w:rFonts w:ascii="Microsoft JhengHei" w:hAnsi="Microsoft JhengHei" w:cs="Microsoft JhengHei" w:eastAsia="Microsoft JhengHei" w:hint="default"/>
          <w:b/>
          <w:bCs/>
          <w:sz w:val="7"/>
          <w:szCs w:val="7"/>
        </w:rPr>
      </w:pPr>
    </w:p>
    <w:p>
      <w:pPr>
        <w:pStyle w:val="BodyText"/>
        <w:spacing w:line="240" w:lineRule="auto" w:before="34"/>
        <w:ind w:left="0" w:right="282"/>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736"/>
        <w:gridCol w:w="1343"/>
        <w:gridCol w:w="1020"/>
        <w:gridCol w:w="1241"/>
        <w:gridCol w:w="1018"/>
        <w:gridCol w:w="950"/>
        <w:gridCol w:w="1607"/>
        <w:gridCol w:w="1600"/>
        <w:gridCol w:w="1441"/>
        <w:gridCol w:w="1855"/>
      </w:tblGrid>
      <w:tr>
        <w:trPr>
          <w:trHeight w:val="737"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86"/>
              <w:ind w:left="11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本企业持股比例</w:t>
            </w:r>
            <w:r>
              <w:rPr>
                <w:rFonts w:ascii="Times New Roman" w:hAnsi="Times New Roman" w:cs="Times New Roman" w:eastAsia="Times New Roman" w:hint="default"/>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99"/>
              <w:ind w:left="120" w:right="72" w:hanging="49"/>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w:t>
            </w:r>
            <w:r>
              <w:rPr>
                <w:rFonts w:ascii="宋体" w:hAnsi="宋体" w:cs="宋体" w:eastAsia="宋体" w:hint="default"/>
                <w:spacing w:val="-87"/>
                <w:sz w:val="18"/>
                <w:szCs w:val="18"/>
              </w:rPr>
              <w:t> </w:t>
            </w:r>
            <w:r>
              <w:rPr>
                <w:rFonts w:ascii="宋体" w:hAnsi="宋体" w:cs="宋体" w:eastAsia="宋体" w:hint="default"/>
                <w:sz w:val="18"/>
                <w:szCs w:val="18"/>
              </w:rPr>
              <w:t>位表决权比例</w:t>
            </w:r>
            <w:r>
              <w:rPr>
                <w:rFonts w:ascii="Times New Roman" w:hAnsi="Times New Roman" w:cs="Times New Roman" w:eastAsia="Times New Roman"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0"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施天</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重大影响</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192187745</w:t>
            </w:r>
          </w:p>
        </w:tc>
      </w:tr>
      <w:tr>
        <w:trPr>
          <w:trHeight w:val="480"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深圳市鸿基雅喆电梯有限公司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重大影响</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796648805</w:t>
            </w:r>
          </w:p>
        </w:tc>
      </w:tr>
      <w:tr>
        <w:trPr>
          <w:trHeight w:val="480"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周健民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重大影响</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72616511</w:t>
            </w:r>
          </w:p>
        </w:tc>
      </w:tr>
      <w:tr>
        <w:trPr>
          <w:trHeight w:val="480"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9396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重大影响</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15816324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333" w:lineRule="exact"/>
        <w:ind w:left="221" w:right="0"/>
        <w:jc w:val="left"/>
        <w:rPr>
          <w:b w:val="0"/>
          <w:bCs w:val="0"/>
        </w:rPr>
      </w:pPr>
      <w:r>
        <w:rPr>
          <w:rFonts w:ascii="Times New Roman" w:hAnsi="Times New Roman" w:cs="Times New Roman" w:eastAsia="Times New Roman" w:hint="default"/>
        </w:rPr>
        <w:t>4</w:t>
      </w:r>
      <w:r>
        <w:rPr/>
        <w:t>、本企业的其他关联方情况</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4247"/>
        <w:gridCol w:w="8318"/>
        <w:gridCol w:w="2259"/>
      </w:tblGrid>
      <w:tr>
        <w:trPr>
          <w:trHeight w:val="480" w:hRule="exact"/>
        </w:trPr>
        <w:tc>
          <w:tcPr>
            <w:tcW w:w="4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385"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8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80" w:hRule="exact"/>
        </w:trPr>
        <w:tc>
          <w:tcPr>
            <w:tcW w:w="4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8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持有本公司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14.89</w:t>
            </w:r>
            <w:r>
              <w:rPr>
                <w:rFonts w:ascii="宋体" w:hAnsi="宋体" w:cs="宋体" w:eastAsia="宋体" w:hint="default"/>
                <w:sz w:val="21"/>
                <w:szCs w:val="21"/>
              </w:rPr>
              <w:t>％股份的第二大股东</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深圳市东鸿信投资发展有限公司之母公司</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19228942</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480" w:hRule="exact"/>
        </w:trPr>
        <w:tc>
          <w:tcPr>
            <w:tcW w:w="4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深圳市赛德隆投资发展有限公司</w:t>
            </w:r>
          </w:p>
        </w:tc>
        <w:tc>
          <w:tcPr>
            <w:tcW w:w="8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拥有本公司控股子公司深圳市凯方实业发展有限公司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股权</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70849934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480" w:hRule="exact"/>
        </w:trPr>
        <w:tc>
          <w:tcPr>
            <w:tcW w:w="4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8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本公司已进入清算程序的子公司</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27926017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480" w:hRule="exact"/>
        </w:trPr>
        <w:tc>
          <w:tcPr>
            <w:tcW w:w="4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8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本公司已进入清算程序的分支机构</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0" w:footer="845" w:top="1040" w:bottom="1040" w:left="920" w:right="780"/>
        </w:sectPr>
      </w:pPr>
    </w:p>
    <w:p>
      <w:pPr>
        <w:pStyle w:val="Heading5"/>
        <w:spacing w:line="307" w:lineRule="exact"/>
        <w:ind w:left="245" w:right="13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5" w:lineRule="auto"/>
        <w:ind w:left="559" w:right="131" w:hanging="424"/>
        <w:jc w:val="left"/>
      </w:pPr>
      <w:r>
        <w:rPr/>
        <w:t>（</w:t>
      </w:r>
      <w:r>
        <w:rPr>
          <w:rFonts w:ascii="Times New Roman" w:hAnsi="Times New Roman" w:cs="Times New Roman" w:eastAsia="Times New Roman" w:hint="default"/>
        </w:rPr>
        <w:t>1</w:t>
      </w:r>
      <w:r>
        <w:rPr/>
        <w:t>）关联托管情况</w:t>
      </w:r>
      <w:r>
        <w:rPr>
          <w:spacing w:val="-102"/>
        </w:rPr>
        <w:t> </w:t>
      </w:r>
      <w:r>
        <w:rPr>
          <w:spacing w:val="-102"/>
        </w:rPr>
      </w:r>
      <w:r>
        <w:rPr/>
        <w:t>因以前年度交易，本公司名义持有深圳市东鸿信投资发展有限公司之南澳土地，无法办理更名。</w:t>
      </w:r>
    </w:p>
    <w:p>
      <w:pPr>
        <w:pStyle w:val="BodyText"/>
        <w:spacing w:line="412" w:lineRule="auto" w:before="71"/>
        <w:ind w:left="559" w:right="131" w:hanging="424"/>
        <w:jc w:val="left"/>
      </w:pPr>
      <w:r>
        <w:rPr/>
        <w:t>（</w:t>
      </w:r>
      <w:r>
        <w:rPr>
          <w:rFonts w:ascii="Times New Roman" w:hAnsi="Times New Roman" w:cs="Times New Roman" w:eastAsia="Times New Roman" w:hint="default"/>
        </w:rPr>
        <w:t>2</w:t>
      </w:r>
      <w:r>
        <w:rPr/>
        <w:t>）股权转让协议</w:t>
      </w:r>
      <w:r>
        <w:rPr>
          <w:spacing w:val="-102"/>
        </w:rPr>
        <w:t> </w:t>
      </w:r>
      <w:r>
        <w:rPr>
          <w:spacing w:val="-102"/>
        </w:rPr>
      </w:r>
      <w:r>
        <w:rPr>
          <w:spacing w:val="3"/>
        </w:rPr>
        <w:t>本期公司与第二大股东之母公司深圳市新鸿泰投资发展有限公司协商确定受让其持有的公司七家公</w:t>
      </w:r>
    </w:p>
    <w:p>
      <w:pPr>
        <w:pStyle w:val="BodyText"/>
        <w:spacing w:line="412" w:lineRule="auto" w:before="75"/>
        <w:ind w:left="135" w:right="134"/>
        <w:jc w:val="left"/>
      </w:pPr>
      <w:r>
        <w:rPr/>
        <w:t>司控股子公司的少数股权，双方协商确定转受让价格为 </w:t>
      </w:r>
      <w:r>
        <w:rPr>
          <w:rFonts w:ascii="Times New Roman" w:hAnsi="Times New Roman" w:cs="Times New Roman" w:eastAsia="Times New Roman" w:hint="default"/>
        </w:rPr>
        <w:t>2,200</w:t>
      </w:r>
      <w:r>
        <w:rPr>
          <w:rFonts w:ascii="Times New Roman" w:hAnsi="Times New Roman" w:cs="Times New Roman" w:eastAsia="Times New Roman" w:hint="default"/>
          <w:spacing w:val="-23"/>
        </w:rPr>
        <w:t> </w:t>
      </w:r>
      <w:r>
        <w:rPr/>
        <w:t>万元，该项交易经公司第六届董事局第十三</w:t>
      </w:r>
      <w:r>
        <w:rPr>
          <w:w w:val="99"/>
        </w:rPr>
        <w:t> </w:t>
      </w:r>
      <w:r>
        <w:rPr>
          <w:spacing w:val="-8"/>
          <w:w w:val="99"/>
        </w:rPr>
        <w:t>次临时会议审议通过，交易情况详见附注四、</w:t>
      </w:r>
      <w:r>
        <w:rPr>
          <w:rFonts w:ascii="Times New Roman" w:hAnsi="Times New Roman" w:cs="Times New Roman" w:eastAsia="Times New Roman" w:hint="default"/>
          <w:spacing w:val="-8"/>
          <w:w w:val="99"/>
        </w:rPr>
        <w:t>6</w:t>
      </w:r>
      <w:r>
        <w:rPr>
          <w:spacing w:val="-8"/>
          <w:w w:val="99"/>
        </w:rPr>
        <w:t>、（</w:t>
      </w:r>
      <w:r>
        <w:rPr>
          <w:rFonts w:ascii="Times New Roman" w:hAnsi="Times New Roman" w:cs="Times New Roman" w:eastAsia="Times New Roman" w:hint="default"/>
          <w:spacing w:val="-8"/>
          <w:w w:val="99"/>
        </w:rPr>
        <w:t>2</w:t>
      </w:r>
      <w:r>
        <w:rPr>
          <w:spacing w:val="-8"/>
          <w:w w:val="99"/>
        </w:rPr>
        <w:t>）。</w:t>
      </w:r>
      <w:r>
        <w:rPr>
          <w:spacing w:val="-8"/>
        </w:rPr>
      </w:r>
    </w:p>
    <w:p>
      <w:pPr>
        <w:spacing w:line="240" w:lineRule="auto" w:before="0"/>
        <w:rPr>
          <w:rFonts w:ascii="宋体" w:hAnsi="宋体" w:cs="宋体" w:eastAsia="宋体" w:hint="default"/>
          <w:sz w:val="22"/>
          <w:szCs w:val="22"/>
        </w:rPr>
      </w:pPr>
    </w:p>
    <w:p>
      <w:pPr>
        <w:pStyle w:val="Heading5"/>
        <w:spacing w:line="240" w:lineRule="auto" w:before="188"/>
        <w:ind w:left="141" w:right="13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29"/>
        <w:gridCol w:w="2733"/>
        <w:gridCol w:w="1432"/>
        <w:gridCol w:w="1434"/>
        <w:gridCol w:w="1432"/>
        <w:gridCol w:w="1432"/>
      </w:tblGrid>
      <w:tr>
        <w:trPr>
          <w:trHeight w:val="509" w:hRule="exact"/>
        </w:trPr>
        <w:tc>
          <w:tcPr>
            <w:tcW w:w="12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6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11" w:hRule="exact"/>
        </w:trPr>
        <w:tc>
          <w:tcPr>
            <w:tcW w:w="1229" w:type="dxa"/>
            <w:vMerge/>
            <w:tcBorders>
              <w:left w:val="nil" w:sz="6" w:space="0" w:color="auto"/>
              <w:bottom w:val="single" w:sz="4" w:space="0" w:color="000000"/>
              <w:right w:val="single" w:sz="4" w:space="0" w:color="000000"/>
            </w:tcBorders>
          </w:tcPr>
          <w:p>
            <w:pPr/>
          </w:p>
        </w:tc>
        <w:tc>
          <w:tcPr>
            <w:tcW w:w="2733" w:type="dxa"/>
            <w:vMerge/>
            <w:tcBorders>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深圳市赛德隆投资有限公司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31,388,461.73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25,110,769.38</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31,388,461.73</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25,110,769.38</w:t>
            </w:r>
          </w:p>
        </w:tc>
      </w:tr>
      <w:tr>
        <w:trPr>
          <w:trHeight w:val="51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3,750,000.00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509"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3,260,739.46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3,260,739.46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3,260,739.46</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3,260,739.46</w:t>
            </w:r>
          </w:p>
        </w:tc>
      </w:tr>
      <w:tr>
        <w:trPr>
          <w:trHeight w:val="51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15,020,889.67</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15,020,889.67</w:t>
            </w:r>
          </w:p>
        </w:tc>
      </w:tr>
      <w:tr>
        <w:trPr>
          <w:trHeight w:val="509"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242,742.91</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1,292,872.73</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深圳市鸿基雅喆电梯有限公司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3"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39,201,944.10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32,121,508.84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55,272,963.59</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47,142,398.51</w:t>
            </w:r>
          </w:p>
        </w:tc>
      </w:tr>
    </w:tbl>
    <w:p>
      <w:pPr>
        <w:spacing w:line="240" w:lineRule="auto" w:before="3"/>
        <w:rPr>
          <w:rFonts w:ascii="宋体" w:hAnsi="宋体" w:cs="宋体" w:eastAsia="宋体" w:hint="default"/>
          <w:sz w:val="12"/>
          <w:szCs w:val="12"/>
        </w:rPr>
      </w:pPr>
    </w:p>
    <w:p>
      <w:pPr>
        <w:pStyle w:val="BodyText"/>
        <w:spacing w:line="436" w:lineRule="auto" w:before="34"/>
        <w:ind w:left="135" w:right="108" w:firstLine="423"/>
        <w:jc w:val="left"/>
      </w:pPr>
      <w:r>
        <w:rPr/>
        <w:t>正中置业集团有限公司为本公司原第三大股东深圳市正中投资发展有限公司之控股企业，本期已无关</w:t>
      </w:r>
      <w:r>
        <w:rPr>
          <w:w w:val="99"/>
        </w:rPr>
        <w:t> </w:t>
      </w:r>
      <w:r>
        <w:rPr/>
        <w:t>联关系。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41" w:right="131"/>
        <w:jc w:val="left"/>
        <w:rPr>
          <w:rFonts w:ascii="宋体" w:hAnsi="宋体" w:cs="宋体" w:eastAsia="宋体" w:hint="default"/>
        </w:rPr>
      </w:pPr>
      <w:r>
        <w:rPr>
          <w:rFonts w:ascii="宋体" w:hAnsi="宋体" w:cs="宋体" w:eastAsia="宋体" w:hint="default"/>
        </w:rPr>
        <w:t>七、或有事项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141" w:right="131"/>
        <w:jc w:val="left"/>
        <w:rPr>
          <w:b w:val="0"/>
          <w:bCs w:val="0"/>
        </w:rPr>
      </w:pPr>
      <w:r>
        <w:rPr>
          <w:rFonts w:ascii="Times New Roman" w:hAnsi="Times New Roman" w:cs="Times New Roman" w:eastAsia="Times New Roman" w:hint="default"/>
          <w:spacing w:val="-3"/>
        </w:rPr>
        <w:t>1</w:t>
      </w:r>
      <w:r>
        <w:rPr>
          <w:spacing w:val="-3"/>
        </w:rPr>
        <w:t>、</w:t>
      </w:r>
      <w:r>
        <w:rPr>
          <w:spacing w:val="-1"/>
        </w:rPr>
        <w:t> </w:t>
      </w:r>
      <w:r>
        <w:rPr/>
        <w:t>未决诉讼仲裁形成的或有负债及其财务影响</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35" w:right="131"/>
        <w:jc w:val="left"/>
      </w:pPr>
      <w:r>
        <w:rPr/>
        <w:t>（</w:t>
      </w:r>
      <w:r>
        <w:rPr>
          <w:rFonts w:ascii="Times New Roman" w:hAnsi="Times New Roman" w:cs="Times New Roman" w:eastAsia="Times New Roman" w:hint="default"/>
        </w:rPr>
        <w:t>1</w:t>
      </w:r>
      <w:r>
        <w:rPr/>
        <w:t>）或有负债</w:t>
      </w:r>
    </w:p>
    <w:p>
      <w:pPr>
        <w:spacing w:line="240" w:lineRule="auto" w:before="12"/>
        <w:rPr>
          <w:rFonts w:ascii="宋体" w:hAnsi="宋体" w:cs="宋体" w:eastAsia="宋体" w:hint="default"/>
          <w:sz w:val="15"/>
          <w:szCs w:val="15"/>
        </w:rPr>
      </w:pPr>
    </w:p>
    <w:p>
      <w:pPr>
        <w:pStyle w:val="BodyText"/>
        <w:spacing w:line="240" w:lineRule="auto"/>
        <w:ind w:left="559" w:right="131"/>
        <w:jc w:val="left"/>
      </w:pPr>
      <w:r>
        <w:rPr/>
        <w:t>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日，本公司无未决诉讼仲裁形成的或有负债。</w:t>
      </w:r>
    </w:p>
    <w:p>
      <w:pPr>
        <w:spacing w:after="0" w:line="240" w:lineRule="auto"/>
        <w:jc w:val="left"/>
        <w:sectPr>
          <w:footerReference w:type="default" r:id="rId49"/>
          <w:pgSz w:w="11910" w:h="16840"/>
          <w:pgMar w:footer="865" w:header="0" w:top="1300" w:bottom="1060" w:left="1000" w:right="980"/>
          <w:pgNumType w:start="123"/>
        </w:sectPr>
      </w:pPr>
    </w:p>
    <w:p>
      <w:pPr>
        <w:pStyle w:val="BodyText"/>
        <w:spacing w:line="240" w:lineRule="auto" w:before="8"/>
        <w:ind w:right="0"/>
        <w:jc w:val="both"/>
      </w:pPr>
      <w:bookmarkStart w:name="2、为其他单位提供债务担保形成的或有负债及其财务影响" w:id="137"/>
      <w:bookmarkEnd w:id="137"/>
      <w:r>
        <w:rPr/>
      </w:r>
      <w:bookmarkStart w:name="3、为子公司提供贷款担保" w:id="138"/>
      <w:bookmarkEnd w:id="138"/>
      <w:r>
        <w:rPr/>
      </w:r>
      <w:bookmarkStart w:name="八、承诺事项" w:id="139"/>
      <w:bookmarkEnd w:id="139"/>
      <w:r>
        <w:rPr/>
      </w:r>
      <w:r>
        <w:rPr/>
        <w:t>（</w:t>
      </w:r>
      <w:r>
        <w:rPr>
          <w:rFonts w:ascii="Times New Roman" w:hAnsi="Times New Roman" w:cs="Times New Roman" w:eastAsia="Times New Roman" w:hint="default"/>
        </w:rPr>
        <w:t>2</w:t>
      </w:r>
      <w:r>
        <w:rPr/>
        <w:t>）其他</w:t>
      </w:r>
    </w:p>
    <w:p>
      <w:pPr>
        <w:spacing w:line="240" w:lineRule="auto" w:before="12"/>
        <w:rPr>
          <w:rFonts w:ascii="宋体" w:hAnsi="宋体" w:cs="宋体" w:eastAsia="宋体" w:hint="default"/>
          <w:sz w:val="15"/>
          <w:szCs w:val="15"/>
        </w:rPr>
      </w:pPr>
    </w:p>
    <w:p>
      <w:pPr>
        <w:pStyle w:val="BodyText"/>
        <w:spacing w:line="412" w:lineRule="auto"/>
        <w:ind w:right="123" w:firstLine="423"/>
        <w:jc w:val="both"/>
      </w:pPr>
      <w:r>
        <w:rPr/>
        <w:t>本期本公司之子公司深圳市凯方实业发展有限公司（以下简称</w:t>
      </w:r>
      <w:r>
        <w:rPr>
          <w:rFonts w:ascii="Times New Roman" w:hAnsi="Times New Roman" w:cs="Times New Roman" w:eastAsia="Times New Roman" w:hint="default"/>
        </w:rPr>
        <w:t>“</w:t>
      </w:r>
      <w:r>
        <w:rPr/>
        <w:t>凯方实业公司</w:t>
      </w:r>
      <w:r>
        <w:rPr>
          <w:rFonts w:ascii="Times New Roman" w:hAnsi="Times New Roman" w:cs="Times New Roman" w:eastAsia="Times New Roman" w:hint="default"/>
        </w:rPr>
        <w:t>”</w:t>
      </w:r>
      <w:r>
        <w:rPr/>
        <w:t>）向深圳市福田区人民</w:t>
      </w:r>
      <w:r>
        <w:rPr>
          <w:w w:val="99"/>
        </w:rPr>
        <w:t> </w:t>
      </w:r>
      <w:r>
        <w:rPr/>
        <w:t>法院提起诉讼，要求执有凯方实业公司</w:t>
      </w:r>
      <w:r>
        <w:rPr>
          <w:spacing w:val="-33"/>
        </w:rPr>
        <w:t> </w:t>
      </w:r>
      <w:r>
        <w:rPr>
          <w:rFonts w:ascii="Times New Roman" w:hAnsi="Times New Roman" w:cs="Times New Roman" w:eastAsia="Times New Roman" w:hint="default"/>
          <w:spacing w:val="2"/>
        </w:rPr>
        <w:t>30%</w:t>
      </w:r>
      <w:r>
        <w:rPr>
          <w:spacing w:val="2"/>
        </w:rPr>
        <w:t>股权的股东深圳市赛德隆投资发展有限公司（以下简称</w:t>
      </w:r>
      <w:r>
        <w:rPr>
          <w:rFonts w:ascii="Times New Roman" w:hAnsi="Times New Roman" w:cs="Times New Roman" w:eastAsia="Times New Roman" w:hint="default"/>
          <w:spacing w:val="2"/>
        </w:rPr>
        <w:t>“</w:t>
      </w:r>
      <w:r>
        <w:rPr>
          <w:spacing w:val="2"/>
        </w:rPr>
        <w:t>赛德</w:t>
      </w:r>
      <w:r>
        <w:rPr>
          <w:spacing w:val="-103"/>
        </w:rPr>
        <w:t> </w:t>
      </w:r>
      <w:r>
        <w:rPr>
          <w:spacing w:val="-103"/>
        </w:rPr>
      </w:r>
      <w:r>
        <w:rPr/>
        <w:t>隆公司</w:t>
      </w:r>
      <w:r>
        <w:rPr>
          <w:rFonts w:ascii="Times New Roman" w:hAnsi="Times New Roman" w:cs="Times New Roman" w:eastAsia="Times New Roman" w:hint="default"/>
        </w:rPr>
        <w:t>”</w:t>
      </w:r>
      <w:r>
        <w:rPr/>
        <w:t>）归还其以前年度合作开发房地产项目时发生的资金往来款项 </w:t>
      </w:r>
      <w:r>
        <w:rPr>
          <w:rFonts w:ascii="Times New Roman" w:hAnsi="Times New Roman" w:cs="Times New Roman" w:eastAsia="Times New Roman" w:hint="default"/>
        </w:rPr>
        <w:t>31,388,461.73</w:t>
      </w:r>
      <w:r>
        <w:rPr>
          <w:rFonts w:ascii="Times New Roman" w:hAnsi="Times New Roman" w:cs="Times New Roman" w:eastAsia="Times New Roman" w:hint="default"/>
          <w:spacing w:val="-6"/>
        </w:rPr>
        <w:t> </w:t>
      </w:r>
      <w:r>
        <w:rPr/>
        <w:t>元（公司已计提坏帐</w:t>
      </w:r>
    </w:p>
    <w:p>
      <w:pPr>
        <w:pStyle w:val="BodyText"/>
        <w:spacing w:line="240" w:lineRule="auto" w:before="41"/>
        <w:ind w:right="0"/>
        <w:jc w:val="both"/>
      </w:pPr>
      <w:r>
        <w:rPr/>
        <w:t>准备</w:t>
      </w:r>
      <w:r>
        <w:rPr>
          <w:spacing w:val="-83"/>
        </w:rPr>
        <w:t> </w:t>
      </w:r>
      <w:r>
        <w:rPr>
          <w:rFonts w:ascii="Times New Roman" w:hAnsi="Times New Roman" w:cs="Times New Roman" w:eastAsia="Times New Roman" w:hint="default"/>
        </w:rPr>
        <w:t>25,110,769.38</w:t>
      </w:r>
      <w:r>
        <w:rPr>
          <w:rFonts w:ascii="Times New Roman" w:hAnsi="Times New Roman" w:cs="Times New Roman" w:eastAsia="Times New Roman" w:hint="default"/>
          <w:spacing w:val="-31"/>
        </w:rPr>
        <w:t> </w:t>
      </w:r>
      <w:r>
        <w:rPr/>
        <w:t>元），并按同期银行贷款利息支付上述款项至从起诉之日到实际给付之日的利息，深圳</w:t>
      </w:r>
    </w:p>
    <w:p>
      <w:pPr>
        <w:spacing w:line="240" w:lineRule="auto" w:before="2"/>
        <w:rPr>
          <w:rFonts w:ascii="宋体" w:hAnsi="宋体" w:cs="宋体" w:eastAsia="宋体" w:hint="default"/>
          <w:sz w:val="16"/>
          <w:szCs w:val="16"/>
        </w:rPr>
      </w:pPr>
    </w:p>
    <w:p>
      <w:pPr>
        <w:pStyle w:val="BodyText"/>
        <w:spacing w:line="240" w:lineRule="auto"/>
        <w:ind w:right="0"/>
        <w:jc w:val="both"/>
      </w:pPr>
      <w:r>
        <w:rPr>
          <w:spacing w:val="2"/>
        </w:rPr>
        <w:t>市福田区人民法院</w:t>
      </w:r>
      <w:r>
        <w:rPr>
          <w:spacing w:val="-49"/>
        </w:rPr>
        <w:t> </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9 </w:t>
      </w:r>
      <w:r>
        <w:rPr/>
        <w:t>月</w:t>
      </w:r>
      <w:r>
        <w:rPr>
          <w:spacing w:val="-49"/>
        </w:rPr>
        <w:t> </w:t>
      </w:r>
      <w:r>
        <w:rPr>
          <w:rFonts w:ascii="Times New Roman" w:hAnsi="Times New Roman" w:cs="Times New Roman" w:eastAsia="Times New Roman" w:hint="default"/>
        </w:rPr>
        <w:t>15 </w:t>
      </w:r>
      <w:r>
        <w:rPr>
          <w:spacing w:val="2"/>
        </w:rPr>
        <w:t>日受理了此诉讼，并于</w:t>
      </w:r>
      <w:r>
        <w:rPr>
          <w:spacing w:val="-49"/>
        </w:rPr>
        <w:t> </w:t>
      </w:r>
      <w:r>
        <w:rPr>
          <w:rFonts w:ascii="Times New Roman" w:hAnsi="Times New Roman" w:cs="Times New Roman" w:eastAsia="Times New Roman" w:hint="default"/>
        </w:rPr>
        <w:t>2011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2"/>
        </w:rPr>
        <w:t>日下达</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2011</w:t>
      </w:r>
      <w:r>
        <w:rPr>
          <w:spacing w:val="2"/>
        </w:rPr>
        <w:t>）深福法民二初</w:t>
      </w:r>
    </w:p>
    <w:p>
      <w:pPr>
        <w:spacing w:line="240" w:lineRule="auto" w:before="12"/>
        <w:rPr>
          <w:rFonts w:ascii="宋体" w:hAnsi="宋体" w:cs="宋体" w:eastAsia="宋体" w:hint="default"/>
          <w:sz w:val="15"/>
          <w:szCs w:val="15"/>
        </w:rPr>
      </w:pPr>
    </w:p>
    <w:p>
      <w:pPr>
        <w:pStyle w:val="BodyText"/>
        <w:spacing w:line="424" w:lineRule="auto"/>
        <w:ind w:right="121"/>
        <w:jc w:val="both"/>
      </w:pPr>
      <w:r>
        <w:rPr/>
        <w:t>安第</w:t>
      </w:r>
      <w:r>
        <w:rPr>
          <w:spacing w:val="-64"/>
        </w:rPr>
        <w:t> </w:t>
      </w:r>
      <w:r>
        <w:rPr>
          <w:rFonts w:ascii="Times New Roman" w:hAnsi="Times New Roman" w:cs="Times New Roman" w:eastAsia="Times New Roman" w:hint="default"/>
        </w:rPr>
        <w:t>7609</w:t>
      </w:r>
      <w:r>
        <w:rPr>
          <w:rFonts w:ascii="Times New Roman" w:hAnsi="Times New Roman" w:cs="Times New Roman" w:eastAsia="Times New Roman" w:hint="default"/>
          <w:spacing w:val="-12"/>
        </w:rPr>
        <w:t> </w:t>
      </w:r>
      <w:r>
        <w:rPr/>
        <w:t>号《民事裁定书》</w:t>
      </w:r>
      <w:r>
        <w:rPr>
          <w:rFonts w:ascii="Times New Roman" w:hAnsi="Times New Roman" w:cs="Times New Roman" w:eastAsia="Times New Roman" w:hint="default"/>
        </w:rPr>
        <w:t>”</w:t>
      </w:r>
      <w:r>
        <w:rPr/>
        <w:t>裁定查封、扣押或冻结被告赛德隆公司名下</w:t>
      </w:r>
      <w:r>
        <w:rPr>
          <w:spacing w:val="-64"/>
        </w:rPr>
        <w:t> </w:t>
      </w:r>
      <w:r>
        <w:rPr>
          <w:rFonts w:ascii="Times New Roman" w:hAnsi="Times New Roman" w:cs="Times New Roman" w:eastAsia="Times New Roman" w:hint="default"/>
        </w:rPr>
        <w:t>31,388,461.73</w:t>
      </w:r>
      <w:r>
        <w:rPr>
          <w:rFonts w:ascii="Times New Roman" w:hAnsi="Times New Roman" w:cs="Times New Roman" w:eastAsia="Times New Roman" w:hint="default"/>
          <w:spacing w:val="-12"/>
        </w:rPr>
        <w:t> </w:t>
      </w:r>
      <w:r>
        <w:rPr/>
        <w:t>元的财产，并查封</w:t>
      </w:r>
      <w:r>
        <w:rPr>
          <w:w w:val="99"/>
        </w:rPr>
        <w:t> </w:t>
      </w:r>
      <w:r>
        <w:rPr>
          <w:spacing w:val="3"/>
        </w:rPr>
        <w:t>原告凯方实业公司担保人本公司全资子公司深圳市鸿基房地产有限公司名下用于担保的位于广东省深圳</w:t>
      </w:r>
      <w:r>
        <w:rPr>
          <w:spacing w:val="-96"/>
        </w:rPr>
        <w:t> </w:t>
      </w:r>
      <w:r>
        <w:rPr>
          <w:spacing w:val="-96"/>
        </w:rPr>
      </w:r>
      <w:r>
        <w:rPr/>
        <w:t>市罗湖区东门中路鸿基东港大厦（鸿基座）二十五层、二十七层的房产。</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日下达</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w:t>
      </w:r>
    </w:p>
    <w:p>
      <w:pPr>
        <w:pStyle w:val="BodyText"/>
        <w:spacing w:line="240" w:lineRule="auto" w:before="29"/>
        <w:ind w:right="0"/>
        <w:jc w:val="both"/>
      </w:pPr>
      <w:r>
        <w:rPr/>
        <w:t>深福法民二初字第 </w:t>
      </w:r>
      <w:r>
        <w:rPr>
          <w:rFonts w:ascii="Times New Roman" w:hAnsi="Times New Roman" w:cs="Times New Roman" w:eastAsia="Times New Roman" w:hint="default"/>
        </w:rPr>
        <w:t>7609-3</w:t>
      </w:r>
      <w:r>
        <w:rPr>
          <w:rFonts w:ascii="Times New Roman" w:hAnsi="Times New Roman" w:cs="Times New Roman" w:eastAsia="Times New Roman" w:hint="default"/>
          <w:spacing w:val="-23"/>
        </w:rPr>
        <w:t> </w:t>
      </w:r>
      <w:r>
        <w:rPr/>
        <w:t>号《查封、冻结、扣押财产通知书》</w:t>
      </w:r>
      <w:r>
        <w:rPr>
          <w:rFonts w:ascii="Times New Roman" w:hAnsi="Times New Roman" w:cs="Times New Roman" w:eastAsia="Times New Roman" w:hint="default"/>
        </w:rPr>
        <w:t>”</w:t>
      </w:r>
      <w:r>
        <w:rPr/>
        <w:t>裁定查封赛德隆投资公司持有的西安新鸿</w:t>
      </w:r>
    </w:p>
    <w:p>
      <w:pPr>
        <w:spacing w:line="240" w:lineRule="auto" w:before="12"/>
        <w:rPr>
          <w:rFonts w:ascii="宋体" w:hAnsi="宋体" w:cs="宋体" w:eastAsia="宋体" w:hint="default"/>
          <w:sz w:val="15"/>
          <w:szCs w:val="15"/>
        </w:rPr>
      </w:pPr>
    </w:p>
    <w:p>
      <w:pPr>
        <w:pStyle w:val="BodyText"/>
        <w:spacing w:line="240" w:lineRule="auto"/>
        <w:ind w:right="0"/>
        <w:jc w:val="both"/>
        <w:rPr>
          <w:rFonts w:ascii="Times New Roman" w:hAnsi="Times New Roman" w:cs="Times New Roman" w:eastAsia="Times New Roman" w:hint="default"/>
        </w:rPr>
      </w:pPr>
      <w:r>
        <w:rPr/>
        <w:t>业投资发展有限公司</w:t>
      </w:r>
      <w:r>
        <w:rPr>
          <w:spacing w:val="-50"/>
        </w:rPr>
        <w:t> </w:t>
      </w:r>
      <w:r>
        <w:rPr>
          <w:rFonts w:ascii="Times New Roman" w:hAnsi="Times New Roman" w:cs="Times New Roman" w:eastAsia="Times New Roman" w:hint="default"/>
        </w:rPr>
        <w:t>15.7%</w:t>
      </w:r>
      <w:r>
        <w:rPr/>
        <w:t>的股权。上述房产、股权的保全期限为两年，分别至</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2012</w:t>
      </w:r>
    </w:p>
    <w:p>
      <w:pPr>
        <w:spacing w:line="240" w:lineRule="auto" w:before="4"/>
        <w:rPr>
          <w:rFonts w:ascii="Times New Roman" w:hAnsi="Times New Roman" w:cs="Times New Roman" w:eastAsia="Times New Roman" w:hint="default"/>
          <w:sz w:val="18"/>
          <w:szCs w:val="18"/>
        </w:rPr>
      </w:pPr>
    </w:p>
    <w:p>
      <w:pPr>
        <w:pStyle w:val="BodyText"/>
        <w:spacing w:line="240" w:lineRule="auto"/>
        <w:ind w:right="0"/>
        <w:jc w:val="both"/>
      </w:pP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 </w:t>
      </w:r>
      <w:r>
        <w:rPr/>
        <w:t>日保全期限届满。截止报告批准报出日该案件仍在审理当中。</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line="374" w:lineRule="auto" w:before="0"/>
        <w:ind w:left="433" w:right="12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、为其他单位提供债务担保形成的或有负债及其财务影响</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本公司按房地产经营惯例为商品房承购人提供抵押贷款担保。担保类型为阶段性担保。截止</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12</w:t>
      </w:r>
    </w:p>
    <w:p>
      <w:pPr>
        <w:pStyle w:val="BodyText"/>
        <w:spacing w:line="240" w:lineRule="auto" w:before="78"/>
        <w:ind w:right="0"/>
        <w:jc w:val="both"/>
      </w:pP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日，共承担阶段性担保额为</w:t>
      </w:r>
      <w:r>
        <w:rPr>
          <w:spacing w:val="-53"/>
        </w:rPr>
        <w:t> </w:t>
      </w:r>
      <w:r>
        <w:rPr>
          <w:rFonts w:ascii="Times New Roman" w:hAnsi="Times New Roman" w:cs="Times New Roman" w:eastAsia="Times New Roman" w:hint="default"/>
        </w:rPr>
        <w:t>50,455.47</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right="0"/>
        <w:jc w:val="both"/>
        <w:rPr>
          <w:b w:val="0"/>
          <w:bCs w:val="0"/>
        </w:rPr>
      </w:pPr>
      <w:r>
        <w:rPr>
          <w:rFonts w:ascii="Times New Roman" w:hAnsi="Times New Roman" w:cs="Times New Roman" w:eastAsia="Times New Roman" w:hint="default"/>
        </w:rPr>
        <w:t>3</w:t>
      </w:r>
      <w:r>
        <w:rPr/>
        <w:t>、为子公司提供贷款担保</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0" w:right="123"/>
        <w:jc w:val="right"/>
      </w:pPr>
      <w:r>
        <w:rPr/>
        <w:t>截止</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日，本公司未为子公司提供贷款担保。公司</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年为子公司西安深鸿基房地产</w:t>
      </w:r>
    </w:p>
    <w:p>
      <w:pPr>
        <w:spacing w:line="240" w:lineRule="auto" w:before="12"/>
        <w:rPr>
          <w:rFonts w:ascii="宋体" w:hAnsi="宋体" w:cs="宋体" w:eastAsia="宋体" w:hint="default"/>
          <w:sz w:val="15"/>
          <w:szCs w:val="15"/>
        </w:rPr>
      </w:pPr>
    </w:p>
    <w:p>
      <w:pPr>
        <w:pStyle w:val="BodyText"/>
        <w:spacing w:line="415" w:lineRule="auto"/>
        <w:ind w:right="108"/>
        <w:jc w:val="left"/>
      </w:pPr>
      <w:r>
        <w:rPr/>
        <w:t>有限公司提供的</w:t>
      </w:r>
      <w:r>
        <w:rPr>
          <w:spacing w:val="-49"/>
        </w:rPr>
        <w:t> </w:t>
      </w:r>
      <w:r>
        <w:rPr>
          <w:rFonts w:ascii="Times New Roman" w:hAnsi="Times New Roman" w:cs="Times New Roman" w:eastAsia="Times New Roman" w:hint="default"/>
        </w:rPr>
        <w:t>12,500</w:t>
      </w:r>
      <w:r>
        <w:rPr>
          <w:rFonts w:ascii="Times New Roman" w:hAnsi="Times New Roman" w:cs="Times New Roman" w:eastAsia="Times New Roman" w:hint="default"/>
          <w:spacing w:val="-2"/>
        </w:rPr>
        <w:t> </w:t>
      </w:r>
      <w:r>
        <w:rPr>
          <w:spacing w:val="-4"/>
        </w:rPr>
        <w:t>万元，担保期限为</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02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02 </w:t>
      </w:r>
      <w:r>
        <w:rPr/>
        <w:t>月</w:t>
      </w:r>
      <w:r>
        <w:rPr>
          <w:spacing w:val="-51"/>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spacing w:val="-3"/>
        </w:rPr>
        <w:t>日的贷款担保，本期该贷</w:t>
      </w:r>
      <w:r>
        <w:rPr>
          <w:w w:val="99"/>
        </w:rPr>
        <w:t> </w:t>
      </w:r>
      <w:r>
        <w:rPr/>
        <w:t>款已全部提前偿还。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121" w:right="0"/>
        <w:jc w:val="both"/>
        <w:rPr>
          <w:rFonts w:ascii="宋体" w:hAnsi="宋体" w:cs="宋体" w:eastAsia="宋体" w:hint="default"/>
        </w:rPr>
      </w:pPr>
      <w:r>
        <w:rPr>
          <w:rFonts w:ascii="宋体" w:hAnsi="宋体" w:cs="宋体" w:eastAsia="宋体" w:hint="default"/>
        </w:rPr>
        <w:t>八、承诺事项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right="0"/>
        <w:jc w:val="both"/>
      </w:pPr>
      <w:r>
        <w:rPr/>
        <w:t>租赁承诺：</w:t>
      </w:r>
    </w:p>
    <w:p>
      <w:pPr>
        <w:spacing w:line="240" w:lineRule="auto" w:before="4"/>
        <w:rPr>
          <w:rFonts w:ascii="宋体" w:hAnsi="宋体" w:cs="宋体" w:eastAsia="宋体" w:hint="default"/>
          <w:sz w:val="17"/>
          <w:szCs w:val="17"/>
        </w:rPr>
      </w:pPr>
    </w:p>
    <w:p>
      <w:pPr>
        <w:pStyle w:val="BodyText"/>
        <w:tabs>
          <w:tab w:pos="1051" w:val="left" w:leader="none"/>
        </w:tabs>
        <w:spacing w:line="240" w:lineRule="auto"/>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92"/>
        <w:gridCol w:w="1995"/>
        <w:gridCol w:w="1975"/>
        <w:gridCol w:w="1913"/>
        <w:gridCol w:w="1788"/>
      </w:tblGrid>
      <w:tr>
        <w:trPr>
          <w:trHeight w:val="511" w:hRule="exact"/>
        </w:trPr>
        <w:tc>
          <w:tcPr>
            <w:tcW w:w="19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合同总金额</w:t>
            </w:r>
          </w:p>
        </w:tc>
        <w:tc>
          <w:tcPr>
            <w:tcW w:w="56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预计租金支出</w:t>
            </w:r>
          </w:p>
        </w:tc>
      </w:tr>
      <w:tr>
        <w:trPr>
          <w:trHeight w:val="509" w:hRule="exact"/>
        </w:trPr>
        <w:tc>
          <w:tcPr>
            <w:tcW w:w="1992" w:type="dxa"/>
            <w:vMerge/>
            <w:tcBorders>
              <w:left w:val="nil" w:sz="6" w:space="0" w:color="auto"/>
              <w:bottom w:val="single" w:sz="4" w:space="0" w:color="000000"/>
              <w:right w:val="single" w:sz="4" w:space="0" w:color="000000"/>
            </w:tcBorders>
          </w:tcPr>
          <w:p>
            <w:pPr/>
          </w:p>
        </w:tc>
        <w:tc>
          <w:tcPr>
            <w:tcW w:w="1995" w:type="dxa"/>
            <w:vMerge/>
            <w:tcBorders>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年内支付</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年支付</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年以后</w:t>
            </w:r>
          </w:p>
        </w:tc>
      </w:tr>
      <w:tr>
        <w:trPr>
          <w:trHeight w:val="511"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办公室租入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21"/>
                <w:szCs w:val="21"/>
              </w:rPr>
            </w:pPr>
            <w:r>
              <w:rPr>
                <w:rFonts w:ascii="Times New Roman"/>
                <w:sz w:val="21"/>
              </w:rPr>
              <w:t>352,704.00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16" w:right="0"/>
              <w:jc w:val="left"/>
              <w:rPr>
                <w:rFonts w:ascii="Times New Roman" w:hAnsi="Times New Roman" w:cs="Times New Roman" w:eastAsia="Times New Roman" w:hint="default"/>
                <w:sz w:val="21"/>
                <w:szCs w:val="21"/>
              </w:rPr>
            </w:pPr>
            <w:r>
              <w:rPr>
                <w:rFonts w:ascii="Times New Roman"/>
                <w:sz w:val="21"/>
              </w:rPr>
              <w:t>352,704.00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300" w:bottom="1060" w:left="1020" w:right="98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992"/>
        <w:gridCol w:w="1995"/>
        <w:gridCol w:w="1975"/>
        <w:gridCol w:w="1913"/>
        <w:gridCol w:w="1788"/>
      </w:tblGrid>
      <w:tr>
        <w:trPr>
          <w:trHeight w:val="511" w:hRule="exact"/>
        </w:trPr>
        <w:tc>
          <w:tcPr>
            <w:tcW w:w="19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九、资产负债表日后事项" w:id="140"/>
            <w:bookmarkEnd w:id="140"/>
            <w:r>
              <w:rPr/>
            </w:r>
            <w:bookmarkStart w:name="十、其他重要事项" w:id="141"/>
            <w:bookmarkEnd w:id="141"/>
            <w:r>
              <w:rPr/>
            </w:r>
            <w:bookmarkStart w:name="1、公司被证监会立案调查情况" w:id="142"/>
            <w:bookmarkEnd w:id="142"/>
            <w:r>
              <w:rPr/>
            </w:r>
            <w:bookmarkStart w:name="2、子公司处置及新增子公司情况" w:id="143"/>
            <w:bookmarkEnd w:id="143"/>
            <w:r>
              <w:rPr/>
            </w:r>
            <w:r>
              <w:rPr>
                <w:rFonts w:ascii="宋体" w:hAnsi="宋体" w:cs="宋体" w:eastAsia="宋体" w:hint="default"/>
                <w:sz w:val="21"/>
                <w:szCs w:val="21"/>
              </w:rPr>
              <w:t>项目</w:t>
            </w:r>
          </w:p>
        </w:tc>
        <w:tc>
          <w:tcPr>
            <w:tcW w:w="1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合同总金额</w:t>
            </w:r>
          </w:p>
        </w:tc>
        <w:tc>
          <w:tcPr>
            <w:tcW w:w="56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预计租金支出</w:t>
            </w:r>
          </w:p>
        </w:tc>
      </w:tr>
      <w:tr>
        <w:trPr>
          <w:trHeight w:val="509" w:hRule="exact"/>
        </w:trPr>
        <w:tc>
          <w:tcPr>
            <w:tcW w:w="1992" w:type="dxa"/>
            <w:vMerge/>
            <w:tcBorders>
              <w:left w:val="nil" w:sz="6" w:space="0" w:color="auto"/>
              <w:bottom w:val="single" w:sz="4" w:space="0" w:color="000000"/>
              <w:right w:val="single" w:sz="4" w:space="0" w:color="000000"/>
            </w:tcBorders>
          </w:tcPr>
          <w:p>
            <w:pPr/>
          </w:p>
        </w:tc>
        <w:tc>
          <w:tcPr>
            <w:tcW w:w="1995" w:type="dxa"/>
            <w:vMerge/>
            <w:tcBorders>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年内支付</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年支付</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年以后</w:t>
            </w:r>
          </w:p>
        </w:tc>
      </w:tr>
      <w:tr>
        <w:trPr>
          <w:trHeight w:val="49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土地租入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42,160,800.00</w:t>
            </w:r>
            <w:r>
              <w:rPr>
                <w:rFonts w:ascii="Times New Roman"/>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2,108,040.00</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2,108,040.00</w:t>
            </w:r>
            <w:r>
              <w:rPr>
                <w:rFonts w:ascii="Times New Roman"/>
                <w:sz w:val="21"/>
              </w:rPr>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40,052,760.00</w:t>
            </w:r>
            <w:r>
              <w:rPr>
                <w:rFonts w:ascii="Times New Roman"/>
                <w:sz w:val="21"/>
              </w:rPr>
            </w:r>
          </w:p>
        </w:tc>
      </w:tr>
      <w:tr>
        <w:trPr>
          <w:trHeight w:val="492"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42,513,504.00</w:t>
            </w:r>
            <w:r>
              <w:rPr>
                <w:rFonts w:ascii="Times New Roman"/>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2,460,744.00</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2,108,040.00</w:t>
            </w:r>
            <w:r>
              <w:rPr>
                <w:rFonts w:ascii="Times New Roman"/>
                <w:sz w:val="21"/>
              </w:rPr>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40,052,760.00</w:t>
            </w:r>
            <w:r>
              <w:rPr>
                <w:rFonts w:ascii="Times New Roman"/>
                <w:sz w:val="21"/>
              </w:rPr>
            </w:r>
          </w:p>
        </w:tc>
      </w:tr>
    </w:tbl>
    <w:p>
      <w:pPr>
        <w:spacing w:line="240" w:lineRule="auto" w:before="7"/>
        <w:rPr>
          <w:rFonts w:ascii="宋体" w:hAnsi="宋体" w:cs="宋体" w:eastAsia="宋体" w:hint="default"/>
          <w:sz w:val="10"/>
          <w:szCs w:val="10"/>
        </w:rPr>
      </w:pPr>
    </w:p>
    <w:p>
      <w:pPr>
        <w:pStyle w:val="BodyText"/>
        <w:spacing w:line="240" w:lineRule="auto" w:before="34"/>
        <w:ind w:left="553" w:right="0"/>
        <w:jc w:val="left"/>
      </w:pPr>
      <w:r>
        <w:rPr>
          <w:spacing w:val="2"/>
          <w:w w:val="99"/>
        </w:rPr>
        <w:t>以</w:t>
      </w:r>
      <w:r>
        <w:rPr>
          <w:w w:val="99"/>
        </w:rPr>
        <w:t>上</w:t>
      </w:r>
      <w:r>
        <w:rPr>
          <w:spacing w:val="2"/>
          <w:w w:val="99"/>
        </w:rPr>
        <w:t>约</w:t>
      </w:r>
      <w:r>
        <w:rPr>
          <w:w w:val="99"/>
        </w:rPr>
        <w:t>定</w:t>
      </w:r>
      <w:r>
        <w:rPr>
          <w:spacing w:val="2"/>
          <w:w w:val="99"/>
        </w:rPr>
        <w:t>租</w:t>
      </w:r>
      <w:r>
        <w:rPr>
          <w:w w:val="99"/>
        </w:rPr>
        <w:t>金</w:t>
      </w:r>
      <w:r>
        <w:rPr>
          <w:spacing w:val="2"/>
          <w:w w:val="99"/>
        </w:rPr>
        <w:t>支</w:t>
      </w:r>
      <w:r>
        <w:rPr>
          <w:w w:val="99"/>
        </w:rPr>
        <w:t>出</w:t>
      </w:r>
      <w:r>
        <w:rPr>
          <w:spacing w:val="2"/>
          <w:w w:val="99"/>
        </w:rPr>
        <w:t>金</w:t>
      </w:r>
      <w:r>
        <w:rPr>
          <w:w w:val="99"/>
        </w:rPr>
        <w:t>额</w:t>
      </w:r>
      <w:r>
        <w:rPr>
          <w:spacing w:val="2"/>
          <w:w w:val="99"/>
        </w:rPr>
        <w:t>中</w:t>
      </w:r>
      <w:r>
        <w:rPr>
          <w:w w:val="99"/>
        </w:rPr>
        <w:t>，</w:t>
      </w:r>
      <w:r>
        <w:rPr>
          <w:spacing w:val="2"/>
          <w:w w:val="99"/>
        </w:rPr>
        <w:t>包</w:t>
      </w:r>
      <w:r>
        <w:rPr>
          <w:w w:val="99"/>
        </w:rPr>
        <w:t>括</w:t>
      </w:r>
      <w:r>
        <w:rPr>
          <w:spacing w:val="2"/>
          <w:w w:val="99"/>
        </w:rPr>
        <w:t>本</w:t>
      </w:r>
      <w:r>
        <w:rPr>
          <w:w w:val="99"/>
        </w:rPr>
        <w:t>公</w:t>
      </w:r>
      <w:r>
        <w:rPr>
          <w:spacing w:val="2"/>
          <w:w w:val="99"/>
        </w:rPr>
        <w:t>司</w:t>
      </w:r>
      <w:r>
        <w:rPr>
          <w:w w:val="99"/>
        </w:rPr>
        <w:t>之</w:t>
      </w:r>
      <w:r>
        <w:rPr>
          <w:spacing w:val="2"/>
          <w:w w:val="99"/>
        </w:rPr>
        <w:t>子</w:t>
      </w:r>
      <w:r>
        <w:rPr>
          <w:w w:val="99"/>
        </w:rPr>
        <w:t>公</w:t>
      </w:r>
      <w:r>
        <w:rPr>
          <w:spacing w:val="2"/>
          <w:w w:val="99"/>
        </w:rPr>
        <w:t>司</w:t>
      </w:r>
      <w:r>
        <w:rPr>
          <w:w w:val="99"/>
        </w:rPr>
        <w:t>物</w:t>
      </w:r>
      <w:r>
        <w:rPr>
          <w:spacing w:val="2"/>
          <w:w w:val="99"/>
        </w:rPr>
        <w:t>流</w:t>
      </w:r>
      <w:r>
        <w:rPr>
          <w:w w:val="99"/>
        </w:rPr>
        <w:t>公</w:t>
      </w:r>
      <w:r>
        <w:rPr>
          <w:spacing w:val="2"/>
          <w:w w:val="99"/>
        </w:rPr>
        <w:t>司</w:t>
      </w:r>
      <w:r>
        <w:rPr>
          <w:w w:val="99"/>
        </w:rPr>
        <w:t>承</w:t>
      </w:r>
      <w:r>
        <w:rPr>
          <w:spacing w:val="2"/>
          <w:w w:val="99"/>
        </w:rPr>
        <w:t>租</w:t>
      </w:r>
      <w:r>
        <w:rPr>
          <w:w w:val="99"/>
        </w:rPr>
        <w:t>的</w:t>
      </w:r>
      <w:r>
        <w:rPr>
          <w:spacing w:val="2"/>
          <w:w w:val="99"/>
        </w:rPr>
        <w:t>深</w:t>
      </w:r>
      <w:r>
        <w:rPr>
          <w:w w:val="99"/>
        </w:rPr>
        <w:t>圳</w:t>
      </w:r>
      <w:r>
        <w:rPr>
          <w:spacing w:val="2"/>
          <w:w w:val="99"/>
        </w:rPr>
        <w:t>市</w:t>
      </w:r>
      <w:r>
        <w:rPr>
          <w:w w:val="99"/>
        </w:rPr>
        <w:t>盐</w:t>
      </w:r>
      <w:r>
        <w:rPr>
          <w:spacing w:val="2"/>
          <w:w w:val="99"/>
        </w:rPr>
        <w:t>田</w:t>
      </w:r>
      <w:r>
        <w:rPr>
          <w:w w:val="99"/>
        </w:rPr>
        <w:t>区</w:t>
      </w:r>
      <w:r>
        <w:rPr>
          <w:spacing w:val="2"/>
          <w:w w:val="99"/>
        </w:rPr>
        <w:t>田</w:t>
      </w:r>
      <w:r>
        <w:rPr>
          <w:w w:val="99"/>
        </w:rPr>
        <w:t>坳</w:t>
      </w:r>
      <w:r>
        <w:rPr>
          <w:spacing w:val="-53"/>
        </w:rPr>
        <w:t> </w:t>
      </w:r>
      <w:r>
        <w:rPr>
          <w:rFonts w:ascii="Times New Roman" w:hAnsi="Times New Roman" w:cs="Times New Roman" w:eastAsia="Times New Roman" w:hint="default"/>
          <w:spacing w:val="1"/>
          <w:w w:val="99"/>
        </w:rPr>
        <w:t>27</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平</w:t>
      </w:r>
      <w:r>
        <w:rPr>
          <w:w w:val="99"/>
        </w:rPr>
        <w:t>方米</w:t>
      </w:r>
      <w:r>
        <w:rPr>
          <w:spacing w:val="-87"/>
          <w:w w:val="99"/>
        </w:rPr>
        <w:t>，</w:t>
      </w:r>
      <w:r>
        <w:rPr>
          <w:w w:val="99"/>
        </w:rPr>
        <w:t>根</w:t>
      </w:r>
      <w:r>
        <w:rPr/>
      </w:r>
    </w:p>
    <w:p>
      <w:pPr>
        <w:pStyle w:val="BodyText"/>
        <w:spacing w:line="240" w:lineRule="auto" w:before="189"/>
        <w:ind w:right="0"/>
        <w:jc w:val="left"/>
        <w:rPr>
          <w:rFonts w:ascii="Times New Roman" w:hAnsi="Times New Roman" w:cs="Times New Roman" w:eastAsia="Times New Roman" w:hint="default"/>
        </w:rPr>
      </w:pPr>
      <w:r>
        <w:rPr/>
        <w:t>据租赁双方于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日签订的租赁合同约定，租赁期限为</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w:t>
      </w:r>
      <w:r>
        <w:rPr/>
        <w:t>自</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p>
    <w:p>
      <w:pPr>
        <w:pStyle w:val="BodyText"/>
        <w:spacing w:line="240" w:lineRule="auto" w:before="189"/>
        <w:ind w:right="0"/>
        <w:jc w:val="left"/>
      </w:pPr>
      <w:r>
        <w:rPr>
          <w:w w:val="99"/>
        </w:rPr>
        <w:t>月</w:t>
      </w:r>
      <w:r>
        <w:rPr>
          <w:spacing w:val="-50"/>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日</w:t>
      </w:r>
      <w:r>
        <w:rPr>
          <w:w w:val="99"/>
        </w:rPr>
        <w:t>止</w:t>
      </w:r>
      <w:r>
        <w:rPr>
          <w:rFonts w:ascii="Times New Roman" w:hAnsi="Times New Roman" w:cs="Times New Roman" w:eastAsia="Times New Roman" w:hint="default"/>
          <w:w w:val="99"/>
        </w:rPr>
        <w:t>)</w:t>
      </w:r>
      <w:r>
        <w:rPr>
          <w:spacing w:val="-29"/>
          <w:w w:val="99"/>
        </w:rPr>
        <w:t>，</w:t>
      </w:r>
      <w:r>
        <w:rPr>
          <w:spacing w:val="2"/>
          <w:w w:val="99"/>
        </w:rPr>
        <w:t>月</w:t>
      </w:r>
      <w:r>
        <w:rPr>
          <w:w w:val="99"/>
        </w:rPr>
        <w:t>租</w:t>
      </w:r>
      <w:r>
        <w:rPr>
          <w:spacing w:val="2"/>
          <w:w w:val="99"/>
        </w:rPr>
        <w:t>金</w:t>
      </w:r>
      <w:r>
        <w:rPr>
          <w:w w:val="99"/>
        </w:rPr>
        <w:t>为</w:t>
      </w:r>
      <w:r>
        <w:rPr>
          <w:spacing w:val="-53"/>
        </w:rPr>
        <w:t> </w:t>
      </w:r>
      <w:r>
        <w:rPr>
          <w:rFonts w:ascii="Times New Roman" w:hAnsi="Times New Roman" w:cs="Times New Roman" w:eastAsia="Times New Roman" w:hint="default"/>
          <w:spacing w:val="1"/>
          <w:w w:val="99"/>
        </w:rPr>
        <w:t>175</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70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元</w:t>
      </w:r>
      <w:r>
        <w:rPr>
          <w:spacing w:val="-29"/>
          <w:w w:val="99"/>
        </w:rPr>
        <w:t>，</w:t>
      </w:r>
      <w:r>
        <w:rPr>
          <w:spacing w:val="2"/>
          <w:w w:val="99"/>
        </w:rPr>
        <w:t>租</w:t>
      </w:r>
      <w:r>
        <w:rPr>
          <w:w w:val="99"/>
        </w:rPr>
        <w:t>金</w:t>
      </w:r>
      <w:r>
        <w:rPr>
          <w:spacing w:val="2"/>
          <w:w w:val="99"/>
        </w:rPr>
        <w:t>自</w:t>
      </w:r>
      <w:r>
        <w:rPr>
          <w:w w:val="99"/>
        </w:rPr>
        <w:t>合</w:t>
      </w:r>
      <w:r>
        <w:rPr>
          <w:spacing w:val="2"/>
          <w:w w:val="99"/>
        </w:rPr>
        <w:t>同</w:t>
      </w:r>
      <w:r>
        <w:rPr>
          <w:w w:val="99"/>
        </w:rPr>
        <w:t>签</w:t>
      </w:r>
      <w:r>
        <w:rPr>
          <w:spacing w:val="2"/>
          <w:w w:val="99"/>
        </w:rPr>
        <w:t>订</w:t>
      </w:r>
      <w:r>
        <w:rPr>
          <w:w w:val="99"/>
        </w:rPr>
        <w:t>之</w:t>
      </w:r>
      <w:r>
        <w:rPr>
          <w:spacing w:val="2"/>
          <w:w w:val="99"/>
        </w:rPr>
        <w:t>日</w:t>
      </w:r>
      <w:r>
        <w:rPr>
          <w:w w:val="99"/>
        </w:rPr>
        <w:t>起</w:t>
      </w:r>
      <w:r>
        <w:rPr>
          <w:spacing w:val="2"/>
          <w:w w:val="99"/>
        </w:rPr>
        <w:t>一</w:t>
      </w:r>
      <w:r>
        <w:rPr>
          <w:w w:val="99"/>
        </w:rPr>
        <w:t>年</w:t>
      </w:r>
      <w:r>
        <w:rPr>
          <w:spacing w:val="2"/>
          <w:w w:val="99"/>
        </w:rPr>
        <w:t>内</w:t>
      </w:r>
      <w:r>
        <w:rPr>
          <w:w w:val="99"/>
        </w:rPr>
        <w:t>不</w:t>
      </w:r>
      <w:r>
        <w:rPr>
          <w:spacing w:val="2"/>
          <w:w w:val="99"/>
        </w:rPr>
        <w:t>变</w:t>
      </w:r>
      <w:r>
        <w:rPr>
          <w:spacing w:val="-29"/>
          <w:w w:val="99"/>
        </w:rPr>
        <w:t>，</w:t>
      </w:r>
      <w:r>
        <w:rPr>
          <w:spacing w:val="2"/>
          <w:w w:val="99"/>
        </w:rPr>
        <w:t>第</w:t>
      </w:r>
      <w:r>
        <w:rPr>
          <w:w w:val="99"/>
        </w:rPr>
        <w:t>二</w:t>
      </w:r>
      <w:r>
        <w:rPr>
          <w:spacing w:val="2"/>
          <w:w w:val="99"/>
        </w:rPr>
        <w:t>年</w:t>
      </w:r>
      <w:r>
        <w:rPr>
          <w:w w:val="99"/>
        </w:rPr>
        <w:t>根</w:t>
      </w:r>
      <w:r>
        <w:rPr>
          <w:spacing w:val="2"/>
          <w:w w:val="99"/>
        </w:rPr>
        <w:t>据</w:t>
      </w:r>
      <w:r>
        <w:rPr>
          <w:w w:val="99"/>
        </w:rPr>
        <w:t>市</w:t>
      </w:r>
      <w:r>
        <w:rPr>
          <w:spacing w:val="2"/>
          <w:w w:val="99"/>
        </w:rPr>
        <w:t>价</w:t>
      </w:r>
      <w:r>
        <w:rPr>
          <w:w w:val="99"/>
        </w:rPr>
        <w:t>重</w:t>
      </w:r>
      <w:r>
        <w:rPr>
          <w:spacing w:val="2"/>
          <w:w w:val="99"/>
        </w:rPr>
        <w:t>新</w:t>
      </w:r>
      <w:r>
        <w:rPr>
          <w:w w:val="99"/>
        </w:rPr>
        <w:t>调</w:t>
      </w:r>
      <w:r>
        <w:rPr>
          <w:spacing w:val="2"/>
          <w:w w:val="99"/>
        </w:rPr>
        <w:t>整</w:t>
      </w:r>
      <w:r>
        <w:rPr>
          <w:w w:val="99"/>
        </w:rPr>
        <w:t>租</w:t>
      </w:r>
      <w:r>
        <w:rPr>
          <w:spacing w:val="4"/>
          <w:w w:val="99"/>
        </w:rPr>
        <w:t>金</w:t>
      </w:r>
      <w:r>
        <w:rPr>
          <w:w w:val="49"/>
        </w:rPr>
        <w:t>，</w:t>
      </w:r>
      <w:r>
        <w:rPr/>
      </w:r>
    </w:p>
    <w:p>
      <w:pPr>
        <w:pStyle w:val="BodyText"/>
        <w:spacing w:line="240" w:lineRule="auto" w:before="189"/>
        <w:ind w:right="108"/>
        <w:jc w:val="left"/>
      </w:pPr>
      <w:r>
        <w:rPr/>
        <w:t>以后每次重新按市价调整租金标准的时间间隔为</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年，本次计算的租金仅以</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年租金标准计算。</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21" w:right="108"/>
        <w:jc w:val="left"/>
        <w:rPr>
          <w:rFonts w:ascii="宋体" w:hAnsi="宋体" w:cs="宋体" w:eastAsia="宋体" w:hint="default"/>
        </w:rPr>
      </w:pPr>
      <w:r>
        <w:rPr>
          <w:rFonts w:ascii="宋体" w:hAnsi="宋体" w:cs="宋体" w:eastAsia="宋体" w:hint="default"/>
        </w:rPr>
        <w:t>九、资产负债表日后事项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539"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日，本公司第六届董事会第十一次会议通过</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年度利润分配方案，以本公司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p>
    <w:p>
      <w:pPr>
        <w:pStyle w:val="BodyText"/>
        <w:spacing w:line="396" w:lineRule="auto" w:before="189"/>
        <w:ind w:right="108"/>
        <w:jc w:val="left"/>
      </w:pPr>
      <w:r>
        <w:rPr>
          <w:spacing w:val="1"/>
          <w:w w:val="99"/>
        </w:rPr>
        <w:t>末总股本</w:t>
      </w:r>
      <w:r>
        <w:rPr>
          <w:spacing w:val="-48"/>
          <w:w w:val="99"/>
        </w:rPr>
        <w:t> </w:t>
      </w:r>
      <w:r>
        <w:rPr>
          <w:rFonts w:ascii="Times New Roman" w:hAnsi="Times New Roman" w:cs="Times New Roman" w:eastAsia="Times New Roman" w:hint="default"/>
          <w:w w:val="99"/>
        </w:rPr>
        <w:t>469,593,364</w:t>
      </w:r>
      <w:r>
        <w:rPr>
          <w:rFonts w:ascii="Times New Roman" w:hAnsi="Times New Roman" w:cs="Times New Roman" w:eastAsia="Times New Roman" w:hint="default"/>
          <w:spacing w:val="1"/>
          <w:w w:val="99"/>
        </w:rPr>
        <w:t> </w:t>
      </w:r>
      <w:r>
        <w:rPr>
          <w:spacing w:val="-4"/>
          <w:w w:val="99"/>
        </w:rPr>
        <w:t>股为基数，每</w:t>
      </w:r>
      <w:r>
        <w:rPr>
          <w:spacing w:val="-48"/>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w w:val="99"/>
        </w:rPr>
        <w:t> </w:t>
      </w:r>
      <w:r>
        <w:rPr>
          <w:w w:val="99"/>
        </w:rPr>
        <w:t>股派发红利</w:t>
      </w:r>
      <w:r>
        <w:rPr>
          <w:spacing w:val="-48"/>
          <w:w w:val="99"/>
        </w:rPr>
        <w:t> </w:t>
      </w:r>
      <w:r>
        <w:rPr>
          <w:rFonts w:ascii="Times New Roman" w:hAnsi="Times New Roman" w:cs="Times New Roman" w:eastAsia="Times New Roman" w:hint="default"/>
          <w:w w:val="99"/>
        </w:rPr>
        <w:t>0.3</w:t>
      </w:r>
      <w:r>
        <w:rPr>
          <w:rFonts w:ascii="Times New Roman" w:hAnsi="Times New Roman" w:cs="Times New Roman" w:eastAsia="Times New Roman" w:hint="default"/>
          <w:spacing w:val="1"/>
          <w:w w:val="99"/>
        </w:rPr>
        <w:t> </w:t>
      </w:r>
      <w:r>
        <w:rPr>
          <w:spacing w:val="-6"/>
          <w:w w:val="99"/>
        </w:rPr>
        <w:t>元（含税）。该利润分配方案需经股东大会批准后实</w:t>
      </w:r>
      <w:r>
        <w:rPr>
          <w:w w:val="99"/>
        </w:rPr>
        <w:t> </w:t>
      </w:r>
      <w:r>
        <w:rPr/>
        <w:t>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121" w:right="108"/>
        <w:jc w:val="left"/>
        <w:rPr>
          <w:rFonts w:ascii="宋体" w:hAnsi="宋体" w:cs="宋体" w:eastAsia="宋体" w:hint="default"/>
        </w:rPr>
      </w:pPr>
      <w:r>
        <w:rPr>
          <w:rFonts w:ascii="宋体" w:hAnsi="宋体" w:cs="宋体" w:eastAsia="宋体" w:hint="default"/>
        </w:rPr>
        <w:t>十、其他重要事项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right="108"/>
        <w:jc w:val="left"/>
        <w:rPr>
          <w:b w:val="0"/>
          <w:bCs w:val="0"/>
        </w:rPr>
      </w:pPr>
      <w:r>
        <w:rPr>
          <w:rFonts w:ascii="Times New Roman" w:hAnsi="Times New Roman" w:cs="Times New Roman" w:eastAsia="Times New Roman" w:hint="default"/>
        </w:rPr>
        <w:t>1</w:t>
      </w:r>
      <w:r>
        <w:rPr/>
        <w:t>、公司被证监会立案调查情况</w:t>
      </w:r>
      <w:r>
        <w:rPr>
          <w:b w:val="0"/>
          <w:bCs w:val="0"/>
        </w:rPr>
      </w:r>
    </w:p>
    <w:p>
      <w:pPr>
        <w:pStyle w:val="BodyText"/>
        <w:spacing w:line="240" w:lineRule="auto" w:before="181"/>
        <w:ind w:left="539" w:right="0"/>
        <w:jc w:val="left"/>
      </w:pPr>
      <w:r>
        <w:rPr>
          <w:spacing w:val="2"/>
          <w:w w:val="99"/>
        </w:rPr>
        <w:t>公司</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月</w:t>
      </w:r>
      <w:r>
        <w:rPr>
          <w:spacing w:val="-50"/>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日收到中国证券监督管理委员会深圳稽查局《立案调查通知</w:t>
      </w:r>
      <w:r>
        <w:rPr>
          <w:spacing w:val="-3"/>
          <w:w w:val="99"/>
        </w:rPr>
        <w:t>书</w:t>
      </w:r>
      <w:r>
        <w:rPr>
          <w:spacing w:val="-104"/>
          <w:w w:val="99"/>
        </w:rPr>
        <w:t>》</w:t>
      </w:r>
      <w:r>
        <w:rPr>
          <w:spacing w:val="2"/>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深稽</w:t>
      </w:r>
      <w:r>
        <w:rPr>
          <w:w w:val="99"/>
        </w:rPr>
        <w:t>立</w:t>
      </w:r>
      <w:r>
        <w:rPr/>
      </w:r>
    </w:p>
    <w:p>
      <w:pPr>
        <w:pStyle w:val="BodyText"/>
        <w:spacing w:line="396" w:lineRule="auto" w:before="189"/>
        <w:ind w:right="108"/>
        <w:jc w:val="left"/>
      </w:pPr>
      <w:r>
        <w:rPr/>
        <w:t>通字 </w:t>
      </w:r>
      <w:r>
        <w:rPr>
          <w:rFonts w:ascii="Times New Roman" w:hAnsi="Times New Roman" w:cs="Times New Roman" w:eastAsia="Times New Roman" w:hint="default"/>
        </w:rPr>
        <w:t>02 </w:t>
      </w:r>
      <w:r>
        <w:rPr/>
        <w:t>号）因公司涉嫌虚假陈述，深圳稽查局决定对公司及相关人员立案调查。公司正积极配合深圳稽</w:t>
      </w:r>
      <w:r>
        <w:rPr>
          <w:spacing w:val="-98"/>
        </w:rPr>
        <w:t> </w:t>
      </w:r>
      <w:r>
        <w:rPr>
          <w:spacing w:val="-98"/>
        </w:rPr>
      </w:r>
      <w:r>
        <w:rPr/>
        <w:t>查局的稽查工作，并对相关稽查结果及时履行信息披露义务。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108"/>
        <w:jc w:val="left"/>
        <w:rPr>
          <w:b w:val="0"/>
          <w:bCs w:val="0"/>
        </w:rPr>
      </w:pPr>
      <w:r>
        <w:rPr>
          <w:rFonts w:ascii="Times New Roman" w:hAnsi="Times New Roman" w:cs="Times New Roman" w:eastAsia="Times New Roman" w:hint="default"/>
        </w:rPr>
        <w:t>2</w:t>
      </w:r>
      <w:r>
        <w:rPr/>
        <w:t>、子公司处置及新增子公司情况</w:t>
      </w:r>
      <w:r>
        <w:rPr>
          <w:b w:val="0"/>
          <w:bCs w:val="0"/>
        </w:rPr>
      </w:r>
    </w:p>
    <w:p>
      <w:pPr>
        <w:pStyle w:val="BodyText"/>
        <w:spacing w:line="408" w:lineRule="auto" w:before="181"/>
        <w:ind w:right="125" w:firstLine="423"/>
        <w:jc w:val="both"/>
      </w:pPr>
      <w:r>
        <w:rPr/>
        <w:t>（</w:t>
      </w:r>
      <w:r>
        <w:rPr>
          <w:rFonts w:ascii="Times New Roman" w:hAnsi="Times New Roman" w:cs="Times New Roman" w:eastAsia="Times New Roman" w:hint="default"/>
        </w:rPr>
        <w:t>1</w:t>
      </w:r>
      <w:r>
        <w:rPr/>
        <w:t>）公司于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年度处置了深圳市迅达汽车运输企业公司、深圳市深运工贸企业有限公司、深圳市</w:t>
      </w:r>
      <w:r>
        <w:rPr>
          <w:w w:val="99"/>
        </w:rPr>
        <w:t> </w:t>
      </w:r>
      <w:r>
        <w:rPr/>
        <w:t>鸿基酒店管理有限公司、深圳市鸿基锦源运输有限公司、深圳市鸿基华辉运输有限公司共五家控投子公司</w:t>
      </w:r>
      <w:r>
        <w:rPr>
          <w:w w:val="99"/>
        </w:rPr>
        <w:t> </w:t>
      </w:r>
      <w:r>
        <w:rPr>
          <w:spacing w:val="-2"/>
          <w:w w:val="99"/>
        </w:rPr>
        <w:t>的股权，所有股权转让已办理股权工商变更登记过户手续。交易详情见附注四、</w:t>
      </w:r>
      <w:r>
        <w:rPr>
          <w:rFonts w:ascii="Times New Roman" w:hAnsi="Times New Roman" w:cs="Times New Roman" w:eastAsia="Times New Roman" w:hint="default"/>
          <w:spacing w:val="-2"/>
          <w:w w:val="99"/>
        </w:rPr>
        <w:t>6</w:t>
      </w:r>
      <w:r>
        <w:rPr>
          <w:spacing w:val="-2"/>
          <w:w w:val="99"/>
        </w:rPr>
        <w:t>（</w:t>
      </w:r>
      <w:r>
        <w:rPr>
          <w:rFonts w:ascii="Times New Roman" w:hAnsi="Times New Roman" w:cs="Times New Roman" w:eastAsia="Times New Roman" w:hint="default"/>
          <w:spacing w:val="-2"/>
          <w:w w:val="99"/>
        </w:rPr>
        <w:t>3</w:t>
      </w:r>
      <w:r>
        <w:rPr>
          <w:spacing w:val="-2"/>
          <w:w w:val="99"/>
        </w:rPr>
        <w:t>）。</w:t>
      </w:r>
      <w:r>
        <w:rPr>
          <w:spacing w:val="-2"/>
        </w:rPr>
      </w:r>
    </w:p>
    <w:p>
      <w:pPr>
        <w:pStyle w:val="BodyText"/>
        <w:spacing w:line="420" w:lineRule="auto" w:before="26"/>
        <w:ind w:right="108" w:firstLine="423"/>
        <w:jc w:val="left"/>
      </w:pPr>
      <w:r>
        <w:rPr/>
        <w:t>公司本期对已满经营期限的全资子公司深圳市鸿基装饰设计工程有限公司依法予以注销。注销详情</w:t>
      </w:r>
      <w:r>
        <w:rPr>
          <w:w w:val="99"/>
        </w:rPr>
        <w:t> </w:t>
      </w:r>
      <w:r>
        <w:rPr>
          <w:spacing w:val="-10"/>
          <w:w w:val="99"/>
        </w:rPr>
        <w:t>见附注四、</w:t>
      </w:r>
      <w:r>
        <w:rPr>
          <w:rFonts w:ascii="Times New Roman" w:hAnsi="Times New Roman" w:cs="Times New Roman" w:eastAsia="Times New Roman" w:hint="default"/>
          <w:spacing w:val="-10"/>
          <w:w w:val="99"/>
        </w:rPr>
        <w:t>6</w:t>
      </w:r>
      <w:r>
        <w:rPr>
          <w:spacing w:val="-10"/>
          <w:w w:val="99"/>
        </w:rPr>
        <w:t>（</w:t>
      </w:r>
      <w:r>
        <w:rPr>
          <w:rFonts w:ascii="Times New Roman" w:hAnsi="Times New Roman" w:cs="Times New Roman" w:eastAsia="Times New Roman" w:hint="default"/>
          <w:spacing w:val="-10"/>
          <w:w w:val="99"/>
        </w:rPr>
        <w:t>3</w:t>
      </w:r>
      <w:r>
        <w:rPr>
          <w:spacing w:val="-10"/>
          <w:w w:val="99"/>
        </w:rPr>
        <w:t>）。</w:t>
      </w:r>
      <w:r>
        <w:rPr>
          <w:spacing w:val="-10"/>
        </w:rPr>
      </w:r>
    </w:p>
    <w:p>
      <w:pPr>
        <w:pStyle w:val="BodyText"/>
        <w:spacing w:line="240" w:lineRule="auto" w:before="34"/>
        <w:ind w:left="539" w:right="0"/>
        <w:jc w:val="left"/>
      </w:pPr>
      <w:r>
        <w:rPr/>
        <w:t>（</w:t>
      </w:r>
      <w:r>
        <w:rPr>
          <w:rFonts w:ascii="Times New Roman" w:hAnsi="Times New Roman" w:cs="Times New Roman" w:eastAsia="Times New Roman" w:hint="default"/>
        </w:rPr>
        <w:t>2</w:t>
      </w:r>
      <w:r>
        <w:rPr/>
        <w:t>）公司于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年度设立东莞宝安鸿基房地产开发有限公司、湖南宝安鸿基房地产开发有限公司、</w:t>
      </w:r>
    </w:p>
    <w:p>
      <w:pPr>
        <w:spacing w:line="240" w:lineRule="auto" w:before="2"/>
        <w:rPr>
          <w:rFonts w:ascii="宋体" w:hAnsi="宋体" w:cs="宋体" w:eastAsia="宋体" w:hint="default"/>
          <w:sz w:val="16"/>
          <w:szCs w:val="16"/>
        </w:rPr>
      </w:pPr>
    </w:p>
    <w:p>
      <w:pPr>
        <w:pStyle w:val="BodyText"/>
        <w:spacing w:line="240" w:lineRule="auto"/>
        <w:ind w:right="108"/>
        <w:jc w:val="left"/>
      </w:pPr>
      <w:r>
        <w:rPr/>
        <w:t>惠东县宝安鸿基房地产开发有限公司共三家全资控股子公司，共投资</w:t>
      </w:r>
      <w:r>
        <w:rPr>
          <w:spacing w:val="-4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万元。</w:t>
      </w:r>
    </w:p>
    <w:p>
      <w:pPr>
        <w:spacing w:after="0" w:line="240" w:lineRule="auto"/>
        <w:jc w:val="left"/>
        <w:sectPr>
          <w:pgSz w:w="11910" w:h="16840"/>
          <w:pgMar w:header="0" w:footer="865" w:top="1040" w:bottom="1060" w:left="1020" w:right="980"/>
        </w:sectPr>
      </w:pPr>
    </w:p>
    <w:p>
      <w:pPr>
        <w:pStyle w:val="BodyText"/>
        <w:spacing w:line="420" w:lineRule="auto" w:before="9"/>
        <w:ind w:right="125" w:firstLine="423"/>
        <w:jc w:val="both"/>
      </w:pPr>
      <w:bookmarkStart w:name="3、公司代持法人股清查清收情况" w:id="144"/>
      <w:bookmarkEnd w:id="144"/>
      <w:r>
        <w:rPr/>
      </w:r>
      <w:bookmarkStart w:name="4、盈余公积弥补亏损" w:id="145"/>
      <w:bookmarkEnd w:id="145"/>
      <w:r>
        <w:rPr/>
      </w:r>
      <w:bookmarkStart w:name="5、与原第三大股东的合作开发事项" w:id="146"/>
      <w:bookmarkEnd w:id="146"/>
      <w:r>
        <w:rPr/>
      </w:r>
      <w:r>
        <w:rPr/>
        <w:t>公司下属的三家全资子公司本期分别下设全资子公司深圳市宝永发投资发展有限公司、深圳市宝地投</w:t>
      </w:r>
      <w:r>
        <w:rPr>
          <w:w w:val="99"/>
        </w:rPr>
        <w:t> </w:t>
      </w:r>
      <w:r>
        <w:rPr/>
        <w:t>资发展有限公司、深圳市宝鹏投资发展有限公司，共投资</w:t>
      </w:r>
      <w:r>
        <w:rPr>
          <w:spacing w:val="-46"/>
        </w:rPr>
        <w:t> </w:t>
      </w:r>
      <w:r>
        <w:rPr>
          <w:rFonts w:ascii="Times New Roman" w:hAnsi="Times New Roman" w:cs="Times New Roman" w:eastAsia="Times New Roman" w:hint="default"/>
        </w:rPr>
        <w:t>170</w:t>
      </w:r>
      <w:r>
        <w:rPr>
          <w:rFonts w:ascii="Times New Roman" w:hAnsi="Times New Roman" w:cs="Times New Roman" w:eastAsia="Times New Roman" w:hint="default"/>
          <w:spacing w:val="2"/>
        </w:rPr>
        <w:t> </w:t>
      </w:r>
      <w:r>
        <w:rPr/>
        <w:t>万元。</w:t>
      </w:r>
    </w:p>
    <w:p>
      <w:pPr>
        <w:pStyle w:val="BodyText"/>
        <w:spacing w:line="396" w:lineRule="auto" w:before="15"/>
        <w:ind w:right="117" w:firstLine="423"/>
        <w:jc w:val="both"/>
      </w:pPr>
      <w:r>
        <w:rPr/>
        <w:t>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日与广州中联创投资有限公司（以下简称</w:t>
      </w:r>
      <w:r>
        <w:rPr>
          <w:rFonts w:ascii="Times New Roman" w:hAnsi="Times New Roman" w:cs="Times New Roman" w:eastAsia="Times New Roman" w:hint="default"/>
        </w:rPr>
        <w:t>“</w:t>
      </w:r>
      <w:r>
        <w:rPr/>
        <w:t>中联创投公司</w:t>
      </w:r>
      <w:r>
        <w:rPr>
          <w:rFonts w:ascii="Times New Roman" w:hAnsi="Times New Roman" w:cs="Times New Roman" w:eastAsia="Times New Roman" w:hint="default"/>
        </w:rPr>
        <w:t>”</w:t>
      </w:r>
      <w:r>
        <w:rPr/>
        <w:t>）签署《东莞市宜久</w:t>
      </w:r>
      <w:r>
        <w:rPr>
          <w:w w:val="99"/>
        </w:rPr>
        <w:t> </w:t>
      </w:r>
      <w:r>
        <w:rPr>
          <w:spacing w:val="-2"/>
          <w:w w:val="99"/>
        </w:rPr>
        <w:t>房地产开发有限公司股权转让协议书》，协议约定以东莞市宜久房地产开发有限公司（以下简称</w:t>
      </w:r>
      <w:r>
        <w:rPr>
          <w:rFonts w:ascii="Times New Roman" w:hAnsi="Times New Roman" w:cs="Times New Roman" w:eastAsia="Times New Roman" w:hint="default"/>
          <w:spacing w:val="-2"/>
          <w:w w:val="99"/>
        </w:rPr>
        <w:t>“</w:t>
      </w:r>
      <w:r>
        <w:rPr>
          <w:spacing w:val="-2"/>
          <w:w w:val="99"/>
        </w:rPr>
        <w:t>东莞宜久</w:t>
      </w:r>
      <w:r>
        <w:rPr>
          <w:spacing w:val="-79"/>
          <w:w w:val="99"/>
        </w:rPr>
        <w:t> </w:t>
      </w:r>
      <w:r>
        <w:rPr>
          <w:spacing w:val="-79"/>
          <w:w w:val="99"/>
        </w:rPr>
      </w:r>
      <w:r>
        <w:rPr/>
        <w:t>公司</w:t>
      </w:r>
      <w:r>
        <w:rPr>
          <w:rFonts w:ascii="Times New Roman" w:hAnsi="Times New Roman" w:cs="Times New Roman" w:eastAsia="Times New Roman" w:hint="default"/>
        </w:rPr>
        <w:t>”</w:t>
      </w:r>
      <w:r>
        <w:rPr/>
        <w:t>）的注册资本为依据，中联创投将持有的东莞宜久公司</w:t>
      </w:r>
      <w:r>
        <w:rPr>
          <w:spacing w:val="-55"/>
        </w:rPr>
        <w:t> </w:t>
      </w:r>
      <w:r>
        <w:rPr>
          <w:rFonts w:ascii="Times New Roman" w:hAnsi="Times New Roman" w:cs="Times New Roman" w:eastAsia="Times New Roman" w:hint="default"/>
        </w:rPr>
        <w:t>100%</w:t>
      </w:r>
      <w:r>
        <w:rPr/>
        <w:t>的股权，以转让价格为人民币</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w:t>
      </w:r>
      <w:r>
        <w:rPr>
          <w:w w:val="99"/>
        </w:rPr>
        <w:t> </w:t>
      </w:r>
      <w:r>
        <w:rPr>
          <w:spacing w:val="-4"/>
        </w:rPr>
        <w:t>转让予公司。东莞宜久公司于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8"/>
        </w:rPr>
        <w:t>日成立，公司于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31 </w:t>
      </w:r>
      <w:r>
        <w:rPr/>
        <w:t>日未经审计的净资产为</w:t>
      </w:r>
      <w:r>
        <w:rPr>
          <w:spacing w:val="-51"/>
        </w:rPr>
        <w:t> </w:t>
      </w:r>
      <w:r>
        <w:rPr>
          <w:rFonts w:ascii="Times New Roman" w:hAnsi="Times New Roman" w:cs="Times New Roman" w:eastAsia="Times New Roman" w:hint="default"/>
        </w:rPr>
        <w:t>98.32</w:t>
      </w:r>
      <w:r>
        <w:rPr>
          <w:rFonts w:ascii="Times New Roman" w:hAnsi="Times New Roman" w:cs="Times New Roman" w:eastAsia="Times New Roman" w:hint="default"/>
          <w:w w:val="99"/>
        </w:rPr>
        <w:t> </w:t>
      </w:r>
      <w:r>
        <w:rPr/>
        <w:t>万元。</w:t>
      </w:r>
    </w:p>
    <w:p>
      <w:pPr>
        <w:pStyle w:val="BodyText"/>
        <w:spacing w:line="240" w:lineRule="auto" w:before="68"/>
        <w:ind w:left="539" w:right="108"/>
        <w:jc w:val="left"/>
      </w:pPr>
      <w:r>
        <w:rPr/>
        <w:t>以上七家本期新增子公司在</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年度共产生净利润</w:t>
      </w:r>
      <w:r>
        <w:rPr>
          <w:rFonts w:ascii="Times New Roman" w:hAnsi="Times New Roman" w:cs="Times New Roman" w:eastAsia="Times New Roman" w:hint="default"/>
        </w:rPr>
        <w:t>-3,933,296.41</w:t>
      </w:r>
      <w:r>
        <w:rPr>
          <w:rFonts w:ascii="Times New Roman" w:hAnsi="Times New Roman" w:cs="Times New Roman" w:eastAsia="Times New Roman" w:hint="default"/>
          <w:spacing w:val="-1"/>
        </w:rPr>
        <w:t> </w:t>
      </w:r>
      <w:r>
        <w:rPr/>
        <w:t>元。</w:t>
      </w:r>
    </w:p>
    <w:p>
      <w:pPr>
        <w:pStyle w:val="BodyText"/>
        <w:spacing w:line="240" w:lineRule="auto" w:before="189"/>
        <w:ind w:left="539" w:right="0"/>
        <w:jc w:val="left"/>
      </w:pPr>
      <w:r>
        <w:rPr/>
        <w:t>（</w:t>
      </w:r>
      <w:r>
        <w:rPr>
          <w:rFonts w:ascii="Times New Roman" w:hAnsi="Times New Roman" w:cs="Times New Roman" w:eastAsia="Times New Roman" w:hint="default"/>
        </w:rPr>
        <w:t>3</w:t>
      </w:r>
      <w:r>
        <w:rPr/>
        <w:t>）本期公司与第二大股东之母公司深圳市新鸿泰投资发展有限公司（以下简称</w:t>
      </w:r>
      <w:r>
        <w:rPr>
          <w:rFonts w:ascii="Times New Roman" w:hAnsi="Times New Roman" w:cs="Times New Roman" w:eastAsia="Times New Roman" w:hint="default"/>
        </w:rPr>
        <w:t>“</w:t>
      </w:r>
      <w:r>
        <w:rPr/>
        <w:t>新鸿泰公司</w:t>
      </w:r>
      <w:r>
        <w:rPr>
          <w:rFonts w:ascii="Times New Roman" w:hAnsi="Times New Roman" w:cs="Times New Roman" w:eastAsia="Times New Roman" w:hint="default"/>
        </w:rPr>
        <w:t>”</w:t>
      </w:r>
      <w:r>
        <w:rPr/>
        <w:t>）签署</w:t>
      </w:r>
    </w:p>
    <w:p>
      <w:pPr>
        <w:pStyle w:val="BodyText"/>
        <w:spacing w:line="420" w:lineRule="auto" w:before="189"/>
        <w:ind w:right="108"/>
        <w:jc w:val="left"/>
      </w:pPr>
      <w:r>
        <w:rPr>
          <w:spacing w:val="8"/>
        </w:rPr>
        <w:t>《受让深圳市新鸿泰投资发展有限公司持有深圳市龙岗鸿基房地产开发有限公司等七家公司股权意向</w:t>
      </w:r>
      <w:r>
        <w:rPr>
          <w:spacing w:val="-101"/>
        </w:rPr>
        <w:t> </w:t>
      </w:r>
      <w:r>
        <w:rPr>
          <w:spacing w:val="-101"/>
        </w:rPr>
      </w:r>
      <w:r>
        <w:rPr>
          <w:spacing w:val="-4"/>
          <w:w w:val="99"/>
        </w:rPr>
        <w:t>书》，公司受让新鸿泰公司持有的七家公司控股子公司的少数股权。交易详情见附注四、</w:t>
      </w:r>
      <w:r>
        <w:rPr>
          <w:rFonts w:ascii="Times New Roman" w:hAnsi="Times New Roman" w:cs="Times New Roman" w:eastAsia="Times New Roman" w:hint="default"/>
          <w:spacing w:val="-4"/>
          <w:w w:val="99"/>
        </w:rPr>
        <w:t>6</w:t>
      </w:r>
      <w:r>
        <w:rPr>
          <w:spacing w:val="-4"/>
          <w:w w:val="99"/>
        </w:rPr>
        <w:t>（</w:t>
      </w:r>
      <w:r>
        <w:rPr>
          <w:rFonts w:ascii="Times New Roman" w:hAnsi="Times New Roman" w:cs="Times New Roman" w:eastAsia="Times New Roman" w:hint="default"/>
          <w:spacing w:val="-4"/>
          <w:w w:val="99"/>
        </w:rPr>
        <w:t>2</w:t>
      </w:r>
      <w:r>
        <w:rPr>
          <w:spacing w:val="-4"/>
          <w:w w:val="99"/>
        </w:rPr>
        <w:t>）。</w:t>
      </w:r>
      <w:r>
        <w:rPr>
          <w:spacing w:val="-4"/>
        </w:rPr>
      </w:r>
    </w:p>
    <w:p>
      <w:pPr>
        <w:spacing w:line="240" w:lineRule="auto" w:before="9"/>
        <w:rPr>
          <w:rFonts w:ascii="宋体" w:hAnsi="宋体" w:cs="宋体" w:eastAsia="宋体" w:hint="default"/>
          <w:sz w:val="32"/>
          <w:szCs w:val="32"/>
        </w:rPr>
      </w:pPr>
    </w:p>
    <w:p>
      <w:pPr>
        <w:pStyle w:val="Heading5"/>
        <w:spacing w:line="240" w:lineRule="auto"/>
        <w:ind w:right="108"/>
        <w:jc w:val="left"/>
        <w:rPr>
          <w:b w:val="0"/>
          <w:bCs w:val="0"/>
        </w:rPr>
      </w:pPr>
      <w:r>
        <w:rPr>
          <w:rFonts w:ascii="Times New Roman" w:hAnsi="Times New Roman" w:cs="Times New Roman" w:eastAsia="Times New Roman" w:hint="default"/>
        </w:rPr>
        <w:t>3</w:t>
      </w:r>
      <w:r>
        <w:rPr/>
        <w:t>、公司代持法人股清查清收情况</w:t>
      </w:r>
      <w:r>
        <w:rPr>
          <w:b w:val="0"/>
          <w:bCs w:val="0"/>
        </w:rPr>
      </w:r>
    </w:p>
    <w:p>
      <w:pPr>
        <w:pStyle w:val="BodyText"/>
        <w:spacing w:line="412" w:lineRule="auto" w:before="181"/>
        <w:ind w:right="125" w:firstLine="423"/>
        <w:jc w:val="both"/>
      </w:pPr>
      <w:r>
        <w:rPr/>
        <w:t>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年度对公司原代持法人股事项展开清查清收工作，并对已查明的代持法人股进行了前期</w:t>
      </w:r>
      <w:r>
        <w:rPr>
          <w:w w:val="99"/>
        </w:rPr>
        <w:t> </w:t>
      </w:r>
      <w:r>
        <w:rPr/>
        <w:t>会计差错更正并追溯调整。本期公司继续加大力度对未查明的代持法人股进行清查，并对已查明的应收款</w:t>
      </w:r>
      <w:r>
        <w:rPr>
          <w:w w:val="99"/>
        </w:rPr>
        <w:t> </w:t>
      </w:r>
      <w:r>
        <w:rPr/>
        <w:t>项及代缴税款进行后续追收工作，尽管公司管理层已采取各种手段进行追收，但截至报告日该款项的回收</w:t>
      </w:r>
      <w:r>
        <w:rPr>
          <w:w w:val="99"/>
        </w:rPr>
        <w:t> </w:t>
      </w:r>
      <w:r>
        <w:rPr/>
        <w:t>工作尚无任何进展，可收回该款项的可能性不大，公司基于稳健性原则对已查明应收的代持股相关款项及</w:t>
      </w:r>
      <w:r>
        <w:rPr>
          <w:w w:val="99"/>
        </w:rPr>
        <w:t> </w:t>
      </w:r>
      <w:r>
        <w:rPr/>
        <w:t>代缴税款全额计提了坏帐准备。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08"/>
        <w:jc w:val="left"/>
        <w:rPr>
          <w:b w:val="0"/>
          <w:bCs w:val="0"/>
        </w:rPr>
      </w:pPr>
      <w:r>
        <w:rPr>
          <w:rFonts w:ascii="Times New Roman" w:hAnsi="Times New Roman" w:cs="Times New Roman" w:eastAsia="Times New Roman" w:hint="default"/>
        </w:rPr>
        <w:t>4</w:t>
      </w:r>
      <w:r>
        <w:rPr/>
        <w:t>、盈余公积弥补亏损</w:t>
      </w:r>
      <w:r>
        <w:rPr>
          <w:b w:val="0"/>
          <w:bCs w:val="0"/>
        </w:rPr>
      </w:r>
    </w:p>
    <w:p>
      <w:pPr>
        <w:pStyle w:val="BodyText"/>
        <w:spacing w:line="240" w:lineRule="auto" w:before="181"/>
        <w:ind w:left="539" w:right="108"/>
        <w:jc w:val="left"/>
      </w:pPr>
      <w:r>
        <w:rPr/>
        <w:t>经公司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年度第一次临时股东大会决议通过，公司以任意盈余公积</w:t>
      </w:r>
      <w:r>
        <w:rPr>
          <w:spacing w:val="-41"/>
        </w:rPr>
        <w:t> </w:t>
      </w:r>
      <w:r>
        <w:rPr>
          <w:rFonts w:ascii="Times New Roman" w:hAnsi="Times New Roman" w:cs="Times New Roman" w:eastAsia="Times New Roman" w:hint="default"/>
        </w:rPr>
        <w:t>51,281,363.57</w:t>
      </w:r>
      <w:r>
        <w:rPr>
          <w:rFonts w:ascii="Times New Roman" w:hAnsi="Times New Roman" w:cs="Times New Roman" w:eastAsia="Times New Roman" w:hint="default"/>
          <w:spacing w:val="7"/>
        </w:rPr>
        <w:t> </w:t>
      </w:r>
      <w:r>
        <w:rPr/>
        <w:t>元、法定盈余公</w:t>
      </w:r>
    </w:p>
    <w:p>
      <w:pPr>
        <w:pStyle w:val="BodyText"/>
        <w:spacing w:line="240" w:lineRule="auto" w:before="189"/>
        <w:ind w:right="0"/>
        <w:jc w:val="left"/>
      </w:pPr>
      <w:r>
        <w:rPr/>
        <w:t>积</w:t>
      </w:r>
      <w:r>
        <w:rPr>
          <w:spacing w:val="-29"/>
        </w:rPr>
        <w:t> </w:t>
      </w:r>
      <w:r>
        <w:rPr>
          <w:rFonts w:ascii="Times New Roman" w:hAnsi="Times New Roman" w:cs="Times New Roman" w:eastAsia="Times New Roman" w:hint="default"/>
        </w:rPr>
        <w:t>102,383,764.96</w:t>
      </w:r>
      <w:r>
        <w:rPr>
          <w:rFonts w:ascii="Times New Roman" w:hAnsi="Times New Roman" w:cs="Times New Roman" w:eastAsia="Times New Roman" w:hint="default"/>
          <w:spacing w:val="22"/>
        </w:rPr>
        <w:t> </w:t>
      </w:r>
      <w:r>
        <w:rPr>
          <w:spacing w:val="12"/>
        </w:rPr>
        <w:t>元，</w:t>
      </w:r>
      <w:r>
        <w:rPr>
          <w:spacing w:val="-82"/>
        </w:rPr>
        <w:t> </w:t>
      </w:r>
      <w:r>
        <w:rPr>
          <w:spacing w:val="21"/>
        </w:rPr>
        <w:t>按顺序依次弥补截止</w:t>
      </w:r>
      <w:r>
        <w:rPr>
          <w:spacing w:val="-2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29"/>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22"/>
        </w:rPr>
        <w:t>日公司累计可供股东分配利润人民币</w:t>
      </w:r>
    </w:p>
    <w:p>
      <w:pPr>
        <w:pStyle w:val="BodyText"/>
        <w:spacing w:line="240" w:lineRule="auto" w:before="189"/>
        <w:ind w:right="108"/>
        <w:jc w:val="left"/>
      </w:pPr>
      <w:r>
        <w:rPr>
          <w:rFonts w:ascii="Times New Roman" w:hAnsi="Times New Roman" w:cs="Times New Roman" w:eastAsia="Times New Roman" w:hint="default"/>
        </w:rPr>
        <w:t>-153,665,128.53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right="108"/>
        <w:jc w:val="left"/>
        <w:rPr>
          <w:b w:val="0"/>
          <w:bCs w:val="0"/>
        </w:rPr>
      </w:pPr>
      <w:r>
        <w:rPr>
          <w:rFonts w:ascii="Times New Roman" w:hAnsi="Times New Roman" w:cs="Times New Roman" w:eastAsia="Times New Roman" w:hint="default"/>
        </w:rPr>
        <w:t>5</w:t>
      </w:r>
      <w:r>
        <w:rPr/>
        <w:t>、与原第三大股东的合作开发事项</w:t>
      </w:r>
      <w:r>
        <w:rPr>
          <w:b w:val="0"/>
          <w:bCs w:val="0"/>
        </w:rPr>
      </w:r>
    </w:p>
    <w:p>
      <w:pPr>
        <w:pStyle w:val="BodyText"/>
        <w:spacing w:line="396" w:lineRule="auto" w:before="181"/>
        <w:ind w:right="119" w:firstLine="526"/>
        <w:jc w:val="both"/>
      </w:pPr>
      <w:r>
        <w:rPr/>
        <w:t>经本公司</w:t>
      </w:r>
      <w:r>
        <w:rPr>
          <w:spacing w:val="-4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日第四届董事局临时会议决议和本公司</w:t>
      </w:r>
      <w:r>
        <w:rPr>
          <w:spacing w:val="-2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年度股东大会决议通过，本公</w:t>
      </w:r>
      <w:r>
        <w:rPr>
          <w:w w:val="99"/>
        </w:rPr>
        <w:t> </w:t>
      </w:r>
      <w:r>
        <w:rPr/>
        <w:t>司与正中置业集团有限公司（以下简称</w:t>
      </w:r>
      <w:r>
        <w:rPr>
          <w:rFonts w:ascii="Times New Roman" w:hAnsi="Times New Roman" w:cs="Times New Roman" w:eastAsia="Times New Roman" w:hint="default"/>
        </w:rPr>
        <w:t>“</w:t>
      </w:r>
      <w:r>
        <w:rPr/>
        <w:t>正中置业</w:t>
      </w:r>
      <w:r>
        <w:rPr>
          <w:rFonts w:ascii="Times New Roman" w:hAnsi="Times New Roman" w:cs="Times New Roman" w:eastAsia="Times New Roman" w:hint="default"/>
        </w:rPr>
        <w:t>”</w:t>
      </w:r>
      <w:r>
        <w:rPr/>
        <w:t>）合作开发本公司地处深圳市龙岗中心城吉祥路与深惠</w:t>
      </w:r>
      <w:r>
        <w:rPr>
          <w:spacing w:val="-91"/>
        </w:rPr>
        <w:t> </w:t>
      </w:r>
      <w:r>
        <w:rPr>
          <w:spacing w:val="-91"/>
        </w:rPr>
      </w:r>
      <w:r>
        <w:rPr>
          <w:spacing w:val="1"/>
          <w:w w:val="99"/>
        </w:rPr>
        <w:t>路交汇处宗地号为</w:t>
      </w:r>
      <w:r>
        <w:rPr>
          <w:spacing w:val="-46"/>
          <w:w w:val="99"/>
        </w:rPr>
        <w:t> </w:t>
      </w:r>
      <w:r>
        <w:rPr>
          <w:rFonts w:ascii="Times New Roman" w:hAnsi="Times New Roman" w:cs="Times New Roman" w:eastAsia="Times New Roman" w:hint="default"/>
          <w:spacing w:val="-1"/>
          <w:w w:val="99"/>
        </w:rPr>
        <w:t>G01004-3</w:t>
      </w:r>
      <w:r>
        <w:rPr>
          <w:rFonts w:ascii="Times New Roman" w:hAnsi="Times New Roman" w:cs="Times New Roman" w:eastAsia="Times New Roman" w:hint="default"/>
          <w:spacing w:val="5"/>
          <w:w w:val="99"/>
        </w:rPr>
        <w:t> </w:t>
      </w:r>
      <w:r>
        <w:rPr>
          <w:spacing w:val="-10"/>
          <w:w w:val="99"/>
        </w:rPr>
        <w:t>地块三期项目（以下简称</w:t>
      </w:r>
      <w:r>
        <w:rPr>
          <w:rFonts w:ascii="Times New Roman" w:hAnsi="Times New Roman" w:cs="Times New Roman" w:eastAsia="Times New Roman" w:hint="default"/>
          <w:spacing w:val="-10"/>
          <w:w w:val="99"/>
        </w:rPr>
        <w:t>“</w:t>
      </w:r>
      <w:r>
        <w:rPr>
          <w:spacing w:val="-10"/>
          <w:w w:val="99"/>
        </w:rPr>
        <w:t>合作项目</w:t>
      </w:r>
      <w:r>
        <w:rPr>
          <w:rFonts w:ascii="Times New Roman" w:hAnsi="Times New Roman" w:cs="Times New Roman" w:eastAsia="Times New Roman" w:hint="default"/>
          <w:spacing w:val="-10"/>
          <w:w w:val="99"/>
        </w:rPr>
        <w:t>”</w:t>
      </w:r>
      <w:r>
        <w:rPr>
          <w:spacing w:val="-10"/>
          <w:w w:val="99"/>
        </w:rPr>
        <w:t>），合作项目的面积为</w:t>
      </w:r>
      <w:r>
        <w:rPr>
          <w:spacing w:val="-49"/>
          <w:w w:val="99"/>
        </w:rPr>
        <w:t> </w:t>
      </w:r>
      <w:r>
        <w:rPr>
          <w:rFonts w:ascii="Times New Roman" w:hAnsi="Times New Roman" w:cs="Times New Roman" w:eastAsia="Times New Roman" w:hint="default"/>
          <w:w w:val="99"/>
        </w:rPr>
        <w:t>85,229</w:t>
      </w:r>
      <w:r>
        <w:rPr>
          <w:rFonts w:ascii="Times New Roman" w:hAnsi="Times New Roman" w:cs="Times New Roman" w:eastAsia="Times New Roman" w:hint="default"/>
          <w:spacing w:val="5"/>
          <w:w w:val="99"/>
        </w:rPr>
        <w:t> </w:t>
      </w:r>
      <w:r>
        <w:rPr>
          <w:spacing w:val="-11"/>
          <w:w w:val="99"/>
        </w:rPr>
        <w:t>平方米。</w:t>
      </w:r>
      <w:r>
        <w:rPr>
          <w:rFonts w:ascii="Times New Roman" w:hAnsi="Times New Roman" w:cs="Times New Roman" w:eastAsia="Times New Roman" w:hint="default"/>
          <w:spacing w:val="-11"/>
          <w:w w:val="99"/>
        </w:rPr>
        <w:t>2006</w:t>
      </w:r>
      <w:r>
        <w:rPr>
          <w:rFonts w:ascii="Times New Roman" w:hAnsi="Times New Roman" w:cs="Times New Roman" w:eastAsia="Times New Roman" w:hint="default"/>
          <w:spacing w:val="-51"/>
          <w:w w:val="99"/>
        </w:rPr>
        <w:t> </w:t>
      </w:r>
      <w:r>
        <w:rPr>
          <w:rFonts w:ascii="Times New Roman" w:hAnsi="Times New Roman" w:cs="Times New Roman" w:eastAsia="Times New Roman" w:hint="default"/>
          <w:spacing w:val="-51"/>
          <w:w w:val="99"/>
        </w:rPr>
      </w:r>
      <w:r>
        <w:rPr>
          <w:w w:val="99"/>
        </w:rPr>
        <w:t>年</w:t>
      </w:r>
      <w:r>
        <w:rPr>
          <w:spacing w:val="-41"/>
          <w:w w:val="99"/>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7"/>
          <w:w w:val="99"/>
        </w:rPr>
        <w:t> </w:t>
      </w:r>
      <w:r>
        <w:rPr>
          <w:w w:val="99"/>
        </w:rPr>
        <w:t>月</w:t>
      </w:r>
      <w:r>
        <w:rPr>
          <w:spacing w:val="-43"/>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7"/>
          <w:w w:val="99"/>
        </w:rPr>
        <w:t> </w:t>
      </w:r>
      <w:r>
        <w:rPr>
          <w:spacing w:val="1"/>
          <w:w w:val="99"/>
        </w:rPr>
        <w:t>日，本公司与正中置业签订了《关于鸿基花园三期合作开发协议书</w:t>
      </w:r>
      <w:r>
        <w:rPr>
          <w:spacing w:val="-78"/>
          <w:w w:val="99"/>
        </w:rPr>
        <w:t> </w:t>
      </w:r>
      <w:r>
        <w:rPr>
          <w:spacing w:val="-7"/>
          <w:w w:val="99"/>
        </w:rPr>
        <w:t>》，并于之后陆续签订了相关</w:t>
      </w:r>
      <w:r>
        <w:rPr>
          <w:spacing w:val="-100"/>
          <w:w w:val="99"/>
        </w:rPr>
        <w:t> </w:t>
      </w:r>
      <w:r>
        <w:rPr>
          <w:spacing w:val="-100"/>
          <w:w w:val="99"/>
        </w:rPr>
      </w:r>
      <w:r>
        <w:rPr/>
        <w:t>补充协议。</w:t>
      </w:r>
    </w:p>
    <w:p>
      <w:pPr>
        <w:spacing w:after="0" w:line="396" w:lineRule="auto"/>
        <w:jc w:val="both"/>
        <w:sectPr>
          <w:footerReference w:type="default" r:id="rId50"/>
          <w:pgSz w:w="11910" w:h="16840"/>
          <w:pgMar w:footer="865" w:header="0" w:top="1280" w:bottom="1060" w:left="1020" w:right="980"/>
          <w:pgNumType w:start="126"/>
        </w:sectPr>
      </w:pPr>
    </w:p>
    <w:p>
      <w:pPr>
        <w:pStyle w:val="BodyText"/>
        <w:spacing w:line="240" w:lineRule="auto" w:before="8"/>
        <w:ind w:left="639" w:right="107"/>
        <w:jc w:val="left"/>
      </w:pPr>
      <w:bookmarkStart w:name="6、以公允价值计量的资产和负债" w:id="147"/>
      <w:bookmarkEnd w:id="147"/>
      <w:r>
        <w:rPr/>
      </w:r>
      <w:bookmarkStart w:name="十一、母公司财务报表主要项目注释" w:id="148"/>
      <w:bookmarkEnd w:id="148"/>
      <w:r>
        <w:rPr/>
      </w:r>
      <w:bookmarkStart w:name="1、其他应收款" w:id="149"/>
      <w:bookmarkEnd w:id="149"/>
      <w:r>
        <w:rPr/>
      </w:r>
      <w:r>
        <w:rPr>
          <w:w w:val="99"/>
        </w:rPr>
      </w:r>
      <w:r>
        <w:rPr>
          <w:u w:val="single" w:color="000000"/>
        </w:rPr>
        <w:t>项目现况</w:t>
      </w:r>
      <w:r>
        <w:rPr/>
      </w:r>
    </w:p>
    <w:p>
      <w:pPr>
        <w:spacing w:line="240" w:lineRule="auto" w:before="7"/>
        <w:rPr>
          <w:rFonts w:ascii="宋体" w:hAnsi="宋体" w:cs="宋体" w:eastAsia="宋体" w:hint="default"/>
          <w:sz w:val="14"/>
          <w:szCs w:val="14"/>
        </w:rPr>
      </w:pPr>
    </w:p>
    <w:p>
      <w:pPr>
        <w:pStyle w:val="BodyText"/>
        <w:spacing w:line="240" w:lineRule="auto" w:before="34"/>
        <w:ind w:left="639" w:right="107"/>
        <w:jc w:val="left"/>
      </w:pPr>
      <w:r>
        <w:rPr/>
        <w:t>（</w:t>
      </w:r>
      <w:r>
        <w:rPr>
          <w:rFonts w:ascii="Times New Roman" w:hAnsi="Times New Roman" w:cs="Times New Roman" w:eastAsia="Times New Roman" w:hint="default"/>
        </w:rPr>
        <w:t>1</w:t>
      </w:r>
      <w:r>
        <w:rPr/>
        <w:t>）合作项目按规划可供销售面积为</w:t>
      </w:r>
      <w:r>
        <w:rPr>
          <w:spacing w:val="-49"/>
        </w:rPr>
        <w:t> </w:t>
      </w:r>
      <w:r>
        <w:rPr>
          <w:rFonts w:ascii="Times New Roman" w:hAnsi="Times New Roman" w:cs="Times New Roman" w:eastAsia="Times New Roman" w:hint="default"/>
        </w:rPr>
        <w:t>81,061.612</w:t>
      </w:r>
      <w:r>
        <w:rPr>
          <w:rFonts w:ascii="Times New Roman" w:hAnsi="Times New Roman" w:cs="Times New Roman" w:eastAsia="Times New Roman" w:hint="default"/>
          <w:spacing w:val="5"/>
        </w:rPr>
        <w:t> </w:t>
      </w:r>
      <w:r>
        <w:rPr/>
        <w:t>平方米，该项目早已通过验收并已基本销售完毕。</w:t>
      </w:r>
    </w:p>
    <w:p>
      <w:pPr>
        <w:spacing w:line="240" w:lineRule="auto" w:before="2"/>
        <w:rPr>
          <w:rFonts w:ascii="宋体" w:hAnsi="宋体" w:cs="宋体" w:eastAsia="宋体" w:hint="default"/>
          <w:sz w:val="16"/>
          <w:szCs w:val="16"/>
        </w:rPr>
      </w:pPr>
    </w:p>
    <w:p>
      <w:pPr>
        <w:pStyle w:val="BodyText"/>
        <w:spacing w:line="240" w:lineRule="auto"/>
        <w:ind w:left="639" w:right="107"/>
        <w:jc w:val="left"/>
      </w:pPr>
      <w:r>
        <w:rPr/>
        <w:t>（</w:t>
      </w:r>
      <w:r>
        <w:rPr>
          <w:rFonts w:ascii="Times New Roman" w:hAnsi="Times New Roman" w:cs="Times New Roman" w:eastAsia="Times New Roman" w:hint="default"/>
        </w:rPr>
        <w:t>2</w:t>
      </w:r>
      <w:r>
        <w:rPr/>
        <w:t>）公司正与正中置业协商</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年办理该合作项目土地增值税清算等税务事宜。</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left="221" w:right="107"/>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52"/>
        <w:gridCol w:w="1405"/>
        <w:gridCol w:w="1222"/>
        <w:gridCol w:w="1735"/>
        <w:gridCol w:w="1395"/>
        <w:gridCol w:w="1485"/>
      </w:tblGrid>
      <w:tr>
        <w:trPr>
          <w:trHeight w:val="715"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89"/>
              <w:ind w:left="156" w:right="153"/>
              <w:jc w:val="left"/>
              <w:rPr>
                <w:rFonts w:ascii="宋体" w:hAnsi="宋体" w:cs="宋体" w:eastAsia="宋体" w:hint="default"/>
                <w:sz w:val="18"/>
                <w:szCs w:val="18"/>
              </w:rPr>
            </w:pPr>
            <w:r>
              <w:rPr>
                <w:rFonts w:ascii="宋体" w:hAnsi="宋体" w:cs="宋体" w:eastAsia="宋体" w:hint="default"/>
                <w:sz w:val="18"/>
                <w:szCs w:val="18"/>
              </w:rPr>
              <w:t>本期公允价</w:t>
            </w:r>
            <w:r>
              <w:rPr>
                <w:rFonts w:ascii="宋体" w:hAnsi="宋体" w:cs="宋体" w:eastAsia="宋体" w:hint="default"/>
                <w:spacing w:val="-88"/>
                <w:sz w:val="18"/>
                <w:szCs w:val="18"/>
              </w:rPr>
              <w:t> </w:t>
            </w:r>
            <w:r>
              <w:rPr>
                <w:rFonts w:ascii="宋体" w:hAnsi="宋体" w:cs="宋体" w:eastAsia="宋体" w:hint="default"/>
                <w:sz w:val="18"/>
                <w:szCs w:val="18"/>
              </w:rPr>
              <w:t>值变动损益</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89"/>
              <w:ind w:left="411" w:right="139" w:hanging="272"/>
              <w:jc w:val="left"/>
              <w:rPr>
                <w:rFonts w:ascii="宋体" w:hAnsi="宋体" w:cs="宋体" w:eastAsia="宋体" w:hint="default"/>
                <w:sz w:val="18"/>
                <w:szCs w:val="18"/>
              </w:rPr>
            </w:pPr>
            <w:r>
              <w:rPr>
                <w:rFonts w:ascii="宋体" w:hAnsi="宋体" w:cs="宋体" w:eastAsia="宋体" w:hint="default"/>
                <w:sz w:val="18"/>
                <w:szCs w:val="18"/>
              </w:rPr>
              <w:t>计入权益的累计公</w:t>
            </w:r>
            <w:r>
              <w:rPr>
                <w:rFonts w:ascii="宋体" w:hAnsi="宋体" w:cs="宋体" w:eastAsia="宋体" w:hint="default"/>
                <w:spacing w:val="-87"/>
                <w:sz w:val="18"/>
                <w:szCs w:val="18"/>
              </w:rPr>
              <w:t> </w:t>
            </w:r>
            <w:r>
              <w:rPr>
                <w:rFonts w:ascii="宋体" w:hAnsi="宋体" w:cs="宋体" w:eastAsia="宋体" w:hint="default"/>
                <w:sz w:val="18"/>
                <w:szCs w:val="18"/>
              </w:rPr>
              <w:t>允价值变动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89"/>
              <w:ind w:left="512" w:right="238" w:hanging="270"/>
              <w:jc w:val="left"/>
              <w:rPr>
                <w:rFonts w:ascii="宋体" w:hAnsi="宋体" w:cs="宋体" w:eastAsia="宋体" w:hint="default"/>
                <w:sz w:val="18"/>
                <w:szCs w:val="18"/>
              </w:rPr>
            </w:pPr>
            <w:r>
              <w:rPr>
                <w:rFonts w:ascii="宋体" w:hAnsi="宋体" w:cs="宋体" w:eastAsia="宋体" w:hint="default"/>
                <w:sz w:val="18"/>
                <w:szCs w:val="18"/>
              </w:rPr>
              <w:t>本期计提的</w:t>
            </w:r>
            <w:r>
              <w:rPr>
                <w:rFonts w:ascii="宋体" w:hAnsi="宋体" w:cs="宋体" w:eastAsia="宋体" w:hint="default"/>
                <w:spacing w:val="-88"/>
                <w:sz w:val="18"/>
                <w:szCs w:val="18"/>
              </w:rPr>
              <w:t> </w:t>
            </w:r>
            <w:r>
              <w:rPr>
                <w:rFonts w:ascii="宋体" w:hAnsi="宋体" w:cs="宋体" w:eastAsia="宋体" w:hint="default"/>
                <w:sz w:val="18"/>
                <w:szCs w:val="18"/>
              </w:rPr>
              <w:t>减值</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11"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242" w:type="dxa"/>
            <w:gridSpan w:val="5"/>
            <w:tcBorders>
              <w:top w:val="single" w:sz="4" w:space="0" w:color="000000"/>
              <w:left w:val="single" w:sz="4" w:space="0" w:color="000000"/>
              <w:bottom w:val="single" w:sz="4" w:space="0" w:color="000000"/>
              <w:right w:val="nil" w:sz="6" w:space="0" w:color="auto"/>
            </w:tcBorders>
          </w:tcPr>
          <w:p>
            <w:pPr/>
          </w:p>
        </w:tc>
      </w:tr>
      <w:tr>
        <w:trPr>
          <w:trHeight w:val="483" w:hRule="exact"/>
        </w:trPr>
        <w:tc>
          <w:tcPr>
            <w:tcW w:w="2452"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以公允价值计量且其变动</w:t>
            </w:r>
          </w:p>
        </w:tc>
        <w:tc>
          <w:tcPr>
            <w:tcW w:w="1405" w:type="dxa"/>
            <w:tcBorders>
              <w:top w:val="single" w:sz="4" w:space="0" w:color="000000"/>
              <w:left w:val="single" w:sz="4" w:space="0" w:color="000000"/>
              <w:bottom w:val="nil" w:sz="6" w:space="0" w:color="auto"/>
              <w:right w:val="single" w:sz="4" w:space="0" w:color="000000"/>
            </w:tcBorders>
          </w:tcPr>
          <w:p>
            <w:pPr/>
          </w:p>
        </w:tc>
        <w:tc>
          <w:tcPr>
            <w:tcW w:w="1222"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
        </w:tc>
        <w:tc>
          <w:tcPr>
            <w:tcW w:w="1395" w:type="dxa"/>
            <w:tcBorders>
              <w:top w:val="single" w:sz="4" w:space="0" w:color="000000"/>
              <w:left w:val="single" w:sz="4" w:space="0" w:color="000000"/>
              <w:bottom w:val="nil" w:sz="6" w:space="0" w:color="auto"/>
              <w:right w:val="single" w:sz="4" w:space="0" w:color="000000"/>
            </w:tcBorders>
          </w:tcPr>
          <w:p>
            <w:pPr/>
          </w:p>
        </w:tc>
        <w:tc>
          <w:tcPr>
            <w:tcW w:w="1485"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当</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损</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融</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w w:val="100"/>
                <w:sz w:val="18"/>
              </w:rPr>
              <w:t>-</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w w:val="100"/>
                <w:sz w:val="18"/>
              </w:rPr>
              <w:t>-</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33" w:hRule="exact"/>
        </w:trPr>
        <w:tc>
          <w:tcPr>
            <w:tcW w:w="2452"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1405" w:type="dxa"/>
            <w:tcBorders>
              <w:top w:val="nil" w:sz="6" w:space="0" w:color="auto"/>
              <w:left w:val="single" w:sz="4" w:space="0" w:color="000000"/>
              <w:bottom w:val="single" w:sz="4" w:space="0" w:color="000000"/>
              <w:right w:val="single" w:sz="4" w:space="0" w:color="000000"/>
            </w:tcBorders>
          </w:tcPr>
          <w:p>
            <w:pPr/>
          </w:p>
        </w:tc>
        <w:tc>
          <w:tcPr>
            <w:tcW w:w="1222" w:type="dxa"/>
            <w:tcBorders>
              <w:top w:val="nil" w:sz="6" w:space="0" w:color="auto"/>
              <w:left w:val="single" w:sz="4" w:space="0" w:color="000000"/>
              <w:bottom w:val="single" w:sz="4" w:space="0" w:color="000000"/>
              <w:right w:val="single" w:sz="4" w:space="0" w:color="000000"/>
            </w:tcBorders>
          </w:tcPr>
          <w:p>
            <w:pPr/>
          </w:p>
        </w:tc>
        <w:tc>
          <w:tcPr>
            <w:tcW w:w="1735" w:type="dxa"/>
            <w:tcBorders>
              <w:top w:val="nil" w:sz="6" w:space="0" w:color="auto"/>
              <w:left w:val="single" w:sz="4" w:space="0" w:color="000000"/>
              <w:bottom w:val="single" w:sz="4" w:space="0" w:color="000000"/>
              <w:right w:val="single" w:sz="4" w:space="0" w:color="000000"/>
            </w:tcBorders>
          </w:tcPr>
          <w:p>
            <w:pPr/>
          </w:p>
        </w:tc>
        <w:tc>
          <w:tcPr>
            <w:tcW w:w="1395" w:type="dxa"/>
            <w:tcBorders>
              <w:top w:val="nil" w:sz="6" w:space="0" w:color="auto"/>
              <w:left w:val="single" w:sz="4" w:space="0" w:color="000000"/>
              <w:bottom w:val="single" w:sz="4" w:space="0" w:color="000000"/>
              <w:right w:val="single" w:sz="4" w:space="0" w:color="000000"/>
            </w:tcBorders>
          </w:tcPr>
          <w:p>
            <w:pPr/>
          </w:p>
        </w:tc>
        <w:tc>
          <w:tcPr>
            <w:tcW w:w="1485" w:type="dxa"/>
            <w:tcBorders>
              <w:top w:val="nil" w:sz="6" w:space="0" w:color="auto"/>
              <w:left w:val="single" w:sz="4" w:space="0" w:color="000000"/>
              <w:bottom w:val="single" w:sz="4" w:space="0" w:color="000000"/>
              <w:right w:val="nil" w:sz="6" w:space="0" w:color="auto"/>
            </w:tcBorders>
          </w:tcPr>
          <w:p>
            <w:pP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41,578,330.24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22,499,633.26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33,437,762.52</w:t>
            </w: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41,578,330.24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22,499,633.26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33,437,762.52</w:t>
            </w: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28"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2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41,578,330.24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22,499,633.26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33,437,762.52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21" w:right="107"/>
        <w:jc w:val="left"/>
        <w:rPr>
          <w:rFonts w:ascii="宋体" w:hAnsi="宋体" w:cs="宋体" w:eastAsia="宋体" w:hint="default"/>
        </w:rPr>
      </w:pPr>
      <w:r>
        <w:rPr>
          <w:rFonts w:ascii="宋体" w:hAnsi="宋体" w:cs="宋体" w:eastAsia="宋体" w:hint="default"/>
        </w:rPr>
        <w:t>十一、母公司财务报表主要项目注释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left="221" w:right="107"/>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215" w:right="107"/>
        <w:jc w:val="left"/>
      </w:pPr>
      <w:r>
        <w:rPr/>
        <w:t>（</w:t>
      </w:r>
      <w:r>
        <w:rPr>
          <w:rFonts w:ascii="Times New Roman" w:hAnsi="Times New Roman" w:cs="Times New Roman" w:eastAsia="Times New Roman" w:hint="default"/>
        </w:rPr>
        <w:t>1</w:t>
      </w:r>
      <w:r>
        <w:rPr/>
        <w:t>）其他应收款按种类披露：</w:t>
      </w:r>
    </w:p>
    <w:p>
      <w:pPr>
        <w:spacing w:line="240" w:lineRule="auto" w:before="13"/>
        <w:rPr>
          <w:rFonts w:ascii="宋体" w:hAnsi="宋体" w:cs="宋体" w:eastAsia="宋体" w:hint="default"/>
          <w:sz w:val="14"/>
          <w:szCs w:val="14"/>
        </w:rPr>
      </w:pPr>
    </w:p>
    <w:p>
      <w:pPr>
        <w:pStyle w:val="BodyText"/>
        <w:tabs>
          <w:tab w:pos="1051" w:val="left" w:leader="none"/>
        </w:tabs>
        <w:spacing w:line="240" w:lineRule="auto" w:before="34"/>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4263"/>
        <w:gridCol w:w="1355"/>
        <w:gridCol w:w="1355"/>
        <w:gridCol w:w="1355"/>
        <w:gridCol w:w="1355"/>
      </w:tblGrid>
      <w:tr>
        <w:trPr>
          <w:trHeight w:val="530"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0" w:hRule="exact"/>
        </w:trPr>
        <w:tc>
          <w:tcPr>
            <w:tcW w:w="4263" w:type="dxa"/>
            <w:vMerge/>
            <w:tcBorders>
              <w:left w:val="nil" w:sz="6" w:space="0" w:color="auto"/>
              <w:right w:val="single" w:sz="4" w:space="0" w:color="000000"/>
            </w:tcBorders>
          </w:tcPr>
          <w:p>
            <w:pPr/>
          </w:p>
        </w:tc>
        <w:tc>
          <w:tcPr>
            <w:tcW w:w="2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4263" w:type="dxa"/>
            <w:vMerge/>
            <w:tcBorders>
              <w:left w:val="nil" w:sz="6" w:space="0" w:color="auto"/>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944,404,234.27</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99.54%</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194,738,302.94</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85" w:right="0"/>
              <w:jc w:val="left"/>
              <w:rPr>
                <w:rFonts w:ascii="Times New Roman" w:hAnsi="Times New Roman" w:cs="Times New Roman" w:eastAsia="Times New Roman" w:hint="default"/>
                <w:sz w:val="18"/>
                <w:szCs w:val="18"/>
              </w:rPr>
            </w:pPr>
            <w:r>
              <w:rPr>
                <w:rFonts w:ascii="Times New Roman"/>
                <w:sz w:val="18"/>
              </w:rPr>
              <w:t>20.62%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865" w:top="1300" w:bottom="1060" w:left="920" w:right="96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263"/>
        <w:gridCol w:w="1355"/>
        <w:gridCol w:w="1355"/>
        <w:gridCol w:w="1355"/>
        <w:gridCol w:w="1355"/>
      </w:tblGrid>
      <w:tr>
        <w:trPr>
          <w:trHeight w:val="530"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0" w:hRule="exact"/>
        </w:trPr>
        <w:tc>
          <w:tcPr>
            <w:tcW w:w="4263" w:type="dxa"/>
            <w:vMerge/>
            <w:tcBorders>
              <w:left w:val="nil" w:sz="6" w:space="0" w:color="auto"/>
              <w:right w:val="single" w:sz="4" w:space="0" w:color="000000"/>
            </w:tcBorders>
          </w:tcPr>
          <w:p>
            <w:pPr/>
          </w:p>
        </w:tc>
        <w:tc>
          <w:tcPr>
            <w:tcW w:w="2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4263" w:type="dxa"/>
            <w:vMerge/>
            <w:tcBorders>
              <w:left w:val="nil" w:sz="6" w:space="0" w:color="auto"/>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4,383,806.08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0.46%</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3,919,410.18</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89.41%</w:t>
            </w:r>
          </w:p>
        </w:tc>
      </w:tr>
      <w:tr>
        <w:trPr>
          <w:trHeight w:val="528"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466,509.97</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0.05%</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2,284.07</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0.50%</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3,917,326.11</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0.41%</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3,917,126.11</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99.99%</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948,788,070.35</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198,657,713.12</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051" w:val="left" w:leader="none"/>
        </w:tabs>
        <w:spacing w:line="240" w:lineRule="auto"/>
        <w:ind w:left="0" w:right="14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63"/>
        <w:gridCol w:w="1355"/>
        <w:gridCol w:w="1355"/>
        <w:gridCol w:w="1355"/>
        <w:gridCol w:w="1355"/>
      </w:tblGrid>
      <w:tr>
        <w:trPr>
          <w:trHeight w:val="530"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30" w:hRule="exact"/>
        </w:trPr>
        <w:tc>
          <w:tcPr>
            <w:tcW w:w="4263" w:type="dxa"/>
            <w:vMerge/>
            <w:tcBorders>
              <w:left w:val="nil" w:sz="6" w:space="0" w:color="auto"/>
              <w:right w:val="single" w:sz="4" w:space="0" w:color="000000"/>
            </w:tcBorders>
          </w:tcPr>
          <w:p>
            <w:pPr/>
          </w:p>
        </w:tc>
        <w:tc>
          <w:tcPr>
            <w:tcW w:w="2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4263" w:type="dxa"/>
            <w:vMerge/>
            <w:tcBorders>
              <w:left w:val="nil" w:sz="6" w:space="0" w:color="auto"/>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722,368,623.79</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99.42%</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219,353,316.04</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30.37%</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4,197,225.80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3,884,000.61</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92.54%</w:t>
            </w:r>
          </w:p>
        </w:tc>
      </w:tr>
      <w:tr>
        <w:trPr>
          <w:trHeight w:val="528"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274,899.69</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0.04%</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1,374.50</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0.50%</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3,922,326.11</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0.54%</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3,882,626.11</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98.99%</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726,565,849.59</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223,237,316.65</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456" w:lineRule="auto"/>
        <w:ind w:right="4751"/>
        <w:jc w:val="left"/>
      </w:pPr>
      <w:r>
        <w:rPr/>
        <w:t>其他应收款种类的说明：</w:t>
      </w:r>
      <w:r>
        <w:rPr>
          <w:spacing w:val="-103"/>
        </w:rPr>
        <w:t> </w:t>
      </w:r>
      <w:r>
        <w:rPr>
          <w:spacing w:val="-103"/>
        </w:rPr>
      </w:r>
      <w:r>
        <w:rPr/>
        <w:t>组合中，采用余额百分比法计提坏账准备的其他应收款</w:t>
      </w:r>
    </w:p>
    <w:p>
      <w:pPr>
        <w:pStyle w:val="BodyText"/>
        <w:tabs>
          <w:tab w:pos="1051" w:val="left" w:leader="none"/>
        </w:tabs>
        <w:spacing w:line="240" w:lineRule="auto" w:before="54"/>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66"/>
        <w:gridCol w:w="1347"/>
        <w:gridCol w:w="1350"/>
        <w:gridCol w:w="1352"/>
        <w:gridCol w:w="1350"/>
        <w:gridCol w:w="1350"/>
        <w:gridCol w:w="1347"/>
      </w:tblGrid>
      <w:tr>
        <w:trPr>
          <w:trHeight w:val="530" w:hRule="exact"/>
        </w:trPr>
        <w:tc>
          <w:tcPr>
            <w:tcW w:w="15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8" w:hRule="exact"/>
        </w:trPr>
        <w:tc>
          <w:tcPr>
            <w:tcW w:w="1566" w:type="dxa"/>
            <w:vMerge/>
            <w:tcBorders>
              <w:left w:val="nil" w:sz="6" w:space="0" w:color="auto"/>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1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466,509.97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95" w:right="0"/>
              <w:jc w:val="left"/>
              <w:rPr>
                <w:rFonts w:ascii="Times New Roman" w:hAnsi="Times New Roman" w:cs="Times New Roman" w:eastAsia="Times New Roman" w:hint="default"/>
                <w:sz w:val="21"/>
                <w:szCs w:val="21"/>
              </w:rPr>
            </w:pPr>
            <w:r>
              <w:rPr>
                <w:rFonts w:ascii="Times New Roman"/>
                <w:sz w:val="21"/>
              </w:rPr>
              <w:t>0.50%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02" w:right="0"/>
              <w:jc w:val="left"/>
              <w:rPr>
                <w:rFonts w:ascii="Times New Roman" w:hAnsi="Times New Roman" w:cs="Times New Roman" w:eastAsia="Times New Roman" w:hint="default"/>
                <w:sz w:val="21"/>
                <w:szCs w:val="21"/>
              </w:rPr>
            </w:pPr>
            <w:r>
              <w:rPr>
                <w:rFonts w:ascii="Times New Roman"/>
                <w:sz w:val="21"/>
              </w:rPr>
              <w:t>2,284.07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91" w:right="0"/>
              <w:jc w:val="left"/>
              <w:rPr>
                <w:rFonts w:ascii="Times New Roman" w:hAnsi="Times New Roman" w:cs="Times New Roman" w:eastAsia="Times New Roman" w:hint="default"/>
                <w:sz w:val="21"/>
                <w:szCs w:val="21"/>
              </w:rPr>
            </w:pPr>
            <w:r>
              <w:rPr>
                <w:rFonts w:ascii="Times New Roman"/>
                <w:sz w:val="21"/>
              </w:rPr>
              <w:t>274,899.69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92" w:right="0"/>
              <w:jc w:val="left"/>
              <w:rPr>
                <w:rFonts w:ascii="Times New Roman" w:hAnsi="Times New Roman" w:cs="Times New Roman" w:eastAsia="Times New Roman" w:hint="default"/>
                <w:sz w:val="21"/>
                <w:szCs w:val="21"/>
              </w:rPr>
            </w:pPr>
            <w:r>
              <w:rPr>
                <w:rFonts w:ascii="Times New Roman"/>
                <w:sz w:val="21"/>
              </w:rPr>
              <w:t>0.50%</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00" w:right="0"/>
              <w:jc w:val="left"/>
              <w:rPr>
                <w:rFonts w:ascii="Times New Roman" w:hAnsi="Times New Roman" w:cs="Times New Roman" w:eastAsia="Times New Roman" w:hint="default"/>
                <w:sz w:val="21"/>
                <w:szCs w:val="21"/>
              </w:rPr>
            </w:pPr>
            <w:r>
              <w:rPr>
                <w:rFonts w:ascii="Times New Roman"/>
                <w:sz w:val="21"/>
              </w:rPr>
              <w:t>1,374.50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65" w:top="1040" w:bottom="1060" w:left="1020" w:right="960"/>
        </w:sectPr>
      </w:pPr>
    </w:p>
    <w:p>
      <w:pPr>
        <w:pStyle w:val="BodyText"/>
        <w:spacing w:line="240" w:lineRule="auto" w:before="8"/>
        <w:ind w:left="215" w:right="202"/>
        <w:jc w:val="left"/>
      </w:pPr>
      <w:r>
        <w:rPr/>
        <w:t>组合中，按账龄分析法计提坏账准备的其他应收款：</w:t>
      </w:r>
    </w:p>
    <w:p>
      <w:pPr>
        <w:spacing w:line="240" w:lineRule="auto" w:before="2"/>
        <w:rPr>
          <w:rFonts w:ascii="宋体" w:hAnsi="宋体" w:cs="宋体" w:eastAsia="宋体" w:hint="default"/>
          <w:sz w:val="16"/>
          <w:szCs w:val="16"/>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90"/>
        <w:gridCol w:w="1422"/>
        <w:gridCol w:w="1136"/>
        <w:gridCol w:w="1220"/>
        <w:gridCol w:w="1482"/>
        <w:gridCol w:w="1136"/>
        <w:gridCol w:w="1278"/>
      </w:tblGrid>
      <w:tr>
        <w:trPr>
          <w:trHeight w:val="528" w:hRule="exact"/>
        </w:trPr>
        <w:tc>
          <w:tcPr>
            <w:tcW w:w="199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9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30" w:hRule="exact"/>
        </w:trPr>
        <w:tc>
          <w:tcPr>
            <w:tcW w:w="1990" w:type="dxa"/>
            <w:vMerge/>
            <w:tcBorders>
              <w:left w:val="nil" w:sz="6" w:space="0" w:color="auto"/>
              <w:right w:val="single" w:sz="4" w:space="0" w:color="000000"/>
            </w:tcBorders>
          </w:tcPr>
          <w:p>
            <w:pP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1990" w:type="dxa"/>
            <w:vMerge/>
            <w:tcBorders>
              <w:left w:val="nil" w:sz="6" w:space="0" w:color="auto"/>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20" w:type="dxa"/>
            <w:vMerge/>
            <w:tcBorders>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8" w:type="dxa"/>
            <w:vMerge/>
            <w:tcBorders>
              <w:left w:val="single" w:sz="4" w:space="0" w:color="000000"/>
              <w:bottom w:val="single" w:sz="4" w:space="0" w:color="000000"/>
              <w:right w:val="nil" w:sz="6" w:space="0" w:color="auto"/>
            </w:tcBorders>
          </w:tcPr>
          <w:p>
            <w:pPr/>
          </w:p>
        </w:tc>
      </w:tr>
      <w:tr>
        <w:trPr>
          <w:trHeight w:val="530"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1.45%</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17,300.00</w:t>
            </w:r>
          </w:p>
        </w:tc>
      </w:tr>
      <w:tr>
        <w:trPr>
          <w:trHeight w:val="509"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56,800.00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3,860,326.11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98.54%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3,860,326.11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3,865,326.11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98.55%</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3,865,326.11</w:t>
            </w:r>
          </w:p>
        </w:tc>
      </w:tr>
      <w:tr>
        <w:trPr>
          <w:trHeight w:val="511"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3,917,326.11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3,917,126.11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3,922,326.11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3,882,626.11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15" w:right="202"/>
        <w:jc w:val="left"/>
      </w:pPr>
      <w:r>
        <w:rPr/>
        <w:t>（</w:t>
      </w:r>
      <w:r>
        <w:rPr>
          <w:rFonts w:ascii="Times New Roman" w:hAnsi="Times New Roman" w:cs="Times New Roman" w:eastAsia="Times New Roman" w:hint="default"/>
        </w:rPr>
        <w:t>2</w:t>
      </w:r>
      <w:r>
        <w:rPr/>
        <w:t>）本期转回或收回情况</w:t>
      </w:r>
    </w:p>
    <w:p>
      <w:pPr>
        <w:spacing w:line="240" w:lineRule="auto" w:before="4"/>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336"/>
        <w:gridCol w:w="1831"/>
        <w:gridCol w:w="1833"/>
        <w:gridCol w:w="1831"/>
        <w:gridCol w:w="1831"/>
      </w:tblGrid>
      <w:tr>
        <w:trPr>
          <w:trHeight w:val="811"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8"/>
              <w:ind w:left="731" w:right="188" w:hanging="542"/>
              <w:jc w:val="left"/>
              <w:rPr>
                <w:rFonts w:ascii="宋体" w:hAnsi="宋体" w:cs="宋体" w:eastAsia="宋体" w:hint="default"/>
                <w:sz w:val="18"/>
                <w:szCs w:val="18"/>
              </w:rPr>
            </w:pPr>
            <w:r>
              <w:rPr>
                <w:rFonts w:ascii="宋体" w:hAnsi="宋体" w:cs="宋体" w:eastAsia="宋体" w:hint="default"/>
                <w:sz w:val="18"/>
                <w:szCs w:val="18"/>
              </w:rPr>
              <w:t>确定原坏账准备的</w:t>
            </w:r>
            <w:r>
              <w:rPr>
                <w:rFonts w:ascii="宋体" w:hAnsi="宋体" w:cs="宋体" w:eastAsia="宋体" w:hint="default"/>
                <w:spacing w:val="-87"/>
                <w:sz w:val="18"/>
                <w:szCs w:val="18"/>
              </w:rPr>
              <w:t> </w:t>
            </w:r>
            <w:r>
              <w:rPr>
                <w:rFonts w:ascii="宋体" w:hAnsi="宋体" w:cs="宋体" w:eastAsia="宋体" w:hint="default"/>
                <w:sz w:val="18"/>
                <w:szCs w:val="18"/>
              </w:rPr>
              <w:t>依据</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8"/>
              <w:ind w:left="368" w:right="188" w:hanging="181"/>
              <w:jc w:val="left"/>
              <w:rPr>
                <w:rFonts w:ascii="宋体" w:hAnsi="宋体" w:cs="宋体" w:eastAsia="宋体" w:hint="default"/>
                <w:sz w:val="18"/>
                <w:szCs w:val="18"/>
              </w:rPr>
            </w:pPr>
            <w:r>
              <w:rPr>
                <w:rFonts w:ascii="宋体" w:hAnsi="宋体" w:cs="宋体" w:eastAsia="宋体" w:hint="default"/>
                <w:sz w:val="18"/>
                <w:szCs w:val="18"/>
              </w:rPr>
              <w:t>收回前累计已计提</w:t>
            </w:r>
            <w:r>
              <w:rPr>
                <w:rFonts w:ascii="宋体" w:hAnsi="宋体" w:cs="宋体" w:eastAsia="宋体" w:hint="default"/>
                <w:spacing w:val="-87"/>
                <w:sz w:val="18"/>
                <w:szCs w:val="18"/>
              </w:rPr>
              <w:t> </w:t>
            </w:r>
            <w:r>
              <w:rPr>
                <w:rFonts w:ascii="宋体" w:hAnsi="宋体" w:cs="宋体" w:eastAsia="宋体" w:hint="default"/>
                <w:sz w:val="18"/>
                <w:szCs w:val="18"/>
              </w:rPr>
              <w:t>坏账准备金额</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收回原值金额</w:t>
            </w:r>
          </w:p>
        </w:tc>
      </w:tr>
      <w:tr>
        <w:trPr>
          <w:trHeight w:val="509"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深圳市瑞赐实业有限公司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法院执行</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5,016,291.90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5,016,291.90</w:t>
            </w:r>
          </w:p>
        </w:tc>
      </w:tr>
      <w:tr>
        <w:trPr>
          <w:trHeight w:val="511"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法院执行</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716,247.00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716,247.00</w:t>
            </w:r>
          </w:p>
        </w:tc>
      </w:tr>
      <w:tr>
        <w:trPr>
          <w:trHeight w:val="509"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1" w:type="dxa"/>
            <w:tcBorders>
              <w:top w:val="single" w:sz="4" w:space="0" w:color="000000"/>
              <w:left w:val="single" w:sz="4" w:space="0" w:color="000000"/>
              <w:bottom w:val="single" w:sz="4" w:space="0" w:color="000000"/>
              <w:right w:val="single" w:sz="4" w:space="0" w:color="000000"/>
            </w:tcBorders>
          </w:tcPr>
          <w:p>
            <w:pPr/>
          </w:p>
        </w:tc>
        <w:tc>
          <w:tcPr>
            <w:tcW w:w="1833"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5,732,538.90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5,732,538.90</w:t>
            </w:r>
          </w:p>
        </w:tc>
      </w:tr>
    </w:tbl>
    <w:p>
      <w:pPr>
        <w:spacing w:line="240" w:lineRule="auto" w:before="3"/>
        <w:rPr>
          <w:rFonts w:ascii="宋体" w:hAnsi="宋体" w:cs="宋体" w:eastAsia="宋体" w:hint="default"/>
          <w:sz w:val="12"/>
          <w:szCs w:val="12"/>
        </w:rPr>
      </w:pPr>
    </w:p>
    <w:p>
      <w:pPr>
        <w:pStyle w:val="BodyText"/>
        <w:spacing w:line="240" w:lineRule="auto" w:before="34"/>
        <w:ind w:left="639" w:right="202"/>
        <w:jc w:val="left"/>
      </w:pPr>
      <w:r>
        <w:rPr/>
        <w:t>本期转回的其他应收款为通过法院强制执行收回，具体交易情况详见附注五、</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215" w:right="202"/>
        <w:jc w:val="left"/>
      </w:pPr>
      <w:r>
        <w:rPr/>
        <w:t>（</w:t>
      </w:r>
      <w:r>
        <w:rPr>
          <w:rFonts w:ascii="Times New Roman" w:hAnsi="Times New Roman" w:cs="Times New Roman" w:eastAsia="Times New Roman" w:hint="default"/>
        </w:rPr>
        <w:t>3</w:t>
      </w:r>
      <w:r>
        <w:rPr/>
        <w:t>）期末单项金额重大或虽不重大但单独进行减值测试的其他应收款坏账准备计提：</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412"/>
        <w:gridCol w:w="1634"/>
        <w:gridCol w:w="1634"/>
        <w:gridCol w:w="1371"/>
        <w:gridCol w:w="1612"/>
      </w:tblGrid>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集团内子公司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749,165,931.33</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深圳市海龙王房地产开发有限公司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50,119,685.55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50,119,685.55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应收代持股相关款项</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47,236,627.18</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47,236,627.18</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bl>
    <w:p>
      <w:pPr>
        <w:spacing w:after="0" w:line="240" w:lineRule="auto"/>
        <w:jc w:val="center"/>
        <w:rPr>
          <w:rFonts w:ascii="宋体" w:hAnsi="宋体" w:cs="宋体" w:eastAsia="宋体" w:hint="default"/>
          <w:sz w:val="21"/>
          <w:szCs w:val="21"/>
        </w:rPr>
        <w:sectPr>
          <w:pgSz w:w="11910" w:h="16840"/>
          <w:pgMar w:header="0" w:footer="865" w:top="1320" w:bottom="1060" w:left="920" w:right="98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412"/>
        <w:gridCol w:w="1634"/>
        <w:gridCol w:w="1634"/>
        <w:gridCol w:w="1371"/>
        <w:gridCol w:w="1612"/>
      </w:tblGrid>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广州金宇房地产开发公司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24,881,441.50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24,881,441.50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应收代持股所得税款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22,021,051.60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22,021,051.60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深圳桂兴贸易发展公司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18,588,821.90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18,588,821.90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正中置业集团有限公司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15,020,889.67</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15,020,889.67</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3,260,739.46</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3,260,739.46</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深圳丰华电子公司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2,691,859.01</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2,691,859.01</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深圳市泉源实业发展有限公司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2,600,000.00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2,600,000.00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深圳发中实业有限公司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2,500,000.00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2,500,000.00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南山综合楼消防工程款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2,401,187.07</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2,401,187.07</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深圳市竣雄投资有限公司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1,530,000.00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1,530,000.00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龙岗五联村将军帽自然村</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1,386,000.00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1,386,000.00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1"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珠海市鑫大生物工程有限公司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按帐龄</w:t>
            </w:r>
          </w:p>
        </w:tc>
      </w:tr>
      <w:tr>
        <w:trPr>
          <w:trHeight w:val="509" w:hRule="exact"/>
        </w:trPr>
        <w:tc>
          <w:tcPr>
            <w:tcW w:w="3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944,404,234.27</w:t>
            </w:r>
            <w:r>
              <w:rPr>
                <w:rFonts w:ascii="Times New Roman"/>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194,738,302.94</w:t>
            </w:r>
            <w:r>
              <w:rPr>
                <w:rFonts w:ascii="Times New Roman"/>
                <w:sz w:val="21"/>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31"/>
        <w:jc w:val="left"/>
      </w:pPr>
      <w:r>
        <w:rPr/>
        <w:t>（</w:t>
      </w:r>
      <w:r>
        <w:rPr>
          <w:rFonts w:ascii="Times New Roman" w:hAnsi="Times New Roman" w:cs="Times New Roman" w:eastAsia="Times New Roman" w:hint="default"/>
        </w:rPr>
        <w:t>4</w:t>
      </w:r>
      <w:r>
        <w:rPr/>
        <w:t>）本报告期无实际核销的其他应收款。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131"/>
        <w:jc w:val="left"/>
      </w:pPr>
      <w:r>
        <w:rPr/>
        <w:t>（</w:t>
      </w:r>
      <w:r>
        <w:rPr>
          <w:rFonts w:ascii="Times New Roman" w:hAnsi="Times New Roman" w:cs="Times New Roman" w:eastAsia="Times New Roman" w:hint="default"/>
        </w:rPr>
        <w:t>5</w:t>
      </w:r>
      <w:r>
        <w:rPr/>
        <w:t>）本报告期其他应收款中无持有公司</w:t>
      </w:r>
      <w:r>
        <w:rPr>
          <w:spacing w:val="-50"/>
        </w:rPr>
        <w:t> </w:t>
      </w:r>
      <w:r>
        <w:rPr>
          <w:rFonts w:ascii="Times New Roman" w:hAnsi="Times New Roman" w:cs="Times New Roman" w:eastAsia="Times New Roman" w:hint="default"/>
        </w:rPr>
        <w:t>5%(</w:t>
      </w:r>
      <w:r>
        <w:rPr/>
        <w:t>含</w:t>
      </w:r>
      <w:r>
        <w:rPr>
          <w:spacing w:val="-48"/>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131"/>
        <w:jc w:val="left"/>
      </w:pPr>
      <w:r>
        <w:rPr/>
        <w:t>（</w:t>
      </w:r>
      <w:r>
        <w:rPr>
          <w:rFonts w:ascii="Times New Roman" w:hAnsi="Times New Roman" w:cs="Times New Roman" w:eastAsia="Times New Roman" w:hint="default"/>
        </w:rPr>
        <w:t>6</w:t>
      </w:r>
      <w:r>
        <w:rPr/>
        <w:t>）其他应收款金额前五名单位情况</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left="0" w:right="1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78"/>
        <w:gridCol w:w="1631"/>
        <w:gridCol w:w="1629"/>
        <w:gridCol w:w="1631"/>
        <w:gridCol w:w="1629"/>
      </w:tblGrid>
      <w:tr>
        <w:trPr>
          <w:trHeight w:val="730"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58" w:right="269" w:hanging="90"/>
              <w:jc w:val="left"/>
              <w:rPr>
                <w:rFonts w:ascii="宋体" w:hAnsi="宋体" w:cs="宋体" w:eastAsia="宋体" w:hint="default"/>
                <w:sz w:val="18"/>
                <w:szCs w:val="18"/>
              </w:rPr>
            </w:pPr>
            <w:r>
              <w:rPr>
                <w:rFonts w:ascii="宋体" w:hAnsi="宋体" w:cs="宋体" w:eastAsia="宋体" w:hint="default"/>
                <w:sz w:val="18"/>
                <w:szCs w:val="18"/>
              </w:rPr>
              <w:t>占其他应收款</w:t>
            </w:r>
            <w:r>
              <w:rPr>
                <w:rFonts w:ascii="宋体" w:hAnsi="宋体" w:cs="宋体" w:eastAsia="宋体" w:hint="default"/>
                <w:spacing w:val="-88"/>
                <w:sz w:val="18"/>
                <w:szCs w:val="18"/>
              </w:rPr>
              <w:t> </w:t>
            </w:r>
            <w:r>
              <w:rPr>
                <w:rFonts w:ascii="宋体" w:hAnsi="宋体" w:cs="宋体" w:eastAsia="宋体" w:hint="default"/>
                <w:sz w:val="18"/>
                <w:szCs w:val="18"/>
              </w:rPr>
              <w:t>总额的比例</w:t>
            </w:r>
          </w:p>
        </w:tc>
      </w:tr>
      <w:tr>
        <w:trPr>
          <w:trHeight w:val="509"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299,993,828.05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31.62%</w:t>
            </w:r>
          </w:p>
        </w:tc>
      </w:tr>
      <w:tr>
        <w:trPr>
          <w:trHeight w:val="511"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深圳市宝鹏物流有限公司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282,582,834.69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29.78%</w:t>
            </w:r>
          </w:p>
        </w:tc>
      </w:tr>
      <w:tr>
        <w:trPr>
          <w:trHeight w:val="509"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80,592,584.44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8.49%</w:t>
            </w:r>
          </w:p>
        </w:tc>
      </w:tr>
      <w:tr>
        <w:trPr>
          <w:trHeight w:val="511"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70,269,453.90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7.41%</w:t>
            </w:r>
          </w:p>
        </w:tc>
      </w:tr>
      <w:tr>
        <w:trPr>
          <w:trHeight w:val="509"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50,119,685.55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5.28%</w:t>
            </w:r>
          </w:p>
        </w:tc>
      </w:tr>
      <w:tr>
        <w:trPr>
          <w:trHeight w:val="511"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1"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783,558,386.63</w:t>
            </w:r>
          </w:p>
        </w:tc>
        <w:tc>
          <w:tcPr>
            <w:tcW w:w="1631"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82.58%</w:t>
            </w:r>
          </w:p>
        </w:tc>
      </w:tr>
    </w:tbl>
    <w:p>
      <w:pPr>
        <w:spacing w:after="0" w:line="240" w:lineRule="auto"/>
        <w:jc w:val="right"/>
        <w:rPr>
          <w:rFonts w:ascii="Times New Roman" w:hAnsi="Times New Roman" w:cs="Times New Roman" w:eastAsia="Times New Roman" w:hint="default"/>
          <w:sz w:val="18"/>
          <w:szCs w:val="18"/>
        </w:rPr>
        <w:sectPr>
          <w:footerReference w:type="default" r:id="rId51"/>
          <w:pgSz w:w="11910" w:h="16840"/>
          <w:pgMar w:footer="865" w:header="0" w:top="1040" w:bottom="1060" w:left="1020" w:right="960"/>
          <w:pgNumType w:start="130"/>
        </w:sectPr>
      </w:pPr>
    </w:p>
    <w:p>
      <w:pPr>
        <w:spacing w:line="240" w:lineRule="auto" w:before="11"/>
        <w:rPr>
          <w:rFonts w:ascii="宋体" w:hAnsi="宋体" w:cs="宋体" w:eastAsia="宋体" w:hint="default"/>
          <w:sz w:val="14"/>
          <w:szCs w:val="14"/>
        </w:rPr>
      </w:pPr>
    </w:p>
    <w:p>
      <w:pPr>
        <w:pStyle w:val="BodyText"/>
        <w:spacing w:line="240" w:lineRule="auto" w:before="34"/>
        <w:ind w:right="108"/>
        <w:jc w:val="left"/>
      </w:pPr>
      <w:r>
        <w:rPr/>
        <w:t>（</w:t>
      </w:r>
      <w:r>
        <w:rPr>
          <w:rFonts w:ascii="Times New Roman" w:hAnsi="Times New Roman" w:cs="Times New Roman" w:eastAsia="Times New Roman" w:hint="default"/>
        </w:rPr>
        <w:t>7</w:t>
      </w:r>
      <w:r>
        <w:rPr/>
        <w:t>）应收关联方款项</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88"/>
        <w:gridCol w:w="2971"/>
        <w:gridCol w:w="2274"/>
        <w:gridCol w:w="2129"/>
      </w:tblGrid>
      <w:tr>
        <w:trPr>
          <w:trHeight w:val="101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4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37"/>
              <w:ind w:left="534" w:right="431" w:hanging="106"/>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99"/>
                <w:sz w:val="21"/>
                <w:szCs w:val="21"/>
              </w:rPr>
              <w:t> </w:t>
            </w:r>
            <w:r>
              <w:rPr>
                <w:rFonts w:ascii="宋体" w:hAnsi="宋体" w:cs="宋体" w:eastAsia="宋体" w:hint="default"/>
                <w:sz w:val="21"/>
                <w:szCs w:val="21"/>
              </w:rPr>
              <w:t>总额的比例</w:t>
            </w:r>
          </w:p>
        </w:tc>
      </w:tr>
      <w:tr>
        <w:trPr>
          <w:trHeight w:val="794"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10" w:right="94"/>
              <w:jc w:val="left"/>
              <w:rPr>
                <w:rFonts w:ascii="宋体" w:hAnsi="宋体" w:cs="宋体" w:eastAsia="宋体" w:hint="default"/>
                <w:sz w:val="21"/>
                <w:szCs w:val="21"/>
              </w:rPr>
            </w:pPr>
            <w:r>
              <w:rPr>
                <w:rFonts w:ascii="宋体" w:hAnsi="宋体" w:cs="宋体" w:eastAsia="宋体" w:hint="default"/>
                <w:spacing w:val="21"/>
                <w:sz w:val="21"/>
                <w:szCs w:val="21"/>
              </w:rPr>
              <w:t>深圳市鸿基广源贸易</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已进入清算程序的子公司</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3,260,739.46</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0.34%</w:t>
            </w:r>
          </w:p>
        </w:tc>
      </w:tr>
      <w:tr>
        <w:trPr>
          <w:trHeight w:val="794"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10" w:right="94"/>
              <w:jc w:val="left"/>
              <w:rPr>
                <w:rFonts w:ascii="宋体" w:hAnsi="宋体" w:cs="宋体" w:eastAsia="宋体" w:hint="default"/>
                <w:sz w:val="21"/>
                <w:szCs w:val="21"/>
              </w:rPr>
            </w:pPr>
            <w:r>
              <w:rPr>
                <w:rFonts w:ascii="宋体" w:hAnsi="宋体" w:cs="宋体" w:eastAsia="宋体" w:hint="default"/>
                <w:spacing w:val="21"/>
                <w:sz w:val="21"/>
                <w:szCs w:val="21"/>
              </w:rPr>
              <w:t>深圳市泉源实业发展</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05" w:right="103"/>
              <w:jc w:val="left"/>
              <w:rPr>
                <w:rFonts w:ascii="宋体" w:hAnsi="宋体" w:cs="宋体" w:eastAsia="宋体" w:hint="default"/>
                <w:sz w:val="21"/>
                <w:szCs w:val="21"/>
              </w:rPr>
            </w:pPr>
            <w:r>
              <w:rPr>
                <w:rFonts w:ascii="宋体" w:hAnsi="宋体" w:cs="宋体" w:eastAsia="宋体" w:hint="default"/>
                <w:sz w:val="21"/>
                <w:szCs w:val="21"/>
              </w:rPr>
              <w:t>子公司深圳市凯方实业发展有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限公司之联营企业</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2,600,000.00</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0.27%</w:t>
            </w:r>
          </w:p>
        </w:tc>
      </w:tr>
      <w:tr>
        <w:trPr>
          <w:trHeight w:val="51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1" w:type="dxa"/>
            <w:tcBorders>
              <w:top w:val="single" w:sz="4" w:space="0" w:color="000000"/>
              <w:left w:val="single" w:sz="4" w:space="0" w:color="000000"/>
              <w:bottom w:val="single" w:sz="4" w:space="0" w:color="000000"/>
              <w:right w:val="single" w:sz="4" w:space="0" w:color="000000"/>
            </w:tcBorders>
          </w:tcPr>
          <w:p>
            <w:pP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5,860,739.46</w:t>
            </w:r>
            <w:r>
              <w:rPr>
                <w:rFonts w:ascii="Times New Roman"/>
                <w:sz w:val="21"/>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08"/>
        <w:jc w:val="left"/>
      </w:pPr>
      <w:r>
        <w:rPr/>
        <w:t>（</w:t>
      </w:r>
      <w:r>
        <w:rPr>
          <w:rFonts w:ascii="Times New Roman" w:hAnsi="Times New Roman" w:cs="Times New Roman" w:eastAsia="Times New Roman" w:hint="default"/>
        </w:rPr>
        <w:t>8</w:t>
      </w:r>
      <w:r>
        <w:rPr/>
        <w:t>）本公司无本报告期终止确认的其他应收款项。</w:t>
      </w:r>
    </w:p>
    <w:p>
      <w:pPr>
        <w:spacing w:after="0" w:line="240" w:lineRule="auto"/>
        <w:jc w:val="left"/>
        <w:sectPr>
          <w:pgSz w:w="11910" w:h="16840"/>
          <w:pgMar w:header="0" w:footer="865" w:top="1580" w:bottom="1060" w:left="1020" w:right="980"/>
        </w:sectPr>
      </w:pPr>
    </w:p>
    <w:p>
      <w:pPr>
        <w:spacing w:line="240" w:lineRule="auto" w:before="3"/>
        <w:rPr>
          <w:rFonts w:ascii="宋体" w:hAnsi="宋体" w:cs="宋体" w:eastAsia="宋体" w:hint="default"/>
          <w:sz w:val="14"/>
          <w:szCs w:val="14"/>
        </w:rPr>
      </w:pPr>
    </w:p>
    <w:p>
      <w:pPr>
        <w:pStyle w:val="Heading5"/>
        <w:spacing w:line="333" w:lineRule="exact"/>
        <w:ind w:left="221" w:right="0"/>
        <w:jc w:val="left"/>
        <w:rPr>
          <w:b w:val="0"/>
          <w:bCs w:val="0"/>
        </w:rPr>
      </w:pPr>
      <w:bookmarkStart w:name="2、长期股权投资" w:id="150"/>
      <w:bookmarkEnd w:id="150"/>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2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0"/>
        <w:gridCol w:w="1424"/>
        <w:gridCol w:w="852"/>
        <w:gridCol w:w="854"/>
        <w:gridCol w:w="1280"/>
        <w:gridCol w:w="994"/>
        <w:gridCol w:w="852"/>
      </w:tblGrid>
      <w:tr>
        <w:trPr>
          <w:trHeight w:val="427" w:hRule="exact"/>
        </w:trPr>
        <w:tc>
          <w:tcPr>
            <w:tcW w:w="3378" w:type="dxa"/>
            <w:tcBorders>
              <w:top w:val="single" w:sz="4" w:space="0" w:color="000000"/>
              <w:left w:val="nil" w:sz="6" w:space="0" w:color="auto"/>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22"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128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nil" w:sz="6" w:space="0" w:color="auto"/>
            </w:tcBorders>
          </w:tcPr>
          <w:p>
            <w:pPr/>
          </w:p>
        </w:tc>
      </w:tr>
      <w:tr>
        <w:trPr>
          <w:trHeight w:val="270" w:hRule="exact"/>
        </w:trPr>
        <w:tc>
          <w:tcPr>
            <w:tcW w:w="3378"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资单位</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资单位</w:t>
            </w:r>
          </w:p>
        </w:tc>
        <w:tc>
          <w:tcPr>
            <w:tcW w:w="128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27"/>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852"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现金红</w:t>
            </w:r>
          </w:p>
        </w:tc>
      </w:tr>
      <w:tr>
        <w:trPr>
          <w:trHeight w:val="180" w:hRule="exact"/>
        </w:trPr>
        <w:tc>
          <w:tcPr>
            <w:tcW w:w="3378" w:type="dxa"/>
            <w:tcBorders>
              <w:top w:val="nil" w:sz="6" w:space="0" w:color="auto"/>
              <w:left w:val="nil" w:sz="6" w:space="0" w:color="auto"/>
              <w:bottom w:val="nil" w:sz="6" w:space="0" w:color="auto"/>
              <w:right w:val="single" w:sz="4" w:space="0" w:color="000000"/>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nil" w:sz="6" w:space="0" w:color="auto"/>
            </w:tcBorders>
          </w:tcPr>
          <w:p>
            <w:pPr/>
          </w:p>
        </w:tc>
      </w:tr>
      <w:tr>
        <w:trPr>
          <w:trHeight w:val="270" w:hRule="exact"/>
        </w:trPr>
        <w:tc>
          <w:tcPr>
            <w:tcW w:w="3378"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28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2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52" w:type="dxa"/>
            <w:tcBorders>
              <w:top w:val="nil" w:sz="6" w:space="0" w:color="auto"/>
              <w:left w:val="single" w:sz="4" w:space="0" w:color="000000"/>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w w:val="100"/>
                <w:sz w:val="18"/>
                <w:szCs w:val="18"/>
              </w:rPr>
              <w:t>利</w:t>
            </w:r>
          </w:p>
        </w:tc>
      </w:tr>
      <w:tr>
        <w:trPr>
          <w:trHeight w:val="302" w:hRule="exact"/>
        </w:trPr>
        <w:tc>
          <w:tcPr>
            <w:tcW w:w="3378" w:type="dxa"/>
            <w:tcBorders>
              <w:top w:val="nil" w:sz="6" w:space="0" w:color="auto"/>
              <w:left w:val="nil" w:sz="6" w:space="0" w:color="auto"/>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8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14"/>
          <w:szCs w:val="14"/>
        </w:rPr>
      </w:pPr>
    </w:p>
    <w:p>
      <w:pPr>
        <w:spacing w:before="44"/>
        <w:ind w:left="215" w:right="0" w:firstLine="0"/>
        <w:jc w:val="left"/>
        <w:rPr>
          <w:rFonts w:ascii="宋体" w:hAnsi="宋体" w:cs="宋体" w:eastAsia="宋体" w:hint="default"/>
          <w:sz w:val="18"/>
          <w:szCs w:val="18"/>
        </w:rPr>
      </w:pPr>
      <w:r>
        <w:rPr>
          <w:rFonts w:ascii="宋体" w:hAnsi="宋体" w:cs="宋体" w:eastAsia="宋体" w:hint="default"/>
          <w:sz w:val="18"/>
          <w:szCs w:val="18"/>
        </w:rPr>
        <w:t>一、联营企业</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0"/>
        <w:gridCol w:w="1424"/>
        <w:gridCol w:w="852"/>
        <w:gridCol w:w="854"/>
        <w:gridCol w:w="1280"/>
        <w:gridCol w:w="994"/>
        <w:gridCol w:w="852"/>
      </w:tblGrid>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6,612,318.66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-718,170.65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5,894,148.01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75,290,750.00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51492216.08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-8,529,833.28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42,962,382.80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46"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80,690,750.00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58,104,534.74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-9,248,003.93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48,856,530.81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11"/>
        <w:rPr>
          <w:rFonts w:ascii="宋体" w:hAnsi="宋体" w:cs="宋体" w:eastAsia="宋体" w:hint="default"/>
          <w:sz w:val="14"/>
          <w:szCs w:val="14"/>
        </w:rPr>
      </w:pPr>
    </w:p>
    <w:p>
      <w:pPr>
        <w:spacing w:before="44"/>
        <w:ind w:left="215" w:right="0" w:firstLine="0"/>
        <w:jc w:val="left"/>
        <w:rPr>
          <w:rFonts w:ascii="宋体" w:hAnsi="宋体" w:cs="宋体" w:eastAsia="宋体" w:hint="default"/>
          <w:sz w:val="18"/>
          <w:szCs w:val="18"/>
        </w:rPr>
      </w:pPr>
      <w:r>
        <w:rPr>
          <w:rFonts w:ascii="宋体" w:hAnsi="宋体" w:cs="宋体" w:eastAsia="宋体" w:hint="default"/>
          <w:sz w:val="18"/>
          <w:szCs w:val="18"/>
        </w:rPr>
        <w:t>二、子公司</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2"/>
        <w:gridCol w:w="1422"/>
        <w:gridCol w:w="852"/>
        <w:gridCol w:w="854"/>
        <w:gridCol w:w="1280"/>
        <w:gridCol w:w="994"/>
        <w:gridCol w:w="852"/>
      </w:tblGrid>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深圳市迅达汽车运输有限公司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118,226,328.96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118,226,328.96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118,226,328.96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31,838,360.94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深圳市鸿基锦源运输有限公司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深圳市鸿基华辉运输有限公司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2,720,100.00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60,800,200.00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15,800,200.00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60,800,200.00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30,967,700.00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30,093,000.00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874,700.00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30,967,700.00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30,093,000.00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10,267,600.00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2,267,600.00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10,267,600.00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295,940,000.00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295,940,000.00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295,940,000.00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6840" w:h="11910" w:orient="landscape"/>
          <w:pgMar w:footer="845" w:header="0" w:top="1100" w:bottom="1040" w:left="920" w:right="800"/>
          <w:pgNumType w:start="132"/>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2"/>
        <w:gridCol w:w="1422"/>
        <w:gridCol w:w="852"/>
        <w:gridCol w:w="854"/>
        <w:gridCol w:w="1280"/>
        <w:gridCol w:w="994"/>
        <w:gridCol w:w="852"/>
      </w:tblGrid>
      <w:tr>
        <w:trPr>
          <w:trHeight w:val="145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1"/>
              <w:ind w:left="151" w:right="147"/>
              <w:jc w:val="center"/>
              <w:rPr>
                <w:rFonts w:ascii="宋体" w:hAnsi="宋体" w:cs="宋体" w:eastAsia="宋体" w:hint="default"/>
                <w:sz w:val="18"/>
                <w:szCs w:val="18"/>
              </w:rPr>
            </w:pPr>
            <w:r>
              <w:rPr>
                <w:rFonts w:ascii="宋体" w:hAnsi="宋体" w:cs="宋体" w:eastAsia="宋体" w:hint="default"/>
                <w:sz w:val="18"/>
                <w:szCs w:val="18"/>
              </w:rPr>
              <w:t>在被投</w:t>
            </w:r>
            <w:r>
              <w:rPr>
                <w:rFonts w:ascii="宋体" w:hAnsi="宋体" w:cs="宋体" w:eastAsia="宋体" w:hint="default"/>
                <w:w w:val="100"/>
                <w:sz w:val="18"/>
                <w:szCs w:val="18"/>
              </w:rPr>
              <w:t> </w:t>
            </w:r>
            <w:r>
              <w:rPr>
                <w:rFonts w:ascii="宋体" w:hAnsi="宋体" w:cs="宋体" w:eastAsia="宋体" w:hint="default"/>
                <w:sz w:val="18"/>
                <w:szCs w:val="18"/>
              </w:rPr>
              <w:t>资单位</w:t>
            </w:r>
            <w:r>
              <w:rPr>
                <w:rFonts w:ascii="宋体" w:hAnsi="宋体" w:cs="宋体" w:eastAsia="宋体" w:hint="default"/>
                <w:w w:val="100"/>
                <w:sz w:val="18"/>
                <w:szCs w:val="18"/>
              </w:rPr>
              <w:t> </w:t>
            </w:r>
            <w:r>
              <w:rPr>
                <w:rFonts w:ascii="宋体" w:hAnsi="宋体" w:cs="宋体" w:eastAsia="宋体" w:hint="default"/>
                <w:sz w:val="18"/>
                <w:szCs w:val="18"/>
              </w:rPr>
              <w:t>持股</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1"/>
              <w:ind w:left="151" w:right="149"/>
              <w:jc w:val="both"/>
              <w:rPr>
                <w:rFonts w:ascii="宋体" w:hAnsi="宋体" w:cs="宋体" w:eastAsia="宋体" w:hint="default"/>
                <w:sz w:val="18"/>
                <w:szCs w:val="18"/>
              </w:rPr>
            </w:pPr>
            <w:r>
              <w:rPr>
                <w:rFonts w:ascii="宋体" w:hAnsi="宋体" w:cs="宋体" w:eastAsia="宋体" w:hint="default"/>
                <w:sz w:val="18"/>
                <w:szCs w:val="18"/>
              </w:rPr>
              <w:t>在被投</w:t>
            </w:r>
            <w:r>
              <w:rPr>
                <w:rFonts w:ascii="宋体" w:hAnsi="宋体" w:cs="宋体" w:eastAsia="宋体" w:hint="default"/>
                <w:w w:val="100"/>
                <w:sz w:val="18"/>
                <w:szCs w:val="18"/>
              </w:rPr>
              <w:t> </w:t>
            </w:r>
            <w:r>
              <w:rPr>
                <w:rFonts w:ascii="宋体" w:hAnsi="宋体" w:cs="宋体" w:eastAsia="宋体" w:hint="default"/>
                <w:sz w:val="18"/>
                <w:szCs w:val="18"/>
              </w:rPr>
              <w:t>资单位</w:t>
            </w:r>
            <w:r>
              <w:rPr>
                <w:rFonts w:ascii="宋体" w:hAnsi="宋体" w:cs="宋体" w:eastAsia="宋体" w:hint="default"/>
                <w:w w:val="100"/>
                <w:sz w:val="18"/>
                <w:szCs w:val="18"/>
              </w:rPr>
              <w:t> </w:t>
            </w:r>
            <w:r>
              <w:rPr>
                <w:rFonts w:ascii="宋体" w:hAnsi="宋体" w:cs="宋体" w:eastAsia="宋体" w:hint="default"/>
                <w:sz w:val="18"/>
                <w:szCs w:val="18"/>
              </w:rPr>
              <w:t>表决权</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7" w:lineRule="auto"/>
              <w:ind w:left="132" w:right="127"/>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100"/>
                <w:sz w:val="18"/>
                <w:szCs w:val="18"/>
              </w:rPr>
              <w:t> </w:t>
            </w:r>
            <w:r>
              <w:rPr>
                <w:rFonts w:ascii="宋体" w:hAnsi="宋体" w:cs="宋体" w:eastAsia="宋体" w:hint="default"/>
                <w:sz w:val="18"/>
                <w:szCs w:val="18"/>
              </w:rPr>
              <w:t>减值准备</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7" w:lineRule="auto"/>
              <w:ind w:left="332" w:right="153" w:hanging="181"/>
              <w:jc w:val="left"/>
              <w:rPr>
                <w:rFonts w:ascii="宋体" w:hAnsi="宋体" w:cs="宋体" w:eastAsia="宋体" w:hint="default"/>
                <w:sz w:val="18"/>
                <w:szCs w:val="18"/>
              </w:rPr>
            </w:pPr>
            <w:r>
              <w:rPr>
                <w:rFonts w:ascii="宋体" w:hAnsi="宋体" w:cs="宋体" w:eastAsia="宋体" w:hint="default"/>
                <w:sz w:val="18"/>
                <w:szCs w:val="18"/>
              </w:rPr>
              <w:t>现金红</w:t>
            </w:r>
            <w:r>
              <w:rPr>
                <w:rFonts w:ascii="宋体" w:hAnsi="宋体" w:cs="宋体" w:eastAsia="宋体" w:hint="default"/>
                <w:w w:val="100"/>
                <w:sz w:val="18"/>
                <w:szCs w:val="18"/>
              </w:rPr>
              <w:t> </w:t>
            </w:r>
            <w:r>
              <w:rPr>
                <w:rFonts w:ascii="宋体" w:hAnsi="宋体" w:cs="宋体" w:eastAsia="宋体" w:hint="default"/>
                <w:sz w:val="18"/>
                <w:szCs w:val="18"/>
              </w:rPr>
              <w:t>利</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陕西宝安鸿基房地产开发有限公司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安徽宝安鸿基房地产开发有限公司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深圳市宝鹏物流有限公司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东莞市宝安鸿基房地产开发有限公司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惠东县宝安鸿基房地产开发有限公司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8"/>
                <w:sz w:val="18"/>
                <w:szCs w:val="18"/>
              </w:rPr>
              <w:t>深圳市鸿基装饰设计工程有限公司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5,204,700.00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4,200,000.00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-4,200,000.00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深圳市龙岗鸿基发展有限公司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8,865,700.00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8,262,000.00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pacing w:val="-1"/>
                <w:sz w:val="18"/>
              </w:rPr>
              <w:t>603,700.00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8,865,700.00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19,000,000.00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19,000,000.00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-19,000,000.00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深圳市鸿基酒店管理有限公司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28"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深圳市鸿永通国际货运代理有限公司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329,000.00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329,000.00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329,000.00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10,212,500.00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10,212,500.00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10,212,500.00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95%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95%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福建升通网络传媒有限公司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100"/>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835,533,828.96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732,533,828.96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60,675,200.00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793,209,028.96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pacing w:val="-1"/>
                <w:sz w:val="18"/>
              </w:rPr>
              <w:t>80,431,360.94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0" w:footer="845" w:top="1040" w:bottom="1040" w:left="920" w:right="800"/>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0"/>
        <w:gridCol w:w="1424"/>
        <w:gridCol w:w="852"/>
        <w:gridCol w:w="854"/>
        <w:gridCol w:w="1280"/>
        <w:gridCol w:w="994"/>
        <w:gridCol w:w="852"/>
      </w:tblGrid>
      <w:tr>
        <w:trPr>
          <w:trHeight w:val="430" w:hRule="exact"/>
        </w:trPr>
        <w:tc>
          <w:tcPr>
            <w:tcW w:w="3378" w:type="dxa"/>
            <w:tcBorders>
              <w:top w:val="single" w:sz="4" w:space="0" w:color="000000"/>
              <w:left w:val="nil" w:sz="6" w:space="0" w:color="auto"/>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22"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128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nil" w:sz="6" w:space="0" w:color="auto"/>
            </w:tcBorders>
          </w:tcPr>
          <w:p>
            <w:pPr/>
          </w:p>
        </w:tc>
      </w:tr>
      <w:tr>
        <w:trPr>
          <w:trHeight w:val="270" w:hRule="exact"/>
        </w:trPr>
        <w:tc>
          <w:tcPr>
            <w:tcW w:w="3378"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资单位</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资单位</w:t>
            </w:r>
          </w:p>
        </w:tc>
        <w:tc>
          <w:tcPr>
            <w:tcW w:w="128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27"/>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852"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现金红</w:t>
            </w:r>
          </w:p>
        </w:tc>
      </w:tr>
      <w:tr>
        <w:trPr>
          <w:trHeight w:val="180" w:hRule="exact"/>
        </w:trPr>
        <w:tc>
          <w:tcPr>
            <w:tcW w:w="3378" w:type="dxa"/>
            <w:tcBorders>
              <w:top w:val="nil" w:sz="6" w:space="0" w:color="auto"/>
              <w:left w:val="nil" w:sz="6" w:space="0" w:color="auto"/>
              <w:bottom w:val="nil" w:sz="6" w:space="0" w:color="auto"/>
              <w:right w:val="single" w:sz="4" w:space="0" w:color="000000"/>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nil" w:sz="6" w:space="0" w:color="auto"/>
            </w:tcBorders>
          </w:tcPr>
          <w:p>
            <w:pPr/>
          </w:p>
        </w:tc>
      </w:tr>
      <w:tr>
        <w:trPr>
          <w:trHeight w:val="270" w:hRule="exact"/>
        </w:trPr>
        <w:tc>
          <w:tcPr>
            <w:tcW w:w="3378"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28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2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52" w:type="dxa"/>
            <w:tcBorders>
              <w:top w:val="nil" w:sz="6" w:space="0" w:color="auto"/>
              <w:left w:val="single" w:sz="4" w:space="0" w:color="000000"/>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w w:val="100"/>
                <w:sz w:val="18"/>
                <w:szCs w:val="18"/>
              </w:rPr>
              <w:t>利</w:t>
            </w:r>
          </w:p>
        </w:tc>
      </w:tr>
      <w:tr>
        <w:trPr>
          <w:trHeight w:val="300" w:hRule="exact"/>
        </w:trPr>
        <w:tc>
          <w:tcPr>
            <w:tcW w:w="3378" w:type="dxa"/>
            <w:tcBorders>
              <w:top w:val="nil" w:sz="6" w:space="0" w:color="auto"/>
              <w:left w:val="nil" w:sz="6" w:space="0" w:color="auto"/>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8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nil" w:sz="6" w:space="0" w:color="auto"/>
            </w:tcBorders>
          </w:tcPr>
          <w:p>
            <w:pPr/>
          </w:p>
        </w:tc>
      </w:tr>
    </w:tbl>
    <w:p>
      <w:pPr>
        <w:spacing w:line="240" w:lineRule="auto" w:before="10"/>
        <w:rPr>
          <w:rFonts w:ascii="Times New Roman" w:hAnsi="Times New Roman" w:cs="Times New Roman" w:eastAsia="Times New Roman" w:hint="default"/>
          <w:sz w:val="16"/>
          <w:szCs w:val="16"/>
        </w:rPr>
      </w:pPr>
    </w:p>
    <w:p>
      <w:pPr>
        <w:spacing w:before="44"/>
        <w:ind w:left="215" w:right="0" w:firstLine="0"/>
        <w:jc w:val="left"/>
        <w:rPr>
          <w:rFonts w:ascii="宋体" w:hAnsi="宋体" w:cs="宋体" w:eastAsia="宋体" w:hint="default"/>
          <w:sz w:val="18"/>
          <w:szCs w:val="18"/>
        </w:rPr>
      </w:pPr>
      <w:r>
        <w:rPr>
          <w:rFonts w:ascii="宋体" w:hAnsi="宋体" w:cs="宋体" w:eastAsia="宋体" w:hint="default"/>
          <w:sz w:val="18"/>
          <w:szCs w:val="18"/>
        </w:rPr>
        <w:t>三、其他长期股权投资</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8"/>
        <w:gridCol w:w="994"/>
        <w:gridCol w:w="1422"/>
        <w:gridCol w:w="1420"/>
        <w:gridCol w:w="1420"/>
        <w:gridCol w:w="1424"/>
        <w:gridCol w:w="852"/>
        <w:gridCol w:w="854"/>
        <w:gridCol w:w="1280"/>
        <w:gridCol w:w="994"/>
        <w:gridCol w:w="852"/>
      </w:tblGrid>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四川通产物业股份有限公司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长春高斯达生物科技集团股份有限公司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785,377.30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785,377.30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785,377.30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09"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10,556,000.00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10,841,377.30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511" w:hRule="exact"/>
        </w:trPr>
        <w:tc>
          <w:tcPr>
            <w:tcW w:w="3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546"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926,780,578.96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801,479,741.00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51,427,196.07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852,906,937.07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91,272,738.24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0"/>
                <w:sz w:val="18"/>
              </w:rPr>
              <w:t>-</w:t>
            </w:r>
          </w:p>
        </w:tc>
        <w:tc>
          <w:tcPr>
            <w:tcW w:w="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0" w:footer="845" w:top="1040" w:bottom="1040" w:left="920" w:right="800"/>
        </w:sectPr>
      </w:pPr>
    </w:p>
    <w:p>
      <w:pPr>
        <w:pStyle w:val="Heading5"/>
        <w:spacing w:line="307" w:lineRule="exact"/>
        <w:ind w:left="221" w:right="0"/>
        <w:jc w:val="left"/>
        <w:rPr>
          <w:b w:val="0"/>
          <w:bCs w:val="0"/>
        </w:rPr>
      </w:pPr>
      <w:r>
        <w:rPr>
          <w:rFonts w:ascii="Times New Roman" w:hAnsi="Times New Roman" w:cs="Times New Roman" w:eastAsia="Times New Roman" w:hint="default"/>
        </w:rPr>
        <w:t>3</w:t>
      </w:r>
      <w:r>
        <w:rPr/>
        <w:t>、营业收入、营业成本</w:t>
      </w:r>
      <w:r>
        <w:rPr>
          <w:b w:val="0"/>
          <w:bCs w:val="0"/>
        </w:rPr>
      </w:r>
    </w:p>
    <w:p>
      <w:pPr>
        <w:pStyle w:val="BodyText"/>
        <w:spacing w:line="240" w:lineRule="auto" w:before="191"/>
        <w:ind w:left="215" w:right="0"/>
        <w:jc w:val="left"/>
      </w:pPr>
      <w:r>
        <w:rPr/>
        <w:t>（</w:t>
      </w:r>
      <w:r>
        <w:rPr>
          <w:rFonts w:ascii="Times New Roman" w:hAnsi="Times New Roman" w:cs="Times New Roman" w:eastAsia="Times New Roman" w:hint="default"/>
        </w:rPr>
        <w:t>1</w:t>
      </w:r>
      <w:r>
        <w:rPr/>
        <w:t>）营业收入、营业成本</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229"/>
        <w:gridCol w:w="3231"/>
        <w:gridCol w:w="3311"/>
      </w:tblGrid>
      <w:tr>
        <w:trPr>
          <w:trHeight w:val="49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15,370,908.00</w:t>
            </w:r>
            <w:r>
              <w:rPr>
                <w:rFonts w:ascii="Times New Roman"/>
                <w:sz w:val="21"/>
              </w:rPr>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6,953,407.00</w:t>
            </w:r>
            <w:r>
              <w:rPr>
                <w:rFonts w:ascii="Times New Roman"/>
                <w:sz w:val="21"/>
              </w:rPr>
            </w:r>
          </w:p>
        </w:tc>
      </w:tr>
      <w:tr>
        <w:trPr>
          <w:trHeight w:val="49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16,150,022.43</w:t>
            </w:r>
            <w:r>
              <w:rPr>
                <w:rFonts w:ascii="Times New Roman"/>
                <w:sz w:val="21"/>
              </w:rPr>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12,404,385.96</w:t>
            </w:r>
            <w:r>
              <w:rPr>
                <w:rFonts w:ascii="Times New Roman"/>
                <w:sz w:val="21"/>
              </w:rPr>
            </w:r>
          </w:p>
        </w:tc>
      </w:tr>
      <w:tr>
        <w:trPr>
          <w:trHeight w:val="49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13,984,137.22</w:t>
            </w:r>
            <w:r>
              <w:rPr>
                <w:rFonts w:ascii="Times New Roman"/>
                <w:sz w:val="21"/>
              </w:rPr>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10,759,689.36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2</w:t>
      </w:r>
      <w:r>
        <w:rPr/>
        <w:t>）主营业务（分行业）</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53"/>
        <w:gridCol w:w="1588"/>
        <w:gridCol w:w="1906"/>
        <w:gridCol w:w="1588"/>
        <w:gridCol w:w="1590"/>
      </w:tblGrid>
      <w:tr>
        <w:trPr>
          <w:trHeight w:val="499" w:hRule="exact"/>
        </w:trPr>
        <w:tc>
          <w:tcPr>
            <w:tcW w:w="305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7"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3053" w:type="dxa"/>
            <w:vMerge/>
            <w:tcBorders>
              <w:left w:val="nil" w:sz="6" w:space="0" w:color="auto"/>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房地产开发及物业管理业务</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21"/>
                <w:szCs w:val="21"/>
              </w:rPr>
            </w:pPr>
            <w:r>
              <w:rPr>
                <w:rFonts w:ascii="Times New Roman"/>
                <w:sz w:val="21"/>
              </w:rPr>
              <w:t>31,520,930.43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21"/>
                <w:szCs w:val="21"/>
              </w:rPr>
            </w:pPr>
            <w:r>
              <w:rPr>
                <w:rFonts w:ascii="Times New Roman"/>
                <w:sz w:val="21"/>
              </w:rPr>
              <w:t>13,984,137.22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21"/>
                <w:szCs w:val="21"/>
              </w:rPr>
            </w:pPr>
            <w:r>
              <w:rPr>
                <w:rFonts w:ascii="Times New Roman"/>
                <w:sz w:val="21"/>
              </w:rPr>
              <w:t>19,357,792.96</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21"/>
                <w:szCs w:val="21"/>
              </w:rPr>
            </w:pPr>
            <w:r>
              <w:rPr>
                <w:rFonts w:ascii="Times New Roman"/>
                <w:sz w:val="21"/>
              </w:rPr>
              <w:t>10,759,689.36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15" w:right="0"/>
        <w:jc w:val="left"/>
      </w:pPr>
      <w:r>
        <w:rPr/>
        <w:t>（</w:t>
      </w:r>
      <w:r>
        <w:rPr>
          <w:rFonts w:ascii="Times New Roman" w:hAnsi="Times New Roman" w:cs="Times New Roman" w:eastAsia="Times New Roman" w:hint="default"/>
        </w:rPr>
        <w:t>5</w:t>
      </w:r>
      <w:r>
        <w:rPr/>
        <w:t>）公司前五名客户的营业收入情况</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4"/>
        <w:gridCol w:w="3291"/>
        <w:gridCol w:w="3294"/>
      </w:tblGrid>
      <w:tr>
        <w:trPr>
          <w:trHeight w:val="499"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99"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3,138,320.00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9.96%</w:t>
            </w:r>
          </w:p>
        </w:tc>
      </w:tr>
      <w:tr>
        <w:trPr>
          <w:trHeight w:val="502"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自然人（租金款）</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2,224,211.00</w:t>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7.06%</w:t>
            </w:r>
          </w:p>
        </w:tc>
      </w:tr>
      <w:tr>
        <w:trPr>
          <w:trHeight w:val="499"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深圳市迅达汽车运输有限公司</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1,580,616.00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5.01%</w:t>
            </w:r>
          </w:p>
        </w:tc>
      </w:tr>
      <w:tr>
        <w:trPr>
          <w:trHeight w:val="499"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深圳市金特荣记餐饮有限公司</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816,000.00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2.59%</w:t>
            </w:r>
          </w:p>
        </w:tc>
      </w:tr>
      <w:tr>
        <w:trPr>
          <w:trHeight w:val="502"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自然人（租金款）</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801,900.00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2.54%</w:t>
            </w:r>
          </w:p>
        </w:tc>
      </w:tr>
      <w:tr>
        <w:trPr>
          <w:trHeight w:val="499"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8,561,047.00</w:t>
            </w:r>
            <w:r>
              <w:rPr>
                <w:rFonts w:ascii="Times New Roman"/>
                <w:sz w:val="21"/>
              </w:rPr>
            </w:r>
          </w:p>
        </w:tc>
        <w:tc>
          <w:tcPr>
            <w:tcW w:w="3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27.16%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21" w:right="0"/>
        <w:jc w:val="left"/>
        <w:rPr>
          <w:b w:val="0"/>
          <w:bCs w:val="0"/>
        </w:rPr>
      </w:pPr>
      <w:r>
        <w:rPr>
          <w:rFonts w:ascii="Times New Roman" w:hAnsi="Times New Roman" w:cs="Times New Roman" w:eastAsia="Times New Roman" w:hint="default"/>
        </w:rPr>
        <w:t>4</w:t>
      </w:r>
      <w:r>
        <w:rPr/>
        <w:t>、投资收益</w:t>
      </w:r>
      <w:r>
        <w:rPr>
          <w:b w:val="0"/>
          <w:bCs w:val="0"/>
        </w:rPr>
      </w:r>
    </w:p>
    <w:p>
      <w:pPr>
        <w:pStyle w:val="BodyText"/>
        <w:spacing w:line="240" w:lineRule="auto" w:before="191"/>
        <w:ind w:left="215" w:right="0"/>
        <w:jc w:val="left"/>
      </w:pPr>
      <w:r>
        <w:rPr/>
        <w:t>（</w:t>
      </w:r>
      <w:r>
        <w:rPr>
          <w:rFonts w:ascii="Times New Roman" w:hAnsi="Times New Roman" w:cs="Times New Roman" w:eastAsia="Times New Roman" w:hint="default"/>
        </w:rPr>
        <w:t>1</w:t>
      </w:r>
      <w:r>
        <w:rPr/>
        <w:t>）投资收益明细</w:t>
      </w:r>
    </w:p>
    <w:p>
      <w:pPr>
        <w:spacing w:line="240" w:lineRule="auto" w:before="8"/>
        <w:rPr>
          <w:rFonts w:ascii="宋体" w:hAnsi="宋体" w:cs="宋体" w:eastAsia="宋体" w:hint="default"/>
          <w:sz w:val="12"/>
          <w:szCs w:val="12"/>
        </w:rPr>
      </w:pPr>
    </w:p>
    <w:p>
      <w:pPr>
        <w:pStyle w:val="BodyText"/>
        <w:tabs>
          <w:tab w:pos="1051" w:val="left" w:leader="none"/>
        </w:tabs>
        <w:spacing w:line="240" w:lineRule="auto" w:before="34"/>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30"/>
        <w:gridCol w:w="2772"/>
        <w:gridCol w:w="2772"/>
      </w:tblGrid>
      <w:tr>
        <w:trPr>
          <w:trHeight w:val="49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53"/>
          <w:pgSz w:w="11910" w:h="16840"/>
          <w:pgMar w:footer="865" w:header="0" w:top="1300" w:bottom="1060" w:left="920" w:right="880"/>
          <w:pgNumType w:start="135"/>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230"/>
        <w:gridCol w:w="2772"/>
        <w:gridCol w:w="2772"/>
      </w:tblGrid>
      <w:tr>
        <w:trPr>
          <w:trHeight w:val="502"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5、现金流量表补充资料" w:id="151"/>
            <w:bookmarkEnd w:id="151"/>
            <w:r>
              <w:rPr/>
            </w:r>
            <w:r>
              <w:rPr>
                <w:rFonts w:ascii="宋体" w:hAnsi="宋体" w:cs="宋体" w:eastAsia="宋体" w:hint="default"/>
                <w:sz w:val="21"/>
                <w:szCs w:val="21"/>
              </w:rPr>
              <w:t>项目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-9,248,003.93</w:t>
            </w:r>
            <w:r>
              <w:rPr>
                <w:rFonts w:ascii="Times New Roman"/>
                <w:sz w:val="21"/>
              </w:rPr>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-7,477,399.35</w:t>
            </w:r>
            <w:r>
              <w:rPr>
                <w:rFonts w:ascii="Times New Roman"/>
                <w:sz w:val="21"/>
              </w:rPr>
            </w:r>
          </w:p>
        </w:tc>
      </w:tr>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246,110,135.03</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40,545,215.74</w:t>
            </w:r>
            <w:r>
              <w:rPr>
                <w:rFonts w:ascii="Times New Roman"/>
                <w:sz w:val="21"/>
              </w:rPr>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398,446.50</w:t>
            </w:r>
            <w:r>
              <w:rPr>
                <w:rFonts w:ascii="Times New Roman"/>
                <w:sz w:val="21"/>
              </w:rPr>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664,077.50</w:t>
            </w:r>
            <w:r>
              <w:rPr>
                <w:rFonts w:ascii="Times New Roman"/>
                <w:sz w:val="21"/>
              </w:rPr>
            </w:r>
          </w:p>
        </w:tc>
      </w:tr>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子公司分来的利润</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9,918,708.41</w:t>
            </w:r>
            <w:r>
              <w:rPr>
                <w:rFonts w:ascii="Times New Roman"/>
                <w:sz w:val="21"/>
              </w:rPr>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133,115,477.59</w:t>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247,179,286.01</w:t>
            </w:r>
            <w:r>
              <w:rPr>
                <w:rFonts w:ascii="Times New Roman"/>
                <w:sz w:val="21"/>
              </w:rPr>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166,847,371.48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21" w:right="202"/>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4"/>
        <w:ind w:left="0" w:right="1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512"/>
        <w:gridCol w:w="2129"/>
        <w:gridCol w:w="2132"/>
      </w:tblGrid>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6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1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162,842,412.88</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115,314,673.50</w:t>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5,519,021.62</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3,473,248.45</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固定资产折旧、投资性房地产摊销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12,196,380.15</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11,675,002.31</w:t>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1,567,714.68</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585,780.74</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82"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89" w:lineRule="exact"/>
              <w:ind w:left="108"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-8,428,144.63</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6,480,245.25</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25,091,631.86</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-247,179,286.01</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-166,847,371.48</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26,059,653.35</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-9,693,873.85</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-1,653,741.14</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992,449.63</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1,443,863.52</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12,312,258.67</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-231,878,346.77</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-92,534,947.26</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213,362,078.14</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308,748,869.74</w:t>
            </w:r>
            <w:r>
              <w:rPr>
                <w:rFonts w:ascii="Times New Roman"/>
                <w:sz w:val="21"/>
              </w:rPr>
            </w:r>
          </w:p>
        </w:tc>
      </w:tr>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-51,240,004.33</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200,689,577.68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865" w:top="1040" w:bottom="1060" w:left="920" w:right="980"/>
        </w:sectPr>
      </w:pPr>
    </w:p>
    <w:p>
      <w:pPr>
        <w:spacing w:line="240" w:lineRule="auto" w:before="9"/>
        <w:rPr>
          <w:rFonts w:ascii="宋体" w:hAnsi="宋体" w:cs="宋体" w:eastAsia="宋体" w:hint="default"/>
          <w:sz w:val="5"/>
          <w:szCs w:val="5"/>
        </w:rPr>
      </w:pPr>
    </w:p>
    <w:tbl>
      <w:tblPr>
        <w:tblW w:w="0" w:type="auto"/>
        <w:jc w:val="left"/>
        <w:tblInd w:w="142" w:type="dxa"/>
        <w:tblLayout w:type="fixed"/>
        <w:tblCellMar>
          <w:top w:w="0" w:type="dxa"/>
          <w:left w:w="0" w:type="dxa"/>
          <w:bottom w:w="0" w:type="dxa"/>
          <w:right w:w="0" w:type="dxa"/>
        </w:tblCellMar>
        <w:tblLook w:val="01E0"/>
      </w:tblPr>
      <w:tblGrid>
        <w:gridCol w:w="5512"/>
        <w:gridCol w:w="2129"/>
        <w:gridCol w:w="2132"/>
      </w:tblGrid>
      <w:tr>
        <w:trPr>
          <w:trHeight w:val="511"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7" w:right="0"/>
              <w:jc w:val="center"/>
              <w:rPr>
                <w:rFonts w:ascii="Microsoft JhengHei" w:hAnsi="Microsoft JhengHei" w:cs="Microsoft JhengHei" w:eastAsia="Microsoft JhengHei" w:hint="default"/>
                <w:sz w:val="21"/>
                <w:szCs w:val="21"/>
              </w:rPr>
            </w:pPr>
            <w:bookmarkStart w:name="十四、补充资料" w:id="152"/>
            <w:bookmarkEnd w:id="152"/>
            <w:r>
              <w:rPr/>
            </w:r>
            <w:bookmarkStart w:name="1、当期非经常性损益明细表" w:id="153"/>
            <w:bookmarkEnd w:id="153"/>
            <w:r>
              <w:rPr/>
            </w:r>
            <w:bookmarkStart w:name="2、净资产收益率及每股收益" w:id="154"/>
            <w:bookmarkEnd w:id="154"/>
            <w:r>
              <w:rPr/>
            </w: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6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485"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1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8"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1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4,299,690.12</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5"/>
                <w:sz w:val="21"/>
              </w:rPr>
              <w:t>3,230,934.71</w:t>
            </w:r>
            <w:r>
              <w:rPr>
                <w:rFonts w:ascii="Times New Roman"/>
                <w:sz w:val="21"/>
              </w:rPr>
            </w: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3,230,934.71</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36,142,213.83</w:t>
            </w:r>
            <w:r>
              <w:rPr>
                <w:rFonts w:ascii="Times New Roman"/>
                <w:sz w:val="21"/>
              </w:rPr>
            </w: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8"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5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1,068,755.41</w:t>
            </w:r>
            <w:r>
              <w:rPr>
                <w:rFonts w:ascii="Times New Roman"/>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-32,911,279.12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4"/>
        <w:ind w:left="261" w:right="229"/>
        <w:jc w:val="left"/>
        <w:rPr>
          <w:rFonts w:ascii="宋体" w:hAnsi="宋体" w:cs="宋体" w:eastAsia="宋体" w:hint="default"/>
        </w:rPr>
      </w:pPr>
      <w:r>
        <w:rPr>
          <w:rFonts w:ascii="宋体" w:hAnsi="宋体" w:cs="宋体" w:eastAsia="宋体" w:hint="default"/>
        </w:rPr>
        <w:t>十四、补充资料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5"/>
        <w:spacing w:line="240" w:lineRule="auto"/>
        <w:ind w:left="261" w:right="22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Microsoft JhengHei" w:hAnsi="Microsoft JhengHei" w:cs="Microsoft JhengHei" w:eastAsia="Microsoft JhengHei" w:hint="default"/>
          <w:b/>
          <w:bCs/>
          <w:sz w:val="6"/>
          <w:szCs w:val="6"/>
        </w:rPr>
      </w:pPr>
    </w:p>
    <w:p>
      <w:pPr>
        <w:pStyle w:val="BodyText"/>
        <w:tabs>
          <w:tab w:pos="1051" w:val="left" w:leader="none"/>
        </w:tabs>
        <w:spacing w:line="240" w:lineRule="auto" w:before="34"/>
        <w:ind w:left="0" w:right="225"/>
        <w:jc w:val="right"/>
      </w:pPr>
      <w:r>
        <w:rPr/>
        <w:t>单位：元</w:t>
        <w:tab/>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547"/>
        <w:gridCol w:w="1848"/>
        <w:gridCol w:w="3409"/>
      </w:tblGrid>
      <w:tr>
        <w:trPr>
          <w:trHeight w:val="451"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4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105,073,201.93</w:t>
            </w:r>
          </w:p>
        </w:tc>
        <w:tc>
          <w:tcPr>
            <w:tcW w:w="34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其中股权处置收益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105,444,201.93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51"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7,032,538.90</w:t>
            </w:r>
          </w:p>
        </w:tc>
        <w:tc>
          <w:tcPr>
            <w:tcW w:w="3409"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-1,823,190.72</w:t>
            </w:r>
          </w:p>
        </w:tc>
        <w:tc>
          <w:tcPr>
            <w:tcW w:w="3409"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60,346,188.66</w:t>
            </w:r>
          </w:p>
        </w:tc>
        <w:tc>
          <w:tcPr>
            <w:tcW w:w="3409"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389,991.50</w:t>
            </w:r>
          </w:p>
        </w:tc>
        <w:tc>
          <w:tcPr>
            <w:tcW w:w="3409"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49,546,369.95</w:t>
            </w:r>
          </w:p>
        </w:tc>
        <w:tc>
          <w:tcPr>
            <w:tcW w:w="3409"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7"/>
          <w:szCs w:val="7"/>
        </w:rPr>
      </w:pPr>
    </w:p>
    <w:p>
      <w:pPr>
        <w:pStyle w:val="BodyText"/>
        <w:spacing w:line="384" w:lineRule="auto" w:before="34"/>
        <w:ind w:left="255" w:right="208" w:firstLine="423"/>
        <w:jc w:val="left"/>
      </w:pPr>
      <w:r>
        <w:rPr/>
        <w:t>所得税影响额主要为股权处置收益的影响，股权处置收益所得税影响为处置时各公司当期处置资本利</w:t>
      </w:r>
      <w:r>
        <w:rPr>
          <w:w w:val="99"/>
        </w:rPr>
        <w:t> </w:t>
      </w:r>
      <w:r>
        <w:rPr/>
        <w:t>得及相应税率计算的实际应缴纳所得税费用，股权处置收益金额为合并抵销调整后的当期收益。</w:t>
      </w:r>
    </w:p>
    <w:p>
      <w:pPr>
        <w:spacing w:line="240" w:lineRule="auto" w:before="0"/>
        <w:rPr>
          <w:rFonts w:ascii="宋体" w:hAnsi="宋体" w:cs="宋体" w:eastAsia="宋体" w:hint="default"/>
          <w:sz w:val="20"/>
          <w:szCs w:val="20"/>
        </w:rPr>
      </w:pPr>
    </w:p>
    <w:p>
      <w:pPr>
        <w:pStyle w:val="Heading5"/>
        <w:spacing w:line="240" w:lineRule="auto" w:before="151"/>
        <w:ind w:left="261" w:right="229"/>
        <w:jc w:val="left"/>
        <w:rPr>
          <w:b w:val="0"/>
          <w:bCs w:val="0"/>
        </w:rPr>
      </w:pPr>
      <w:r>
        <w:rPr>
          <w:rFonts w:ascii="Times New Roman" w:hAnsi="Times New Roman" w:cs="Times New Roman" w:eastAsia="Times New Roman" w:hint="default"/>
        </w:rPr>
        <w:t>2</w:t>
      </w:r>
      <w:r>
        <w:rPr/>
        <w:t>、净资产收益率及每股收益</w:t>
      </w:r>
      <w:r>
        <w:rPr>
          <w:b w:val="0"/>
          <w:bCs w:val="0"/>
        </w:rPr>
      </w:r>
    </w:p>
    <w:tbl>
      <w:tblPr>
        <w:tblW w:w="0" w:type="auto"/>
        <w:jc w:val="left"/>
        <w:tblInd w:w="142" w:type="dxa"/>
        <w:tblLayout w:type="fixed"/>
        <w:tblCellMar>
          <w:top w:w="0" w:type="dxa"/>
          <w:left w:w="0" w:type="dxa"/>
          <w:bottom w:w="0" w:type="dxa"/>
          <w:right w:w="0" w:type="dxa"/>
        </w:tblCellMar>
        <w:tblLook w:val="01E0"/>
      </w:tblPr>
      <w:tblGrid>
        <w:gridCol w:w="3133"/>
        <w:gridCol w:w="2736"/>
        <w:gridCol w:w="1995"/>
        <w:gridCol w:w="2016"/>
      </w:tblGrid>
      <w:tr>
        <w:trPr>
          <w:trHeight w:val="451" w:hRule="exact"/>
        </w:trPr>
        <w:tc>
          <w:tcPr>
            <w:tcW w:w="313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01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49" w:hRule="exact"/>
        </w:trPr>
        <w:tc>
          <w:tcPr>
            <w:tcW w:w="3133" w:type="dxa"/>
            <w:vMerge/>
            <w:tcBorders>
              <w:left w:val="nil" w:sz="6" w:space="0" w:color="auto"/>
              <w:bottom w:val="single" w:sz="4" w:space="0" w:color="000000"/>
              <w:right w:val="single" w:sz="4" w:space="0" w:color="000000"/>
            </w:tcBorders>
          </w:tcPr>
          <w:p>
            <w:pPr/>
          </w:p>
        </w:tc>
        <w:tc>
          <w:tcPr>
            <w:tcW w:w="2736"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5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14.89%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0.30</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0.30</w:t>
            </w:r>
          </w:p>
        </w:tc>
      </w:tr>
      <w:tr>
        <w:trPr>
          <w:trHeight w:val="715"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08" w:right="13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w:t>
            </w:r>
            <w:r>
              <w:rPr>
                <w:rFonts w:ascii="宋体" w:hAnsi="宋体" w:cs="宋体" w:eastAsia="宋体" w:hint="default"/>
                <w:spacing w:val="-83"/>
                <w:sz w:val="18"/>
                <w:szCs w:val="18"/>
              </w:rPr>
              <w:t> </w:t>
            </w:r>
            <w:r>
              <w:rPr>
                <w:rFonts w:ascii="宋体" w:hAnsi="宋体" w:cs="宋体" w:eastAsia="宋体" w:hint="default"/>
                <w:sz w:val="18"/>
                <w:szCs w:val="18"/>
              </w:rPr>
              <w:t>股股东的净利润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0.19</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65" w:top="1040" w:bottom="1060" w:left="880" w:right="880"/>
        </w:sectPr>
      </w:pPr>
    </w:p>
    <w:p>
      <w:pPr>
        <w:spacing w:line="307" w:lineRule="exact" w:before="0"/>
        <w:ind w:left="101" w:right="0" w:firstLine="0"/>
        <w:jc w:val="left"/>
        <w:rPr>
          <w:rFonts w:ascii="Microsoft JhengHei" w:hAnsi="Microsoft JhengHei" w:cs="Microsoft JhengHei" w:eastAsia="Microsoft JhengHei" w:hint="default"/>
          <w:sz w:val="21"/>
          <w:szCs w:val="21"/>
        </w:rPr>
      </w:pPr>
      <w:bookmarkStart w:name="3、公司主要会计报表项目的异常情况及原因的说明" w:id="155"/>
      <w:bookmarkEnd w:id="155"/>
      <w:r>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415" w:lineRule="auto"/>
        <w:ind w:left="206" w:right="0" w:firstLine="421"/>
        <w:jc w:val="left"/>
      </w:pPr>
      <w:r>
        <w:rPr>
          <w:rFonts w:ascii="Times New Roman" w:hAnsi="Times New Roman" w:cs="Times New Roman" w:eastAsia="Times New Roman" w:hint="default"/>
        </w:rPr>
        <w:t>1</w:t>
      </w:r>
      <w:r>
        <w:rPr/>
        <w:t>、货币资金期末余额较期初减少</w:t>
      </w:r>
      <w:r>
        <w:rPr>
          <w:spacing w:val="-37"/>
        </w:rPr>
        <w:t> </w:t>
      </w:r>
      <w:r>
        <w:rPr>
          <w:rFonts w:ascii="Times New Roman" w:hAnsi="Times New Roman" w:cs="Times New Roman" w:eastAsia="Times New Roman" w:hint="default"/>
          <w:spacing w:val="2"/>
        </w:rPr>
        <w:t>48.36%</w:t>
      </w:r>
      <w:r>
        <w:rPr>
          <w:spacing w:val="2"/>
        </w:rPr>
        <w:t>，原因为新增子公司支付土地款、公司转让子公司期末不</w:t>
      </w:r>
      <w:r>
        <w:rPr>
          <w:w w:val="99"/>
        </w:rPr>
        <w:t> </w:t>
      </w:r>
      <w:r>
        <w:rPr/>
        <w:t>合并报表所致。</w:t>
      </w:r>
    </w:p>
    <w:p>
      <w:pPr>
        <w:pStyle w:val="BodyText"/>
        <w:spacing w:line="412" w:lineRule="auto" w:before="71"/>
        <w:ind w:left="206" w:right="0" w:firstLine="421"/>
        <w:jc w:val="left"/>
      </w:pPr>
      <w:r>
        <w:rPr>
          <w:rFonts w:ascii="Times New Roman" w:hAnsi="Times New Roman" w:cs="Times New Roman" w:eastAsia="Times New Roman" w:hint="default"/>
        </w:rPr>
        <w:t>2</w:t>
      </w:r>
      <w:r>
        <w:rPr/>
        <w:t>、预付帐款期末余额较期初减少 </w:t>
      </w:r>
      <w:r>
        <w:rPr>
          <w:rFonts w:ascii="Times New Roman" w:hAnsi="Times New Roman" w:cs="Times New Roman" w:eastAsia="Times New Roman" w:hint="default"/>
        </w:rPr>
        <w:t>76.64%</w:t>
      </w:r>
      <w:r>
        <w:rPr/>
        <w:t>，原因为子公司西安深鸿基房地产开发有限公司预付工程</w:t>
      </w:r>
      <w:r>
        <w:rPr>
          <w:w w:val="99"/>
        </w:rPr>
        <w:t> </w:t>
      </w:r>
      <w:r>
        <w:rPr/>
        <w:t>款大额减少所致。</w:t>
      </w:r>
    </w:p>
    <w:p>
      <w:pPr>
        <w:pStyle w:val="BodyText"/>
        <w:spacing w:line="240" w:lineRule="auto" w:before="75"/>
        <w:ind w:left="627" w:right="0"/>
        <w:jc w:val="left"/>
      </w:pPr>
      <w:r>
        <w:rPr>
          <w:rFonts w:ascii="Times New Roman" w:hAnsi="Times New Roman" w:cs="Times New Roman" w:eastAsia="Times New Roman" w:hint="default"/>
        </w:rPr>
        <w:t>3</w:t>
      </w:r>
      <w:r>
        <w:rPr/>
        <w:t>、其他应收款期末余额较期初减少</w:t>
      </w:r>
      <w:r>
        <w:rPr>
          <w:spacing w:val="-61"/>
        </w:rPr>
        <w:t> </w:t>
      </w:r>
      <w:r>
        <w:rPr>
          <w:rFonts w:ascii="Times New Roman" w:hAnsi="Times New Roman" w:cs="Times New Roman" w:eastAsia="Times New Roman" w:hint="default"/>
        </w:rPr>
        <w:t>33.76%</w:t>
      </w:r>
      <w:r>
        <w:rPr/>
        <w:t>，主要原因为本期公司转让子公司期末不合并报表所致。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412" w:lineRule="auto"/>
        <w:ind w:left="206" w:right="0" w:firstLine="421"/>
        <w:jc w:val="left"/>
      </w:pPr>
      <w:r>
        <w:rPr>
          <w:rFonts w:ascii="Times New Roman" w:hAnsi="Times New Roman" w:cs="Times New Roman" w:eastAsia="Times New Roman" w:hint="default"/>
        </w:rPr>
        <w:t>4</w:t>
      </w:r>
      <w:r>
        <w:rPr/>
        <w:t>、存货期末余额较期初增加</w:t>
      </w:r>
      <w:r>
        <w:rPr>
          <w:spacing w:val="-40"/>
        </w:rPr>
        <w:t> </w:t>
      </w:r>
      <w:r>
        <w:rPr>
          <w:rFonts w:ascii="Times New Roman" w:hAnsi="Times New Roman" w:cs="Times New Roman" w:eastAsia="Times New Roman" w:hint="default"/>
          <w:spacing w:val="2"/>
        </w:rPr>
        <w:t>42.94%</w:t>
      </w:r>
      <w:r>
        <w:rPr>
          <w:spacing w:val="2"/>
        </w:rPr>
        <w:t>，主要原因为本期新增子公司东莞市宜久房地产开发有限公司</w:t>
      </w:r>
      <w:r>
        <w:rPr>
          <w:w w:val="99"/>
        </w:rPr>
        <w:t> </w:t>
      </w:r>
      <w:r>
        <w:rPr/>
        <w:t>及湖南宝安鸿基房地产开发有限公司购入土地所致。</w:t>
      </w:r>
    </w:p>
    <w:p>
      <w:pPr>
        <w:pStyle w:val="BodyText"/>
        <w:spacing w:line="412" w:lineRule="auto" w:before="75"/>
        <w:ind w:left="206" w:right="0" w:firstLine="421"/>
        <w:jc w:val="left"/>
      </w:pPr>
      <w:r>
        <w:rPr>
          <w:rFonts w:ascii="Times New Roman" w:hAnsi="Times New Roman" w:cs="Times New Roman" w:eastAsia="Times New Roman" w:hint="default"/>
        </w:rPr>
        <w:t>5</w:t>
      </w:r>
      <w:r>
        <w:rPr/>
        <w:t>、长期股权投资期末余额较期初减少</w:t>
      </w:r>
      <w:r>
        <w:rPr>
          <w:spacing w:val="3"/>
        </w:rPr>
        <w:t> </w:t>
      </w:r>
      <w:r>
        <w:rPr>
          <w:rFonts w:ascii="Times New Roman" w:hAnsi="Times New Roman" w:cs="Times New Roman" w:eastAsia="Times New Roman" w:hint="default"/>
        </w:rPr>
        <w:t>45.76%</w:t>
      </w:r>
      <w:r>
        <w:rPr/>
        <w:t>，主要原因为本期公司转让子公司深圳市鸿基酒店管</w:t>
      </w:r>
      <w:r>
        <w:rPr>
          <w:w w:val="99"/>
        </w:rPr>
        <w:t> </w:t>
      </w:r>
      <w:r>
        <w:rPr/>
        <w:t>理有限公司，其名下出资的联营企业深圳市鸿丰酒店管理有限公司一并转出所致。</w:t>
      </w:r>
    </w:p>
    <w:p>
      <w:pPr>
        <w:pStyle w:val="BodyText"/>
        <w:spacing w:line="240" w:lineRule="auto" w:before="73"/>
        <w:ind w:left="627" w:right="0"/>
        <w:jc w:val="left"/>
      </w:pPr>
      <w:r>
        <w:rPr>
          <w:rFonts w:ascii="Times New Roman" w:hAnsi="Times New Roman" w:cs="Times New Roman" w:eastAsia="Times New Roman" w:hint="default"/>
        </w:rPr>
        <w:t>6</w:t>
      </w:r>
      <w:r>
        <w:rPr/>
        <w:t>、固定资产期末余额较期初减少</w:t>
      </w:r>
      <w:r>
        <w:rPr>
          <w:spacing w:val="-60"/>
        </w:rPr>
        <w:t> </w:t>
      </w:r>
      <w:r>
        <w:rPr>
          <w:rFonts w:ascii="Times New Roman" w:hAnsi="Times New Roman" w:cs="Times New Roman" w:eastAsia="Times New Roman" w:hint="default"/>
        </w:rPr>
        <w:t>28.09%</w:t>
      </w:r>
      <w:r>
        <w:rPr/>
        <w:t>，主要原因为本期公司转让子公司，期末不合并报表所致。</w:t>
      </w:r>
    </w:p>
    <w:p>
      <w:pPr>
        <w:spacing w:line="240" w:lineRule="auto" w:before="2"/>
        <w:rPr>
          <w:rFonts w:ascii="宋体" w:hAnsi="宋体" w:cs="宋体" w:eastAsia="宋体" w:hint="default"/>
          <w:sz w:val="16"/>
          <w:szCs w:val="16"/>
        </w:rPr>
      </w:pPr>
    </w:p>
    <w:p>
      <w:pPr>
        <w:pStyle w:val="BodyText"/>
        <w:spacing w:line="240" w:lineRule="auto"/>
        <w:ind w:left="627" w:right="0"/>
        <w:jc w:val="left"/>
      </w:pPr>
      <w:r>
        <w:rPr>
          <w:rFonts w:ascii="Times New Roman" w:hAnsi="Times New Roman" w:cs="Times New Roman" w:eastAsia="Times New Roman" w:hint="default"/>
        </w:rPr>
        <w:t>7</w:t>
      </w:r>
      <w:r>
        <w:rPr/>
        <w:t>、无形资产期末余额较期初减少</w:t>
      </w:r>
      <w:r>
        <w:rPr>
          <w:spacing w:val="-44"/>
        </w:rPr>
        <w:t> </w:t>
      </w:r>
      <w:r>
        <w:rPr>
          <w:rFonts w:ascii="Times New Roman" w:hAnsi="Times New Roman" w:cs="Times New Roman" w:eastAsia="Times New Roman" w:hint="default"/>
        </w:rPr>
        <w:t>74.57%</w:t>
      </w:r>
      <w:r>
        <w:rPr/>
        <w:t>，原因为本期公司转让子公司，期末不合并报表所致。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240" w:lineRule="auto"/>
        <w:ind w:left="627" w:right="0"/>
        <w:jc w:val="left"/>
      </w:pPr>
      <w:r>
        <w:rPr>
          <w:rFonts w:ascii="Times New Roman" w:hAnsi="Times New Roman" w:cs="Times New Roman" w:eastAsia="Times New Roman" w:hint="default"/>
        </w:rPr>
        <w:t>8</w:t>
      </w:r>
      <w:r>
        <w:rPr/>
        <w:t>、长期待摊费用期末余额较期初减少</w:t>
      </w:r>
      <w:r>
        <w:rPr>
          <w:spacing w:val="-60"/>
        </w:rPr>
        <w:t> </w:t>
      </w:r>
      <w:r>
        <w:rPr>
          <w:rFonts w:ascii="Times New Roman" w:hAnsi="Times New Roman" w:cs="Times New Roman" w:eastAsia="Times New Roman" w:hint="default"/>
        </w:rPr>
        <w:t>98.68%</w:t>
      </w:r>
      <w:r>
        <w:rPr/>
        <w:t>，原因为本期公司转让子公司，期末不合并报表所致。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415" w:lineRule="auto"/>
        <w:ind w:left="206" w:right="0" w:firstLine="421"/>
        <w:jc w:val="left"/>
      </w:pPr>
      <w:r>
        <w:rPr>
          <w:rFonts w:ascii="Times New Roman" w:hAnsi="Times New Roman" w:cs="Times New Roman" w:eastAsia="Times New Roman" w:hint="default"/>
        </w:rPr>
        <w:t>9</w:t>
      </w:r>
      <w:r>
        <w:rPr/>
        <w:t>、递延所得税资产期末余额较期初减少</w:t>
      </w:r>
      <w:r>
        <w:rPr>
          <w:spacing w:val="4"/>
        </w:rPr>
        <w:t> </w:t>
      </w:r>
      <w:r>
        <w:rPr>
          <w:rFonts w:ascii="Times New Roman" w:hAnsi="Times New Roman" w:cs="Times New Roman" w:eastAsia="Times New Roman" w:hint="default"/>
        </w:rPr>
        <w:t>62.69%</w:t>
      </w:r>
      <w:r>
        <w:rPr/>
        <w:t>，原因为已计提坏账准备的部分资产损失在所得税</w:t>
      </w:r>
      <w:r>
        <w:rPr>
          <w:w w:val="99"/>
        </w:rPr>
        <w:t> </w:t>
      </w:r>
      <w:r>
        <w:rPr/>
        <w:t>汇算清缴时已向税务机关申报扣除，此部分不再计算递延所得税资产所致。</w:t>
      </w:r>
    </w:p>
    <w:p>
      <w:pPr>
        <w:pStyle w:val="BodyText"/>
        <w:spacing w:line="240" w:lineRule="auto" w:before="71"/>
        <w:ind w:left="627" w:right="0"/>
        <w:jc w:val="left"/>
      </w:pPr>
      <w:r>
        <w:rPr>
          <w:rFonts w:ascii="Times New Roman" w:hAnsi="Times New Roman" w:cs="Times New Roman" w:eastAsia="Times New Roman" w:hint="default"/>
        </w:rPr>
        <w:t>10</w:t>
      </w:r>
      <w:r>
        <w:rPr/>
        <w:t>、短期借款期末余额较期初减少</w:t>
      </w:r>
      <w:r>
        <w:rPr>
          <w:spacing w:val="-46"/>
        </w:rPr>
        <w:t> </w:t>
      </w:r>
      <w:r>
        <w:rPr>
          <w:rFonts w:ascii="Times New Roman" w:hAnsi="Times New Roman" w:cs="Times New Roman" w:eastAsia="Times New Roman" w:hint="default"/>
        </w:rPr>
        <w:t>100.00%</w:t>
      </w:r>
      <w:r>
        <w:rPr/>
        <w:t>，原因为本期公司转让子公司，期末不合并报表所致。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415" w:lineRule="auto"/>
        <w:ind w:left="206" w:right="202" w:firstLine="421"/>
        <w:jc w:val="left"/>
      </w:pPr>
      <w:r>
        <w:rPr>
          <w:rFonts w:ascii="Times New Roman" w:hAnsi="Times New Roman" w:cs="Times New Roman" w:eastAsia="Times New Roman" w:hint="default"/>
        </w:rPr>
        <w:t>11</w:t>
      </w:r>
      <w:r>
        <w:rPr/>
        <w:t>、应付账款期末余额较期初增加</w:t>
      </w:r>
      <w:r>
        <w:rPr>
          <w:spacing w:val="-56"/>
        </w:rPr>
        <w:t> </w:t>
      </w:r>
      <w:r>
        <w:rPr>
          <w:rFonts w:ascii="Times New Roman" w:hAnsi="Times New Roman" w:cs="Times New Roman" w:eastAsia="Times New Roman" w:hint="default"/>
        </w:rPr>
        <w:t>83.84%</w:t>
      </w:r>
      <w:r>
        <w:rPr/>
        <w:t>，原因为子公司湖南宝安鸿基房地产开发有限公司应付未</w:t>
      </w:r>
      <w:r>
        <w:rPr>
          <w:w w:val="99"/>
        </w:rPr>
        <w:t> </w:t>
      </w:r>
      <w:r>
        <w:rPr/>
        <w:t>付土地款影响所致。</w:t>
      </w:r>
    </w:p>
    <w:p>
      <w:pPr>
        <w:pStyle w:val="BodyText"/>
        <w:spacing w:line="412" w:lineRule="auto" w:before="71"/>
        <w:ind w:left="206" w:right="203" w:firstLine="421"/>
        <w:jc w:val="left"/>
      </w:pPr>
      <w:r>
        <w:rPr>
          <w:rFonts w:ascii="Times New Roman" w:hAnsi="Times New Roman" w:cs="Times New Roman" w:eastAsia="Times New Roman" w:hint="default"/>
        </w:rPr>
        <w:t>12</w:t>
      </w:r>
      <w:r>
        <w:rPr/>
        <w:t>、预收款项期末余额较期初减少</w:t>
      </w:r>
      <w:r>
        <w:rPr>
          <w:spacing w:val="-57"/>
        </w:rPr>
        <w:t> </w:t>
      </w:r>
      <w:r>
        <w:rPr>
          <w:rFonts w:ascii="Times New Roman" w:hAnsi="Times New Roman" w:cs="Times New Roman" w:eastAsia="Times New Roman" w:hint="default"/>
        </w:rPr>
        <w:t>39.88%</w:t>
      </w:r>
      <w:r>
        <w:rPr/>
        <w:t>，原因为子公司西安深鸿基房地产开发有限公司预收楼款</w:t>
      </w:r>
      <w:r>
        <w:rPr>
          <w:w w:val="99"/>
        </w:rPr>
        <w:t> </w:t>
      </w:r>
      <w:r>
        <w:rPr/>
        <w:t>本期结转收入所致。</w:t>
      </w:r>
    </w:p>
    <w:p>
      <w:pPr>
        <w:pStyle w:val="BodyText"/>
        <w:spacing w:line="240" w:lineRule="auto" w:before="75"/>
        <w:ind w:left="627" w:right="0"/>
        <w:jc w:val="left"/>
      </w:pPr>
      <w:r>
        <w:rPr>
          <w:rFonts w:ascii="Times New Roman" w:hAnsi="Times New Roman" w:cs="Times New Roman" w:eastAsia="Times New Roman" w:hint="default"/>
          <w:spacing w:val="-2"/>
        </w:rPr>
        <w:t>13</w:t>
      </w:r>
      <w:r>
        <w:rPr>
          <w:spacing w:val="-2"/>
        </w:rPr>
        <w:t>、应付职工薪酬期末余额较期初减少</w:t>
      </w:r>
      <w:r>
        <w:rPr>
          <w:spacing w:val="-69"/>
        </w:rPr>
        <w:t> </w:t>
      </w:r>
      <w:r>
        <w:rPr>
          <w:rFonts w:ascii="Times New Roman" w:hAnsi="Times New Roman" w:cs="Times New Roman" w:eastAsia="Times New Roman" w:hint="default"/>
          <w:spacing w:val="-2"/>
        </w:rPr>
        <w:t>31.90%</w:t>
      </w:r>
      <w:r>
        <w:rPr>
          <w:spacing w:val="-2"/>
        </w:rPr>
        <w:t>，原因为本期公司转让子公司，期末不合并报表所致。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240" w:lineRule="auto"/>
        <w:ind w:left="627" w:right="0"/>
        <w:jc w:val="left"/>
      </w:pPr>
      <w:r>
        <w:rPr>
          <w:rFonts w:ascii="Times New Roman" w:hAnsi="Times New Roman" w:cs="Times New Roman" w:eastAsia="Times New Roman" w:hint="default"/>
        </w:rPr>
        <w:t>14</w:t>
      </w:r>
      <w:r>
        <w:rPr/>
        <w:t>、应付利息期末余额较期初减少</w:t>
      </w:r>
      <w:r>
        <w:rPr>
          <w:spacing w:val="-46"/>
        </w:rPr>
        <w:t> </w:t>
      </w:r>
      <w:r>
        <w:rPr>
          <w:rFonts w:ascii="Times New Roman" w:hAnsi="Times New Roman" w:cs="Times New Roman" w:eastAsia="Times New Roman" w:hint="default"/>
        </w:rPr>
        <w:t>59.50%</w:t>
      </w:r>
      <w:r>
        <w:rPr/>
        <w:t>，主要原因为银行借款期末余额比上年大幅减少所致。</w:t>
      </w:r>
    </w:p>
    <w:p>
      <w:pPr>
        <w:spacing w:line="240" w:lineRule="auto" w:before="12"/>
        <w:rPr>
          <w:rFonts w:ascii="宋体" w:hAnsi="宋体" w:cs="宋体" w:eastAsia="宋体" w:hint="default"/>
          <w:sz w:val="15"/>
          <w:szCs w:val="15"/>
        </w:rPr>
      </w:pPr>
    </w:p>
    <w:p>
      <w:pPr>
        <w:pStyle w:val="BodyText"/>
        <w:spacing w:line="415" w:lineRule="auto"/>
        <w:ind w:left="206" w:right="200" w:firstLine="421"/>
        <w:jc w:val="left"/>
      </w:pPr>
      <w:r>
        <w:rPr>
          <w:rFonts w:ascii="Times New Roman" w:hAnsi="Times New Roman" w:cs="Times New Roman" w:eastAsia="Times New Roman" w:hint="default"/>
        </w:rPr>
        <w:t>15</w:t>
      </w:r>
      <w:r>
        <w:rPr/>
        <w:t>、其他应付款期末余额较期初减少</w:t>
      </w:r>
      <w:r>
        <w:rPr>
          <w:spacing w:val="-54"/>
        </w:rPr>
        <w:t> </w:t>
      </w:r>
      <w:r>
        <w:rPr>
          <w:rFonts w:ascii="Times New Roman" w:hAnsi="Times New Roman" w:cs="Times New Roman" w:eastAsia="Times New Roman" w:hint="default"/>
        </w:rPr>
        <w:t>38.78%</w:t>
      </w:r>
      <w:r>
        <w:rPr/>
        <w:t>，主要原因为本期公司转让子公司，期末不合并报表所</w:t>
      </w:r>
      <w:r>
        <w:rPr>
          <w:w w:val="99"/>
        </w:rPr>
        <w:t> </w:t>
      </w:r>
      <w:r>
        <w:rPr/>
        <w:t>致。</w:t>
      </w:r>
    </w:p>
    <w:p>
      <w:pPr>
        <w:pStyle w:val="BodyText"/>
        <w:spacing w:line="412" w:lineRule="auto" w:before="71"/>
        <w:ind w:left="206" w:right="202" w:firstLine="421"/>
        <w:jc w:val="left"/>
      </w:pPr>
      <w:r>
        <w:rPr>
          <w:rFonts w:ascii="Times New Roman" w:hAnsi="Times New Roman" w:cs="Times New Roman" w:eastAsia="Times New Roman" w:hint="default"/>
        </w:rPr>
        <w:t>16</w:t>
      </w:r>
      <w:r>
        <w:rPr/>
        <w:t>、长期借款较上期减少</w:t>
      </w:r>
      <w:r>
        <w:rPr>
          <w:spacing w:val="-53"/>
        </w:rPr>
        <w:t> </w:t>
      </w:r>
      <w:r>
        <w:rPr>
          <w:rFonts w:ascii="Times New Roman" w:hAnsi="Times New Roman" w:cs="Times New Roman" w:eastAsia="Times New Roman" w:hint="default"/>
        </w:rPr>
        <w:t>100.00%</w:t>
      </w:r>
      <w:r>
        <w:rPr/>
        <w:t>，原因为公司银行借款均在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年到期，将其重分类到一年内到</w:t>
      </w:r>
      <w:r>
        <w:rPr>
          <w:w w:val="99"/>
        </w:rPr>
        <w:t> </w:t>
      </w:r>
      <w:r>
        <w:rPr/>
        <w:t>期的非流动负债科目所致。</w:t>
      </w:r>
    </w:p>
    <w:p>
      <w:pPr>
        <w:pStyle w:val="BodyText"/>
        <w:spacing w:line="240" w:lineRule="auto" w:before="75"/>
        <w:ind w:left="627" w:right="0"/>
        <w:jc w:val="left"/>
      </w:pPr>
      <w:r>
        <w:rPr>
          <w:rFonts w:ascii="Times New Roman" w:hAnsi="Times New Roman" w:cs="Times New Roman" w:eastAsia="Times New Roman" w:hint="default"/>
        </w:rPr>
        <w:t>17</w:t>
      </w:r>
      <w:r>
        <w:rPr/>
        <w:t>、长期应付款较上期减少</w:t>
      </w:r>
      <w:r>
        <w:rPr>
          <w:spacing w:val="-44"/>
        </w:rPr>
        <w:t> </w:t>
      </w:r>
      <w:r>
        <w:rPr>
          <w:rFonts w:ascii="Times New Roman" w:hAnsi="Times New Roman" w:cs="Times New Roman" w:eastAsia="Times New Roman" w:hint="default"/>
        </w:rPr>
        <w:t>100.00%</w:t>
      </w:r>
      <w:r>
        <w:rPr/>
        <w:t>，原因为本期公司转让子公司，期末不合并报表所致。</w:t>
      </w:r>
    </w:p>
    <w:p>
      <w:pPr>
        <w:spacing w:line="240" w:lineRule="auto" w:before="12"/>
        <w:rPr>
          <w:rFonts w:ascii="宋体" w:hAnsi="宋体" w:cs="宋体" w:eastAsia="宋体" w:hint="default"/>
          <w:sz w:val="15"/>
          <w:szCs w:val="15"/>
        </w:rPr>
      </w:pPr>
    </w:p>
    <w:p>
      <w:pPr>
        <w:pStyle w:val="BodyText"/>
        <w:spacing w:line="412" w:lineRule="auto"/>
        <w:ind w:left="206" w:right="0" w:firstLine="421"/>
        <w:jc w:val="left"/>
      </w:pPr>
      <w:r>
        <w:rPr>
          <w:rFonts w:ascii="Times New Roman" w:hAnsi="Times New Roman" w:cs="Times New Roman" w:eastAsia="Times New Roman" w:hint="default"/>
        </w:rPr>
        <w:t>18</w:t>
      </w:r>
      <w:r>
        <w:rPr/>
        <w:t>、其他非流动负债较上期增加</w:t>
      </w:r>
      <w:r>
        <w:rPr>
          <w:spacing w:val="-2"/>
        </w:rPr>
        <w:t> </w:t>
      </w:r>
      <w:r>
        <w:rPr>
          <w:rFonts w:ascii="Times New Roman" w:hAnsi="Times New Roman" w:cs="Times New Roman" w:eastAsia="Times New Roman" w:hint="default"/>
        </w:rPr>
        <w:t>100.00%</w:t>
      </w:r>
      <w:r>
        <w:rPr/>
        <w:t>，原因为本期物业管理公司收取的本体维修基金从其他应</w:t>
      </w:r>
      <w:r>
        <w:rPr>
          <w:w w:val="99"/>
        </w:rPr>
        <w:t> </w:t>
      </w:r>
      <w:r>
        <w:rPr/>
        <w:t>付款科目转入其他非流动负债核算。</w:t>
      </w:r>
    </w:p>
    <w:p>
      <w:pPr>
        <w:spacing w:after="0" w:line="412" w:lineRule="auto"/>
        <w:jc w:val="left"/>
        <w:sectPr>
          <w:pgSz w:w="11910" w:h="16840"/>
          <w:pgMar w:header="0" w:footer="865" w:top="1300" w:bottom="1060" w:left="1040" w:right="920"/>
        </w:sectPr>
      </w:pPr>
    </w:p>
    <w:p>
      <w:pPr>
        <w:pStyle w:val="BodyText"/>
        <w:spacing w:line="240" w:lineRule="auto" w:before="8"/>
        <w:ind w:left="527" w:right="105"/>
        <w:jc w:val="left"/>
      </w:pPr>
      <w:r>
        <w:rPr>
          <w:rFonts w:ascii="Times New Roman" w:hAnsi="Times New Roman" w:cs="Times New Roman" w:eastAsia="Times New Roman" w:hint="default"/>
        </w:rPr>
        <w:t>19</w:t>
      </w:r>
      <w:r>
        <w:rPr/>
        <w:t>、盈余公积较上期减少</w:t>
      </w:r>
      <w:r>
        <w:rPr>
          <w:spacing w:val="-47"/>
        </w:rPr>
        <w:t> </w:t>
      </w:r>
      <w:r>
        <w:rPr>
          <w:rFonts w:ascii="Times New Roman" w:hAnsi="Times New Roman" w:cs="Times New Roman" w:eastAsia="Times New Roman" w:hint="default"/>
        </w:rPr>
        <w:t>59.41%</w:t>
      </w:r>
      <w:r>
        <w:rPr/>
        <w:t>，原因为本期公司用盈余公积弥补以前年度亏损所致。</w:t>
      </w:r>
    </w:p>
    <w:p>
      <w:pPr>
        <w:spacing w:line="240" w:lineRule="auto" w:before="12"/>
        <w:rPr>
          <w:rFonts w:ascii="宋体" w:hAnsi="宋体" w:cs="宋体" w:eastAsia="宋体" w:hint="default"/>
          <w:sz w:val="15"/>
          <w:szCs w:val="15"/>
        </w:rPr>
      </w:pPr>
    </w:p>
    <w:p>
      <w:pPr>
        <w:pStyle w:val="BodyText"/>
        <w:spacing w:line="415" w:lineRule="auto"/>
        <w:ind w:left="106" w:right="105" w:firstLine="421"/>
        <w:jc w:val="left"/>
      </w:pPr>
      <w:r>
        <w:rPr>
          <w:rFonts w:ascii="Times New Roman" w:hAnsi="Times New Roman" w:cs="Times New Roman" w:eastAsia="Times New Roman" w:hint="default"/>
        </w:rPr>
        <w:t>20</w:t>
      </w:r>
      <w:r>
        <w:rPr/>
        <w:t>、销售费用较上期减少</w:t>
      </w:r>
      <w:r>
        <w:rPr>
          <w:spacing w:val="-43"/>
        </w:rPr>
        <w:t> </w:t>
      </w:r>
      <w:r>
        <w:rPr>
          <w:rFonts w:ascii="Times New Roman" w:hAnsi="Times New Roman" w:cs="Times New Roman" w:eastAsia="Times New Roman" w:hint="default"/>
        </w:rPr>
        <w:t>70.27%</w:t>
      </w:r>
      <w:r>
        <w:rPr/>
        <w:t>，原因为本期</w:t>
      </w:r>
      <w:r>
        <w:rPr>
          <w:rFonts w:ascii="Times New Roman" w:hAnsi="Times New Roman" w:cs="Times New Roman" w:eastAsia="Times New Roman" w:hint="default"/>
        </w:rPr>
        <w:t>“</w:t>
      </w:r>
      <w:r>
        <w:rPr/>
        <w:t>鸿基紫韵</w:t>
      </w:r>
      <w:r>
        <w:rPr>
          <w:rFonts w:ascii="Times New Roman" w:hAnsi="Times New Roman" w:cs="Times New Roman" w:eastAsia="Times New Roman" w:hint="default"/>
        </w:rPr>
        <w:t>”</w:t>
      </w:r>
      <w:r>
        <w:rPr/>
        <w:t>项目未推出新的楼盘预售，广告费减少，</w:t>
      </w:r>
      <w:r>
        <w:rPr>
          <w:w w:val="99"/>
        </w:rPr>
        <w:t> </w:t>
      </w:r>
      <w:r>
        <w:rPr/>
        <w:t>本年度结算的销售代理费也相应减少所致。</w:t>
      </w:r>
    </w:p>
    <w:p>
      <w:pPr>
        <w:pStyle w:val="BodyText"/>
        <w:spacing w:line="240" w:lineRule="auto" w:before="71"/>
        <w:ind w:left="527" w:right="105"/>
        <w:jc w:val="left"/>
      </w:pPr>
      <w:r>
        <w:rPr>
          <w:rFonts w:ascii="Times New Roman" w:hAnsi="Times New Roman" w:cs="Times New Roman" w:eastAsia="Times New Roman" w:hint="default"/>
        </w:rPr>
        <w:t>21</w:t>
      </w:r>
      <w:r>
        <w:rPr/>
        <w:t>、管理费用较上期减少</w:t>
      </w:r>
      <w:r>
        <w:rPr>
          <w:spacing w:val="-48"/>
        </w:rPr>
        <w:t> </w:t>
      </w:r>
      <w:r>
        <w:rPr>
          <w:rFonts w:ascii="Times New Roman" w:hAnsi="Times New Roman" w:cs="Times New Roman" w:eastAsia="Times New Roman" w:hint="default"/>
        </w:rPr>
        <w:t>35.33%</w:t>
      </w:r>
      <w:r>
        <w:rPr/>
        <w:t>，原因为公司转让子公司，期末不合并报表所致。</w:t>
      </w:r>
    </w:p>
    <w:p>
      <w:pPr>
        <w:spacing w:line="240" w:lineRule="auto" w:before="12"/>
        <w:rPr>
          <w:rFonts w:ascii="宋体" w:hAnsi="宋体" w:cs="宋体" w:eastAsia="宋体" w:hint="default"/>
          <w:sz w:val="15"/>
          <w:szCs w:val="15"/>
        </w:rPr>
      </w:pPr>
    </w:p>
    <w:p>
      <w:pPr>
        <w:pStyle w:val="BodyText"/>
        <w:spacing w:line="240" w:lineRule="auto"/>
        <w:ind w:left="527" w:right="105"/>
        <w:jc w:val="left"/>
      </w:pPr>
      <w:r>
        <w:rPr>
          <w:rFonts w:ascii="Times New Roman" w:hAnsi="Times New Roman" w:cs="Times New Roman" w:eastAsia="Times New Roman" w:hint="default"/>
        </w:rPr>
        <w:t>22</w:t>
      </w:r>
      <w:r>
        <w:rPr/>
        <w:t>、财务费用较上期减少</w:t>
      </w:r>
      <w:r>
        <w:rPr>
          <w:spacing w:val="-49"/>
        </w:rPr>
        <w:t> </w:t>
      </w:r>
      <w:r>
        <w:rPr>
          <w:rFonts w:ascii="Times New Roman" w:hAnsi="Times New Roman" w:cs="Times New Roman" w:eastAsia="Times New Roman" w:hint="default"/>
        </w:rPr>
        <w:t>92.71%</w:t>
      </w:r>
      <w:r>
        <w:rPr/>
        <w:t>，原因为公司银行借款较上年大幅减少所致。</w:t>
      </w:r>
    </w:p>
    <w:p>
      <w:pPr>
        <w:spacing w:line="240" w:lineRule="auto" w:before="2"/>
        <w:rPr>
          <w:rFonts w:ascii="宋体" w:hAnsi="宋体" w:cs="宋体" w:eastAsia="宋体" w:hint="default"/>
          <w:sz w:val="16"/>
          <w:szCs w:val="16"/>
        </w:rPr>
      </w:pPr>
    </w:p>
    <w:p>
      <w:pPr>
        <w:pStyle w:val="BodyText"/>
        <w:spacing w:line="412" w:lineRule="auto"/>
        <w:ind w:left="106" w:right="105" w:firstLine="421"/>
        <w:jc w:val="left"/>
      </w:pPr>
      <w:r>
        <w:rPr>
          <w:rFonts w:ascii="Times New Roman" w:hAnsi="Times New Roman" w:cs="Times New Roman" w:eastAsia="Times New Roman" w:hint="default"/>
        </w:rPr>
        <w:t>23</w:t>
      </w:r>
      <w:r>
        <w:rPr/>
        <w:t>、投资收益较上期增加</w:t>
      </w:r>
      <w:r>
        <w:rPr>
          <w:spacing w:val="-59"/>
        </w:rPr>
        <w:t> </w:t>
      </w:r>
      <w:r>
        <w:rPr>
          <w:rFonts w:ascii="Times New Roman" w:hAnsi="Times New Roman" w:cs="Times New Roman" w:eastAsia="Times New Roman" w:hint="default"/>
        </w:rPr>
        <w:t>38.56%</w:t>
      </w:r>
      <w:r>
        <w:rPr/>
        <w:t>，原因为本期公司转让子公司取得的投资收益较上年同期大幅增加</w:t>
      </w:r>
      <w:r>
        <w:rPr>
          <w:w w:val="99"/>
        </w:rPr>
        <w:t> </w:t>
      </w:r>
      <w:r>
        <w:rPr/>
        <w:t>所致。</w:t>
      </w:r>
    </w:p>
    <w:p>
      <w:pPr>
        <w:pStyle w:val="BodyText"/>
        <w:spacing w:line="240" w:lineRule="auto" w:before="73"/>
        <w:ind w:left="527" w:right="105"/>
        <w:jc w:val="left"/>
      </w:pPr>
      <w:r>
        <w:rPr>
          <w:rFonts w:ascii="Times New Roman" w:hAnsi="Times New Roman" w:cs="Times New Roman" w:eastAsia="Times New Roman" w:hint="default"/>
        </w:rPr>
        <w:t>24</w:t>
      </w:r>
      <w:r>
        <w:rPr/>
        <w:t>、营业外收入较上期减少</w:t>
      </w:r>
      <w:r>
        <w:rPr>
          <w:spacing w:val="-46"/>
        </w:rPr>
        <w:t> </w:t>
      </w:r>
      <w:r>
        <w:rPr>
          <w:rFonts w:ascii="Times New Roman" w:hAnsi="Times New Roman" w:cs="Times New Roman" w:eastAsia="Times New Roman" w:hint="default"/>
        </w:rPr>
        <w:t>90.12%</w:t>
      </w:r>
      <w:r>
        <w:rPr/>
        <w:t>，主要原因为公司上年同期固定资产处置收益较大所致。</w:t>
      </w:r>
    </w:p>
    <w:p>
      <w:pPr>
        <w:spacing w:line="240" w:lineRule="auto" w:before="2"/>
        <w:rPr>
          <w:rFonts w:ascii="宋体" w:hAnsi="宋体" w:cs="宋体" w:eastAsia="宋体" w:hint="default"/>
          <w:sz w:val="16"/>
          <w:szCs w:val="16"/>
        </w:rPr>
      </w:pPr>
    </w:p>
    <w:p>
      <w:pPr>
        <w:pStyle w:val="BodyText"/>
        <w:spacing w:line="412" w:lineRule="auto"/>
        <w:ind w:left="106" w:right="96" w:firstLine="421"/>
        <w:jc w:val="left"/>
      </w:pPr>
      <w:r>
        <w:rPr>
          <w:rFonts w:ascii="Times New Roman" w:hAnsi="Times New Roman" w:cs="Times New Roman" w:eastAsia="Times New Roman" w:hint="default"/>
        </w:rPr>
        <w:t>25</w:t>
      </w:r>
      <w:r>
        <w:rPr/>
        <w:t>、营业外支出较上期减少</w:t>
      </w:r>
      <w:r>
        <w:rPr>
          <w:spacing w:val="-85"/>
        </w:rPr>
        <w:t> </w:t>
      </w:r>
      <w:r>
        <w:rPr>
          <w:rFonts w:ascii="Times New Roman" w:hAnsi="Times New Roman" w:cs="Times New Roman" w:eastAsia="Times New Roman" w:hint="default"/>
        </w:rPr>
        <w:t>90.99</w:t>
      </w:r>
      <w:r>
        <w:rPr/>
        <w:t>％，主要原因是上年同期子公司深圳市鸿基物流有限公司转让资产</w:t>
      </w:r>
      <w:r>
        <w:rPr>
          <w:w w:val="99"/>
        </w:rPr>
        <w:t> </w:t>
      </w:r>
      <w:r>
        <w:rPr/>
        <w:t>包产生的损失较大所致。</w:t>
      </w:r>
    </w:p>
    <w:p>
      <w:pPr>
        <w:pStyle w:val="BodyText"/>
        <w:spacing w:line="415" w:lineRule="auto" w:before="73"/>
        <w:ind w:left="106" w:right="105" w:firstLine="421"/>
        <w:jc w:val="left"/>
      </w:pPr>
      <w:r>
        <w:rPr>
          <w:rFonts w:ascii="Times New Roman" w:hAnsi="Times New Roman" w:cs="Times New Roman" w:eastAsia="Times New Roman" w:hint="default"/>
        </w:rPr>
        <w:t>26</w:t>
      </w:r>
      <w:r>
        <w:rPr/>
        <w:t>、所得税费用较上期增加</w:t>
      </w:r>
      <w:r>
        <w:rPr>
          <w:spacing w:val="-17"/>
        </w:rPr>
        <w:t> </w:t>
      </w:r>
      <w:r>
        <w:rPr>
          <w:rFonts w:ascii="Times New Roman" w:hAnsi="Times New Roman" w:cs="Times New Roman" w:eastAsia="Times New Roman" w:hint="default"/>
        </w:rPr>
        <w:t>139.89</w:t>
      </w:r>
      <w:r>
        <w:rPr/>
        <w:t>％，主要原因是本期公司转让子公司取得的投资收益较上年同期</w:t>
      </w:r>
      <w:r>
        <w:rPr>
          <w:w w:val="99"/>
        </w:rPr>
        <w:t> </w:t>
      </w:r>
      <w:r>
        <w:rPr/>
        <w:t>大幅增加所致。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865" w:top="1300" w:bottom="1060" w:left="1140" w:right="1020"/>
        </w:sectPr>
      </w:pPr>
    </w:p>
    <w:p>
      <w:pPr>
        <w:pStyle w:val="BodyText"/>
        <w:tabs>
          <w:tab w:pos="1682" w:val="left" w:leader="none"/>
          <w:tab w:pos="2523" w:val="left" w:leader="none"/>
        </w:tabs>
        <w:spacing w:line="240" w:lineRule="auto" w:before="192"/>
        <w:ind w:left="101"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陈泰泉</w:t>
        <w:tab/>
      </w:r>
      <w:r>
        <w:rPr/>
      </w:r>
    </w:p>
    <w:p>
      <w:pPr>
        <w:pStyle w:val="BodyText"/>
        <w:tabs>
          <w:tab w:pos="2487" w:val="left" w:leader="none"/>
          <w:tab w:pos="3222" w:val="left" w:leader="none"/>
        </w:tabs>
        <w:spacing w:line="240" w:lineRule="auto" w:before="192"/>
        <w:ind w:left="64" w:right="0"/>
        <w:jc w:val="left"/>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钟民</w:t>
        <w:tab/>
      </w:r>
      <w:r>
        <w:rPr/>
      </w:r>
    </w:p>
    <w:p>
      <w:pPr>
        <w:pStyle w:val="BodyText"/>
        <w:tabs>
          <w:tab w:pos="2066" w:val="left" w:leader="none"/>
          <w:tab w:pos="3013" w:val="left" w:leader="none"/>
        </w:tabs>
        <w:spacing w:line="240" w:lineRule="auto" w:before="192"/>
        <w:ind w:left="67" w:right="0"/>
        <w:jc w:val="left"/>
      </w:pPr>
      <w:r>
        <w:rPr>
          <w:w w:val="95"/>
        </w:rPr>
        <w:br w:type="column"/>
      </w:r>
      <w:r>
        <w:rPr>
          <w:w w:val="95"/>
        </w:rPr>
        <w:t>会计机构负责人：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thick" w:color="000000"/>
        </w:rPr>
        <w:t> </w:t>
        <w:tab/>
      </w:r>
      <w:r>
        <w:rPr>
          <w:u w:val="thick" w:color="000000"/>
        </w:rPr>
        <w:t>钟民</w:t>
        <w:tab/>
      </w:r>
      <w:r>
        <w:rPr/>
      </w:r>
    </w:p>
    <w:p>
      <w:pPr>
        <w:spacing w:after="0" w:line="240" w:lineRule="auto"/>
        <w:jc w:val="left"/>
        <w:sectPr>
          <w:type w:val="continuous"/>
          <w:pgSz w:w="11910" w:h="16840"/>
          <w:pgMar w:top="1580" w:bottom="1200" w:left="1140" w:right="1020"/>
          <w:cols w:num="3" w:equalWidth="0">
            <w:col w:w="2524" w:space="40"/>
            <w:col w:w="3223" w:space="40"/>
            <w:col w:w="392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943" w:val="left" w:leader="none"/>
          <w:tab w:pos="2785" w:val="left" w:leader="none"/>
          <w:tab w:pos="4523" w:val="left" w:leader="none"/>
          <w:tab w:pos="6257" w:val="left" w:leader="none"/>
          <w:tab w:pos="7574" w:val="left" w:leader="none"/>
          <w:tab w:pos="9522" w:val="left" w:leader="none"/>
        </w:tabs>
        <w:spacing w:line="240" w:lineRule="auto"/>
        <w:ind w:left="101" w:right="105"/>
        <w:jc w:val="left"/>
        <w:rPr>
          <w:rFonts w:ascii="Times New Roman" w:hAnsi="Times New Roman" w:cs="Times New Roman" w:eastAsia="Times New Roman" w:hint="default"/>
        </w:rPr>
      </w:pP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sectPr>
      <w:type w:val="continuous"/>
      <w:pgSz w:w="11910" w:h="16840"/>
      <w:pgMar w:top="1580" w:bottom="120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697388pt;margin-top:780.559204pt;width:9.25pt;height:12.45pt;mso-position-horizontal-relative:page;mso-position-vertical-relative:page;z-index:-88614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w w:val="99"/>
                  </w:rPr>
                  <w:instrText> PAGE </w:instrText>
                </w:r>
                <w:r>
                  <w:rPr/>
                  <w:fldChar w:fldCharType="separate"/>
                </w:r>
                <w:r>
                  <w:rPr/>
                  <w:t>1</w:t>
                </w:r>
                <w:r>
                  <w:rPr/>
                  <w:fldChar w:fldCharType="end"/>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14.55pt;height:12.45pt;mso-position-horizontal-relative:page;mso-position-vertical-relative:page;z-index:-88597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39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23.55pt;height:12.55pt;mso-position-horizontal-relative:page;mso-position-vertical-relative:page;z-index:-88595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01111pt;margin-top:782.077942pt;width:13.1pt;height:11pt;mso-position-horizontal-relative:page;mso-position-vertical-relative:page;z-index:-885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90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757.428162pt;width:459.95pt;height:13.05pt;mso-position-horizontal-relative:page;mso-position-vertical-relative:page;z-index:-885880"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txbxContent>
          </v:textbox>
          <w10:wrap type="none"/>
        </v:shape>
      </w:pict>
    </w:r>
    <w:r>
      <w:rPr/>
      <w:pict>
        <v:shape style="position:absolute;margin-left:291.171112pt;margin-top:787.639221pt;width:14.55pt;height:12.45pt;mso-position-horizontal-relative:page;mso-position-vertical-relative:page;z-index:-88585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764.268127pt;width:459.95pt;height:13.05pt;mso-position-horizontal-relative:page;mso-position-vertical-relative:page;z-index:-885832"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txbxContent>
          </v:textbox>
          <w10:wrap type="none"/>
        </v:shape>
      </w:pict>
    </w:r>
    <w:r>
      <w:rPr/>
      <w:pict>
        <v:shape style="position:absolute;margin-left:291.171112pt;margin-top:787.639221pt;width:14.55pt;height:12.45pt;mso-position-horizontal-relative:page;mso-position-vertical-relative:page;z-index:-88580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413101pt;margin-top:765.108154pt;width:459.95pt;height:13.05pt;mso-position-horizontal-relative:page;mso-position-vertical-relative:page;z-index:-885784" type="#_x0000_t202" filled="false" stroked="false">
          <v:textbox inset="0,0,0,0">
            <w:txbxContent>
              <w:p>
                <w:pPr>
                  <w:pStyle w:val="BodyText"/>
                  <w:tabs>
                    <w:tab w:pos="1598" w:val="left" w:leader="none"/>
                    <w:tab w:pos="2653" w:val="left" w:leader="none"/>
                    <w:tab w:pos="5284" w:val="left" w:leader="none"/>
                    <w:tab w:pos="6125"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txbxContent>
          </v:textbox>
          <w10:wrap type="none"/>
        </v:shape>
      </w:pict>
    </w:r>
    <w:r>
      <w:rPr/>
      <w:pict>
        <v:shape style="position:absolute;margin-left:291.171112pt;margin-top:787.639221pt;width:14.55pt;height:12.45pt;mso-position-horizontal-relative:page;mso-position-vertical-relative:page;z-index:-88576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73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766.308167pt;width:459.95pt;height:33.8pt;mso-position-horizontal-relative:page;mso-position-vertical-relative:page;z-index:-885712"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pStyle w:val="BodyText"/>
                  <w:spacing w:line="240" w:lineRule="auto" w:before="189"/>
                  <w:ind w:left="507" w:right="0"/>
                  <w:jc w:val="center"/>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523.548096pt;width:459.95pt;height:32.7pt;mso-position-horizontal-relative:page;mso-position-vertical-relative:page;z-index:-885688"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pStyle w:val="BodyText"/>
                  <w:spacing w:line="240" w:lineRule="auto" w:before="168"/>
                  <w:ind w:left="0" w:right="1767"/>
                  <w:jc w:val="right"/>
                  <w:rPr>
                    <w:rFonts w:ascii="Times New Roman" w:hAnsi="Times New Roman" w:cs="Times New Roman" w:eastAsia="Times New Roman" w:hint="default"/>
                  </w:rPr>
                </w:pPr>
                <w:r>
                  <w:rPr>
                    <w:rFonts w:ascii="Times New Roman"/>
                    <w:w w:val="99"/>
                  </w:rPr>
                </w:r>
                <w:r>
                  <w:rPr/>
                  <w:fldChar w:fldCharType="begin"/>
                </w:r>
                <w:r>
                  <w:rPr>
                    <w:rFonts w:ascii="Times New Roman"/>
                    <w:w w:val="95"/>
                  </w:rPr>
                  <w:instrText> PAGE </w:instrText>
                </w:r>
                <w:r>
                  <w:rPr/>
                  <w:fldChar w:fldCharType="separate"/>
                </w:r>
                <w:r>
                  <w:rPr/>
                  <w:t>57</w:t>
                </w:r>
                <w:r>
                  <w:rPr/>
                  <w:fldChar w:fldCharType="end"/>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91.171112pt;margin-top:780.559204pt;width:14.55pt;height:12.45pt;mso-position-horizontal-relative:page;mso-position-vertical-relative:page;z-index:-88612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523.548096pt;width:459.95pt;height:32.7pt;mso-position-horizontal-relative:page;mso-position-vertical-relative:page;z-index:-885664"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178"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pStyle w:val="BodyText"/>
                  <w:spacing w:line="240" w:lineRule="auto" w:before="168"/>
                  <w:ind w:left="0" w:right="1767"/>
                  <w:jc w:val="right"/>
                  <w:rPr>
                    <w:rFonts w:ascii="Times New Roman" w:hAnsi="Times New Roman" w:cs="Times New Roman" w:eastAsia="Times New Roman" w:hint="default"/>
                  </w:rPr>
                </w:pPr>
                <w:r>
                  <w:rPr>
                    <w:rFonts w:ascii="Times New Roman"/>
                    <w:w w:val="99"/>
                  </w:rPr>
                </w:r>
                <w:r>
                  <w:rPr/>
                  <w:fldChar w:fldCharType="begin"/>
                </w:r>
                <w:r>
                  <w:rPr>
                    <w:rFonts w:ascii="Times New Roman"/>
                    <w:w w:val="95"/>
                  </w:rPr>
                  <w:instrText> PAGE </w:instrText>
                </w:r>
                <w:r>
                  <w:rPr/>
                  <w:fldChar w:fldCharType="separate"/>
                </w:r>
                <w:r>
                  <w:rPr/>
                  <w:t>58</w:t>
                </w:r>
                <w:r>
                  <w:rPr/>
                  <w:fldChar w:fldCharType="end"/>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81601pt;margin-top:523.188110pt;width:465.25pt;height:33.1pt;mso-position-horizontal-relative:page;mso-position-vertical-relative:page;z-index:-885640" type="#_x0000_t202" filled="false" stroked="false">
          <v:textbox inset="0,0,0,0">
            <w:txbxContent>
              <w:p>
                <w:pPr>
                  <w:pStyle w:val="BodyText"/>
                  <w:tabs>
                    <w:tab w:pos="1600" w:val="left" w:leader="none"/>
                    <w:tab w:pos="2653" w:val="left" w:leader="none"/>
                    <w:tab w:pos="5284" w:val="left" w:leader="none"/>
                    <w:tab w:pos="6127" w:val="left" w:leader="none"/>
                    <w:tab w:pos="8231" w:val="left" w:leader="none"/>
                    <w:tab w:pos="9284" w:val="left" w:leader="none"/>
                  </w:tabs>
                  <w:spacing w:line="229" w:lineRule="exact"/>
                  <w:ind w:left="20" w:right="0"/>
                  <w:jc w:val="left"/>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w w:val="95"/>
                    <w:u w:val="single" w:color="000000"/>
                  </w:rPr>
                  <w:t>陈泰泉</w:t>
                  <w:tab/>
                </w:r>
                <w:r>
                  <w:rPr>
                    <w:w w:val="95"/>
                  </w:rPr>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u w:val="thick" w:color="000000"/>
                  </w:rPr>
                  <w:t>钟民</w:t>
                  <w:tab/>
                </w:r>
                <w:r>
                  <w:rPr/>
                </w:r>
              </w:p>
              <w:p>
                <w:pPr>
                  <w:pStyle w:val="BodyText"/>
                  <w:spacing w:line="240" w:lineRule="auto" w:before="175"/>
                  <w:ind w:left="0" w:right="1873"/>
                  <w:jc w:val="right"/>
                  <w:rPr>
                    <w:rFonts w:ascii="Times New Roman" w:hAnsi="Times New Roman" w:cs="Times New Roman" w:eastAsia="Times New Roman" w:hint="default"/>
                  </w:rPr>
                </w:pPr>
                <w:r>
                  <w:rPr>
                    <w:rFonts w:ascii="Times New Roman"/>
                    <w:w w:val="99"/>
                  </w:rPr>
                </w:r>
                <w:r>
                  <w:rPr/>
                  <w:fldChar w:fldCharType="begin"/>
                </w:r>
                <w:r>
                  <w:rPr>
                    <w:rFonts w:ascii="Times New Roman"/>
                    <w:w w:val="95"/>
                  </w:rPr>
                  <w:instrText> PAGE </w:instrText>
                </w:r>
                <w:r>
                  <w:rPr/>
                  <w:fldChar w:fldCharType="separate"/>
                </w:r>
                <w:r>
                  <w:rPr/>
                  <w:t>60</w:t>
                </w:r>
                <w:r>
                  <w:rPr/>
                  <w:fldChar w:fldCharType="end"/>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61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59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56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54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52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49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719208pt;margin-top:543.799194pt;width:14.55pt;height:12.45pt;mso-position-horizontal-relative:page;mso-position-vertical-relative:page;z-index:-88547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719208pt;margin-top:543.799194pt;width:14.55pt;height:12.45pt;mso-position-horizontal-relative:page;mso-position-vertical-relative:page;z-index:-88544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0.559204pt;width:14.55pt;height:12.45pt;mso-position-horizontal-relative:page;mso-position-vertical-relative:page;z-index:-88609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42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40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719208pt;margin-top:541.039185pt;width:14.55pt;height:12.45pt;mso-position-horizontal-relative:page;mso-position-vertical-relative:page;z-index:-88537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1112pt;margin-top:787.639221pt;width:14.55pt;height:12.45pt;mso-position-horizontal-relative:page;mso-position-vertical-relative:page;z-index:-88535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24506pt;margin-top:787.639221pt;width:19.850pt;height:12.45pt;mso-position-horizontal-relative:page;mso-position-vertical-relative:page;z-index:-88532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44806pt;margin-top:787.639221pt;width:19.5pt;height:12.45pt;mso-position-horizontal-relative:page;mso-position-vertical-relative:page;z-index:-88530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2601pt;margin-top:541.039185pt;width:19.850pt;height:12.45pt;mso-position-horizontal-relative:page;mso-position-vertical-relative:page;z-index:-88528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24506pt;margin-top:787.639221pt;width:19.850pt;height:12.45pt;mso-position-horizontal-relative:page;mso-position-vertical-relative:page;z-index:-885256"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24506pt;margin-top:787.639221pt;width:19.850pt;height:12.45pt;mso-position-horizontal-relative:page;mso-position-vertical-relative:page;z-index:-88523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126</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24506pt;margin-top:787.639221pt;width:19.850pt;height:12.45pt;mso-position-horizontal-relative:page;mso-position-vertical-relative:page;z-index:-88520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2601pt;margin-top:541.039185pt;width:19.850pt;height:12.45pt;mso-position-horizontal-relative:page;mso-position-vertical-relative:page;z-index:-88518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24506pt;margin-top:787.639221pt;width:19.850pt;height:12.45pt;mso-position-horizontal-relative:page;mso-position-vertical-relative:page;z-index:-88516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14.55pt;height:12.45pt;mso-position-horizontal-relative:page;mso-position-vertical-relative:page;z-index:-886072"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14.55pt;height:12.45pt;mso-position-horizontal-relative:page;mso-position-vertical-relative:page;z-index:-886048"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14.55pt;height:12.45pt;mso-position-horizontal-relative:page;mso-position-vertical-relative:page;z-index:-886024"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6787pt;margin-top:780.559204pt;width:14.55pt;height:12.45pt;mso-position-horizontal-relative:page;mso-position-vertical-relative:page;z-index:-886000" type="#_x0000_t202" filled="false" stroked="false">
          <v:textbox inset="0,0,0,0">
            <w:txbxContent>
              <w:p>
                <w:pPr>
                  <w:pStyle w:val="BodyText"/>
                  <w:spacing w:line="23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5"/>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84"/>
      <w:outlineLvl w:val="2"/>
    </w:pPr>
    <w:rPr>
      <w:rFonts w:ascii="Microsoft JhengHei" w:hAnsi="Microsoft JhengHei" w:eastAsia="Microsoft JhengHei"/>
      <w:b/>
      <w:bCs/>
      <w:sz w:val="28"/>
      <w:szCs w:val="28"/>
    </w:rPr>
  </w:style>
  <w:style w:styleId="Heading3" w:type="paragraph">
    <w:name w:val="Heading 3"/>
    <w:basedOn w:val="Normal"/>
    <w:uiPriority w:val="1"/>
    <w:qFormat/>
    <w:pPr>
      <w:outlineLvl w:val="3"/>
    </w:pPr>
    <w:rPr>
      <w:rFonts w:ascii="宋体" w:hAnsi="宋体" w:eastAsia="宋体"/>
      <w:sz w:val="28"/>
      <w:szCs w:val="28"/>
    </w:rPr>
  </w:style>
  <w:style w:styleId="Heading4" w:type="paragraph">
    <w:name w:val="Heading 4"/>
    <w:basedOn w:val="Normal"/>
    <w:uiPriority w:val="1"/>
    <w:qFormat/>
    <w:pPr>
      <w:ind w:left="196"/>
      <w:outlineLvl w:val="4"/>
    </w:pPr>
    <w:rPr>
      <w:rFonts w:ascii="宋体" w:hAnsi="宋体" w:eastAsia="宋体"/>
      <w:sz w:val="24"/>
      <w:szCs w:val="24"/>
    </w:rPr>
  </w:style>
  <w:style w:styleId="Heading5" w:type="paragraph">
    <w:name w:val="Heading 5"/>
    <w:basedOn w:val="Normal"/>
    <w:uiPriority w:val="1"/>
    <w:qFormat/>
    <w:pPr>
      <w:ind w:left="121"/>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E7%94%B5%E5%AD%90%E4%BF%A1%E7%AE%B1%EF%BC%9Aszhkdb@yahoo.com.cn" TargetMode="External"/><Relationship Id="rId8" Type="http://schemas.openxmlformats.org/officeDocument/2006/relationships/hyperlink" Target="http://www.bahjdc.com.cn/" TargetMode="External"/><Relationship Id="rId9" Type="http://schemas.openxmlformats.org/officeDocument/2006/relationships/hyperlink" Target="mailto:szhkdb@yahoo.com.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cninfo.com.cn&#25259;&#38706;&#30340;&#30456;&#20851;&#20844;&#21578;/" TargetMode="Externa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yperlink" Target="http://www.cninfo.com.cn&#24040;&#28526;&#36164;&#35759;&#32593;&#25259;&#38706;&#30340;&#30456;&#20851;&#20844;&#21578;&#21450;&#20844;&#21496;2010&#24180;&#24180;&#24230;&#25253;&#21578;/" TargetMode="External"/><Relationship Id="rId23" Type="http://schemas.openxmlformats.org/officeDocument/2006/relationships/footer" Target="footer12.xml"/><Relationship Id="rId24" Type="http://schemas.openxmlformats.org/officeDocument/2006/relationships/image" Target="media/image2.jpeg"/><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 Id="rId36" Type="http://schemas.openxmlformats.org/officeDocument/2006/relationships/footer" Target="footer24.xml"/><Relationship Id="rId37" Type="http://schemas.openxmlformats.org/officeDocument/2006/relationships/footer" Target="footer25.xml"/><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footer" Target="footer35.xml"/><Relationship Id="rId48" Type="http://schemas.openxmlformats.org/officeDocument/2006/relationships/footer" Target="footer36.xml"/><Relationship Id="rId49" Type="http://schemas.openxmlformats.org/officeDocument/2006/relationships/footer" Target="footer37.xml"/><Relationship Id="rId50" Type="http://schemas.openxmlformats.org/officeDocument/2006/relationships/footer" Target="footer38.xml"/><Relationship Id="rId51" Type="http://schemas.openxmlformats.org/officeDocument/2006/relationships/footer" Target="footer39.xml"/><Relationship Id="rId52" Type="http://schemas.openxmlformats.org/officeDocument/2006/relationships/footer" Target="footer40.xml"/><Relationship Id="rId53"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一般企业报送模板</dc:title>
  <dcterms:created xsi:type="dcterms:W3CDTF">2020-05-03T10:58:30Z</dcterms:created>
  <dcterms:modified xsi:type="dcterms:W3CDTF">2020-05-03T10:58:30Z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2012-04-06T00:00:00Z</vt:filetime>
  </property>
  <property fmtid="{D5CDD505-2E9C-101B-9397-08002B2CF9AE}" pid="3" name="Creator">
    <vt:lpwstr>WPS Office 个人版</vt:lpwstr>
  </property>
  <property fmtid="{D5CDD505-2E9C-101B-9397-08002B2CF9AE}" pid="4" name="LastSaved">
    <vt:filetime>2012-04-06T00:00:00Z</vt:filetime>
  </property>
</Properties>
</file>